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308E7" w14:textId="1710BF11" w:rsidR="00991C55" w:rsidRPr="00262F3A" w:rsidRDefault="00775B02" w:rsidP="00561B3B">
      <w:pPr>
        <w:rPr>
          <w:lang w:eastAsia="en-US"/>
        </w:rPr>
      </w:pPr>
      <w:r w:rsidRPr="00262F3A">
        <w:rPr>
          <w:noProof/>
          <w:lang w:eastAsia="en-AU"/>
        </w:rPr>
        <w:drawing>
          <wp:inline distT="0" distB="0" distL="0" distR="0" wp14:anchorId="509B9220" wp14:editId="1A22C62E">
            <wp:extent cx="5734050" cy="8102817"/>
            <wp:effectExtent l="0" t="0" r="0" b="0"/>
            <wp:docPr id="246" name="Picture 246" descr="A photo of four year old National Disability Insurance Scheme participant Aviana, or Avi as her parents call her. Aviana has a rare genetic neuromuscular disorder—spinal muscular atrophy, type 1 (SMA1), the leading genetic cause of death in infants. The cover shows Aviana wearing a bright red, white and green jumper that has snowflake patterns and Christmas trees. Aviana has light golden brown hair tied in a braid to the side, and is wearing pink socks and shoes. She is sitting outside in a wheelchair and has shiny rainbow coloured straps on her lower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4050" cy="8102817"/>
                    </a:xfrm>
                    <a:prstGeom prst="rect">
                      <a:avLst/>
                    </a:prstGeom>
                  </pic:spPr>
                </pic:pic>
              </a:graphicData>
            </a:graphic>
          </wp:inline>
        </w:drawing>
      </w:r>
    </w:p>
    <w:p w14:paraId="62C96440" w14:textId="77777777" w:rsidR="00C0257D" w:rsidRPr="00262F3A" w:rsidRDefault="00C0257D" w:rsidP="00561B3B">
      <w:pPr>
        <w:rPr>
          <w:lang w:eastAsia="en-US"/>
        </w:rPr>
      </w:pPr>
      <w:r w:rsidRPr="00262F3A">
        <w:rPr>
          <w:lang w:eastAsia="en-US"/>
        </w:rPr>
        <w:br w:type="page"/>
      </w:r>
    </w:p>
    <w:p w14:paraId="7BA376DA" w14:textId="77777777" w:rsidR="00EB7A97" w:rsidRPr="00262F3A" w:rsidRDefault="00EB7A97" w:rsidP="00EB7A97">
      <w:pPr>
        <w:ind w:left="0"/>
        <w:rPr>
          <w:rFonts w:ascii="Calibri" w:eastAsia="Calibri" w:hAnsi="Calibri" w:cs="Times New Roman"/>
          <w:lang w:eastAsia="en-US"/>
        </w:rPr>
      </w:pPr>
      <w:r w:rsidRPr="00262F3A">
        <w:lastRenderedPageBreak/>
        <w:t>At the heart of the Agency are our participants, always.</w:t>
      </w:r>
    </w:p>
    <w:p w14:paraId="4913710C" w14:textId="77777777" w:rsidR="00EB7A97" w:rsidRPr="00262F3A" w:rsidRDefault="00EB7A97" w:rsidP="00EB7A97">
      <w:pPr>
        <w:ind w:left="0"/>
      </w:pPr>
      <w:r w:rsidRPr="00262F3A">
        <w:t>Our first priority is to ensure each participant, no matter where located, live</w:t>
      </w:r>
      <w:r>
        <w:t>s</w:t>
      </w:r>
      <w:r w:rsidRPr="00262F3A">
        <w:t xml:space="preserve"> the life they want today and into the future. </w:t>
      </w:r>
    </w:p>
    <w:p w14:paraId="09E4A9E9" w14:textId="77777777" w:rsidR="00EB7A97" w:rsidRPr="00262F3A" w:rsidRDefault="00EB7A97" w:rsidP="00EB7A97">
      <w:pPr>
        <w:ind w:left="0"/>
      </w:pPr>
      <w:r w:rsidRPr="00262F3A">
        <w:t xml:space="preserve">Meet five year old Reece Child from South Australia, who loves to hang from the monkey bars and jump on a trampoline like most boys his age. </w:t>
      </w:r>
    </w:p>
    <w:p w14:paraId="24570D3D" w14:textId="77777777" w:rsidR="00EB7A97" w:rsidRPr="00262F3A" w:rsidRDefault="00EB7A97" w:rsidP="00EB7A97">
      <w:pPr>
        <w:ind w:left="0"/>
      </w:pPr>
      <w:r w:rsidRPr="00262F3A">
        <w:t>When he was a baby, doctors initially diagnosed Reece with cerebral palsy, but later discovered he has his own unique syndrome consisting of</w:t>
      </w:r>
      <w:r>
        <w:t>,</w:t>
      </w:r>
      <w:r w:rsidRPr="00262F3A">
        <w:t xml:space="preserve"> among other things, hypotonia (low muscle tone), which impacts his mobility, muscle strength and swallowing.</w:t>
      </w:r>
    </w:p>
    <w:p w14:paraId="0F6B7A35" w14:textId="77777777" w:rsidR="00EB7A97" w:rsidRDefault="00EB7A97" w:rsidP="00084A73">
      <w:pPr>
        <w:ind w:left="0"/>
      </w:pPr>
      <w:r w:rsidRPr="00262F3A">
        <w:t>Today, not only does Reece not need a wheelchair</w:t>
      </w:r>
      <w:r>
        <w:t>;</w:t>
      </w:r>
      <w:r w:rsidRPr="00262F3A">
        <w:t xml:space="preserve"> he can run, climb trees, kick a football, ride a balance bike and walk on a balance beam. He has tried pre-Auskick and his dad says he </w:t>
      </w:r>
      <w:r>
        <w:t>‘absolutely nailed it’.</w:t>
      </w:r>
    </w:p>
    <w:p w14:paraId="5159E635" w14:textId="61C8B7B1" w:rsidR="00A84570" w:rsidRDefault="00EB7A97" w:rsidP="00084A73">
      <w:pPr>
        <w:ind w:left="0"/>
      </w:pPr>
      <w:r w:rsidRPr="00262F3A">
        <w:t>Reece’s parents say his astonishing progress is all thanks to early intervention through the National Disability Insurance Scheme (NDIS) and provider Novita.</w:t>
      </w:r>
    </w:p>
    <w:p w14:paraId="54151554" w14:textId="5AA55803" w:rsidR="00EB7A97" w:rsidRPr="00262F3A" w:rsidRDefault="00A84570" w:rsidP="00084A73">
      <w:pPr>
        <w:ind w:left="0"/>
      </w:pPr>
      <w:r w:rsidRPr="00262F3A">
        <w:rPr>
          <w:noProof/>
          <w:lang w:eastAsia="en-AU"/>
        </w:rPr>
        <w:drawing>
          <wp:inline distT="0" distB="0" distL="0" distR="0" wp14:anchorId="27E883F4" wp14:editId="5753A846">
            <wp:extent cx="1815196" cy="2420261"/>
            <wp:effectExtent l="0" t="0" r="0" b="0"/>
            <wp:docPr id="234" name="Picture 234" descr="A photo of five year old National Disability Insurance Scheme participant, Reece Child, posing with superhero Captain America. Reece is wearing denim shorts and a grey superhero t-shirt, he is crossing his arms and posing next to Captain America who is kneeling on the ground next to him. Captain America is wearing a blue face mask, and is holding a red and white shield with a white star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tk162\AppData\Local\Microsoft\Windows\INetCache\Content.Word\Reece Child Superhero im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9364" cy="2439151"/>
                    </a:xfrm>
                    <a:prstGeom prst="rect">
                      <a:avLst/>
                    </a:prstGeom>
                    <a:noFill/>
                    <a:ln>
                      <a:noFill/>
                    </a:ln>
                  </pic:spPr>
                </pic:pic>
              </a:graphicData>
            </a:graphic>
          </wp:inline>
        </w:drawing>
      </w:r>
      <w:r>
        <w:t xml:space="preserve">  </w:t>
      </w:r>
      <w:r w:rsidRPr="00262F3A">
        <w:rPr>
          <w:noProof/>
          <w:lang w:eastAsia="en-AU"/>
        </w:rPr>
        <w:drawing>
          <wp:inline distT="0" distB="0" distL="0" distR="0" wp14:anchorId="142E49CD" wp14:editId="1053CB00">
            <wp:extent cx="3638125" cy="2422473"/>
            <wp:effectExtent l="0" t="0" r="635" b="0"/>
            <wp:docPr id="237" name="Picture 237" descr="A photo of five year old National Disability Insurance Scheme participant, Reece Child. Reece is wearing brown cargo pants and a blue long-sleeved shirt. He is climbing on play equipment and fencing can be see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tk162\AppData\Local\Microsoft\Windows\INetCache\Content.Word\Reece Child climbi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2767" cy="2445540"/>
                    </a:xfrm>
                    <a:prstGeom prst="rect">
                      <a:avLst/>
                    </a:prstGeom>
                    <a:noFill/>
                    <a:ln>
                      <a:noFill/>
                    </a:ln>
                  </pic:spPr>
                </pic:pic>
              </a:graphicData>
            </a:graphic>
          </wp:inline>
        </w:drawing>
      </w:r>
    </w:p>
    <w:p w14:paraId="49A474AD" w14:textId="172C9FE3" w:rsidR="00775B02" w:rsidRPr="00262F3A" w:rsidRDefault="00FF4A4A" w:rsidP="00084A73">
      <w:pPr>
        <w:ind w:left="0"/>
      </w:pPr>
      <w:r>
        <w:t>Cover: Aviana McElwee, or Avi as her parents call her, has a rare genetic neuromuscular disorder—spinal muscular atrophy, type 1 (SMA1), the leading genetic cause of death in infants. “With NDIS funding, she’s going from strength to strength because of all the therapy we are able to access,” Avi’s mum, Bethan, said.</w:t>
      </w:r>
      <w:r w:rsidR="00775B02" w:rsidRPr="00262F3A">
        <w:br w:type="page"/>
      </w:r>
    </w:p>
    <w:sdt>
      <w:sdtPr>
        <w:rPr>
          <w:rFonts w:ascii="Arial" w:eastAsiaTheme="minorEastAsia" w:hAnsi="Arial" w:cs="Arial"/>
          <w:color w:val="auto"/>
          <w:sz w:val="22"/>
          <w:szCs w:val="22"/>
          <w:lang w:val="en-AU" w:eastAsia="ja-JP"/>
        </w:rPr>
        <w:id w:val="935244488"/>
        <w:docPartObj>
          <w:docPartGallery w:val="Table of Contents"/>
          <w:docPartUnique/>
        </w:docPartObj>
      </w:sdtPr>
      <w:sdtEndPr>
        <w:rPr>
          <w:b/>
          <w:bCs/>
          <w:noProof/>
        </w:rPr>
      </w:sdtEndPr>
      <w:sdtContent>
        <w:p w14:paraId="451CDF39" w14:textId="738FA569" w:rsidR="00C52758" w:rsidRPr="00262F3A" w:rsidRDefault="00C52758" w:rsidP="00C52758">
          <w:pPr>
            <w:pStyle w:val="TOCHeading"/>
            <w:rPr>
              <w:color w:val="7030A0"/>
              <w:lang w:val="en-AU"/>
            </w:rPr>
          </w:pPr>
          <w:r w:rsidRPr="00262F3A">
            <w:rPr>
              <w:color w:val="7030A0"/>
              <w:lang w:val="en-AU"/>
            </w:rPr>
            <w:t>Content</w:t>
          </w:r>
          <w:r w:rsidR="00EB7A97">
            <w:rPr>
              <w:color w:val="7030A0"/>
              <w:lang w:val="en-AU"/>
            </w:rPr>
            <w:t>s</w:t>
          </w:r>
          <w:bookmarkStart w:id="0" w:name="_GoBack"/>
          <w:bookmarkEnd w:id="0"/>
        </w:p>
        <w:p w14:paraId="0B6CC083" w14:textId="1540EA28" w:rsidR="00817418" w:rsidRDefault="00C52758">
          <w:pPr>
            <w:pStyle w:val="TOC1"/>
            <w:tabs>
              <w:tab w:val="right" w:leader="dot" w:pos="10025"/>
            </w:tabs>
            <w:rPr>
              <w:rFonts w:asciiTheme="minorHAnsi" w:hAnsiTheme="minorHAnsi" w:cstheme="minorBidi"/>
              <w:noProof/>
              <w:lang w:eastAsia="en-AU"/>
            </w:rPr>
          </w:pPr>
          <w:r w:rsidRPr="00262F3A">
            <w:fldChar w:fldCharType="begin"/>
          </w:r>
          <w:r w:rsidRPr="00262F3A">
            <w:instrText xml:space="preserve"> TOC \o "1-3" \h \z \u </w:instrText>
          </w:r>
          <w:r w:rsidRPr="00262F3A">
            <w:fldChar w:fldCharType="separate"/>
          </w:r>
          <w:hyperlink w:anchor="_Toc51067955" w:history="1">
            <w:r w:rsidR="00817418" w:rsidRPr="002D0634">
              <w:rPr>
                <w:rStyle w:val="Hyperlink"/>
                <w:noProof/>
              </w:rPr>
              <w:t>Letter of transmittal</w:t>
            </w:r>
            <w:r w:rsidR="00817418">
              <w:rPr>
                <w:noProof/>
                <w:webHidden/>
              </w:rPr>
              <w:tab/>
            </w:r>
            <w:r w:rsidR="00817418">
              <w:rPr>
                <w:noProof/>
                <w:webHidden/>
              </w:rPr>
              <w:fldChar w:fldCharType="begin"/>
            </w:r>
            <w:r w:rsidR="00817418">
              <w:rPr>
                <w:noProof/>
                <w:webHidden/>
              </w:rPr>
              <w:instrText xml:space="preserve"> PAGEREF _Toc51067955 \h </w:instrText>
            </w:r>
            <w:r w:rsidR="00817418">
              <w:rPr>
                <w:noProof/>
                <w:webHidden/>
              </w:rPr>
            </w:r>
            <w:r w:rsidR="00817418">
              <w:rPr>
                <w:noProof/>
                <w:webHidden/>
              </w:rPr>
              <w:fldChar w:fldCharType="separate"/>
            </w:r>
            <w:r w:rsidR="000B6734">
              <w:rPr>
                <w:noProof/>
                <w:webHidden/>
              </w:rPr>
              <w:t>5</w:t>
            </w:r>
            <w:r w:rsidR="00817418">
              <w:rPr>
                <w:noProof/>
                <w:webHidden/>
              </w:rPr>
              <w:fldChar w:fldCharType="end"/>
            </w:r>
          </w:hyperlink>
        </w:p>
        <w:p w14:paraId="66220986" w14:textId="05B2077D" w:rsidR="00817418" w:rsidRDefault="000B6734">
          <w:pPr>
            <w:pStyle w:val="TOC1"/>
            <w:tabs>
              <w:tab w:val="left" w:pos="426"/>
              <w:tab w:val="right" w:leader="dot" w:pos="10025"/>
            </w:tabs>
            <w:rPr>
              <w:rFonts w:asciiTheme="minorHAnsi" w:hAnsiTheme="minorHAnsi" w:cstheme="minorBidi"/>
              <w:noProof/>
              <w:lang w:eastAsia="en-AU"/>
            </w:rPr>
          </w:pPr>
          <w:hyperlink w:anchor="_Toc51067956" w:history="1">
            <w:r w:rsidR="00817418" w:rsidRPr="002D0634">
              <w:rPr>
                <w:rStyle w:val="Hyperlink"/>
                <w:noProof/>
              </w:rPr>
              <w:t>1</w:t>
            </w:r>
            <w:r w:rsidR="00817418">
              <w:rPr>
                <w:rFonts w:asciiTheme="minorHAnsi" w:hAnsiTheme="minorHAnsi" w:cstheme="minorBidi"/>
                <w:noProof/>
                <w:lang w:eastAsia="en-AU"/>
              </w:rPr>
              <w:tab/>
            </w:r>
            <w:r w:rsidR="00817418" w:rsidRPr="002D0634">
              <w:rPr>
                <w:rStyle w:val="Hyperlink"/>
                <w:noProof/>
              </w:rPr>
              <w:t>Introduction</w:t>
            </w:r>
            <w:r w:rsidR="00817418">
              <w:rPr>
                <w:noProof/>
                <w:webHidden/>
              </w:rPr>
              <w:tab/>
            </w:r>
            <w:r w:rsidR="00817418">
              <w:rPr>
                <w:noProof/>
                <w:webHidden/>
              </w:rPr>
              <w:fldChar w:fldCharType="begin"/>
            </w:r>
            <w:r w:rsidR="00817418">
              <w:rPr>
                <w:noProof/>
                <w:webHidden/>
              </w:rPr>
              <w:instrText xml:space="preserve"> PAGEREF _Toc51067956 \h </w:instrText>
            </w:r>
            <w:r w:rsidR="00817418">
              <w:rPr>
                <w:noProof/>
                <w:webHidden/>
              </w:rPr>
            </w:r>
            <w:r w:rsidR="00817418">
              <w:rPr>
                <w:noProof/>
                <w:webHidden/>
              </w:rPr>
              <w:fldChar w:fldCharType="separate"/>
            </w:r>
            <w:r>
              <w:rPr>
                <w:noProof/>
                <w:webHidden/>
              </w:rPr>
              <w:t>6</w:t>
            </w:r>
            <w:r w:rsidR="00817418">
              <w:rPr>
                <w:noProof/>
                <w:webHidden/>
              </w:rPr>
              <w:fldChar w:fldCharType="end"/>
            </w:r>
          </w:hyperlink>
        </w:p>
        <w:p w14:paraId="42D452C4" w14:textId="73651A8C" w:rsidR="00817418" w:rsidRDefault="000B6734">
          <w:pPr>
            <w:pStyle w:val="TOC2"/>
            <w:rPr>
              <w:rFonts w:asciiTheme="minorHAnsi" w:hAnsiTheme="minorHAnsi" w:cstheme="minorBidi"/>
              <w:noProof/>
              <w:lang w:eastAsia="en-AU"/>
            </w:rPr>
          </w:pPr>
          <w:hyperlink w:anchor="_Toc51067957" w:history="1">
            <w:r w:rsidR="00817418" w:rsidRPr="002D0634">
              <w:rPr>
                <w:rStyle w:val="Hyperlink"/>
                <w:noProof/>
              </w:rPr>
              <w:t>1.1</w:t>
            </w:r>
            <w:r w:rsidR="00817418">
              <w:rPr>
                <w:rFonts w:asciiTheme="minorHAnsi" w:hAnsiTheme="minorHAnsi" w:cstheme="minorBidi"/>
                <w:noProof/>
                <w:lang w:eastAsia="en-AU"/>
              </w:rPr>
              <w:tab/>
            </w:r>
            <w:r w:rsidR="00817418" w:rsidRPr="002D0634">
              <w:rPr>
                <w:rStyle w:val="Hyperlink"/>
                <w:noProof/>
              </w:rPr>
              <w:t>Acknowledgement</w:t>
            </w:r>
            <w:r w:rsidR="00817418">
              <w:rPr>
                <w:noProof/>
                <w:webHidden/>
              </w:rPr>
              <w:tab/>
            </w:r>
            <w:r w:rsidR="00817418">
              <w:rPr>
                <w:noProof/>
                <w:webHidden/>
              </w:rPr>
              <w:fldChar w:fldCharType="begin"/>
            </w:r>
            <w:r w:rsidR="00817418">
              <w:rPr>
                <w:noProof/>
                <w:webHidden/>
              </w:rPr>
              <w:instrText xml:space="preserve"> PAGEREF _Toc51067957 \h </w:instrText>
            </w:r>
            <w:r w:rsidR="00817418">
              <w:rPr>
                <w:noProof/>
                <w:webHidden/>
              </w:rPr>
            </w:r>
            <w:r w:rsidR="00817418">
              <w:rPr>
                <w:noProof/>
                <w:webHidden/>
              </w:rPr>
              <w:fldChar w:fldCharType="separate"/>
            </w:r>
            <w:r>
              <w:rPr>
                <w:noProof/>
                <w:webHidden/>
              </w:rPr>
              <w:t>6</w:t>
            </w:r>
            <w:r w:rsidR="00817418">
              <w:rPr>
                <w:noProof/>
                <w:webHidden/>
              </w:rPr>
              <w:fldChar w:fldCharType="end"/>
            </w:r>
          </w:hyperlink>
        </w:p>
        <w:p w14:paraId="6677F10F" w14:textId="125A2292" w:rsidR="00817418" w:rsidRDefault="000B6734">
          <w:pPr>
            <w:pStyle w:val="TOC2"/>
            <w:rPr>
              <w:rFonts w:asciiTheme="minorHAnsi" w:hAnsiTheme="minorHAnsi" w:cstheme="minorBidi"/>
              <w:noProof/>
              <w:lang w:eastAsia="en-AU"/>
            </w:rPr>
          </w:pPr>
          <w:hyperlink w:anchor="_Toc51067958" w:history="1">
            <w:r w:rsidR="00817418" w:rsidRPr="002D0634">
              <w:rPr>
                <w:rStyle w:val="Hyperlink"/>
                <w:noProof/>
              </w:rPr>
              <w:t>1.2</w:t>
            </w:r>
            <w:r w:rsidR="00817418">
              <w:rPr>
                <w:rFonts w:asciiTheme="minorHAnsi" w:hAnsiTheme="minorHAnsi" w:cstheme="minorBidi"/>
                <w:noProof/>
                <w:lang w:eastAsia="en-AU"/>
              </w:rPr>
              <w:tab/>
            </w:r>
            <w:r w:rsidR="00817418" w:rsidRPr="002D0634">
              <w:rPr>
                <w:rStyle w:val="Hyperlink"/>
                <w:noProof/>
              </w:rPr>
              <w:t>Chairman’s review</w:t>
            </w:r>
            <w:r w:rsidR="00817418">
              <w:rPr>
                <w:noProof/>
                <w:webHidden/>
              </w:rPr>
              <w:tab/>
            </w:r>
            <w:r w:rsidR="00817418">
              <w:rPr>
                <w:noProof/>
                <w:webHidden/>
              </w:rPr>
              <w:fldChar w:fldCharType="begin"/>
            </w:r>
            <w:r w:rsidR="00817418">
              <w:rPr>
                <w:noProof/>
                <w:webHidden/>
              </w:rPr>
              <w:instrText xml:space="preserve"> PAGEREF _Toc51067958 \h </w:instrText>
            </w:r>
            <w:r w:rsidR="00817418">
              <w:rPr>
                <w:noProof/>
                <w:webHidden/>
              </w:rPr>
            </w:r>
            <w:r w:rsidR="00817418">
              <w:rPr>
                <w:noProof/>
                <w:webHidden/>
              </w:rPr>
              <w:fldChar w:fldCharType="separate"/>
            </w:r>
            <w:r>
              <w:rPr>
                <w:noProof/>
                <w:webHidden/>
              </w:rPr>
              <w:t>6</w:t>
            </w:r>
            <w:r w:rsidR="00817418">
              <w:rPr>
                <w:noProof/>
                <w:webHidden/>
              </w:rPr>
              <w:fldChar w:fldCharType="end"/>
            </w:r>
          </w:hyperlink>
        </w:p>
        <w:p w14:paraId="2267ADB5" w14:textId="7998362D" w:rsidR="00817418" w:rsidRDefault="000B6734">
          <w:pPr>
            <w:pStyle w:val="TOC2"/>
            <w:rPr>
              <w:rFonts w:asciiTheme="minorHAnsi" w:hAnsiTheme="minorHAnsi" w:cstheme="minorBidi"/>
              <w:noProof/>
              <w:lang w:eastAsia="en-AU"/>
            </w:rPr>
          </w:pPr>
          <w:hyperlink w:anchor="_Toc51067959" w:history="1">
            <w:r w:rsidR="00817418" w:rsidRPr="002D0634">
              <w:rPr>
                <w:rStyle w:val="Hyperlink"/>
                <w:noProof/>
              </w:rPr>
              <w:t>1.3</w:t>
            </w:r>
            <w:r w:rsidR="00817418">
              <w:rPr>
                <w:rFonts w:asciiTheme="minorHAnsi" w:hAnsiTheme="minorHAnsi" w:cstheme="minorBidi"/>
                <w:noProof/>
                <w:lang w:eastAsia="en-AU"/>
              </w:rPr>
              <w:tab/>
            </w:r>
            <w:r w:rsidR="00817418" w:rsidRPr="002D0634">
              <w:rPr>
                <w:rStyle w:val="Hyperlink"/>
                <w:noProof/>
              </w:rPr>
              <w:t>Chief Executive Officer’s review</w:t>
            </w:r>
            <w:r w:rsidR="00817418">
              <w:rPr>
                <w:noProof/>
                <w:webHidden/>
              </w:rPr>
              <w:tab/>
            </w:r>
            <w:r w:rsidR="00817418">
              <w:rPr>
                <w:noProof/>
                <w:webHidden/>
              </w:rPr>
              <w:fldChar w:fldCharType="begin"/>
            </w:r>
            <w:r w:rsidR="00817418">
              <w:rPr>
                <w:noProof/>
                <w:webHidden/>
              </w:rPr>
              <w:instrText xml:space="preserve"> PAGEREF _Toc51067959 \h </w:instrText>
            </w:r>
            <w:r w:rsidR="00817418">
              <w:rPr>
                <w:noProof/>
                <w:webHidden/>
              </w:rPr>
            </w:r>
            <w:r w:rsidR="00817418">
              <w:rPr>
                <w:noProof/>
                <w:webHidden/>
              </w:rPr>
              <w:fldChar w:fldCharType="separate"/>
            </w:r>
            <w:r>
              <w:rPr>
                <w:noProof/>
                <w:webHidden/>
              </w:rPr>
              <w:t>7</w:t>
            </w:r>
            <w:r w:rsidR="00817418">
              <w:rPr>
                <w:noProof/>
                <w:webHidden/>
              </w:rPr>
              <w:fldChar w:fldCharType="end"/>
            </w:r>
          </w:hyperlink>
        </w:p>
        <w:p w14:paraId="7E7FC9BF" w14:textId="102B9B92" w:rsidR="00817418" w:rsidRDefault="000B6734">
          <w:pPr>
            <w:pStyle w:val="TOC2"/>
            <w:rPr>
              <w:rFonts w:asciiTheme="minorHAnsi" w:hAnsiTheme="minorHAnsi" w:cstheme="minorBidi"/>
              <w:noProof/>
              <w:lang w:eastAsia="en-AU"/>
            </w:rPr>
          </w:pPr>
          <w:hyperlink w:anchor="_Toc51067960" w:history="1">
            <w:r w:rsidR="00817418" w:rsidRPr="002D0634">
              <w:rPr>
                <w:rStyle w:val="Hyperlink"/>
                <w:noProof/>
              </w:rPr>
              <w:t>1.4</w:t>
            </w:r>
            <w:r w:rsidR="00817418">
              <w:rPr>
                <w:rFonts w:asciiTheme="minorHAnsi" w:hAnsiTheme="minorHAnsi" w:cstheme="minorBidi"/>
                <w:noProof/>
                <w:lang w:eastAsia="en-AU"/>
              </w:rPr>
              <w:tab/>
            </w:r>
            <w:r w:rsidR="00817418" w:rsidRPr="002D0634">
              <w:rPr>
                <w:rStyle w:val="Hyperlink"/>
                <w:noProof/>
              </w:rPr>
              <w:t>The National Disability Insurance Scheme</w:t>
            </w:r>
            <w:r w:rsidR="00817418">
              <w:rPr>
                <w:noProof/>
                <w:webHidden/>
              </w:rPr>
              <w:tab/>
            </w:r>
            <w:r w:rsidR="00817418">
              <w:rPr>
                <w:noProof/>
                <w:webHidden/>
              </w:rPr>
              <w:fldChar w:fldCharType="begin"/>
            </w:r>
            <w:r w:rsidR="00817418">
              <w:rPr>
                <w:noProof/>
                <w:webHidden/>
              </w:rPr>
              <w:instrText xml:space="preserve"> PAGEREF _Toc51067960 \h </w:instrText>
            </w:r>
            <w:r w:rsidR="00817418">
              <w:rPr>
                <w:noProof/>
                <w:webHidden/>
              </w:rPr>
            </w:r>
            <w:r w:rsidR="00817418">
              <w:rPr>
                <w:noProof/>
                <w:webHidden/>
              </w:rPr>
              <w:fldChar w:fldCharType="separate"/>
            </w:r>
            <w:r>
              <w:rPr>
                <w:noProof/>
                <w:webHidden/>
              </w:rPr>
              <w:t>9</w:t>
            </w:r>
            <w:r w:rsidR="00817418">
              <w:rPr>
                <w:noProof/>
                <w:webHidden/>
              </w:rPr>
              <w:fldChar w:fldCharType="end"/>
            </w:r>
          </w:hyperlink>
        </w:p>
        <w:p w14:paraId="076BB228" w14:textId="19430A0C" w:rsidR="00817418" w:rsidRDefault="000B6734">
          <w:pPr>
            <w:pStyle w:val="TOC2"/>
            <w:rPr>
              <w:rFonts w:asciiTheme="minorHAnsi" w:hAnsiTheme="minorHAnsi" w:cstheme="minorBidi"/>
              <w:noProof/>
              <w:lang w:eastAsia="en-AU"/>
            </w:rPr>
          </w:pPr>
          <w:hyperlink w:anchor="_Toc51067961" w:history="1">
            <w:r w:rsidR="00817418" w:rsidRPr="002D0634">
              <w:rPr>
                <w:rStyle w:val="Hyperlink"/>
                <w:noProof/>
              </w:rPr>
              <w:t>1.5</w:t>
            </w:r>
            <w:r w:rsidR="00817418">
              <w:rPr>
                <w:rFonts w:asciiTheme="minorHAnsi" w:hAnsiTheme="minorHAnsi" w:cstheme="minorBidi"/>
                <w:noProof/>
                <w:lang w:eastAsia="en-AU"/>
              </w:rPr>
              <w:tab/>
            </w:r>
            <w:r w:rsidR="00817418" w:rsidRPr="002D0634">
              <w:rPr>
                <w:rStyle w:val="Hyperlink"/>
                <w:noProof/>
              </w:rPr>
              <w:t>The National Disability Insurance Agency</w:t>
            </w:r>
            <w:r w:rsidR="00817418">
              <w:rPr>
                <w:noProof/>
                <w:webHidden/>
              </w:rPr>
              <w:tab/>
            </w:r>
            <w:r w:rsidR="00817418">
              <w:rPr>
                <w:noProof/>
                <w:webHidden/>
              </w:rPr>
              <w:fldChar w:fldCharType="begin"/>
            </w:r>
            <w:r w:rsidR="00817418">
              <w:rPr>
                <w:noProof/>
                <w:webHidden/>
              </w:rPr>
              <w:instrText xml:space="preserve"> PAGEREF _Toc51067961 \h </w:instrText>
            </w:r>
            <w:r w:rsidR="00817418">
              <w:rPr>
                <w:noProof/>
                <w:webHidden/>
              </w:rPr>
            </w:r>
            <w:r w:rsidR="00817418">
              <w:rPr>
                <w:noProof/>
                <w:webHidden/>
              </w:rPr>
              <w:fldChar w:fldCharType="separate"/>
            </w:r>
            <w:r>
              <w:rPr>
                <w:noProof/>
                <w:webHidden/>
              </w:rPr>
              <w:t>10</w:t>
            </w:r>
            <w:r w:rsidR="00817418">
              <w:rPr>
                <w:noProof/>
                <w:webHidden/>
              </w:rPr>
              <w:fldChar w:fldCharType="end"/>
            </w:r>
          </w:hyperlink>
        </w:p>
        <w:p w14:paraId="499E4F1E" w14:textId="4A1A2661" w:rsidR="00817418" w:rsidRDefault="000B6734">
          <w:pPr>
            <w:pStyle w:val="TOC1"/>
            <w:tabs>
              <w:tab w:val="left" w:pos="426"/>
              <w:tab w:val="right" w:leader="dot" w:pos="10025"/>
            </w:tabs>
            <w:rPr>
              <w:rFonts w:asciiTheme="minorHAnsi" w:hAnsiTheme="minorHAnsi" w:cstheme="minorBidi"/>
              <w:noProof/>
              <w:lang w:eastAsia="en-AU"/>
            </w:rPr>
          </w:pPr>
          <w:hyperlink w:anchor="_Toc51067962" w:history="1">
            <w:r w:rsidR="00817418" w:rsidRPr="002D0634">
              <w:rPr>
                <w:rStyle w:val="Hyperlink"/>
                <w:noProof/>
              </w:rPr>
              <w:t>2</w:t>
            </w:r>
            <w:r w:rsidR="00817418">
              <w:rPr>
                <w:rFonts w:asciiTheme="minorHAnsi" w:hAnsiTheme="minorHAnsi" w:cstheme="minorBidi"/>
                <w:noProof/>
                <w:lang w:eastAsia="en-AU"/>
              </w:rPr>
              <w:tab/>
            </w:r>
            <w:r w:rsidR="00817418" w:rsidRPr="002D0634">
              <w:rPr>
                <w:rStyle w:val="Hyperlink"/>
                <w:noProof/>
              </w:rPr>
              <w:t>Implementing a participant focused scheme</w:t>
            </w:r>
            <w:r w:rsidR="00817418">
              <w:rPr>
                <w:noProof/>
                <w:webHidden/>
              </w:rPr>
              <w:tab/>
            </w:r>
            <w:r w:rsidR="00817418">
              <w:rPr>
                <w:noProof/>
                <w:webHidden/>
              </w:rPr>
              <w:fldChar w:fldCharType="begin"/>
            </w:r>
            <w:r w:rsidR="00817418">
              <w:rPr>
                <w:noProof/>
                <w:webHidden/>
              </w:rPr>
              <w:instrText xml:space="preserve"> PAGEREF _Toc51067962 \h </w:instrText>
            </w:r>
            <w:r w:rsidR="00817418">
              <w:rPr>
                <w:noProof/>
                <w:webHidden/>
              </w:rPr>
            </w:r>
            <w:r w:rsidR="00817418">
              <w:rPr>
                <w:noProof/>
                <w:webHidden/>
              </w:rPr>
              <w:fldChar w:fldCharType="separate"/>
            </w:r>
            <w:r>
              <w:rPr>
                <w:noProof/>
                <w:webHidden/>
              </w:rPr>
              <w:t>11</w:t>
            </w:r>
            <w:r w:rsidR="00817418">
              <w:rPr>
                <w:noProof/>
                <w:webHidden/>
              </w:rPr>
              <w:fldChar w:fldCharType="end"/>
            </w:r>
          </w:hyperlink>
        </w:p>
        <w:p w14:paraId="594E20A4" w14:textId="5268B8F5" w:rsidR="00817418" w:rsidRDefault="000B6734">
          <w:pPr>
            <w:pStyle w:val="TOC2"/>
            <w:rPr>
              <w:rFonts w:asciiTheme="minorHAnsi" w:hAnsiTheme="minorHAnsi" w:cstheme="minorBidi"/>
              <w:noProof/>
              <w:lang w:eastAsia="en-AU"/>
            </w:rPr>
          </w:pPr>
          <w:hyperlink w:anchor="_Toc51067963" w:history="1">
            <w:r w:rsidR="00817418" w:rsidRPr="002D0634">
              <w:rPr>
                <w:rStyle w:val="Hyperlink"/>
                <w:noProof/>
              </w:rPr>
              <w:t>2.1</w:t>
            </w:r>
            <w:r w:rsidR="00817418">
              <w:rPr>
                <w:rFonts w:asciiTheme="minorHAnsi" w:hAnsiTheme="minorHAnsi" w:cstheme="minorBidi"/>
                <w:noProof/>
                <w:lang w:eastAsia="en-AU"/>
              </w:rPr>
              <w:tab/>
            </w:r>
            <w:r w:rsidR="00817418" w:rsidRPr="002D0634">
              <w:rPr>
                <w:rStyle w:val="Hyperlink"/>
                <w:noProof/>
              </w:rPr>
              <w:t>Where we have come from</w:t>
            </w:r>
            <w:r w:rsidR="00817418">
              <w:rPr>
                <w:noProof/>
                <w:webHidden/>
              </w:rPr>
              <w:tab/>
            </w:r>
            <w:r w:rsidR="00817418">
              <w:rPr>
                <w:noProof/>
                <w:webHidden/>
              </w:rPr>
              <w:fldChar w:fldCharType="begin"/>
            </w:r>
            <w:r w:rsidR="00817418">
              <w:rPr>
                <w:noProof/>
                <w:webHidden/>
              </w:rPr>
              <w:instrText xml:space="preserve"> PAGEREF _Toc51067963 \h </w:instrText>
            </w:r>
            <w:r w:rsidR="00817418">
              <w:rPr>
                <w:noProof/>
                <w:webHidden/>
              </w:rPr>
            </w:r>
            <w:r w:rsidR="00817418">
              <w:rPr>
                <w:noProof/>
                <w:webHidden/>
              </w:rPr>
              <w:fldChar w:fldCharType="separate"/>
            </w:r>
            <w:r>
              <w:rPr>
                <w:noProof/>
                <w:webHidden/>
              </w:rPr>
              <w:t>11</w:t>
            </w:r>
            <w:r w:rsidR="00817418">
              <w:rPr>
                <w:noProof/>
                <w:webHidden/>
              </w:rPr>
              <w:fldChar w:fldCharType="end"/>
            </w:r>
          </w:hyperlink>
        </w:p>
        <w:p w14:paraId="25471F41" w14:textId="3436CE4D" w:rsidR="00817418" w:rsidRDefault="000B6734">
          <w:pPr>
            <w:pStyle w:val="TOC2"/>
            <w:rPr>
              <w:rFonts w:asciiTheme="minorHAnsi" w:hAnsiTheme="minorHAnsi" w:cstheme="minorBidi"/>
              <w:noProof/>
              <w:lang w:eastAsia="en-AU"/>
            </w:rPr>
          </w:pPr>
          <w:hyperlink w:anchor="_Toc51067964" w:history="1">
            <w:r w:rsidR="00817418" w:rsidRPr="002D0634">
              <w:rPr>
                <w:rStyle w:val="Hyperlink"/>
                <w:noProof/>
              </w:rPr>
              <w:t>2.2</w:t>
            </w:r>
            <w:r w:rsidR="00817418">
              <w:rPr>
                <w:rFonts w:asciiTheme="minorHAnsi" w:hAnsiTheme="minorHAnsi" w:cstheme="minorBidi"/>
                <w:noProof/>
                <w:lang w:eastAsia="en-AU"/>
              </w:rPr>
              <w:tab/>
            </w:r>
            <w:r w:rsidR="00817418" w:rsidRPr="002D0634">
              <w:rPr>
                <w:rStyle w:val="Hyperlink"/>
                <w:noProof/>
              </w:rPr>
              <w:t>Where we are today</w:t>
            </w:r>
            <w:r w:rsidR="00817418">
              <w:rPr>
                <w:noProof/>
                <w:webHidden/>
              </w:rPr>
              <w:tab/>
            </w:r>
            <w:r w:rsidR="00817418">
              <w:rPr>
                <w:noProof/>
                <w:webHidden/>
              </w:rPr>
              <w:fldChar w:fldCharType="begin"/>
            </w:r>
            <w:r w:rsidR="00817418">
              <w:rPr>
                <w:noProof/>
                <w:webHidden/>
              </w:rPr>
              <w:instrText xml:space="preserve"> PAGEREF _Toc51067964 \h </w:instrText>
            </w:r>
            <w:r w:rsidR="00817418">
              <w:rPr>
                <w:noProof/>
                <w:webHidden/>
              </w:rPr>
            </w:r>
            <w:r w:rsidR="00817418">
              <w:rPr>
                <w:noProof/>
                <w:webHidden/>
              </w:rPr>
              <w:fldChar w:fldCharType="separate"/>
            </w:r>
            <w:r>
              <w:rPr>
                <w:noProof/>
                <w:webHidden/>
              </w:rPr>
              <w:t>17</w:t>
            </w:r>
            <w:r w:rsidR="00817418">
              <w:rPr>
                <w:noProof/>
                <w:webHidden/>
              </w:rPr>
              <w:fldChar w:fldCharType="end"/>
            </w:r>
          </w:hyperlink>
        </w:p>
        <w:p w14:paraId="3486B4C4" w14:textId="424DF346" w:rsidR="00817418" w:rsidRDefault="000B6734">
          <w:pPr>
            <w:pStyle w:val="TOC3"/>
            <w:rPr>
              <w:rFonts w:asciiTheme="minorHAnsi" w:hAnsiTheme="minorHAnsi" w:cstheme="minorBidi"/>
              <w:noProof/>
              <w:lang w:eastAsia="en-AU"/>
            </w:rPr>
          </w:pPr>
          <w:hyperlink w:anchor="_Toc51067965" w:history="1">
            <w:r w:rsidR="00817418" w:rsidRPr="002D0634">
              <w:rPr>
                <w:rStyle w:val="Hyperlink"/>
                <w:noProof/>
              </w:rPr>
              <w:t>2.2.1</w:t>
            </w:r>
            <w:r w:rsidR="00817418">
              <w:rPr>
                <w:rFonts w:asciiTheme="minorHAnsi" w:hAnsiTheme="minorHAnsi" w:cstheme="minorBidi"/>
                <w:noProof/>
                <w:lang w:eastAsia="en-AU"/>
              </w:rPr>
              <w:tab/>
            </w:r>
            <w:r w:rsidR="00817418" w:rsidRPr="002D0634">
              <w:rPr>
                <w:rStyle w:val="Hyperlink"/>
                <w:noProof/>
              </w:rPr>
              <w:t>NDIA Aspirations</w:t>
            </w:r>
            <w:r w:rsidR="00817418">
              <w:rPr>
                <w:noProof/>
                <w:webHidden/>
              </w:rPr>
              <w:tab/>
            </w:r>
            <w:r w:rsidR="00817418">
              <w:rPr>
                <w:noProof/>
                <w:webHidden/>
              </w:rPr>
              <w:fldChar w:fldCharType="begin"/>
            </w:r>
            <w:r w:rsidR="00817418">
              <w:rPr>
                <w:noProof/>
                <w:webHidden/>
              </w:rPr>
              <w:instrText xml:space="preserve"> PAGEREF _Toc51067965 \h </w:instrText>
            </w:r>
            <w:r w:rsidR="00817418">
              <w:rPr>
                <w:noProof/>
                <w:webHidden/>
              </w:rPr>
            </w:r>
            <w:r w:rsidR="00817418">
              <w:rPr>
                <w:noProof/>
                <w:webHidden/>
              </w:rPr>
              <w:fldChar w:fldCharType="separate"/>
            </w:r>
            <w:r>
              <w:rPr>
                <w:noProof/>
                <w:webHidden/>
              </w:rPr>
              <w:t>17</w:t>
            </w:r>
            <w:r w:rsidR="00817418">
              <w:rPr>
                <w:noProof/>
                <w:webHidden/>
              </w:rPr>
              <w:fldChar w:fldCharType="end"/>
            </w:r>
          </w:hyperlink>
        </w:p>
        <w:p w14:paraId="2ED186DD" w14:textId="09A66F78" w:rsidR="00817418" w:rsidRDefault="000B6734">
          <w:pPr>
            <w:pStyle w:val="TOC3"/>
            <w:rPr>
              <w:rFonts w:asciiTheme="minorHAnsi" w:hAnsiTheme="minorHAnsi" w:cstheme="minorBidi"/>
              <w:noProof/>
              <w:lang w:eastAsia="en-AU"/>
            </w:rPr>
          </w:pPr>
          <w:hyperlink w:anchor="_Toc51067966" w:history="1">
            <w:r w:rsidR="00817418" w:rsidRPr="002D0634">
              <w:rPr>
                <w:rStyle w:val="Hyperlink"/>
                <w:noProof/>
              </w:rPr>
              <w:t>2.2.2</w:t>
            </w:r>
            <w:r w:rsidR="00817418">
              <w:rPr>
                <w:rFonts w:asciiTheme="minorHAnsi" w:hAnsiTheme="minorHAnsi" w:cstheme="minorBidi"/>
                <w:noProof/>
                <w:lang w:eastAsia="en-AU"/>
              </w:rPr>
              <w:tab/>
            </w:r>
            <w:r w:rsidR="00817418" w:rsidRPr="002D0634">
              <w:rPr>
                <w:rStyle w:val="Hyperlink"/>
                <w:noProof/>
              </w:rPr>
              <w:t>NDIA Values</w:t>
            </w:r>
            <w:r w:rsidR="00817418">
              <w:rPr>
                <w:noProof/>
                <w:webHidden/>
              </w:rPr>
              <w:tab/>
            </w:r>
            <w:r w:rsidR="00817418">
              <w:rPr>
                <w:noProof/>
                <w:webHidden/>
              </w:rPr>
              <w:fldChar w:fldCharType="begin"/>
            </w:r>
            <w:r w:rsidR="00817418">
              <w:rPr>
                <w:noProof/>
                <w:webHidden/>
              </w:rPr>
              <w:instrText xml:space="preserve"> PAGEREF _Toc51067966 \h </w:instrText>
            </w:r>
            <w:r w:rsidR="00817418">
              <w:rPr>
                <w:noProof/>
                <w:webHidden/>
              </w:rPr>
            </w:r>
            <w:r w:rsidR="00817418">
              <w:rPr>
                <w:noProof/>
                <w:webHidden/>
              </w:rPr>
              <w:fldChar w:fldCharType="separate"/>
            </w:r>
            <w:r>
              <w:rPr>
                <w:noProof/>
                <w:webHidden/>
              </w:rPr>
              <w:t>18</w:t>
            </w:r>
            <w:r w:rsidR="00817418">
              <w:rPr>
                <w:noProof/>
                <w:webHidden/>
              </w:rPr>
              <w:fldChar w:fldCharType="end"/>
            </w:r>
          </w:hyperlink>
        </w:p>
        <w:p w14:paraId="372FA6F3" w14:textId="19AE4D14" w:rsidR="00817418" w:rsidRDefault="000B6734">
          <w:pPr>
            <w:pStyle w:val="TOC3"/>
            <w:rPr>
              <w:rFonts w:asciiTheme="minorHAnsi" w:hAnsiTheme="minorHAnsi" w:cstheme="minorBidi"/>
              <w:noProof/>
              <w:lang w:eastAsia="en-AU"/>
            </w:rPr>
          </w:pPr>
          <w:hyperlink w:anchor="_Toc51067967" w:history="1">
            <w:r w:rsidR="00817418" w:rsidRPr="002D0634">
              <w:rPr>
                <w:rStyle w:val="Hyperlink"/>
                <w:noProof/>
              </w:rPr>
              <w:t>2.2.3</w:t>
            </w:r>
            <w:r w:rsidR="00817418">
              <w:rPr>
                <w:rFonts w:asciiTheme="minorHAnsi" w:hAnsiTheme="minorHAnsi" w:cstheme="minorBidi"/>
                <w:noProof/>
                <w:lang w:eastAsia="en-AU"/>
              </w:rPr>
              <w:tab/>
            </w:r>
            <w:r w:rsidR="00817418" w:rsidRPr="002D0634">
              <w:rPr>
                <w:rStyle w:val="Hyperlink"/>
                <w:noProof/>
              </w:rPr>
              <w:t>Key achievements in 2019-20</w:t>
            </w:r>
            <w:r w:rsidR="00817418">
              <w:rPr>
                <w:noProof/>
                <w:webHidden/>
              </w:rPr>
              <w:tab/>
            </w:r>
            <w:r w:rsidR="00817418">
              <w:rPr>
                <w:noProof/>
                <w:webHidden/>
              </w:rPr>
              <w:fldChar w:fldCharType="begin"/>
            </w:r>
            <w:r w:rsidR="00817418">
              <w:rPr>
                <w:noProof/>
                <w:webHidden/>
              </w:rPr>
              <w:instrText xml:space="preserve"> PAGEREF _Toc51067967 \h </w:instrText>
            </w:r>
            <w:r w:rsidR="00817418">
              <w:rPr>
                <w:noProof/>
                <w:webHidden/>
              </w:rPr>
            </w:r>
            <w:r w:rsidR="00817418">
              <w:rPr>
                <w:noProof/>
                <w:webHidden/>
              </w:rPr>
              <w:fldChar w:fldCharType="separate"/>
            </w:r>
            <w:r>
              <w:rPr>
                <w:noProof/>
                <w:webHidden/>
              </w:rPr>
              <w:t>19</w:t>
            </w:r>
            <w:r w:rsidR="00817418">
              <w:rPr>
                <w:noProof/>
                <w:webHidden/>
              </w:rPr>
              <w:fldChar w:fldCharType="end"/>
            </w:r>
          </w:hyperlink>
        </w:p>
        <w:p w14:paraId="3A2489E0" w14:textId="4984F453" w:rsidR="00817418" w:rsidRDefault="000B6734">
          <w:pPr>
            <w:pStyle w:val="TOC2"/>
            <w:rPr>
              <w:rFonts w:asciiTheme="minorHAnsi" w:hAnsiTheme="minorHAnsi" w:cstheme="minorBidi"/>
              <w:noProof/>
              <w:lang w:eastAsia="en-AU"/>
            </w:rPr>
          </w:pPr>
          <w:hyperlink w:anchor="_Toc51067968" w:history="1">
            <w:r w:rsidR="00817418" w:rsidRPr="002D0634">
              <w:rPr>
                <w:rStyle w:val="Hyperlink"/>
                <w:noProof/>
              </w:rPr>
              <w:t>2.3</w:t>
            </w:r>
            <w:r w:rsidR="00817418">
              <w:rPr>
                <w:rFonts w:asciiTheme="minorHAnsi" w:hAnsiTheme="minorHAnsi" w:cstheme="minorBidi"/>
                <w:noProof/>
                <w:lang w:eastAsia="en-AU"/>
              </w:rPr>
              <w:tab/>
            </w:r>
            <w:r w:rsidR="00817418" w:rsidRPr="002D0634">
              <w:rPr>
                <w:rStyle w:val="Hyperlink"/>
                <w:noProof/>
              </w:rPr>
              <w:t>How we intend to move forward</w:t>
            </w:r>
            <w:r w:rsidR="00817418">
              <w:rPr>
                <w:noProof/>
                <w:webHidden/>
              </w:rPr>
              <w:tab/>
            </w:r>
            <w:r w:rsidR="00817418">
              <w:rPr>
                <w:noProof/>
                <w:webHidden/>
              </w:rPr>
              <w:fldChar w:fldCharType="begin"/>
            </w:r>
            <w:r w:rsidR="00817418">
              <w:rPr>
                <w:noProof/>
                <w:webHidden/>
              </w:rPr>
              <w:instrText xml:space="preserve"> PAGEREF _Toc51067968 \h </w:instrText>
            </w:r>
            <w:r w:rsidR="00817418">
              <w:rPr>
                <w:noProof/>
                <w:webHidden/>
              </w:rPr>
            </w:r>
            <w:r w:rsidR="00817418">
              <w:rPr>
                <w:noProof/>
                <w:webHidden/>
              </w:rPr>
              <w:fldChar w:fldCharType="separate"/>
            </w:r>
            <w:r>
              <w:rPr>
                <w:noProof/>
                <w:webHidden/>
              </w:rPr>
              <w:t>37</w:t>
            </w:r>
            <w:r w:rsidR="00817418">
              <w:rPr>
                <w:noProof/>
                <w:webHidden/>
              </w:rPr>
              <w:fldChar w:fldCharType="end"/>
            </w:r>
          </w:hyperlink>
        </w:p>
        <w:p w14:paraId="26CA28CC" w14:textId="13FF7897" w:rsidR="00817418" w:rsidRDefault="000B6734">
          <w:pPr>
            <w:pStyle w:val="TOC1"/>
            <w:tabs>
              <w:tab w:val="left" w:pos="426"/>
              <w:tab w:val="right" w:leader="dot" w:pos="10025"/>
            </w:tabs>
            <w:rPr>
              <w:rFonts w:asciiTheme="minorHAnsi" w:hAnsiTheme="minorHAnsi" w:cstheme="minorBidi"/>
              <w:noProof/>
              <w:lang w:eastAsia="en-AU"/>
            </w:rPr>
          </w:pPr>
          <w:hyperlink w:anchor="_Toc51067969" w:history="1">
            <w:r w:rsidR="00817418" w:rsidRPr="002D0634">
              <w:rPr>
                <w:rStyle w:val="Hyperlink"/>
                <w:noProof/>
              </w:rPr>
              <w:t>3</w:t>
            </w:r>
            <w:r w:rsidR="00817418">
              <w:rPr>
                <w:rFonts w:asciiTheme="minorHAnsi" w:hAnsiTheme="minorHAnsi" w:cstheme="minorBidi"/>
                <w:noProof/>
                <w:lang w:eastAsia="en-AU"/>
              </w:rPr>
              <w:tab/>
            </w:r>
            <w:r w:rsidR="00817418" w:rsidRPr="002D0634">
              <w:rPr>
                <w:rStyle w:val="Hyperlink"/>
                <w:noProof/>
              </w:rPr>
              <w:t>Financials</w:t>
            </w:r>
            <w:r w:rsidR="00817418">
              <w:rPr>
                <w:noProof/>
                <w:webHidden/>
              </w:rPr>
              <w:tab/>
            </w:r>
            <w:r w:rsidR="00817418">
              <w:rPr>
                <w:noProof/>
                <w:webHidden/>
              </w:rPr>
              <w:fldChar w:fldCharType="begin"/>
            </w:r>
            <w:r w:rsidR="00817418">
              <w:rPr>
                <w:noProof/>
                <w:webHidden/>
              </w:rPr>
              <w:instrText xml:space="preserve"> PAGEREF _Toc51067969 \h </w:instrText>
            </w:r>
            <w:r w:rsidR="00817418">
              <w:rPr>
                <w:noProof/>
                <w:webHidden/>
              </w:rPr>
            </w:r>
            <w:r w:rsidR="00817418">
              <w:rPr>
                <w:noProof/>
                <w:webHidden/>
              </w:rPr>
              <w:fldChar w:fldCharType="separate"/>
            </w:r>
            <w:r>
              <w:rPr>
                <w:noProof/>
                <w:webHidden/>
              </w:rPr>
              <w:t>39</w:t>
            </w:r>
            <w:r w:rsidR="00817418">
              <w:rPr>
                <w:noProof/>
                <w:webHidden/>
              </w:rPr>
              <w:fldChar w:fldCharType="end"/>
            </w:r>
          </w:hyperlink>
        </w:p>
        <w:p w14:paraId="348BEC75" w14:textId="7E216DFB" w:rsidR="00817418" w:rsidRDefault="000B6734">
          <w:pPr>
            <w:pStyle w:val="TOC2"/>
            <w:rPr>
              <w:rFonts w:asciiTheme="minorHAnsi" w:hAnsiTheme="minorHAnsi" w:cstheme="minorBidi"/>
              <w:noProof/>
              <w:lang w:eastAsia="en-AU"/>
            </w:rPr>
          </w:pPr>
          <w:hyperlink w:anchor="_Toc51067970" w:history="1">
            <w:r w:rsidR="00817418" w:rsidRPr="002D0634">
              <w:rPr>
                <w:rStyle w:val="Hyperlink"/>
                <w:noProof/>
              </w:rPr>
              <w:t>3.1</w:t>
            </w:r>
            <w:r w:rsidR="00817418">
              <w:rPr>
                <w:rFonts w:asciiTheme="minorHAnsi" w:hAnsiTheme="minorHAnsi" w:cstheme="minorBidi"/>
                <w:noProof/>
                <w:lang w:eastAsia="en-AU"/>
              </w:rPr>
              <w:tab/>
            </w:r>
            <w:r w:rsidR="00817418" w:rsidRPr="002D0634">
              <w:rPr>
                <w:rStyle w:val="Hyperlink"/>
                <w:noProof/>
              </w:rPr>
              <w:t>Financial statements</w:t>
            </w:r>
            <w:r w:rsidR="00817418">
              <w:rPr>
                <w:noProof/>
                <w:webHidden/>
              </w:rPr>
              <w:tab/>
            </w:r>
            <w:r w:rsidR="00817418">
              <w:rPr>
                <w:noProof/>
                <w:webHidden/>
              </w:rPr>
              <w:fldChar w:fldCharType="begin"/>
            </w:r>
            <w:r w:rsidR="00817418">
              <w:rPr>
                <w:noProof/>
                <w:webHidden/>
              </w:rPr>
              <w:instrText xml:space="preserve"> PAGEREF _Toc51067970 \h </w:instrText>
            </w:r>
            <w:r w:rsidR="00817418">
              <w:rPr>
                <w:noProof/>
                <w:webHidden/>
              </w:rPr>
            </w:r>
            <w:r w:rsidR="00817418">
              <w:rPr>
                <w:noProof/>
                <w:webHidden/>
              </w:rPr>
              <w:fldChar w:fldCharType="separate"/>
            </w:r>
            <w:r>
              <w:rPr>
                <w:noProof/>
                <w:webHidden/>
              </w:rPr>
              <w:t>39</w:t>
            </w:r>
            <w:r w:rsidR="00817418">
              <w:rPr>
                <w:noProof/>
                <w:webHidden/>
              </w:rPr>
              <w:fldChar w:fldCharType="end"/>
            </w:r>
          </w:hyperlink>
        </w:p>
        <w:p w14:paraId="76FB0FE1" w14:textId="710C9939" w:rsidR="00817418" w:rsidRDefault="000B6734">
          <w:pPr>
            <w:pStyle w:val="TOC2"/>
            <w:rPr>
              <w:rFonts w:asciiTheme="minorHAnsi" w:hAnsiTheme="minorHAnsi" w:cstheme="minorBidi"/>
              <w:noProof/>
              <w:lang w:eastAsia="en-AU"/>
            </w:rPr>
          </w:pPr>
          <w:hyperlink w:anchor="_Toc51067971" w:history="1">
            <w:r w:rsidR="00817418" w:rsidRPr="002D0634">
              <w:rPr>
                <w:rStyle w:val="Hyperlink"/>
                <w:noProof/>
              </w:rPr>
              <w:t>3.2</w:t>
            </w:r>
            <w:r w:rsidR="00817418">
              <w:rPr>
                <w:rFonts w:asciiTheme="minorHAnsi" w:hAnsiTheme="minorHAnsi" w:cstheme="minorBidi"/>
                <w:noProof/>
                <w:lang w:eastAsia="en-AU"/>
              </w:rPr>
              <w:tab/>
            </w:r>
            <w:r w:rsidR="00817418" w:rsidRPr="002D0634">
              <w:rPr>
                <w:rStyle w:val="Hyperlink"/>
                <w:noProof/>
              </w:rPr>
              <w:t>Summary of the Financial Sustainability Report 2019-2020</w:t>
            </w:r>
            <w:r w:rsidR="00817418">
              <w:rPr>
                <w:noProof/>
                <w:webHidden/>
              </w:rPr>
              <w:tab/>
            </w:r>
            <w:r w:rsidR="00817418">
              <w:rPr>
                <w:noProof/>
                <w:webHidden/>
              </w:rPr>
              <w:fldChar w:fldCharType="begin"/>
            </w:r>
            <w:r w:rsidR="00817418">
              <w:rPr>
                <w:noProof/>
                <w:webHidden/>
              </w:rPr>
              <w:instrText xml:space="preserve"> PAGEREF _Toc51067971 \h </w:instrText>
            </w:r>
            <w:r w:rsidR="00817418">
              <w:rPr>
                <w:noProof/>
                <w:webHidden/>
              </w:rPr>
            </w:r>
            <w:r w:rsidR="00817418">
              <w:rPr>
                <w:noProof/>
                <w:webHidden/>
              </w:rPr>
              <w:fldChar w:fldCharType="separate"/>
            </w:r>
            <w:r>
              <w:rPr>
                <w:noProof/>
                <w:webHidden/>
              </w:rPr>
              <w:t>76</w:t>
            </w:r>
            <w:r w:rsidR="00817418">
              <w:rPr>
                <w:noProof/>
                <w:webHidden/>
              </w:rPr>
              <w:fldChar w:fldCharType="end"/>
            </w:r>
          </w:hyperlink>
        </w:p>
        <w:p w14:paraId="189D209A" w14:textId="6E298B64" w:rsidR="00817418" w:rsidRDefault="000B6734">
          <w:pPr>
            <w:pStyle w:val="TOC2"/>
            <w:rPr>
              <w:rFonts w:asciiTheme="minorHAnsi" w:hAnsiTheme="minorHAnsi" w:cstheme="minorBidi"/>
              <w:noProof/>
              <w:lang w:eastAsia="en-AU"/>
            </w:rPr>
          </w:pPr>
          <w:hyperlink w:anchor="_Toc51067973" w:history="1">
            <w:r w:rsidR="00817418" w:rsidRPr="002D0634">
              <w:rPr>
                <w:rStyle w:val="Hyperlink"/>
                <w:noProof/>
              </w:rPr>
              <w:t>3.3</w:t>
            </w:r>
            <w:r w:rsidR="00817418">
              <w:rPr>
                <w:rFonts w:asciiTheme="minorHAnsi" w:hAnsiTheme="minorHAnsi" w:cstheme="minorBidi"/>
                <w:noProof/>
                <w:lang w:eastAsia="en-AU"/>
              </w:rPr>
              <w:tab/>
            </w:r>
            <w:r w:rsidR="00817418" w:rsidRPr="002D0634">
              <w:rPr>
                <w:rStyle w:val="Hyperlink"/>
                <w:noProof/>
              </w:rPr>
              <w:t>Annual performance statements</w:t>
            </w:r>
            <w:r w:rsidR="00817418">
              <w:rPr>
                <w:noProof/>
                <w:webHidden/>
              </w:rPr>
              <w:tab/>
            </w:r>
            <w:r w:rsidR="00817418">
              <w:rPr>
                <w:noProof/>
                <w:webHidden/>
              </w:rPr>
              <w:fldChar w:fldCharType="begin"/>
            </w:r>
            <w:r w:rsidR="00817418">
              <w:rPr>
                <w:noProof/>
                <w:webHidden/>
              </w:rPr>
              <w:instrText xml:space="preserve"> PAGEREF _Toc51067973 \h </w:instrText>
            </w:r>
            <w:r w:rsidR="00817418">
              <w:rPr>
                <w:noProof/>
                <w:webHidden/>
              </w:rPr>
            </w:r>
            <w:r w:rsidR="00817418">
              <w:rPr>
                <w:noProof/>
                <w:webHidden/>
              </w:rPr>
              <w:fldChar w:fldCharType="separate"/>
            </w:r>
            <w:r>
              <w:rPr>
                <w:noProof/>
                <w:webHidden/>
              </w:rPr>
              <w:t>81</w:t>
            </w:r>
            <w:r w:rsidR="00817418">
              <w:rPr>
                <w:noProof/>
                <w:webHidden/>
              </w:rPr>
              <w:fldChar w:fldCharType="end"/>
            </w:r>
          </w:hyperlink>
        </w:p>
        <w:p w14:paraId="5EF88325" w14:textId="1C058816" w:rsidR="00817418" w:rsidRDefault="000B6734">
          <w:pPr>
            <w:pStyle w:val="TOC3"/>
            <w:rPr>
              <w:rFonts w:asciiTheme="minorHAnsi" w:hAnsiTheme="minorHAnsi" w:cstheme="minorBidi"/>
              <w:noProof/>
              <w:lang w:eastAsia="en-AU"/>
            </w:rPr>
          </w:pPr>
          <w:hyperlink w:anchor="_Toc51067974" w:history="1">
            <w:r w:rsidR="00817418" w:rsidRPr="002D0634">
              <w:rPr>
                <w:rStyle w:val="Hyperlink"/>
                <w:noProof/>
              </w:rPr>
              <w:t>3.3.1</w:t>
            </w:r>
            <w:r w:rsidR="00817418">
              <w:rPr>
                <w:rFonts w:asciiTheme="minorHAnsi" w:hAnsiTheme="minorHAnsi" w:cstheme="minorBidi"/>
                <w:noProof/>
                <w:lang w:eastAsia="en-AU"/>
              </w:rPr>
              <w:tab/>
            </w:r>
            <w:r w:rsidR="00817418" w:rsidRPr="002D0634">
              <w:rPr>
                <w:rStyle w:val="Hyperlink"/>
                <w:noProof/>
              </w:rPr>
              <w:t>Introduction</w:t>
            </w:r>
            <w:r w:rsidR="00817418">
              <w:rPr>
                <w:noProof/>
                <w:webHidden/>
              </w:rPr>
              <w:tab/>
            </w:r>
            <w:r w:rsidR="00817418">
              <w:rPr>
                <w:noProof/>
                <w:webHidden/>
              </w:rPr>
              <w:fldChar w:fldCharType="begin"/>
            </w:r>
            <w:r w:rsidR="00817418">
              <w:rPr>
                <w:noProof/>
                <w:webHidden/>
              </w:rPr>
              <w:instrText xml:space="preserve"> PAGEREF _Toc51067974 \h </w:instrText>
            </w:r>
            <w:r w:rsidR="00817418">
              <w:rPr>
                <w:noProof/>
                <w:webHidden/>
              </w:rPr>
            </w:r>
            <w:r w:rsidR="00817418">
              <w:rPr>
                <w:noProof/>
                <w:webHidden/>
              </w:rPr>
              <w:fldChar w:fldCharType="separate"/>
            </w:r>
            <w:r>
              <w:rPr>
                <w:noProof/>
                <w:webHidden/>
              </w:rPr>
              <w:t>81</w:t>
            </w:r>
            <w:r w:rsidR="00817418">
              <w:rPr>
                <w:noProof/>
                <w:webHidden/>
              </w:rPr>
              <w:fldChar w:fldCharType="end"/>
            </w:r>
          </w:hyperlink>
        </w:p>
        <w:p w14:paraId="7ECBFC0D" w14:textId="3BCC74AA" w:rsidR="00817418" w:rsidRDefault="000B6734">
          <w:pPr>
            <w:pStyle w:val="TOC3"/>
            <w:rPr>
              <w:rFonts w:asciiTheme="minorHAnsi" w:hAnsiTheme="minorHAnsi" w:cstheme="minorBidi"/>
              <w:noProof/>
              <w:lang w:eastAsia="en-AU"/>
            </w:rPr>
          </w:pPr>
          <w:hyperlink w:anchor="_Toc51067975" w:history="1">
            <w:r w:rsidR="00817418" w:rsidRPr="002D0634">
              <w:rPr>
                <w:rStyle w:val="Hyperlink"/>
                <w:noProof/>
              </w:rPr>
              <w:t>3.3.2</w:t>
            </w:r>
            <w:r w:rsidR="00817418">
              <w:rPr>
                <w:rFonts w:asciiTheme="minorHAnsi" w:hAnsiTheme="minorHAnsi" w:cstheme="minorBidi"/>
                <w:noProof/>
                <w:lang w:eastAsia="en-AU"/>
              </w:rPr>
              <w:tab/>
            </w:r>
            <w:r w:rsidR="00817418" w:rsidRPr="002D0634">
              <w:rPr>
                <w:rStyle w:val="Hyperlink"/>
                <w:noProof/>
              </w:rPr>
              <w:t>Structure and content</w:t>
            </w:r>
            <w:r w:rsidR="00817418">
              <w:rPr>
                <w:noProof/>
                <w:webHidden/>
              </w:rPr>
              <w:tab/>
            </w:r>
            <w:r w:rsidR="00817418">
              <w:rPr>
                <w:noProof/>
                <w:webHidden/>
              </w:rPr>
              <w:fldChar w:fldCharType="begin"/>
            </w:r>
            <w:r w:rsidR="00817418">
              <w:rPr>
                <w:noProof/>
                <w:webHidden/>
              </w:rPr>
              <w:instrText xml:space="preserve"> PAGEREF _Toc51067975 \h </w:instrText>
            </w:r>
            <w:r w:rsidR="00817418">
              <w:rPr>
                <w:noProof/>
                <w:webHidden/>
              </w:rPr>
            </w:r>
            <w:r w:rsidR="00817418">
              <w:rPr>
                <w:noProof/>
                <w:webHidden/>
              </w:rPr>
              <w:fldChar w:fldCharType="separate"/>
            </w:r>
            <w:r>
              <w:rPr>
                <w:noProof/>
                <w:webHidden/>
              </w:rPr>
              <w:t>81</w:t>
            </w:r>
            <w:r w:rsidR="00817418">
              <w:rPr>
                <w:noProof/>
                <w:webHidden/>
              </w:rPr>
              <w:fldChar w:fldCharType="end"/>
            </w:r>
          </w:hyperlink>
        </w:p>
        <w:p w14:paraId="72918837" w14:textId="17AD18C3" w:rsidR="00817418" w:rsidRDefault="000B6734">
          <w:pPr>
            <w:pStyle w:val="TOC3"/>
            <w:rPr>
              <w:rFonts w:asciiTheme="minorHAnsi" w:hAnsiTheme="minorHAnsi" w:cstheme="minorBidi"/>
              <w:noProof/>
              <w:lang w:eastAsia="en-AU"/>
            </w:rPr>
          </w:pPr>
          <w:hyperlink w:anchor="_Toc51067976" w:history="1">
            <w:r w:rsidR="00817418" w:rsidRPr="002D0634">
              <w:rPr>
                <w:rStyle w:val="Hyperlink"/>
                <w:noProof/>
              </w:rPr>
              <w:t>3.3.3</w:t>
            </w:r>
            <w:r w:rsidR="00817418">
              <w:rPr>
                <w:rFonts w:asciiTheme="minorHAnsi" w:hAnsiTheme="minorHAnsi" w:cstheme="minorBidi"/>
                <w:noProof/>
                <w:lang w:eastAsia="en-AU"/>
              </w:rPr>
              <w:tab/>
            </w:r>
            <w:r w:rsidR="00817418" w:rsidRPr="002D0634">
              <w:rPr>
                <w:rStyle w:val="Hyperlink"/>
                <w:noProof/>
              </w:rPr>
              <w:t>Aspirations</w:t>
            </w:r>
            <w:r w:rsidR="00817418">
              <w:rPr>
                <w:noProof/>
                <w:webHidden/>
              </w:rPr>
              <w:tab/>
            </w:r>
            <w:r w:rsidR="00817418">
              <w:rPr>
                <w:noProof/>
                <w:webHidden/>
              </w:rPr>
              <w:fldChar w:fldCharType="begin"/>
            </w:r>
            <w:r w:rsidR="00817418">
              <w:rPr>
                <w:noProof/>
                <w:webHidden/>
              </w:rPr>
              <w:instrText xml:space="preserve"> PAGEREF _Toc51067976 \h </w:instrText>
            </w:r>
            <w:r w:rsidR="00817418">
              <w:rPr>
                <w:noProof/>
                <w:webHidden/>
              </w:rPr>
            </w:r>
            <w:r w:rsidR="00817418">
              <w:rPr>
                <w:noProof/>
                <w:webHidden/>
              </w:rPr>
              <w:fldChar w:fldCharType="separate"/>
            </w:r>
            <w:r>
              <w:rPr>
                <w:noProof/>
                <w:webHidden/>
              </w:rPr>
              <w:t>81</w:t>
            </w:r>
            <w:r w:rsidR="00817418">
              <w:rPr>
                <w:noProof/>
                <w:webHidden/>
              </w:rPr>
              <w:fldChar w:fldCharType="end"/>
            </w:r>
          </w:hyperlink>
        </w:p>
        <w:p w14:paraId="54238BCF" w14:textId="41F30745" w:rsidR="00817418" w:rsidRDefault="000B6734">
          <w:pPr>
            <w:pStyle w:val="TOC1"/>
            <w:tabs>
              <w:tab w:val="left" w:pos="426"/>
              <w:tab w:val="right" w:leader="dot" w:pos="10025"/>
            </w:tabs>
            <w:rPr>
              <w:rFonts w:asciiTheme="minorHAnsi" w:hAnsiTheme="minorHAnsi" w:cstheme="minorBidi"/>
              <w:noProof/>
              <w:lang w:eastAsia="en-AU"/>
            </w:rPr>
          </w:pPr>
          <w:hyperlink w:anchor="_Toc51067977" w:history="1">
            <w:r w:rsidR="00817418" w:rsidRPr="002D0634">
              <w:rPr>
                <w:rStyle w:val="Hyperlink"/>
                <w:noProof/>
              </w:rPr>
              <w:t>4</w:t>
            </w:r>
            <w:r w:rsidR="00817418">
              <w:rPr>
                <w:rFonts w:asciiTheme="minorHAnsi" w:hAnsiTheme="minorHAnsi" w:cstheme="minorBidi"/>
                <w:noProof/>
                <w:lang w:eastAsia="en-AU"/>
              </w:rPr>
              <w:tab/>
            </w:r>
            <w:r w:rsidR="00817418" w:rsidRPr="002D0634">
              <w:rPr>
                <w:rStyle w:val="Hyperlink"/>
                <w:noProof/>
              </w:rPr>
              <w:t>Management and accountability</w:t>
            </w:r>
            <w:r w:rsidR="00817418">
              <w:rPr>
                <w:noProof/>
                <w:webHidden/>
              </w:rPr>
              <w:tab/>
            </w:r>
            <w:r w:rsidR="00817418">
              <w:rPr>
                <w:noProof/>
                <w:webHidden/>
              </w:rPr>
              <w:fldChar w:fldCharType="begin"/>
            </w:r>
            <w:r w:rsidR="00817418">
              <w:rPr>
                <w:noProof/>
                <w:webHidden/>
              </w:rPr>
              <w:instrText xml:space="preserve"> PAGEREF _Toc51067977 \h </w:instrText>
            </w:r>
            <w:r w:rsidR="00817418">
              <w:rPr>
                <w:noProof/>
                <w:webHidden/>
              </w:rPr>
            </w:r>
            <w:r w:rsidR="00817418">
              <w:rPr>
                <w:noProof/>
                <w:webHidden/>
              </w:rPr>
              <w:fldChar w:fldCharType="separate"/>
            </w:r>
            <w:r>
              <w:rPr>
                <w:noProof/>
                <w:webHidden/>
              </w:rPr>
              <w:t>88</w:t>
            </w:r>
            <w:r w:rsidR="00817418">
              <w:rPr>
                <w:noProof/>
                <w:webHidden/>
              </w:rPr>
              <w:fldChar w:fldCharType="end"/>
            </w:r>
          </w:hyperlink>
        </w:p>
        <w:p w14:paraId="72B75857" w14:textId="1485590D" w:rsidR="00817418" w:rsidRDefault="000B6734">
          <w:pPr>
            <w:pStyle w:val="TOC2"/>
            <w:rPr>
              <w:rFonts w:asciiTheme="minorHAnsi" w:hAnsiTheme="minorHAnsi" w:cstheme="minorBidi"/>
              <w:noProof/>
              <w:lang w:eastAsia="en-AU"/>
            </w:rPr>
          </w:pPr>
          <w:hyperlink w:anchor="_Toc51067978" w:history="1">
            <w:r w:rsidR="00817418" w:rsidRPr="002D0634">
              <w:rPr>
                <w:rStyle w:val="Hyperlink"/>
                <w:noProof/>
              </w:rPr>
              <w:t>4.1</w:t>
            </w:r>
            <w:r w:rsidR="00817418">
              <w:rPr>
                <w:rFonts w:asciiTheme="minorHAnsi" w:hAnsiTheme="minorHAnsi" w:cstheme="minorBidi"/>
                <w:noProof/>
                <w:lang w:eastAsia="en-AU"/>
              </w:rPr>
              <w:tab/>
            </w:r>
            <w:r w:rsidR="00817418" w:rsidRPr="002D0634">
              <w:rPr>
                <w:rStyle w:val="Hyperlink"/>
                <w:noProof/>
              </w:rPr>
              <w:t>Governance</w:t>
            </w:r>
            <w:r w:rsidR="00817418">
              <w:rPr>
                <w:noProof/>
                <w:webHidden/>
              </w:rPr>
              <w:tab/>
            </w:r>
            <w:r w:rsidR="00817418">
              <w:rPr>
                <w:noProof/>
                <w:webHidden/>
              </w:rPr>
              <w:fldChar w:fldCharType="begin"/>
            </w:r>
            <w:r w:rsidR="00817418">
              <w:rPr>
                <w:noProof/>
                <w:webHidden/>
              </w:rPr>
              <w:instrText xml:space="preserve"> PAGEREF _Toc51067978 \h </w:instrText>
            </w:r>
            <w:r w:rsidR="00817418">
              <w:rPr>
                <w:noProof/>
                <w:webHidden/>
              </w:rPr>
            </w:r>
            <w:r w:rsidR="00817418">
              <w:rPr>
                <w:noProof/>
                <w:webHidden/>
              </w:rPr>
              <w:fldChar w:fldCharType="separate"/>
            </w:r>
            <w:r>
              <w:rPr>
                <w:noProof/>
                <w:webHidden/>
              </w:rPr>
              <w:t>88</w:t>
            </w:r>
            <w:r w:rsidR="00817418">
              <w:rPr>
                <w:noProof/>
                <w:webHidden/>
              </w:rPr>
              <w:fldChar w:fldCharType="end"/>
            </w:r>
          </w:hyperlink>
        </w:p>
        <w:p w14:paraId="7EC50121" w14:textId="6C6E782C" w:rsidR="00817418" w:rsidRDefault="000B6734">
          <w:pPr>
            <w:pStyle w:val="TOC3"/>
            <w:rPr>
              <w:rFonts w:asciiTheme="minorHAnsi" w:hAnsiTheme="minorHAnsi" w:cstheme="minorBidi"/>
              <w:noProof/>
              <w:lang w:eastAsia="en-AU"/>
            </w:rPr>
          </w:pPr>
          <w:hyperlink w:anchor="_Toc51067979" w:history="1">
            <w:r w:rsidR="00817418" w:rsidRPr="002D0634">
              <w:rPr>
                <w:rStyle w:val="Hyperlink"/>
                <w:noProof/>
              </w:rPr>
              <w:t>4.1.1</w:t>
            </w:r>
            <w:r w:rsidR="00817418">
              <w:rPr>
                <w:rFonts w:asciiTheme="minorHAnsi" w:hAnsiTheme="minorHAnsi" w:cstheme="minorBidi"/>
                <w:noProof/>
                <w:lang w:eastAsia="en-AU"/>
              </w:rPr>
              <w:tab/>
            </w:r>
            <w:r w:rsidR="00817418" w:rsidRPr="002D0634">
              <w:rPr>
                <w:rStyle w:val="Hyperlink"/>
                <w:noProof/>
              </w:rPr>
              <w:t>Responsible Minister</w:t>
            </w:r>
            <w:r w:rsidR="00817418">
              <w:rPr>
                <w:noProof/>
                <w:webHidden/>
              </w:rPr>
              <w:tab/>
            </w:r>
            <w:r w:rsidR="00817418">
              <w:rPr>
                <w:noProof/>
                <w:webHidden/>
              </w:rPr>
              <w:fldChar w:fldCharType="begin"/>
            </w:r>
            <w:r w:rsidR="00817418">
              <w:rPr>
                <w:noProof/>
                <w:webHidden/>
              </w:rPr>
              <w:instrText xml:space="preserve"> PAGEREF _Toc51067979 \h </w:instrText>
            </w:r>
            <w:r w:rsidR="00817418">
              <w:rPr>
                <w:noProof/>
                <w:webHidden/>
              </w:rPr>
            </w:r>
            <w:r w:rsidR="00817418">
              <w:rPr>
                <w:noProof/>
                <w:webHidden/>
              </w:rPr>
              <w:fldChar w:fldCharType="separate"/>
            </w:r>
            <w:r>
              <w:rPr>
                <w:noProof/>
                <w:webHidden/>
              </w:rPr>
              <w:t>88</w:t>
            </w:r>
            <w:r w:rsidR="00817418">
              <w:rPr>
                <w:noProof/>
                <w:webHidden/>
              </w:rPr>
              <w:fldChar w:fldCharType="end"/>
            </w:r>
          </w:hyperlink>
        </w:p>
        <w:p w14:paraId="66C9552F" w14:textId="7F0F53C1" w:rsidR="00817418" w:rsidRDefault="000B6734">
          <w:pPr>
            <w:pStyle w:val="TOC3"/>
            <w:rPr>
              <w:rFonts w:asciiTheme="minorHAnsi" w:hAnsiTheme="minorHAnsi" w:cstheme="minorBidi"/>
              <w:noProof/>
              <w:lang w:eastAsia="en-AU"/>
            </w:rPr>
          </w:pPr>
          <w:hyperlink w:anchor="_Toc51067980" w:history="1">
            <w:r w:rsidR="00817418" w:rsidRPr="002D0634">
              <w:rPr>
                <w:rStyle w:val="Hyperlink"/>
                <w:noProof/>
              </w:rPr>
              <w:t>4.1.2</w:t>
            </w:r>
            <w:r w:rsidR="00817418">
              <w:rPr>
                <w:rFonts w:asciiTheme="minorHAnsi" w:hAnsiTheme="minorHAnsi" w:cstheme="minorBidi"/>
                <w:noProof/>
                <w:lang w:eastAsia="en-AU"/>
              </w:rPr>
              <w:tab/>
            </w:r>
            <w:r w:rsidR="00817418" w:rsidRPr="002D0634">
              <w:rPr>
                <w:rStyle w:val="Hyperlink"/>
                <w:noProof/>
              </w:rPr>
              <w:t>Ministerial Council</w:t>
            </w:r>
            <w:r w:rsidR="00817418">
              <w:rPr>
                <w:noProof/>
                <w:webHidden/>
              </w:rPr>
              <w:tab/>
            </w:r>
            <w:r w:rsidR="00817418">
              <w:rPr>
                <w:noProof/>
                <w:webHidden/>
              </w:rPr>
              <w:fldChar w:fldCharType="begin"/>
            </w:r>
            <w:r w:rsidR="00817418">
              <w:rPr>
                <w:noProof/>
                <w:webHidden/>
              </w:rPr>
              <w:instrText xml:space="preserve"> PAGEREF _Toc51067980 \h </w:instrText>
            </w:r>
            <w:r w:rsidR="00817418">
              <w:rPr>
                <w:noProof/>
                <w:webHidden/>
              </w:rPr>
            </w:r>
            <w:r w:rsidR="00817418">
              <w:rPr>
                <w:noProof/>
                <w:webHidden/>
              </w:rPr>
              <w:fldChar w:fldCharType="separate"/>
            </w:r>
            <w:r>
              <w:rPr>
                <w:noProof/>
                <w:webHidden/>
              </w:rPr>
              <w:t>88</w:t>
            </w:r>
            <w:r w:rsidR="00817418">
              <w:rPr>
                <w:noProof/>
                <w:webHidden/>
              </w:rPr>
              <w:fldChar w:fldCharType="end"/>
            </w:r>
          </w:hyperlink>
        </w:p>
        <w:p w14:paraId="54D5D233" w14:textId="53A95D51" w:rsidR="00817418" w:rsidRDefault="000B6734">
          <w:pPr>
            <w:pStyle w:val="TOC2"/>
            <w:rPr>
              <w:rFonts w:asciiTheme="minorHAnsi" w:hAnsiTheme="minorHAnsi" w:cstheme="minorBidi"/>
              <w:noProof/>
              <w:lang w:eastAsia="en-AU"/>
            </w:rPr>
          </w:pPr>
          <w:hyperlink w:anchor="_Toc51067981" w:history="1">
            <w:r w:rsidR="00817418" w:rsidRPr="002D0634">
              <w:rPr>
                <w:rStyle w:val="Hyperlink"/>
                <w:noProof/>
              </w:rPr>
              <w:t>4.2</w:t>
            </w:r>
            <w:r w:rsidR="00817418">
              <w:rPr>
                <w:rFonts w:asciiTheme="minorHAnsi" w:hAnsiTheme="minorHAnsi" w:cstheme="minorBidi"/>
                <w:noProof/>
                <w:lang w:eastAsia="en-AU"/>
              </w:rPr>
              <w:tab/>
            </w:r>
            <w:r w:rsidR="00817418" w:rsidRPr="002D0634">
              <w:rPr>
                <w:rStyle w:val="Hyperlink"/>
                <w:noProof/>
              </w:rPr>
              <w:t>The Board</w:t>
            </w:r>
            <w:r w:rsidR="00817418">
              <w:rPr>
                <w:noProof/>
                <w:webHidden/>
              </w:rPr>
              <w:tab/>
            </w:r>
            <w:r w:rsidR="00817418">
              <w:rPr>
                <w:noProof/>
                <w:webHidden/>
              </w:rPr>
              <w:fldChar w:fldCharType="begin"/>
            </w:r>
            <w:r w:rsidR="00817418">
              <w:rPr>
                <w:noProof/>
                <w:webHidden/>
              </w:rPr>
              <w:instrText xml:space="preserve"> PAGEREF _Toc51067981 \h </w:instrText>
            </w:r>
            <w:r w:rsidR="00817418">
              <w:rPr>
                <w:noProof/>
                <w:webHidden/>
              </w:rPr>
            </w:r>
            <w:r w:rsidR="00817418">
              <w:rPr>
                <w:noProof/>
                <w:webHidden/>
              </w:rPr>
              <w:fldChar w:fldCharType="separate"/>
            </w:r>
            <w:r>
              <w:rPr>
                <w:noProof/>
                <w:webHidden/>
              </w:rPr>
              <w:t>88</w:t>
            </w:r>
            <w:r w:rsidR="00817418">
              <w:rPr>
                <w:noProof/>
                <w:webHidden/>
              </w:rPr>
              <w:fldChar w:fldCharType="end"/>
            </w:r>
          </w:hyperlink>
        </w:p>
        <w:p w14:paraId="29EDDE79" w14:textId="33D6A415" w:rsidR="00817418" w:rsidRDefault="000B6734">
          <w:pPr>
            <w:pStyle w:val="TOC3"/>
            <w:rPr>
              <w:rFonts w:asciiTheme="minorHAnsi" w:hAnsiTheme="minorHAnsi" w:cstheme="minorBidi"/>
              <w:noProof/>
              <w:lang w:eastAsia="en-AU"/>
            </w:rPr>
          </w:pPr>
          <w:hyperlink w:anchor="_Toc51067982" w:history="1">
            <w:r w:rsidR="00817418" w:rsidRPr="002D0634">
              <w:rPr>
                <w:rStyle w:val="Hyperlink"/>
                <w:noProof/>
              </w:rPr>
              <w:t>4.2.1</w:t>
            </w:r>
            <w:r w:rsidR="00817418">
              <w:rPr>
                <w:rFonts w:asciiTheme="minorHAnsi" w:hAnsiTheme="minorHAnsi" w:cstheme="minorBidi"/>
                <w:noProof/>
                <w:lang w:eastAsia="en-AU"/>
              </w:rPr>
              <w:tab/>
            </w:r>
            <w:r w:rsidR="00817418" w:rsidRPr="002D0634">
              <w:rPr>
                <w:rStyle w:val="Hyperlink"/>
                <w:noProof/>
              </w:rPr>
              <w:t>Directors</w:t>
            </w:r>
            <w:r w:rsidR="00817418">
              <w:rPr>
                <w:noProof/>
                <w:webHidden/>
              </w:rPr>
              <w:tab/>
            </w:r>
            <w:r w:rsidR="00817418">
              <w:rPr>
                <w:noProof/>
                <w:webHidden/>
              </w:rPr>
              <w:fldChar w:fldCharType="begin"/>
            </w:r>
            <w:r w:rsidR="00817418">
              <w:rPr>
                <w:noProof/>
                <w:webHidden/>
              </w:rPr>
              <w:instrText xml:space="preserve"> PAGEREF _Toc51067982 \h </w:instrText>
            </w:r>
            <w:r w:rsidR="00817418">
              <w:rPr>
                <w:noProof/>
                <w:webHidden/>
              </w:rPr>
            </w:r>
            <w:r w:rsidR="00817418">
              <w:rPr>
                <w:noProof/>
                <w:webHidden/>
              </w:rPr>
              <w:fldChar w:fldCharType="separate"/>
            </w:r>
            <w:r>
              <w:rPr>
                <w:noProof/>
                <w:webHidden/>
              </w:rPr>
              <w:t>89</w:t>
            </w:r>
            <w:r w:rsidR="00817418">
              <w:rPr>
                <w:noProof/>
                <w:webHidden/>
              </w:rPr>
              <w:fldChar w:fldCharType="end"/>
            </w:r>
          </w:hyperlink>
        </w:p>
        <w:p w14:paraId="257C89AC" w14:textId="28ED201D" w:rsidR="00817418" w:rsidRDefault="000B6734">
          <w:pPr>
            <w:pStyle w:val="TOC3"/>
            <w:rPr>
              <w:rFonts w:asciiTheme="minorHAnsi" w:hAnsiTheme="minorHAnsi" w:cstheme="minorBidi"/>
              <w:noProof/>
              <w:lang w:eastAsia="en-AU"/>
            </w:rPr>
          </w:pPr>
          <w:hyperlink w:anchor="_Toc51067983" w:history="1">
            <w:r w:rsidR="00817418" w:rsidRPr="002D0634">
              <w:rPr>
                <w:rStyle w:val="Hyperlink"/>
                <w:noProof/>
              </w:rPr>
              <w:t>4.2.2</w:t>
            </w:r>
            <w:r w:rsidR="00817418">
              <w:rPr>
                <w:rFonts w:asciiTheme="minorHAnsi" w:hAnsiTheme="minorHAnsi" w:cstheme="minorBidi"/>
                <w:noProof/>
                <w:lang w:eastAsia="en-AU"/>
              </w:rPr>
              <w:tab/>
            </w:r>
            <w:r w:rsidR="00817418" w:rsidRPr="002D0634">
              <w:rPr>
                <w:rStyle w:val="Hyperlink"/>
                <w:noProof/>
              </w:rPr>
              <w:t>Board committees</w:t>
            </w:r>
            <w:r w:rsidR="00817418">
              <w:rPr>
                <w:noProof/>
                <w:webHidden/>
              </w:rPr>
              <w:tab/>
            </w:r>
            <w:r w:rsidR="00817418">
              <w:rPr>
                <w:noProof/>
                <w:webHidden/>
              </w:rPr>
              <w:fldChar w:fldCharType="begin"/>
            </w:r>
            <w:r w:rsidR="00817418">
              <w:rPr>
                <w:noProof/>
                <w:webHidden/>
              </w:rPr>
              <w:instrText xml:space="preserve"> PAGEREF _Toc51067983 \h </w:instrText>
            </w:r>
            <w:r w:rsidR="00817418">
              <w:rPr>
                <w:noProof/>
                <w:webHidden/>
              </w:rPr>
            </w:r>
            <w:r w:rsidR="00817418">
              <w:rPr>
                <w:noProof/>
                <w:webHidden/>
              </w:rPr>
              <w:fldChar w:fldCharType="separate"/>
            </w:r>
            <w:r>
              <w:rPr>
                <w:noProof/>
                <w:webHidden/>
              </w:rPr>
              <w:t>94</w:t>
            </w:r>
            <w:r w:rsidR="00817418">
              <w:rPr>
                <w:noProof/>
                <w:webHidden/>
              </w:rPr>
              <w:fldChar w:fldCharType="end"/>
            </w:r>
          </w:hyperlink>
        </w:p>
        <w:p w14:paraId="35BA4A6D" w14:textId="14B6AF46" w:rsidR="00817418" w:rsidRDefault="000B6734">
          <w:pPr>
            <w:pStyle w:val="TOC3"/>
            <w:rPr>
              <w:rFonts w:asciiTheme="minorHAnsi" w:hAnsiTheme="minorHAnsi" w:cstheme="minorBidi"/>
              <w:noProof/>
              <w:lang w:eastAsia="en-AU"/>
            </w:rPr>
          </w:pPr>
          <w:hyperlink w:anchor="_Toc51067984" w:history="1">
            <w:r w:rsidR="00817418" w:rsidRPr="002D0634">
              <w:rPr>
                <w:rStyle w:val="Hyperlink"/>
                <w:noProof/>
              </w:rPr>
              <w:t>4.2.3</w:t>
            </w:r>
            <w:r w:rsidR="00817418">
              <w:rPr>
                <w:rFonts w:asciiTheme="minorHAnsi" w:hAnsiTheme="minorHAnsi" w:cstheme="minorBidi"/>
                <w:noProof/>
                <w:lang w:eastAsia="en-AU"/>
              </w:rPr>
              <w:tab/>
            </w:r>
            <w:r w:rsidR="00817418" w:rsidRPr="002D0634">
              <w:rPr>
                <w:rStyle w:val="Hyperlink"/>
                <w:noProof/>
              </w:rPr>
              <w:t>Board and committee attendance</w:t>
            </w:r>
            <w:r w:rsidR="00817418">
              <w:rPr>
                <w:noProof/>
                <w:webHidden/>
              </w:rPr>
              <w:tab/>
            </w:r>
            <w:r w:rsidR="00817418">
              <w:rPr>
                <w:noProof/>
                <w:webHidden/>
              </w:rPr>
              <w:fldChar w:fldCharType="begin"/>
            </w:r>
            <w:r w:rsidR="00817418">
              <w:rPr>
                <w:noProof/>
                <w:webHidden/>
              </w:rPr>
              <w:instrText xml:space="preserve"> PAGEREF _Toc51067984 \h </w:instrText>
            </w:r>
            <w:r w:rsidR="00817418">
              <w:rPr>
                <w:noProof/>
                <w:webHidden/>
              </w:rPr>
            </w:r>
            <w:r w:rsidR="00817418">
              <w:rPr>
                <w:noProof/>
                <w:webHidden/>
              </w:rPr>
              <w:fldChar w:fldCharType="separate"/>
            </w:r>
            <w:r>
              <w:rPr>
                <w:noProof/>
                <w:webHidden/>
              </w:rPr>
              <w:t>95</w:t>
            </w:r>
            <w:r w:rsidR="00817418">
              <w:rPr>
                <w:noProof/>
                <w:webHidden/>
              </w:rPr>
              <w:fldChar w:fldCharType="end"/>
            </w:r>
          </w:hyperlink>
        </w:p>
        <w:p w14:paraId="46C60141" w14:textId="0B0B4A23" w:rsidR="00817418" w:rsidRDefault="000B6734">
          <w:pPr>
            <w:pStyle w:val="TOC3"/>
            <w:rPr>
              <w:rFonts w:asciiTheme="minorHAnsi" w:hAnsiTheme="minorHAnsi" w:cstheme="minorBidi"/>
              <w:noProof/>
              <w:lang w:eastAsia="en-AU"/>
            </w:rPr>
          </w:pPr>
          <w:hyperlink w:anchor="_Toc51067985" w:history="1">
            <w:r w:rsidR="00817418" w:rsidRPr="002D0634">
              <w:rPr>
                <w:rStyle w:val="Hyperlink"/>
                <w:noProof/>
              </w:rPr>
              <w:t>4.2.4</w:t>
            </w:r>
            <w:r w:rsidR="00817418">
              <w:rPr>
                <w:rFonts w:asciiTheme="minorHAnsi" w:hAnsiTheme="minorHAnsi" w:cstheme="minorBidi"/>
                <w:noProof/>
                <w:lang w:eastAsia="en-AU"/>
              </w:rPr>
              <w:tab/>
            </w:r>
            <w:r w:rsidR="00817418" w:rsidRPr="002D0634">
              <w:rPr>
                <w:rStyle w:val="Hyperlink"/>
                <w:noProof/>
              </w:rPr>
              <w:t>Board membership changes</w:t>
            </w:r>
            <w:r w:rsidR="00817418">
              <w:rPr>
                <w:noProof/>
                <w:webHidden/>
              </w:rPr>
              <w:tab/>
            </w:r>
            <w:r w:rsidR="00817418">
              <w:rPr>
                <w:noProof/>
                <w:webHidden/>
              </w:rPr>
              <w:fldChar w:fldCharType="begin"/>
            </w:r>
            <w:r w:rsidR="00817418">
              <w:rPr>
                <w:noProof/>
                <w:webHidden/>
              </w:rPr>
              <w:instrText xml:space="preserve"> PAGEREF _Toc51067985 \h </w:instrText>
            </w:r>
            <w:r w:rsidR="00817418">
              <w:rPr>
                <w:noProof/>
                <w:webHidden/>
              </w:rPr>
            </w:r>
            <w:r w:rsidR="00817418">
              <w:rPr>
                <w:noProof/>
                <w:webHidden/>
              </w:rPr>
              <w:fldChar w:fldCharType="separate"/>
            </w:r>
            <w:r>
              <w:rPr>
                <w:noProof/>
                <w:webHidden/>
              </w:rPr>
              <w:t>97</w:t>
            </w:r>
            <w:r w:rsidR="00817418">
              <w:rPr>
                <w:noProof/>
                <w:webHidden/>
              </w:rPr>
              <w:fldChar w:fldCharType="end"/>
            </w:r>
          </w:hyperlink>
        </w:p>
        <w:p w14:paraId="352AE34B" w14:textId="02EDFBDC" w:rsidR="00817418" w:rsidRDefault="000B6734">
          <w:pPr>
            <w:pStyle w:val="TOC2"/>
            <w:rPr>
              <w:rFonts w:asciiTheme="minorHAnsi" w:hAnsiTheme="minorHAnsi" w:cstheme="minorBidi"/>
              <w:noProof/>
              <w:lang w:eastAsia="en-AU"/>
            </w:rPr>
          </w:pPr>
          <w:hyperlink w:anchor="_Toc51067986" w:history="1">
            <w:r w:rsidR="00817418" w:rsidRPr="002D0634">
              <w:rPr>
                <w:rStyle w:val="Hyperlink"/>
                <w:noProof/>
              </w:rPr>
              <w:t>4.3</w:t>
            </w:r>
            <w:r w:rsidR="00817418">
              <w:rPr>
                <w:rFonts w:asciiTheme="minorHAnsi" w:hAnsiTheme="minorHAnsi" w:cstheme="minorBidi"/>
                <w:noProof/>
                <w:lang w:eastAsia="en-AU"/>
              </w:rPr>
              <w:tab/>
            </w:r>
            <w:r w:rsidR="00817418" w:rsidRPr="002D0634">
              <w:rPr>
                <w:rStyle w:val="Hyperlink"/>
                <w:noProof/>
              </w:rPr>
              <w:t>The Independent Advisory Co</w:t>
            </w:r>
            <w:r w:rsidR="00CA5655">
              <w:rPr>
                <w:rStyle w:val="Hyperlink"/>
                <w:noProof/>
              </w:rPr>
              <w:t>uncil</w:t>
            </w:r>
            <w:r w:rsidR="00817418">
              <w:rPr>
                <w:noProof/>
                <w:webHidden/>
              </w:rPr>
              <w:tab/>
            </w:r>
            <w:r w:rsidR="00817418">
              <w:rPr>
                <w:noProof/>
                <w:webHidden/>
              </w:rPr>
              <w:fldChar w:fldCharType="begin"/>
            </w:r>
            <w:r w:rsidR="00817418">
              <w:rPr>
                <w:noProof/>
                <w:webHidden/>
              </w:rPr>
              <w:instrText xml:space="preserve"> PAGEREF _Toc51067986 \h </w:instrText>
            </w:r>
            <w:r w:rsidR="00817418">
              <w:rPr>
                <w:noProof/>
                <w:webHidden/>
              </w:rPr>
            </w:r>
            <w:r w:rsidR="00817418">
              <w:rPr>
                <w:noProof/>
                <w:webHidden/>
              </w:rPr>
              <w:fldChar w:fldCharType="separate"/>
            </w:r>
            <w:r>
              <w:rPr>
                <w:noProof/>
                <w:webHidden/>
              </w:rPr>
              <w:t>97</w:t>
            </w:r>
            <w:r w:rsidR="00817418">
              <w:rPr>
                <w:noProof/>
                <w:webHidden/>
              </w:rPr>
              <w:fldChar w:fldCharType="end"/>
            </w:r>
          </w:hyperlink>
        </w:p>
        <w:p w14:paraId="495E956E" w14:textId="34D8046A" w:rsidR="00817418" w:rsidRDefault="000B6734">
          <w:pPr>
            <w:pStyle w:val="TOC2"/>
            <w:rPr>
              <w:rFonts w:asciiTheme="minorHAnsi" w:hAnsiTheme="minorHAnsi" w:cstheme="minorBidi"/>
              <w:noProof/>
              <w:lang w:eastAsia="en-AU"/>
            </w:rPr>
          </w:pPr>
          <w:hyperlink w:anchor="_Toc51067988" w:history="1">
            <w:r w:rsidR="00817418" w:rsidRPr="002D0634">
              <w:rPr>
                <w:rStyle w:val="Hyperlink"/>
                <w:noProof/>
              </w:rPr>
              <w:t>4.4</w:t>
            </w:r>
            <w:r w:rsidR="00817418">
              <w:rPr>
                <w:rFonts w:asciiTheme="minorHAnsi" w:hAnsiTheme="minorHAnsi" w:cstheme="minorBidi"/>
                <w:noProof/>
                <w:lang w:eastAsia="en-AU"/>
              </w:rPr>
              <w:tab/>
            </w:r>
            <w:r w:rsidR="00817418" w:rsidRPr="002D0634">
              <w:rPr>
                <w:rStyle w:val="Hyperlink"/>
                <w:noProof/>
              </w:rPr>
              <w:t>The Chief Executive Officer and Executive Team</w:t>
            </w:r>
            <w:r w:rsidR="00817418">
              <w:rPr>
                <w:noProof/>
                <w:webHidden/>
              </w:rPr>
              <w:tab/>
            </w:r>
            <w:r w:rsidR="00817418">
              <w:rPr>
                <w:noProof/>
                <w:webHidden/>
              </w:rPr>
              <w:fldChar w:fldCharType="begin"/>
            </w:r>
            <w:r w:rsidR="00817418">
              <w:rPr>
                <w:noProof/>
                <w:webHidden/>
              </w:rPr>
              <w:instrText xml:space="preserve"> PAGEREF _Toc51067988 \h </w:instrText>
            </w:r>
            <w:r w:rsidR="00817418">
              <w:rPr>
                <w:noProof/>
                <w:webHidden/>
              </w:rPr>
            </w:r>
            <w:r w:rsidR="00817418">
              <w:rPr>
                <w:noProof/>
                <w:webHidden/>
              </w:rPr>
              <w:fldChar w:fldCharType="separate"/>
            </w:r>
            <w:r>
              <w:rPr>
                <w:noProof/>
                <w:webHidden/>
              </w:rPr>
              <w:t>99</w:t>
            </w:r>
            <w:r w:rsidR="00817418">
              <w:rPr>
                <w:noProof/>
                <w:webHidden/>
              </w:rPr>
              <w:fldChar w:fldCharType="end"/>
            </w:r>
          </w:hyperlink>
        </w:p>
        <w:p w14:paraId="4C9766FD" w14:textId="46F6D034" w:rsidR="00817418" w:rsidRDefault="000B6734">
          <w:pPr>
            <w:pStyle w:val="TOC3"/>
            <w:rPr>
              <w:rFonts w:asciiTheme="minorHAnsi" w:hAnsiTheme="minorHAnsi" w:cstheme="minorBidi"/>
              <w:noProof/>
              <w:lang w:eastAsia="en-AU"/>
            </w:rPr>
          </w:pPr>
          <w:hyperlink w:anchor="_Toc51067989" w:history="1">
            <w:r w:rsidR="00817418" w:rsidRPr="002D0634">
              <w:rPr>
                <w:rStyle w:val="Hyperlink"/>
                <w:noProof/>
              </w:rPr>
              <w:t>4.4.1</w:t>
            </w:r>
            <w:r w:rsidR="00817418">
              <w:rPr>
                <w:rFonts w:asciiTheme="minorHAnsi" w:hAnsiTheme="minorHAnsi" w:cstheme="minorBidi"/>
                <w:noProof/>
                <w:lang w:eastAsia="en-AU"/>
              </w:rPr>
              <w:tab/>
            </w:r>
            <w:r w:rsidR="00817418" w:rsidRPr="002D0634">
              <w:rPr>
                <w:rStyle w:val="Hyperlink"/>
                <w:noProof/>
              </w:rPr>
              <w:t>The Executive Leadership Team</w:t>
            </w:r>
            <w:r w:rsidR="00817418">
              <w:rPr>
                <w:noProof/>
                <w:webHidden/>
              </w:rPr>
              <w:tab/>
            </w:r>
            <w:r w:rsidR="00817418">
              <w:rPr>
                <w:noProof/>
                <w:webHidden/>
              </w:rPr>
              <w:fldChar w:fldCharType="begin"/>
            </w:r>
            <w:r w:rsidR="00817418">
              <w:rPr>
                <w:noProof/>
                <w:webHidden/>
              </w:rPr>
              <w:instrText xml:space="preserve"> PAGEREF _Toc51067989 \h </w:instrText>
            </w:r>
            <w:r w:rsidR="00817418">
              <w:rPr>
                <w:noProof/>
                <w:webHidden/>
              </w:rPr>
            </w:r>
            <w:r w:rsidR="00817418">
              <w:rPr>
                <w:noProof/>
                <w:webHidden/>
              </w:rPr>
              <w:fldChar w:fldCharType="separate"/>
            </w:r>
            <w:r>
              <w:rPr>
                <w:noProof/>
                <w:webHidden/>
              </w:rPr>
              <w:t>99</w:t>
            </w:r>
            <w:r w:rsidR="00817418">
              <w:rPr>
                <w:noProof/>
                <w:webHidden/>
              </w:rPr>
              <w:fldChar w:fldCharType="end"/>
            </w:r>
          </w:hyperlink>
        </w:p>
        <w:p w14:paraId="6756E36E" w14:textId="3F8CA7EB" w:rsidR="00817418" w:rsidRDefault="000B6734">
          <w:pPr>
            <w:pStyle w:val="TOC3"/>
            <w:rPr>
              <w:rFonts w:asciiTheme="minorHAnsi" w:hAnsiTheme="minorHAnsi" w:cstheme="minorBidi"/>
              <w:noProof/>
              <w:lang w:eastAsia="en-AU"/>
            </w:rPr>
          </w:pPr>
          <w:hyperlink w:anchor="_Toc51067990" w:history="1">
            <w:r w:rsidR="00817418" w:rsidRPr="002D0634">
              <w:rPr>
                <w:rStyle w:val="Hyperlink"/>
                <w:noProof/>
              </w:rPr>
              <w:t>4.4.2</w:t>
            </w:r>
            <w:r w:rsidR="00817418">
              <w:rPr>
                <w:rFonts w:asciiTheme="minorHAnsi" w:hAnsiTheme="minorHAnsi" w:cstheme="minorBidi"/>
                <w:noProof/>
                <w:lang w:eastAsia="en-AU"/>
              </w:rPr>
              <w:tab/>
            </w:r>
            <w:r w:rsidR="00817418" w:rsidRPr="002D0634">
              <w:rPr>
                <w:rStyle w:val="Hyperlink"/>
                <w:noProof/>
              </w:rPr>
              <w:t>Organisation structure</w:t>
            </w:r>
            <w:r w:rsidR="00817418">
              <w:rPr>
                <w:noProof/>
                <w:webHidden/>
              </w:rPr>
              <w:tab/>
            </w:r>
            <w:r w:rsidR="00817418">
              <w:rPr>
                <w:noProof/>
                <w:webHidden/>
              </w:rPr>
              <w:fldChar w:fldCharType="begin"/>
            </w:r>
            <w:r w:rsidR="00817418">
              <w:rPr>
                <w:noProof/>
                <w:webHidden/>
              </w:rPr>
              <w:instrText xml:space="preserve"> PAGEREF _Toc51067990 \h </w:instrText>
            </w:r>
            <w:r w:rsidR="00817418">
              <w:rPr>
                <w:noProof/>
                <w:webHidden/>
              </w:rPr>
            </w:r>
            <w:r w:rsidR="00817418">
              <w:rPr>
                <w:noProof/>
                <w:webHidden/>
              </w:rPr>
              <w:fldChar w:fldCharType="separate"/>
            </w:r>
            <w:r>
              <w:rPr>
                <w:noProof/>
                <w:webHidden/>
              </w:rPr>
              <w:t>101</w:t>
            </w:r>
            <w:r w:rsidR="00817418">
              <w:rPr>
                <w:noProof/>
                <w:webHidden/>
              </w:rPr>
              <w:fldChar w:fldCharType="end"/>
            </w:r>
          </w:hyperlink>
        </w:p>
        <w:p w14:paraId="0B5FE5E8" w14:textId="1A6A4E54" w:rsidR="00817418" w:rsidRDefault="000B6734">
          <w:pPr>
            <w:pStyle w:val="TOC2"/>
            <w:rPr>
              <w:rFonts w:asciiTheme="minorHAnsi" w:hAnsiTheme="minorHAnsi" w:cstheme="minorBidi"/>
              <w:noProof/>
              <w:lang w:eastAsia="en-AU"/>
            </w:rPr>
          </w:pPr>
          <w:hyperlink w:anchor="_Toc51067991" w:history="1">
            <w:r w:rsidR="00817418" w:rsidRPr="002D0634">
              <w:rPr>
                <w:rStyle w:val="Hyperlink"/>
                <w:noProof/>
              </w:rPr>
              <w:t>4.5</w:t>
            </w:r>
            <w:r w:rsidR="00817418">
              <w:rPr>
                <w:rFonts w:asciiTheme="minorHAnsi" w:hAnsiTheme="minorHAnsi" w:cstheme="minorBidi"/>
                <w:noProof/>
                <w:lang w:eastAsia="en-AU"/>
              </w:rPr>
              <w:tab/>
            </w:r>
            <w:r w:rsidR="00817418" w:rsidRPr="002D0634">
              <w:rPr>
                <w:rStyle w:val="Hyperlink"/>
                <w:noProof/>
              </w:rPr>
              <w:t>Partners in the community</w:t>
            </w:r>
            <w:r w:rsidR="00817418">
              <w:rPr>
                <w:noProof/>
                <w:webHidden/>
              </w:rPr>
              <w:tab/>
            </w:r>
            <w:r w:rsidR="00817418">
              <w:rPr>
                <w:noProof/>
                <w:webHidden/>
              </w:rPr>
              <w:fldChar w:fldCharType="begin"/>
            </w:r>
            <w:r w:rsidR="00817418">
              <w:rPr>
                <w:noProof/>
                <w:webHidden/>
              </w:rPr>
              <w:instrText xml:space="preserve"> PAGEREF _Toc51067991 \h </w:instrText>
            </w:r>
            <w:r w:rsidR="00817418">
              <w:rPr>
                <w:noProof/>
                <w:webHidden/>
              </w:rPr>
            </w:r>
            <w:r w:rsidR="00817418">
              <w:rPr>
                <w:noProof/>
                <w:webHidden/>
              </w:rPr>
              <w:fldChar w:fldCharType="separate"/>
            </w:r>
            <w:r>
              <w:rPr>
                <w:noProof/>
                <w:webHidden/>
              </w:rPr>
              <w:t>105</w:t>
            </w:r>
            <w:r w:rsidR="00817418">
              <w:rPr>
                <w:noProof/>
                <w:webHidden/>
              </w:rPr>
              <w:fldChar w:fldCharType="end"/>
            </w:r>
          </w:hyperlink>
        </w:p>
        <w:p w14:paraId="79039AD1" w14:textId="538A5DA5" w:rsidR="00817418" w:rsidRDefault="000B6734">
          <w:pPr>
            <w:pStyle w:val="TOC2"/>
            <w:rPr>
              <w:rFonts w:asciiTheme="minorHAnsi" w:hAnsiTheme="minorHAnsi" w:cstheme="minorBidi"/>
              <w:noProof/>
              <w:lang w:eastAsia="en-AU"/>
            </w:rPr>
          </w:pPr>
          <w:hyperlink w:anchor="_Toc51067992" w:history="1">
            <w:r w:rsidR="00817418" w:rsidRPr="002D0634">
              <w:rPr>
                <w:rStyle w:val="Hyperlink"/>
                <w:noProof/>
              </w:rPr>
              <w:t>4.6</w:t>
            </w:r>
            <w:r w:rsidR="00817418">
              <w:rPr>
                <w:rFonts w:asciiTheme="minorHAnsi" w:hAnsiTheme="minorHAnsi" w:cstheme="minorBidi"/>
                <w:noProof/>
                <w:lang w:eastAsia="en-AU"/>
              </w:rPr>
              <w:tab/>
            </w:r>
            <w:r w:rsidR="00817418" w:rsidRPr="002D0634">
              <w:rPr>
                <w:rStyle w:val="Hyperlink"/>
                <w:noProof/>
              </w:rPr>
              <w:t>Workforce management</w:t>
            </w:r>
            <w:r w:rsidR="00817418">
              <w:rPr>
                <w:noProof/>
                <w:webHidden/>
              </w:rPr>
              <w:tab/>
            </w:r>
            <w:r w:rsidR="00817418">
              <w:rPr>
                <w:noProof/>
                <w:webHidden/>
              </w:rPr>
              <w:fldChar w:fldCharType="begin"/>
            </w:r>
            <w:r w:rsidR="00817418">
              <w:rPr>
                <w:noProof/>
                <w:webHidden/>
              </w:rPr>
              <w:instrText xml:space="preserve"> PAGEREF _Toc51067992 \h </w:instrText>
            </w:r>
            <w:r w:rsidR="00817418">
              <w:rPr>
                <w:noProof/>
                <w:webHidden/>
              </w:rPr>
            </w:r>
            <w:r w:rsidR="00817418">
              <w:rPr>
                <w:noProof/>
                <w:webHidden/>
              </w:rPr>
              <w:fldChar w:fldCharType="separate"/>
            </w:r>
            <w:r>
              <w:rPr>
                <w:noProof/>
                <w:webHidden/>
              </w:rPr>
              <w:t>105</w:t>
            </w:r>
            <w:r w:rsidR="00817418">
              <w:rPr>
                <w:noProof/>
                <w:webHidden/>
              </w:rPr>
              <w:fldChar w:fldCharType="end"/>
            </w:r>
          </w:hyperlink>
        </w:p>
        <w:p w14:paraId="1A574435" w14:textId="5A3E7587" w:rsidR="00817418" w:rsidRDefault="000B6734">
          <w:pPr>
            <w:pStyle w:val="TOC2"/>
            <w:rPr>
              <w:rFonts w:asciiTheme="minorHAnsi" w:hAnsiTheme="minorHAnsi" w:cstheme="minorBidi"/>
              <w:noProof/>
              <w:lang w:eastAsia="en-AU"/>
            </w:rPr>
          </w:pPr>
          <w:hyperlink w:anchor="_Toc51067993" w:history="1">
            <w:r w:rsidR="00817418" w:rsidRPr="002D0634">
              <w:rPr>
                <w:rStyle w:val="Hyperlink"/>
                <w:noProof/>
              </w:rPr>
              <w:t>4.7</w:t>
            </w:r>
            <w:r w:rsidR="00817418">
              <w:rPr>
                <w:rFonts w:asciiTheme="minorHAnsi" w:hAnsiTheme="minorHAnsi" w:cstheme="minorBidi"/>
                <w:noProof/>
                <w:lang w:eastAsia="en-AU"/>
              </w:rPr>
              <w:tab/>
            </w:r>
            <w:r w:rsidR="00817418" w:rsidRPr="002D0634">
              <w:rPr>
                <w:rStyle w:val="Hyperlink"/>
                <w:noProof/>
              </w:rPr>
              <w:t>Staff engagement</w:t>
            </w:r>
            <w:r w:rsidR="00817418">
              <w:rPr>
                <w:noProof/>
                <w:webHidden/>
              </w:rPr>
              <w:tab/>
            </w:r>
            <w:r w:rsidR="00817418">
              <w:rPr>
                <w:noProof/>
                <w:webHidden/>
              </w:rPr>
              <w:fldChar w:fldCharType="begin"/>
            </w:r>
            <w:r w:rsidR="00817418">
              <w:rPr>
                <w:noProof/>
                <w:webHidden/>
              </w:rPr>
              <w:instrText xml:space="preserve"> PAGEREF _Toc51067993 \h </w:instrText>
            </w:r>
            <w:r w:rsidR="00817418">
              <w:rPr>
                <w:noProof/>
                <w:webHidden/>
              </w:rPr>
            </w:r>
            <w:r w:rsidR="00817418">
              <w:rPr>
                <w:noProof/>
                <w:webHidden/>
              </w:rPr>
              <w:fldChar w:fldCharType="separate"/>
            </w:r>
            <w:r>
              <w:rPr>
                <w:noProof/>
                <w:webHidden/>
              </w:rPr>
              <w:t>107</w:t>
            </w:r>
            <w:r w:rsidR="00817418">
              <w:rPr>
                <w:noProof/>
                <w:webHidden/>
              </w:rPr>
              <w:fldChar w:fldCharType="end"/>
            </w:r>
          </w:hyperlink>
        </w:p>
        <w:p w14:paraId="20E05788" w14:textId="698D75D7" w:rsidR="00817418" w:rsidRDefault="000B6734">
          <w:pPr>
            <w:pStyle w:val="TOC2"/>
            <w:rPr>
              <w:rFonts w:asciiTheme="minorHAnsi" w:hAnsiTheme="minorHAnsi" w:cstheme="minorBidi"/>
              <w:noProof/>
              <w:lang w:eastAsia="en-AU"/>
            </w:rPr>
          </w:pPr>
          <w:hyperlink w:anchor="_Toc51067994" w:history="1">
            <w:r w:rsidR="00817418" w:rsidRPr="002D0634">
              <w:rPr>
                <w:rStyle w:val="Hyperlink"/>
                <w:noProof/>
              </w:rPr>
              <w:t>4.8</w:t>
            </w:r>
            <w:r w:rsidR="00817418">
              <w:rPr>
                <w:rFonts w:asciiTheme="minorHAnsi" w:hAnsiTheme="minorHAnsi" w:cstheme="minorBidi"/>
                <w:noProof/>
                <w:lang w:eastAsia="en-AU"/>
              </w:rPr>
              <w:tab/>
            </w:r>
            <w:r w:rsidR="00817418" w:rsidRPr="002D0634">
              <w:rPr>
                <w:rStyle w:val="Hyperlink"/>
                <w:noProof/>
              </w:rPr>
              <w:t>Risk management</w:t>
            </w:r>
            <w:r w:rsidR="00817418">
              <w:rPr>
                <w:noProof/>
                <w:webHidden/>
              </w:rPr>
              <w:tab/>
            </w:r>
            <w:r w:rsidR="00817418">
              <w:rPr>
                <w:noProof/>
                <w:webHidden/>
              </w:rPr>
              <w:fldChar w:fldCharType="begin"/>
            </w:r>
            <w:r w:rsidR="00817418">
              <w:rPr>
                <w:noProof/>
                <w:webHidden/>
              </w:rPr>
              <w:instrText xml:space="preserve"> PAGEREF _Toc51067994 \h </w:instrText>
            </w:r>
            <w:r w:rsidR="00817418">
              <w:rPr>
                <w:noProof/>
                <w:webHidden/>
              </w:rPr>
            </w:r>
            <w:r w:rsidR="00817418">
              <w:rPr>
                <w:noProof/>
                <w:webHidden/>
              </w:rPr>
              <w:fldChar w:fldCharType="separate"/>
            </w:r>
            <w:r>
              <w:rPr>
                <w:noProof/>
                <w:webHidden/>
              </w:rPr>
              <w:t>107</w:t>
            </w:r>
            <w:r w:rsidR="00817418">
              <w:rPr>
                <w:noProof/>
                <w:webHidden/>
              </w:rPr>
              <w:fldChar w:fldCharType="end"/>
            </w:r>
          </w:hyperlink>
        </w:p>
        <w:p w14:paraId="598AD1AC" w14:textId="172A946F" w:rsidR="00817418" w:rsidRDefault="000B6734">
          <w:pPr>
            <w:pStyle w:val="TOC3"/>
            <w:rPr>
              <w:rFonts w:asciiTheme="minorHAnsi" w:hAnsiTheme="minorHAnsi" w:cstheme="minorBidi"/>
              <w:noProof/>
              <w:lang w:eastAsia="en-AU"/>
            </w:rPr>
          </w:pPr>
          <w:hyperlink w:anchor="_Toc51067995" w:history="1">
            <w:r w:rsidR="00817418" w:rsidRPr="002D0634">
              <w:rPr>
                <w:rStyle w:val="Hyperlink"/>
                <w:noProof/>
              </w:rPr>
              <w:t>4.8.1</w:t>
            </w:r>
            <w:r w:rsidR="00817418">
              <w:rPr>
                <w:rFonts w:asciiTheme="minorHAnsi" w:hAnsiTheme="minorHAnsi" w:cstheme="minorBidi"/>
                <w:noProof/>
                <w:lang w:eastAsia="en-AU"/>
              </w:rPr>
              <w:tab/>
            </w:r>
            <w:r w:rsidR="00817418" w:rsidRPr="002D0634">
              <w:rPr>
                <w:rStyle w:val="Hyperlink"/>
                <w:noProof/>
              </w:rPr>
              <w:t>Scheme integrity</w:t>
            </w:r>
            <w:r w:rsidR="00817418">
              <w:rPr>
                <w:noProof/>
                <w:webHidden/>
              </w:rPr>
              <w:tab/>
            </w:r>
            <w:r w:rsidR="00817418">
              <w:rPr>
                <w:noProof/>
                <w:webHidden/>
              </w:rPr>
              <w:fldChar w:fldCharType="begin"/>
            </w:r>
            <w:r w:rsidR="00817418">
              <w:rPr>
                <w:noProof/>
                <w:webHidden/>
              </w:rPr>
              <w:instrText xml:space="preserve"> PAGEREF _Toc51067995 \h </w:instrText>
            </w:r>
            <w:r w:rsidR="00817418">
              <w:rPr>
                <w:noProof/>
                <w:webHidden/>
              </w:rPr>
            </w:r>
            <w:r w:rsidR="00817418">
              <w:rPr>
                <w:noProof/>
                <w:webHidden/>
              </w:rPr>
              <w:fldChar w:fldCharType="separate"/>
            </w:r>
            <w:r>
              <w:rPr>
                <w:noProof/>
                <w:webHidden/>
              </w:rPr>
              <w:t>108</w:t>
            </w:r>
            <w:r w:rsidR="00817418">
              <w:rPr>
                <w:noProof/>
                <w:webHidden/>
              </w:rPr>
              <w:fldChar w:fldCharType="end"/>
            </w:r>
          </w:hyperlink>
        </w:p>
        <w:p w14:paraId="3D9AA873" w14:textId="218DDE74" w:rsidR="00817418" w:rsidRDefault="000B6734">
          <w:pPr>
            <w:pStyle w:val="TOC3"/>
            <w:rPr>
              <w:rFonts w:asciiTheme="minorHAnsi" w:hAnsiTheme="minorHAnsi" w:cstheme="minorBidi"/>
              <w:noProof/>
              <w:lang w:eastAsia="en-AU"/>
            </w:rPr>
          </w:pPr>
          <w:hyperlink w:anchor="_Toc51067996" w:history="1">
            <w:r w:rsidR="00817418" w:rsidRPr="002D0634">
              <w:rPr>
                <w:rStyle w:val="Hyperlink"/>
                <w:noProof/>
              </w:rPr>
              <w:t>4.8.2</w:t>
            </w:r>
            <w:r w:rsidR="00817418">
              <w:rPr>
                <w:rFonts w:asciiTheme="minorHAnsi" w:hAnsiTheme="minorHAnsi" w:cstheme="minorBidi"/>
                <w:noProof/>
                <w:lang w:eastAsia="en-AU"/>
              </w:rPr>
              <w:tab/>
            </w:r>
            <w:r w:rsidR="00817418" w:rsidRPr="002D0634">
              <w:rPr>
                <w:rStyle w:val="Hyperlink"/>
                <w:noProof/>
              </w:rPr>
              <w:t>Internal audit</w:t>
            </w:r>
            <w:r w:rsidR="00817418">
              <w:rPr>
                <w:noProof/>
                <w:webHidden/>
              </w:rPr>
              <w:tab/>
            </w:r>
            <w:r w:rsidR="00817418">
              <w:rPr>
                <w:noProof/>
                <w:webHidden/>
              </w:rPr>
              <w:fldChar w:fldCharType="begin"/>
            </w:r>
            <w:r w:rsidR="00817418">
              <w:rPr>
                <w:noProof/>
                <w:webHidden/>
              </w:rPr>
              <w:instrText xml:space="preserve"> PAGEREF _Toc51067996 \h </w:instrText>
            </w:r>
            <w:r w:rsidR="00817418">
              <w:rPr>
                <w:noProof/>
                <w:webHidden/>
              </w:rPr>
            </w:r>
            <w:r w:rsidR="00817418">
              <w:rPr>
                <w:noProof/>
                <w:webHidden/>
              </w:rPr>
              <w:fldChar w:fldCharType="separate"/>
            </w:r>
            <w:r>
              <w:rPr>
                <w:noProof/>
                <w:webHidden/>
              </w:rPr>
              <w:t>111</w:t>
            </w:r>
            <w:r w:rsidR="00817418">
              <w:rPr>
                <w:noProof/>
                <w:webHidden/>
              </w:rPr>
              <w:fldChar w:fldCharType="end"/>
            </w:r>
          </w:hyperlink>
        </w:p>
        <w:p w14:paraId="713D0C01" w14:textId="4AEA65F0" w:rsidR="00817418" w:rsidRDefault="000B6734">
          <w:pPr>
            <w:pStyle w:val="TOC3"/>
            <w:rPr>
              <w:rFonts w:asciiTheme="minorHAnsi" w:hAnsiTheme="minorHAnsi" w:cstheme="minorBidi"/>
              <w:noProof/>
              <w:lang w:eastAsia="en-AU"/>
            </w:rPr>
          </w:pPr>
          <w:hyperlink w:anchor="_Toc51067997" w:history="1">
            <w:r w:rsidR="00817418" w:rsidRPr="002D0634">
              <w:rPr>
                <w:rStyle w:val="Hyperlink"/>
                <w:noProof/>
              </w:rPr>
              <w:t>4.8.3</w:t>
            </w:r>
            <w:r w:rsidR="00817418">
              <w:rPr>
                <w:rFonts w:asciiTheme="minorHAnsi" w:hAnsiTheme="minorHAnsi" w:cstheme="minorBidi"/>
                <w:noProof/>
                <w:lang w:eastAsia="en-AU"/>
              </w:rPr>
              <w:tab/>
            </w:r>
            <w:r w:rsidR="00817418" w:rsidRPr="002D0634">
              <w:rPr>
                <w:rStyle w:val="Hyperlink"/>
                <w:noProof/>
              </w:rPr>
              <w:t>External audit</w:t>
            </w:r>
            <w:r w:rsidR="00817418">
              <w:rPr>
                <w:noProof/>
                <w:webHidden/>
              </w:rPr>
              <w:tab/>
            </w:r>
            <w:r w:rsidR="00817418">
              <w:rPr>
                <w:noProof/>
                <w:webHidden/>
              </w:rPr>
              <w:fldChar w:fldCharType="begin"/>
            </w:r>
            <w:r w:rsidR="00817418">
              <w:rPr>
                <w:noProof/>
                <w:webHidden/>
              </w:rPr>
              <w:instrText xml:space="preserve"> PAGEREF _Toc51067997 \h </w:instrText>
            </w:r>
            <w:r w:rsidR="00817418">
              <w:rPr>
                <w:noProof/>
                <w:webHidden/>
              </w:rPr>
            </w:r>
            <w:r w:rsidR="00817418">
              <w:rPr>
                <w:noProof/>
                <w:webHidden/>
              </w:rPr>
              <w:fldChar w:fldCharType="separate"/>
            </w:r>
            <w:r>
              <w:rPr>
                <w:noProof/>
                <w:webHidden/>
              </w:rPr>
              <w:t>111</w:t>
            </w:r>
            <w:r w:rsidR="00817418">
              <w:rPr>
                <w:noProof/>
                <w:webHidden/>
              </w:rPr>
              <w:fldChar w:fldCharType="end"/>
            </w:r>
          </w:hyperlink>
        </w:p>
        <w:p w14:paraId="4E028676" w14:textId="26F79654" w:rsidR="00817418" w:rsidRDefault="000B6734">
          <w:pPr>
            <w:pStyle w:val="TOC1"/>
            <w:tabs>
              <w:tab w:val="left" w:pos="426"/>
              <w:tab w:val="right" w:leader="dot" w:pos="10025"/>
            </w:tabs>
            <w:rPr>
              <w:rFonts w:asciiTheme="minorHAnsi" w:hAnsiTheme="minorHAnsi" w:cstheme="minorBidi"/>
              <w:noProof/>
              <w:lang w:eastAsia="en-AU"/>
            </w:rPr>
          </w:pPr>
          <w:hyperlink w:anchor="_Toc51067998" w:history="1">
            <w:r w:rsidR="00817418" w:rsidRPr="002D0634">
              <w:rPr>
                <w:rStyle w:val="Hyperlink"/>
                <w:noProof/>
              </w:rPr>
              <w:t>5</w:t>
            </w:r>
            <w:r w:rsidR="00817418">
              <w:rPr>
                <w:rFonts w:asciiTheme="minorHAnsi" w:hAnsiTheme="minorHAnsi" w:cstheme="minorBidi"/>
                <w:noProof/>
                <w:lang w:eastAsia="en-AU"/>
              </w:rPr>
              <w:tab/>
            </w:r>
            <w:r w:rsidR="00817418" w:rsidRPr="002D0634">
              <w:rPr>
                <w:rStyle w:val="Hyperlink"/>
                <w:noProof/>
              </w:rPr>
              <w:t>Appendices</w:t>
            </w:r>
            <w:r w:rsidR="00817418">
              <w:rPr>
                <w:noProof/>
                <w:webHidden/>
              </w:rPr>
              <w:tab/>
            </w:r>
            <w:r w:rsidR="00817418">
              <w:rPr>
                <w:noProof/>
                <w:webHidden/>
              </w:rPr>
              <w:fldChar w:fldCharType="begin"/>
            </w:r>
            <w:r w:rsidR="00817418">
              <w:rPr>
                <w:noProof/>
                <w:webHidden/>
              </w:rPr>
              <w:instrText xml:space="preserve"> PAGEREF _Toc51067998 \h </w:instrText>
            </w:r>
            <w:r w:rsidR="00817418">
              <w:rPr>
                <w:noProof/>
                <w:webHidden/>
              </w:rPr>
            </w:r>
            <w:r w:rsidR="00817418">
              <w:rPr>
                <w:noProof/>
                <w:webHidden/>
              </w:rPr>
              <w:fldChar w:fldCharType="separate"/>
            </w:r>
            <w:r>
              <w:rPr>
                <w:noProof/>
                <w:webHidden/>
              </w:rPr>
              <w:t>112</w:t>
            </w:r>
            <w:r w:rsidR="00817418">
              <w:rPr>
                <w:noProof/>
                <w:webHidden/>
              </w:rPr>
              <w:fldChar w:fldCharType="end"/>
            </w:r>
          </w:hyperlink>
        </w:p>
        <w:p w14:paraId="51ED3FB2" w14:textId="65A9B2D1" w:rsidR="00817418" w:rsidRDefault="000B6734">
          <w:pPr>
            <w:pStyle w:val="TOC2"/>
            <w:rPr>
              <w:rFonts w:asciiTheme="minorHAnsi" w:hAnsiTheme="minorHAnsi" w:cstheme="minorBidi"/>
              <w:noProof/>
              <w:lang w:eastAsia="en-AU"/>
            </w:rPr>
          </w:pPr>
          <w:hyperlink w:anchor="_Toc51067999" w:history="1">
            <w:r w:rsidR="00817418" w:rsidRPr="002D0634">
              <w:rPr>
                <w:rStyle w:val="Hyperlink"/>
                <w:noProof/>
              </w:rPr>
              <w:t>5.1</w:t>
            </w:r>
            <w:r w:rsidR="00817418">
              <w:rPr>
                <w:rFonts w:asciiTheme="minorHAnsi" w:hAnsiTheme="minorHAnsi" w:cstheme="minorBidi"/>
                <w:noProof/>
                <w:lang w:eastAsia="en-AU"/>
              </w:rPr>
              <w:tab/>
            </w:r>
            <w:r w:rsidR="00817418" w:rsidRPr="002D0634">
              <w:rPr>
                <w:rStyle w:val="Hyperlink"/>
                <w:noProof/>
              </w:rPr>
              <w:t>Enabling legislation</w:t>
            </w:r>
            <w:r w:rsidR="00817418">
              <w:rPr>
                <w:noProof/>
                <w:webHidden/>
              </w:rPr>
              <w:tab/>
            </w:r>
            <w:r w:rsidR="00817418">
              <w:rPr>
                <w:noProof/>
                <w:webHidden/>
              </w:rPr>
              <w:fldChar w:fldCharType="begin"/>
            </w:r>
            <w:r w:rsidR="00817418">
              <w:rPr>
                <w:noProof/>
                <w:webHidden/>
              </w:rPr>
              <w:instrText xml:space="preserve"> PAGEREF _Toc51067999 \h </w:instrText>
            </w:r>
            <w:r w:rsidR="00817418">
              <w:rPr>
                <w:noProof/>
                <w:webHidden/>
              </w:rPr>
            </w:r>
            <w:r w:rsidR="00817418">
              <w:rPr>
                <w:noProof/>
                <w:webHidden/>
              </w:rPr>
              <w:fldChar w:fldCharType="separate"/>
            </w:r>
            <w:r>
              <w:rPr>
                <w:noProof/>
                <w:webHidden/>
              </w:rPr>
              <w:t>112</w:t>
            </w:r>
            <w:r w:rsidR="00817418">
              <w:rPr>
                <w:noProof/>
                <w:webHidden/>
              </w:rPr>
              <w:fldChar w:fldCharType="end"/>
            </w:r>
          </w:hyperlink>
        </w:p>
        <w:p w14:paraId="15B17FE9" w14:textId="7210BD77" w:rsidR="00817418" w:rsidRDefault="000B6734">
          <w:pPr>
            <w:pStyle w:val="TOC2"/>
            <w:rPr>
              <w:rFonts w:asciiTheme="minorHAnsi" w:hAnsiTheme="minorHAnsi" w:cstheme="minorBidi"/>
              <w:noProof/>
              <w:lang w:eastAsia="en-AU"/>
            </w:rPr>
          </w:pPr>
          <w:hyperlink w:anchor="_Toc51068000" w:history="1">
            <w:r w:rsidR="00817418" w:rsidRPr="002D0634">
              <w:rPr>
                <w:rStyle w:val="Hyperlink"/>
                <w:noProof/>
              </w:rPr>
              <w:t>5.2</w:t>
            </w:r>
            <w:r w:rsidR="00817418">
              <w:rPr>
                <w:rFonts w:asciiTheme="minorHAnsi" w:hAnsiTheme="minorHAnsi" w:cstheme="minorBidi"/>
                <w:noProof/>
                <w:lang w:eastAsia="en-AU"/>
              </w:rPr>
              <w:tab/>
            </w:r>
            <w:r w:rsidR="00817418" w:rsidRPr="002D0634">
              <w:rPr>
                <w:rStyle w:val="Hyperlink"/>
                <w:noProof/>
              </w:rPr>
              <w:t>Audit Committee Charter</w:t>
            </w:r>
            <w:r w:rsidR="00817418">
              <w:rPr>
                <w:noProof/>
                <w:webHidden/>
              </w:rPr>
              <w:tab/>
            </w:r>
            <w:r w:rsidR="00817418">
              <w:rPr>
                <w:noProof/>
                <w:webHidden/>
              </w:rPr>
              <w:fldChar w:fldCharType="begin"/>
            </w:r>
            <w:r w:rsidR="00817418">
              <w:rPr>
                <w:noProof/>
                <w:webHidden/>
              </w:rPr>
              <w:instrText xml:space="preserve"> PAGEREF _Toc51068000 \h </w:instrText>
            </w:r>
            <w:r w:rsidR="00817418">
              <w:rPr>
                <w:noProof/>
                <w:webHidden/>
              </w:rPr>
            </w:r>
            <w:r w:rsidR="00817418">
              <w:rPr>
                <w:noProof/>
                <w:webHidden/>
              </w:rPr>
              <w:fldChar w:fldCharType="separate"/>
            </w:r>
            <w:r>
              <w:rPr>
                <w:noProof/>
                <w:webHidden/>
              </w:rPr>
              <w:t>112</w:t>
            </w:r>
            <w:r w:rsidR="00817418">
              <w:rPr>
                <w:noProof/>
                <w:webHidden/>
              </w:rPr>
              <w:fldChar w:fldCharType="end"/>
            </w:r>
          </w:hyperlink>
        </w:p>
        <w:p w14:paraId="5584C4DE" w14:textId="39C140EA" w:rsidR="00817418" w:rsidRDefault="000B6734">
          <w:pPr>
            <w:pStyle w:val="TOC2"/>
            <w:rPr>
              <w:rFonts w:asciiTheme="minorHAnsi" w:hAnsiTheme="minorHAnsi" w:cstheme="minorBidi"/>
              <w:noProof/>
              <w:lang w:eastAsia="en-AU"/>
            </w:rPr>
          </w:pPr>
          <w:hyperlink w:anchor="_Toc51068001" w:history="1">
            <w:r w:rsidR="00817418" w:rsidRPr="002D0634">
              <w:rPr>
                <w:rStyle w:val="Hyperlink"/>
                <w:noProof/>
              </w:rPr>
              <w:t>5.3</w:t>
            </w:r>
            <w:r w:rsidR="00817418">
              <w:rPr>
                <w:rFonts w:asciiTheme="minorHAnsi" w:hAnsiTheme="minorHAnsi" w:cstheme="minorBidi"/>
                <w:noProof/>
                <w:lang w:eastAsia="en-AU"/>
              </w:rPr>
              <w:tab/>
            </w:r>
            <w:r w:rsidR="00817418" w:rsidRPr="002D0634">
              <w:rPr>
                <w:rStyle w:val="Hyperlink"/>
                <w:noProof/>
              </w:rPr>
              <w:t>Work health and safety</w:t>
            </w:r>
            <w:r w:rsidR="00817418">
              <w:rPr>
                <w:noProof/>
                <w:webHidden/>
              </w:rPr>
              <w:tab/>
            </w:r>
            <w:r w:rsidR="00817418">
              <w:rPr>
                <w:noProof/>
                <w:webHidden/>
              </w:rPr>
              <w:fldChar w:fldCharType="begin"/>
            </w:r>
            <w:r w:rsidR="00817418">
              <w:rPr>
                <w:noProof/>
                <w:webHidden/>
              </w:rPr>
              <w:instrText xml:space="preserve"> PAGEREF _Toc51068001 \h </w:instrText>
            </w:r>
            <w:r w:rsidR="00817418">
              <w:rPr>
                <w:noProof/>
                <w:webHidden/>
              </w:rPr>
            </w:r>
            <w:r w:rsidR="00817418">
              <w:rPr>
                <w:noProof/>
                <w:webHidden/>
              </w:rPr>
              <w:fldChar w:fldCharType="separate"/>
            </w:r>
            <w:r>
              <w:rPr>
                <w:noProof/>
                <w:webHidden/>
              </w:rPr>
              <w:t>113</w:t>
            </w:r>
            <w:r w:rsidR="00817418">
              <w:rPr>
                <w:noProof/>
                <w:webHidden/>
              </w:rPr>
              <w:fldChar w:fldCharType="end"/>
            </w:r>
          </w:hyperlink>
        </w:p>
        <w:p w14:paraId="61814D77" w14:textId="50B6B561" w:rsidR="00817418" w:rsidRDefault="000B6734">
          <w:pPr>
            <w:pStyle w:val="TOC2"/>
            <w:rPr>
              <w:rFonts w:asciiTheme="minorHAnsi" w:hAnsiTheme="minorHAnsi" w:cstheme="minorBidi"/>
              <w:noProof/>
              <w:lang w:eastAsia="en-AU"/>
            </w:rPr>
          </w:pPr>
          <w:hyperlink w:anchor="_Toc51068002" w:history="1">
            <w:r w:rsidR="00817418" w:rsidRPr="002D0634">
              <w:rPr>
                <w:rStyle w:val="Hyperlink"/>
                <w:noProof/>
              </w:rPr>
              <w:t>5.4</w:t>
            </w:r>
            <w:r w:rsidR="00817418">
              <w:rPr>
                <w:rFonts w:asciiTheme="minorHAnsi" w:hAnsiTheme="minorHAnsi" w:cstheme="minorBidi"/>
                <w:noProof/>
                <w:lang w:eastAsia="en-AU"/>
              </w:rPr>
              <w:tab/>
            </w:r>
            <w:r w:rsidR="00817418" w:rsidRPr="002D0634">
              <w:rPr>
                <w:rStyle w:val="Hyperlink"/>
                <w:noProof/>
              </w:rPr>
              <w:t>Workforce statistics</w:t>
            </w:r>
            <w:r w:rsidR="00817418">
              <w:rPr>
                <w:noProof/>
                <w:webHidden/>
              </w:rPr>
              <w:tab/>
            </w:r>
            <w:r w:rsidR="00817418">
              <w:rPr>
                <w:noProof/>
                <w:webHidden/>
              </w:rPr>
              <w:fldChar w:fldCharType="begin"/>
            </w:r>
            <w:r w:rsidR="00817418">
              <w:rPr>
                <w:noProof/>
                <w:webHidden/>
              </w:rPr>
              <w:instrText xml:space="preserve"> PAGEREF _Toc51068002 \h </w:instrText>
            </w:r>
            <w:r w:rsidR="00817418">
              <w:rPr>
                <w:noProof/>
                <w:webHidden/>
              </w:rPr>
            </w:r>
            <w:r w:rsidR="00817418">
              <w:rPr>
                <w:noProof/>
                <w:webHidden/>
              </w:rPr>
              <w:fldChar w:fldCharType="separate"/>
            </w:r>
            <w:r>
              <w:rPr>
                <w:noProof/>
                <w:webHidden/>
              </w:rPr>
              <w:t>113</w:t>
            </w:r>
            <w:r w:rsidR="00817418">
              <w:rPr>
                <w:noProof/>
                <w:webHidden/>
              </w:rPr>
              <w:fldChar w:fldCharType="end"/>
            </w:r>
          </w:hyperlink>
        </w:p>
        <w:p w14:paraId="3885BFBF" w14:textId="1CBF1327" w:rsidR="00817418" w:rsidRDefault="000B6734">
          <w:pPr>
            <w:pStyle w:val="TOC2"/>
            <w:rPr>
              <w:rFonts w:asciiTheme="minorHAnsi" w:hAnsiTheme="minorHAnsi" w:cstheme="minorBidi"/>
              <w:noProof/>
              <w:lang w:eastAsia="en-AU"/>
            </w:rPr>
          </w:pPr>
          <w:hyperlink w:anchor="_Toc51068003" w:history="1">
            <w:r w:rsidR="00817418" w:rsidRPr="002D0634">
              <w:rPr>
                <w:rStyle w:val="Hyperlink"/>
                <w:noProof/>
              </w:rPr>
              <w:t>5.5</w:t>
            </w:r>
            <w:r w:rsidR="00817418">
              <w:rPr>
                <w:rFonts w:asciiTheme="minorHAnsi" w:hAnsiTheme="minorHAnsi" w:cstheme="minorBidi"/>
                <w:noProof/>
                <w:lang w:eastAsia="en-AU"/>
              </w:rPr>
              <w:tab/>
            </w:r>
            <w:r w:rsidR="00817418" w:rsidRPr="002D0634">
              <w:rPr>
                <w:rStyle w:val="Hyperlink"/>
                <w:noProof/>
              </w:rPr>
              <w:t>Executive remuneration policy</w:t>
            </w:r>
            <w:r w:rsidR="00817418">
              <w:rPr>
                <w:noProof/>
                <w:webHidden/>
              </w:rPr>
              <w:tab/>
            </w:r>
            <w:r w:rsidR="00817418">
              <w:rPr>
                <w:noProof/>
                <w:webHidden/>
              </w:rPr>
              <w:fldChar w:fldCharType="begin"/>
            </w:r>
            <w:r w:rsidR="00817418">
              <w:rPr>
                <w:noProof/>
                <w:webHidden/>
              </w:rPr>
              <w:instrText xml:space="preserve"> PAGEREF _Toc51068003 \h </w:instrText>
            </w:r>
            <w:r w:rsidR="00817418">
              <w:rPr>
                <w:noProof/>
                <w:webHidden/>
              </w:rPr>
            </w:r>
            <w:r w:rsidR="00817418">
              <w:rPr>
                <w:noProof/>
                <w:webHidden/>
              </w:rPr>
              <w:fldChar w:fldCharType="separate"/>
            </w:r>
            <w:r>
              <w:rPr>
                <w:noProof/>
                <w:webHidden/>
              </w:rPr>
              <w:t>116</w:t>
            </w:r>
            <w:r w:rsidR="00817418">
              <w:rPr>
                <w:noProof/>
                <w:webHidden/>
              </w:rPr>
              <w:fldChar w:fldCharType="end"/>
            </w:r>
          </w:hyperlink>
        </w:p>
        <w:p w14:paraId="7E19E357" w14:textId="5608FD47" w:rsidR="00817418" w:rsidRDefault="000B6734">
          <w:pPr>
            <w:pStyle w:val="TOC2"/>
            <w:rPr>
              <w:rFonts w:asciiTheme="minorHAnsi" w:hAnsiTheme="minorHAnsi" w:cstheme="minorBidi"/>
              <w:noProof/>
              <w:lang w:eastAsia="en-AU"/>
            </w:rPr>
          </w:pPr>
          <w:hyperlink w:anchor="_Toc51068004" w:history="1">
            <w:r w:rsidR="00817418" w:rsidRPr="002D0634">
              <w:rPr>
                <w:rStyle w:val="Hyperlink"/>
                <w:noProof/>
              </w:rPr>
              <w:t>5.6</w:t>
            </w:r>
            <w:r w:rsidR="00817418">
              <w:rPr>
                <w:rFonts w:asciiTheme="minorHAnsi" w:hAnsiTheme="minorHAnsi" w:cstheme="minorBidi"/>
                <w:noProof/>
                <w:lang w:eastAsia="en-AU"/>
              </w:rPr>
              <w:tab/>
            </w:r>
            <w:r w:rsidR="00817418" w:rsidRPr="002D0634">
              <w:rPr>
                <w:rStyle w:val="Hyperlink"/>
                <w:noProof/>
              </w:rPr>
              <w:t>Executive remuneration</w:t>
            </w:r>
            <w:r w:rsidR="00817418">
              <w:rPr>
                <w:noProof/>
                <w:webHidden/>
              </w:rPr>
              <w:tab/>
            </w:r>
            <w:r w:rsidR="00817418">
              <w:rPr>
                <w:noProof/>
                <w:webHidden/>
              </w:rPr>
              <w:fldChar w:fldCharType="begin"/>
            </w:r>
            <w:r w:rsidR="00817418">
              <w:rPr>
                <w:noProof/>
                <w:webHidden/>
              </w:rPr>
              <w:instrText xml:space="preserve"> PAGEREF _Toc51068004 \h </w:instrText>
            </w:r>
            <w:r w:rsidR="00817418">
              <w:rPr>
                <w:noProof/>
                <w:webHidden/>
              </w:rPr>
            </w:r>
            <w:r w:rsidR="00817418">
              <w:rPr>
                <w:noProof/>
                <w:webHidden/>
              </w:rPr>
              <w:fldChar w:fldCharType="separate"/>
            </w:r>
            <w:r>
              <w:rPr>
                <w:noProof/>
                <w:webHidden/>
              </w:rPr>
              <w:t>116</w:t>
            </w:r>
            <w:r w:rsidR="00817418">
              <w:rPr>
                <w:noProof/>
                <w:webHidden/>
              </w:rPr>
              <w:fldChar w:fldCharType="end"/>
            </w:r>
          </w:hyperlink>
        </w:p>
        <w:p w14:paraId="42338275" w14:textId="6DC41A40" w:rsidR="00817418" w:rsidRDefault="000B6734">
          <w:pPr>
            <w:pStyle w:val="TOC3"/>
            <w:rPr>
              <w:rFonts w:asciiTheme="minorHAnsi" w:hAnsiTheme="minorHAnsi" w:cstheme="minorBidi"/>
              <w:noProof/>
              <w:lang w:eastAsia="en-AU"/>
            </w:rPr>
          </w:pPr>
          <w:hyperlink w:anchor="_Toc51068005" w:history="1">
            <w:r w:rsidR="00817418" w:rsidRPr="002D0634">
              <w:rPr>
                <w:rStyle w:val="Hyperlink"/>
                <w:noProof/>
              </w:rPr>
              <w:t>5.6.1</w:t>
            </w:r>
            <w:r w:rsidR="00817418">
              <w:rPr>
                <w:rFonts w:asciiTheme="minorHAnsi" w:hAnsiTheme="minorHAnsi" w:cstheme="minorBidi"/>
                <w:noProof/>
                <w:lang w:eastAsia="en-AU"/>
              </w:rPr>
              <w:tab/>
            </w:r>
            <w:r w:rsidR="00817418" w:rsidRPr="002D0634">
              <w:rPr>
                <w:rStyle w:val="Hyperlink"/>
                <w:noProof/>
              </w:rPr>
              <w:t>Key management personnel</w:t>
            </w:r>
            <w:r w:rsidR="00817418">
              <w:rPr>
                <w:noProof/>
                <w:webHidden/>
              </w:rPr>
              <w:tab/>
            </w:r>
            <w:r w:rsidR="00817418">
              <w:rPr>
                <w:noProof/>
                <w:webHidden/>
              </w:rPr>
              <w:fldChar w:fldCharType="begin"/>
            </w:r>
            <w:r w:rsidR="00817418">
              <w:rPr>
                <w:noProof/>
                <w:webHidden/>
              </w:rPr>
              <w:instrText xml:space="preserve"> PAGEREF _Toc51068005 \h </w:instrText>
            </w:r>
            <w:r w:rsidR="00817418">
              <w:rPr>
                <w:noProof/>
                <w:webHidden/>
              </w:rPr>
            </w:r>
            <w:r w:rsidR="00817418">
              <w:rPr>
                <w:noProof/>
                <w:webHidden/>
              </w:rPr>
              <w:fldChar w:fldCharType="separate"/>
            </w:r>
            <w:r>
              <w:rPr>
                <w:noProof/>
                <w:webHidden/>
              </w:rPr>
              <w:t>116</w:t>
            </w:r>
            <w:r w:rsidR="00817418">
              <w:rPr>
                <w:noProof/>
                <w:webHidden/>
              </w:rPr>
              <w:fldChar w:fldCharType="end"/>
            </w:r>
          </w:hyperlink>
        </w:p>
        <w:p w14:paraId="4D20941A" w14:textId="2A2BDEA1" w:rsidR="00817418" w:rsidRDefault="000B6734">
          <w:pPr>
            <w:pStyle w:val="TOC3"/>
            <w:rPr>
              <w:rFonts w:asciiTheme="minorHAnsi" w:hAnsiTheme="minorHAnsi" w:cstheme="minorBidi"/>
              <w:noProof/>
              <w:lang w:eastAsia="en-AU"/>
            </w:rPr>
          </w:pPr>
          <w:hyperlink w:anchor="_Toc51068006" w:history="1">
            <w:r w:rsidR="00817418" w:rsidRPr="002D0634">
              <w:rPr>
                <w:rStyle w:val="Hyperlink"/>
                <w:noProof/>
              </w:rPr>
              <w:t>5.6.2</w:t>
            </w:r>
            <w:r w:rsidR="00817418">
              <w:rPr>
                <w:rFonts w:asciiTheme="minorHAnsi" w:hAnsiTheme="minorHAnsi" w:cstheme="minorBidi"/>
                <w:noProof/>
                <w:lang w:eastAsia="en-AU"/>
              </w:rPr>
              <w:tab/>
            </w:r>
            <w:r w:rsidR="00817418" w:rsidRPr="002D0634">
              <w:rPr>
                <w:rStyle w:val="Hyperlink"/>
                <w:noProof/>
              </w:rPr>
              <w:t>Information about remuneration of key management personnel</w:t>
            </w:r>
            <w:r w:rsidR="00817418">
              <w:rPr>
                <w:noProof/>
                <w:webHidden/>
              </w:rPr>
              <w:tab/>
            </w:r>
            <w:r w:rsidR="00817418">
              <w:rPr>
                <w:noProof/>
                <w:webHidden/>
              </w:rPr>
              <w:fldChar w:fldCharType="begin"/>
            </w:r>
            <w:r w:rsidR="00817418">
              <w:rPr>
                <w:noProof/>
                <w:webHidden/>
              </w:rPr>
              <w:instrText xml:space="preserve"> PAGEREF _Toc51068006 \h </w:instrText>
            </w:r>
            <w:r w:rsidR="00817418">
              <w:rPr>
                <w:noProof/>
                <w:webHidden/>
              </w:rPr>
            </w:r>
            <w:r w:rsidR="00817418">
              <w:rPr>
                <w:noProof/>
                <w:webHidden/>
              </w:rPr>
              <w:fldChar w:fldCharType="separate"/>
            </w:r>
            <w:r>
              <w:rPr>
                <w:noProof/>
                <w:webHidden/>
              </w:rPr>
              <w:t>119</w:t>
            </w:r>
            <w:r w:rsidR="00817418">
              <w:rPr>
                <w:noProof/>
                <w:webHidden/>
              </w:rPr>
              <w:fldChar w:fldCharType="end"/>
            </w:r>
          </w:hyperlink>
        </w:p>
        <w:p w14:paraId="75DE7BDD" w14:textId="44F90ED8" w:rsidR="00817418" w:rsidRDefault="000B6734">
          <w:pPr>
            <w:pStyle w:val="TOC3"/>
            <w:rPr>
              <w:rFonts w:asciiTheme="minorHAnsi" w:hAnsiTheme="minorHAnsi" w:cstheme="minorBidi"/>
              <w:noProof/>
              <w:lang w:eastAsia="en-AU"/>
            </w:rPr>
          </w:pPr>
          <w:hyperlink w:anchor="_Toc51068007" w:history="1">
            <w:r w:rsidR="00817418" w:rsidRPr="002D0634">
              <w:rPr>
                <w:rStyle w:val="Hyperlink"/>
                <w:noProof/>
              </w:rPr>
              <w:t>5.6.3</w:t>
            </w:r>
            <w:r w:rsidR="00817418">
              <w:rPr>
                <w:rFonts w:asciiTheme="minorHAnsi" w:hAnsiTheme="minorHAnsi" w:cstheme="minorBidi"/>
                <w:noProof/>
                <w:lang w:eastAsia="en-AU"/>
              </w:rPr>
              <w:tab/>
            </w:r>
            <w:r w:rsidR="00817418" w:rsidRPr="002D0634">
              <w:rPr>
                <w:rStyle w:val="Hyperlink"/>
                <w:noProof/>
              </w:rPr>
              <w:t>Senior executives</w:t>
            </w:r>
            <w:r w:rsidR="00817418">
              <w:rPr>
                <w:noProof/>
                <w:webHidden/>
              </w:rPr>
              <w:tab/>
            </w:r>
            <w:r w:rsidR="00817418">
              <w:rPr>
                <w:noProof/>
                <w:webHidden/>
              </w:rPr>
              <w:fldChar w:fldCharType="begin"/>
            </w:r>
            <w:r w:rsidR="00817418">
              <w:rPr>
                <w:noProof/>
                <w:webHidden/>
              </w:rPr>
              <w:instrText xml:space="preserve"> PAGEREF _Toc51068007 \h </w:instrText>
            </w:r>
            <w:r w:rsidR="00817418">
              <w:rPr>
                <w:noProof/>
                <w:webHidden/>
              </w:rPr>
            </w:r>
            <w:r w:rsidR="00817418">
              <w:rPr>
                <w:noProof/>
                <w:webHidden/>
              </w:rPr>
              <w:fldChar w:fldCharType="separate"/>
            </w:r>
            <w:r>
              <w:rPr>
                <w:noProof/>
                <w:webHidden/>
              </w:rPr>
              <w:t>122</w:t>
            </w:r>
            <w:r w:rsidR="00817418">
              <w:rPr>
                <w:noProof/>
                <w:webHidden/>
              </w:rPr>
              <w:fldChar w:fldCharType="end"/>
            </w:r>
          </w:hyperlink>
        </w:p>
        <w:p w14:paraId="7342C5FE" w14:textId="35FA6B04" w:rsidR="00817418" w:rsidRDefault="000B6734">
          <w:pPr>
            <w:pStyle w:val="TOC3"/>
            <w:rPr>
              <w:rFonts w:asciiTheme="minorHAnsi" w:hAnsiTheme="minorHAnsi" w:cstheme="minorBidi"/>
              <w:noProof/>
              <w:lang w:eastAsia="en-AU"/>
            </w:rPr>
          </w:pPr>
          <w:hyperlink w:anchor="_Toc51068008" w:history="1">
            <w:r w:rsidR="00817418" w:rsidRPr="002D0634">
              <w:rPr>
                <w:rStyle w:val="Hyperlink"/>
                <w:noProof/>
              </w:rPr>
              <w:t>5.6.4</w:t>
            </w:r>
            <w:r w:rsidR="00817418">
              <w:rPr>
                <w:rFonts w:asciiTheme="minorHAnsi" w:hAnsiTheme="minorHAnsi" w:cstheme="minorBidi"/>
                <w:noProof/>
                <w:lang w:eastAsia="en-AU"/>
              </w:rPr>
              <w:tab/>
            </w:r>
            <w:r w:rsidR="00817418" w:rsidRPr="002D0634">
              <w:rPr>
                <w:rStyle w:val="Hyperlink"/>
                <w:noProof/>
              </w:rPr>
              <w:t>Other highly paid staff</w:t>
            </w:r>
            <w:r w:rsidR="00817418">
              <w:rPr>
                <w:noProof/>
                <w:webHidden/>
              </w:rPr>
              <w:tab/>
            </w:r>
            <w:r w:rsidR="00817418">
              <w:rPr>
                <w:noProof/>
                <w:webHidden/>
              </w:rPr>
              <w:fldChar w:fldCharType="begin"/>
            </w:r>
            <w:r w:rsidR="00817418">
              <w:rPr>
                <w:noProof/>
                <w:webHidden/>
              </w:rPr>
              <w:instrText xml:space="preserve"> PAGEREF _Toc51068008 \h </w:instrText>
            </w:r>
            <w:r w:rsidR="00817418">
              <w:rPr>
                <w:noProof/>
                <w:webHidden/>
              </w:rPr>
            </w:r>
            <w:r w:rsidR="00817418">
              <w:rPr>
                <w:noProof/>
                <w:webHidden/>
              </w:rPr>
              <w:fldChar w:fldCharType="separate"/>
            </w:r>
            <w:r>
              <w:rPr>
                <w:noProof/>
                <w:webHidden/>
              </w:rPr>
              <w:t>124</w:t>
            </w:r>
            <w:r w:rsidR="00817418">
              <w:rPr>
                <w:noProof/>
                <w:webHidden/>
              </w:rPr>
              <w:fldChar w:fldCharType="end"/>
            </w:r>
          </w:hyperlink>
        </w:p>
        <w:p w14:paraId="63B29316" w14:textId="3F21EF3F" w:rsidR="00817418" w:rsidRDefault="000B6734">
          <w:pPr>
            <w:pStyle w:val="TOC2"/>
            <w:rPr>
              <w:rFonts w:asciiTheme="minorHAnsi" w:hAnsiTheme="minorHAnsi" w:cstheme="minorBidi"/>
              <w:noProof/>
              <w:lang w:eastAsia="en-AU"/>
            </w:rPr>
          </w:pPr>
          <w:hyperlink w:anchor="_Toc51068009" w:history="1">
            <w:r w:rsidR="00817418" w:rsidRPr="002D0634">
              <w:rPr>
                <w:rStyle w:val="Hyperlink"/>
                <w:noProof/>
              </w:rPr>
              <w:t>5.7</w:t>
            </w:r>
            <w:r w:rsidR="00817418">
              <w:rPr>
                <w:rFonts w:asciiTheme="minorHAnsi" w:hAnsiTheme="minorHAnsi" w:cstheme="minorBidi"/>
                <w:noProof/>
                <w:lang w:eastAsia="en-AU"/>
              </w:rPr>
              <w:tab/>
            </w:r>
            <w:r w:rsidR="00817418" w:rsidRPr="002D0634">
              <w:rPr>
                <w:rStyle w:val="Hyperlink"/>
                <w:noProof/>
              </w:rPr>
              <w:t>Reports by parliamentary committees</w:t>
            </w:r>
            <w:r w:rsidR="00817418">
              <w:rPr>
                <w:noProof/>
                <w:webHidden/>
              </w:rPr>
              <w:tab/>
            </w:r>
            <w:r w:rsidR="00817418">
              <w:rPr>
                <w:noProof/>
                <w:webHidden/>
              </w:rPr>
              <w:fldChar w:fldCharType="begin"/>
            </w:r>
            <w:r w:rsidR="00817418">
              <w:rPr>
                <w:noProof/>
                <w:webHidden/>
              </w:rPr>
              <w:instrText xml:space="preserve"> PAGEREF _Toc51068009 \h </w:instrText>
            </w:r>
            <w:r w:rsidR="00817418">
              <w:rPr>
                <w:noProof/>
                <w:webHidden/>
              </w:rPr>
            </w:r>
            <w:r w:rsidR="00817418">
              <w:rPr>
                <w:noProof/>
                <w:webHidden/>
              </w:rPr>
              <w:fldChar w:fldCharType="separate"/>
            </w:r>
            <w:r>
              <w:rPr>
                <w:noProof/>
                <w:webHidden/>
              </w:rPr>
              <w:t>125</w:t>
            </w:r>
            <w:r w:rsidR="00817418">
              <w:rPr>
                <w:noProof/>
                <w:webHidden/>
              </w:rPr>
              <w:fldChar w:fldCharType="end"/>
            </w:r>
          </w:hyperlink>
        </w:p>
        <w:p w14:paraId="54C1AFE6" w14:textId="7BAFB1AA" w:rsidR="00817418" w:rsidRDefault="000B6734">
          <w:pPr>
            <w:pStyle w:val="TOC2"/>
            <w:rPr>
              <w:rFonts w:asciiTheme="minorHAnsi" w:hAnsiTheme="minorHAnsi" w:cstheme="minorBidi"/>
              <w:noProof/>
              <w:lang w:eastAsia="en-AU"/>
            </w:rPr>
          </w:pPr>
          <w:hyperlink w:anchor="_Toc51068010" w:history="1">
            <w:r w:rsidR="00817418" w:rsidRPr="002D0634">
              <w:rPr>
                <w:rStyle w:val="Hyperlink"/>
                <w:noProof/>
              </w:rPr>
              <w:t>5.8</w:t>
            </w:r>
            <w:r w:rsidR="00817418">
              <w:rPr>
                <w:rFonts w:asciiTheme="minorHAnsi" w:hAnsiTheme="minorHAnsi" w:cstheme="minorBidi"/>
                <w:noProof/>
                <w:lang w:eastAsia="en-AU"/>
              </w:rPr>
              <w:tab/>
            </w:r>
            <w:r w:rsidR="00817418" w:rsidRPr="002D0634">
              <w:rPr>
                <w:rStyle w:val="Hyperlink"/>
                <w:noProof/>
              </w:rPr>
              <w:t>Judicial decisions and external reviews</w:t>
            </w:r>
            <w:r w:rsidR="00817418">
              <w:rPr>
                <w:noProof/>
                <w:webHidden/>
              </w:rPr>
              <w:tab/>
            </w:r>
            <w:r w:rsidR="00817418">
              <w:rPr>
                <w:noProof/>
                <w:webHidden/>
              </w:rPr>
              <w:fldChar w:fldCharType="begin"/>
            </w:r>
            <w:r w:rsidR="00817418">
              <w:rPr>
                <w:noProof/>
                <w:webHidden/>
              </w:rPr>
              <w:instrText xml:space="preserve"> PAGEREF _Toc51068010 \h </w:instrText>
            </w:r>
            <w:r w:rsidR="00817418">
              <w:rPr>
                <w:noProof/>
                <w:webHidden/>
              </w:rPr>
            </w:r>
            <w:r w:rsidR="00817418">
              <w:rPr>
                <w:noProof/>
                <w:webHidden/>
              </w:rPr>
              <w:fldChar w:fldCharType="separate"/>
            </w:r>
            <w:r>
              <w:rPr>
                <w:noProof/>
                <w:webHidden/>
              </w:rPr>
              <w:t>126</w:t>
            </w:r>
            <w:r w:rsidR="00817418">
              <w:rPr>
                <w:noProof/>
                <w:webHidden/>
              </w:rPr>
              <w:fldChar w:fldCharType="end"/>
            </w:r>
          </w:hyperlink>
        </w:p>
        <w:p w14:paraId="2585DC87" w14:textId="4BCF1B0A" w:rsidR="00817418" w:rsidRDefault="000B6734">
          <w:pPr>
            <w:pStyle w:val="TOC2"/>
            <w:rPr>
              <w:rFonts w:asciiTheme="minorHAnsi" w:hAnsiTheme="minorHAnsi" w:cstheme="minorBidi"/>
              <w:noProof/>
              <w:lang w:eastAsia="en-AU"/>
            </w:rPr>
          </w:pPr>
          <w:hyperlink w:anchor="_Toc51068011" w:history="1">
            <w:r w:rsidR="00817418" w:rsidRPr="002D0634">
              <w:rPr>
                <w:rStyle w:val="Hyperlink"/>
                <w:noProof/>
              </w:rPr>
              <w:t>5.9</w:t>
            </w:r>
            <w:r w:rsidR="00817418">
              <w:rPr>
                <w:rFonts w:asciiTheme="minorHAnsi" w:hAnsiTheme="minorHAnsi" w:cstheme="minorBidi"/>
                <w:noProof/>
                <w:lang w:eastAsia="en-AU"/>
              </w:rPr>
              <w:tab/>
            </w:r>
            <w:r w:rsidR="00817418" w:rsidRPr="002D0634">
              <w:rPr>
                <w:rStyle w:val="Hyperlink"/>
                <w:noProof/>
              </w:rPr>
              <w:t>Administrative Appeals Tribunal reviews and decisions</w:t>
            </w:r>
            <w:r w:rsidR="00817418">
              <w:rPr>
                <w:noProof/>
                <w:webHidden/>
              </w:rPr>
              <w:tab/>
            </w:r>
            <w:r w:rsidR="00817418">
              <w:rPr>
                <w:noProof/>
                <w:webHidden/>
              </w:rPr>
              <w:fldChar w:fldCharType="begin"/>
            </w:r>
            <w:r w:rsidR="00817418">
              <w:rPr>
                <w:noProof/>
                <w:webHidden/>
              </w:rPr>
              <w:instrText xml:space="preserve"> PAGEREF _Toc51068011 \h </w:instrText>
            </w:r>
            <w:r w:rsidR="00817418">
              <w:rPr>
                <w:noProof/>
                <w:webHidden/>
              </w:rPr>
            </w:r>
            <w:r w:rsidR="00817418">
              <w:rPr>
                <w:noProof/>
                <w:webHidden/>
              </w:rPr>
              <w:fldChar w:fldCharType="separate"/>
            </w:r>
            <w:r>
              <w:rPr>
                <w:noProof/>
                <w:webHidden/>
              </w:rPr>
              <w:t>128</w:t>
            </w:r>
            <w:r w:rsidR="00817418">
              <w:rPr>
                <w:noProof/>
                <w:webHidden/>
              </w:rPr>
              <w:fldChar w:fldCharType="end"/>
            </w:r>
          </w:hyperlink>
        </w:p>
        <w:p w14:paraId="1B69F5F2" w14:textId="715028E7" w:rsidR="00817418" w:rsidRDefault="000B6734">
          <w:pPr>
            <w:pStyle w:val="TOC2"/>
            <w:rPr>
              <w:rFonts w:asciiTheme="minorHAnsi" w:hAnsiTheme="minorHAnsi" w:cstheme="minorBidi"/>
              <w:noProof/>
              <w:lang w:eastAsia="en-AU"/>
            </w:rPr>
          </w:pPr>
          <w:hyperlink w:anchor="_Toc51068012" w:history="1">
            <w:r w:rsidR="00817418" w:rsidRPr="002D0634">
              <w:rPr>
                <w:rStyle w:val="Hyperlink"/>
                <w:noProof/>
              </w:rPr>
              <w:t>5.10</w:t>
            </w:r>
            <w:r w:rsidR="00817418">
              <w:rPr>
                <w:rFonts w:asciiTheme="minorHAnsi" w:hAnsiTheme="minorHAnsi" w:cstheme="minorBidi"/>
                <w:noProof/>
                <w:lang w:eastAsia="en-AU"/>
              </w:rPr>
              <w:tab/>
            </w:r>
            <w:r w:rsidR="00817418" w:rsidRPr="002D0634">
              <w:rPr>
                <w:rStyle w:val="Hyperlink"/>
                <w:noProof/>
              </w:rPr>
              <w:t>Other PGPA reportable items</w:t>
            </w:r>
            <w:r w:rsidR="00817418">
              <w:rPr>
                <w:noProof/>
                <w:webHidden/>
              </w:rPr>
              <w:tab/>
            </w:r>
            <w:r w:rsidR="00817418">
              <w:rPr>
                <w:noProof/>
                <w:webHidden/>
              </w:rPr>
              <w:fldChar w:fldCharType="begin"/>
            </w:r>
            <w:r w:rsidR="00817418">
              <w:rPr>
                <w:noProof/>
                <w:webHidden/>
              </w:rPr>
              <w:instrText xml:space="preserve"> PAGEREF _Toc51068012 \h </w:instrText>
            </w:r>
            <w:r w:rsidR="00817418">
              <w:rPr>
                <w:noProof/>
                <w:webHidden/>
              </w:rPr>
            </w:r>
            <w:r w:rsidR="00817418">
              <w:rPr>
                <w:noProof/>
                <w:webHidden/>
              </w:rPr>
              <w:fldChar w:fldCharType="separate"/>
            </w:r>
            <w:r>
              <w:rPr>
                <w:noProof/>
                <w:webHidden/>
              </w:rPr>
              <w:t>129</w:t>
            </w:r>
            <w:r w:rsidR="00817418">
              <w:rPr>
                <w:noProof/>
                <w:webHidden/>
              </w:rPr>
              <w:fldChar w:fldCharType="end"/>
            </w:r>
          </w:hyperlink>
        </w:p>
        <w:p w14:paraId="4B0D02A8" w14:textId="14D6490F" w:rsidR="00817418" w:rsidRDefault="000B6734">
          <w:pPr>
            <w:pStyle w:val="TOC2"/>
            <w:rPr>
              <w:rFonts w:asciiTheme="minorHAnsi" w:hAnsiTheme="minorHAnsi" w:cstheme="minorBidi"/>
              <w:noProof/>
              <w:lang w:eastAsia="en-AU"/>
            </w:rPr>
          </w:pPr>
          <w:hyperlink w:anchor="_Toc51068013" w:history="1">
            <w:r w:rsidR="00817418" w:rsidRPr="002D0634">
              <w:rPr>
                <w:rStyle w:val="Hyperlink"/>
                <w:noProof/>
              </w:rPr>
              <w:t>5.11</w:t>
            </w:r>
            <w:r w:rsidR="00817418">
              <w:rPr>
                <w:rFonts w:asciiTheme="minorHAnsi" w:hAnsiTheme="minorHAnsi" w:cstheme="minorBidi"/>
                <w:noProof/>
                <w:lang w:eastAsia="en-AU"/>
              </w:rPr>
              <w:tab/>
            </w:r>
            <w:r w:rsidR="00817418" w:rsidRPr="002D0634">
              <w:rPr>
                <w:rStyle w:val="Hyperlink"/>
                <w:noProof/>
              </w:rPr>
              <w:t>Advertising and market research</w:t>
            </w:r>
            <w:r w:rsidR="00817418">
              <w:rPr>
                <w:noProof/>
                <w:webHidden/>
              </w:rPr>
              <w:tab/>
            </w:r>
            <w:r w:rsidR="00817418">
              <w:rPr>
                <w:noProof/>
                <w:webHidden/>
              </w:rPr>
              <w:fldChar w:fldCharType="begin"/>
            </w:r>
            <w:r w:rsidR="00817418">
              <w:rPr>
                <w:noProof/>
                <w:webHidden/>
              </w:rPr>
              <w:instrText xml:space="preserve"> PAGEREF _Toc51068013 \h </w:instrText>
            </w:r>
            <w:r w:rsidR="00817418">
              <w:rPr>
                <w:noProof/>
                <w:webHidden/>
              </w:rPr>
            </w:r>
            <w:r w:rsidR="00817418">
              <w:rPr>
                <w:noProof/>
                <w:webHidden/>
              </w:rPr>
              <w:fldChar w:fldCharType="separate"/>
            </w:r>
            <w:r>
              <w:rPr>
                <w:noProof/>
                <w:webHidden/>
              </w:rPr>
              <w:t>129</w:t>
            </w:r>
            <w:r w:rsidR="00817418">
              <w:rPr>
                <w:noProof/>
                <w:webHidden/>
              </w:rPr>
              <w:fldChar w:fldCharType="end"/>
            </w:r>
          </w:hyperlink>
        </w:p>
        <w:p w14:paraId="4D2BB448" w14:textId="4A1F4180" w:rsidR="00817418" w:rsidRDefault="000B6734">
          <w:pPr>
            <w:pStyle w:val="TOC2"/>
            <w:rPr>
              <w:rFonts w:asciiTheme="minorHAnsi" w:hAnsiTheme="minorHAnsi" w:cstheme="minorBidi"/>
              <w:noProof/>
              <w:lang w:eastAsia="en-AU"/>
            </w:rPr>
          </w:pPr>
          <w:hyperlink w:anchor="_Toc51068014" w:history="1">
            <w:r w:rsidR="00817418" w:rsidRPr="002D0634">
              <w:rPr>
                <w:rStyle w:val="Hyperlink"/>
                <w:noProof/>
              </w:rPr>
              <w:t>5.12</w:t>
            </w:r>
            <w:r w:rsidR="00817418">
              <w:rPr>
                <w:rFonts w:asciiTheme="minorHAnsi" w:hAnsiTheme="minorHAnsi" w:cstheme="minorBidi"/>
                <w:noProof/>
                <w:lang w:eastAsia="en-AU"/>
              </w:rPr>
              <w:tab/>
            </w:r>
            <w:r w:rsidR="00817418" w:rsidRPr="002D0634">
              <w:rPr>
                <w:rStyle w:val="Hyperlink"/>
                <w:noProof/>
              </w:rPr>
              <w:t>Ecologically sustainable development and environmental performance</w:t>
            </w:r>
            <w:r w:rsidR="00817418">
              <w:rPr>
                <w:noProof/>
                <w:webHidden/>
              </w:rPr>
              <w:tab/>
            </w:r>
            <w:r w:rsidR="00817418">
              <w:rPr>
                <w:noProof/>
                <w:webHidden/>
              </w:rPr>
              <w:fldChar w:fldCharType="begin"/>
            </w:r>
            <w:r w:rsidR="00817418">
              <w:rPr>
                <w:noProof/>
                <w:webHidden/>
              </w:rPr>
              <w:instrText xml:space="preserve"> PAGEREF _Toc51068014 \h </w:instrText>
            </w:r>
            <w:r w:rsidR="00817418">
              <w:rPr>
                <w:noProof/>
                <w:webHidden/>
              </w:rPr>
            </w:r>
            <w:r w:rsidR="00817418">
              <w:rPr>
                <w:noProof/>
                <w:webHidden/>
              </w:rPr>
              <w:fldChar w:fldCharType="separate"/>
            </w:r>
            <w:r>
              <w:rPr>
                <w:noProof/>
                <w:webHidden/>
              </w:rPr>
              <w:t>131</w:t>
            </w:r>
            <w:r w:rsidR="00817418">
              <w:rPr>
                <w:noProof/>
                <w:webHidden/>
              </w:rPr>
              <w:fldChar w:fldCharType="end"/>
            </w:r>
          </w:hyperlink>
        </w:p>
        <w:p w14:paraId="20B0126A" w14:textId="4A2800C9" w:rsidR="00817418" w:rsidRDefault="000B6734">
          <w:pPr>
            <w:pStyle w:val="TOC2"/>
            <w:rPr>
              <w:rFonts w:asciiTheme="minorHAnsi" w:hAnsiTheme="minorHAnsi" w:cstheme="minorBidi"/>
              <w:noProof/>
              <w:lang w:eastAsia="en-AU"/>
            </w:rPr>
          </w:pPr>
          <w:hyperlink w:anchor="_Toc51068015" w:history="1">
            <w:r w:rsidR="00817418" w:rsidRPr="002D0634">
              <w:rPr>
                <w:rStyle w:val="Hyperlink"/>
                <w:noProof/>
              </w:rPr>
              <w:t>5.13</w:t>
            </w:r>
            <w:r w:rsidR="00817418">
              <w:rPr>
                <w:rFonts w:asciiTheme="minorHAnsi" w:hAnsiTheme="minorHAnsi" w:cstheme="minorBidi"/>
                <w:noProof/>
                <w:lang w:eastAsia="en-AU"/>
              </w:rPr>
              <w:tab/>
            </w:r>
            <w:r w:rsidR="00817418" w:rsidRPr="002D0634">
              <w:rPr>
                <w:rStyle w:val="Hyperlink"/>
                <w:noProof/>
              </w:rPr>
              <w:t>Compliance with Carer Recognition Act</w:t>
            </w:r>
            <w:r w:rsidR="00817418">
              <w:rPr>
                <w:noProof/>
                <w:webHidden/>
              </w:rPr>
              <w:tab/>
            </w:r>
            <w:r w:rsidR="00817418">
              <w:rPr>
                <w:noProof/>
                <w:webHidden/>
              </w:rPr>
              <w:fldChar w:fldCharType="begin"/>
            </w:r>
            <w:r w:rsidR="00817418">
              <w:rPr>
                <w:noProof/>
                <w:webHidden/>
              </w:rPr>
              <w:instrText xml:space="preserve"> PAGEREF _Toc51068015 \h </w:instrText>
            </w:r>
            <w:r w:rsidR="00817418">
              <w:rPr>
                <w:noProof/>
                <w:webHidden/>
              </w:rPr>
            </w:r>
            <w:r w:rsidR="00817418">
              <w:rPr>
                <w:noProof/>
                <w:webHidden/>
              </w:rPr>
              <w:fldChar w:fldCharType="separate"/>
            </w:r>
            <w:r>
              <w:rPr>
                <w:noProof/>
                <w:webHidden/>
              </w:rPr>
              <w:t>132</w:t>
            </w:r>
            <w:r w:rsidR="00817418">
              <w:rPr>
                <w:noProof/>
                <w:webHidden/>
              </w:rPr>
              <w:fldChar w:fldCharType="end"/>
            </w:r>
          </w:hyperlink>
        </w:p>
        <w:p w14:paraId="1DBF2156" w14:textId="20D2D6C3" w:rsidR="00817418" w:rsidRDefault="000B6734">
          <w:pPr>
            <w:pStyle w:val="TOC2"/>
            <w:rPr>
              <w:rFonts w:asciiTheme="minorHAnsi" w:hAnsiTheme="minorHAnsi" w:cstheme="minorBidi"/>
              <w:noProof/>
              <w:lang w:eastAsia="en-AU"/>
            </w:rPr>
          </w:pPr>
          <w:hyperlink w:anchor="_Toc51068016" w:history="1">
            <w:r w:rsidR="00817418" w:rsidRPr="002D0634">
              <w:rPr>
                <w:rStyle w:val="Hyperlink"/>
                <w:noProof/>
              </w:rPr>
              <w:t>5.14</w:t>
            </w:r>
            <w:r w:rsidR="00817418">
              <w:rPr>
                <w:rFonts w:asciiTheme="minorHAnsi" w:hAnsiTheme="minorHAnsi" w:cstheme="minorBidi"/>
                <w:noProof/>
                <w:lang w:eastAsia="en-AU"/>
              </w:rPr>
              <w:tab/>
            </w:r>
            <w:r w:rsidR="00817418" w:rsidRPr="002D0634">
              <w:rPr>
                <w:rStyle w:val="Hyperlink"/>
                <w:noProof/>
              </w:rPr>
              <w:t>Information on other specific statutory provisions</w:t>
            </w:r>
            <w:r w:rsidR="00817418">
              <w:rPr>
                <w:noProof/>
                <w:webHidden/>
              </w:rPr>
              <w:tab/>
            </w:r>
            <w:r w:rsidR="00817418">
              <w:rPr>
                <w:noProof/>
                <w:webHidden/>
              </w:rPr>
              <w:fldChar w:fldCharType="begin"/>
            </w:r>
            <w:r w:rsidR="00817418">
              <w:rPr>
                <w:noProof/>
                <w:webHidden/>
              </w:rPr>
              <w:instrText xml:space="preserve"> PAGEREF _Toc51068016 \h </w:instrText>
            </w:r>
            <w:r w:rsidR="00817418">
              <w:rPr>
                <w:noProof/>
                <w:webHidden/>
              </w:rPr>
            </w:r>
            <w:r w:rsidR="00817418">
              <w:rPr>
                <w:noProof/>
                <w:webHidden/>
              </w:rPr>
              <w:fldChar w:fldCharType="separate"/>
            </w:r>
            <w:r>
              <w:rPr>
                <w:noProof/>
                <w:webHidden/>
              </w:rPr>
              <w:t>133</w:t>
            </w:r>
            <w:r w:rsidR="00817418">
              <w:rPr>
                <w:noProof/>
                <w:webHidden/>
              </w:rPr>
              <w:fldChar w:fldCharType="end"/>
            </w:r>
          </w:hyperlink>
        </w:p>
        <w:p w14:paraId="486E95E4" w14:textId="727F4317" w:rsidR="00817418" w:rsidRDefault="000B6734">
          <w:pPr>
            <w:pStyle w:val="TOC2"/>
            <w:rPr>
              <w:rFonts w:asciiTheme="minorHAnsi" w:hAnsiTheme="minorHAnsi" w:cstheme="minorBidi"/>
              <w:noProof/>
              <w:lang w:eastAsia="en-AU"/>
            </w:rPr>
          </w:pPr>
          <w:hyperlink w:anchor="_Toc51068017" w:history="1">
            <w:r w:rsidR="00817418" w:rsidRPr="002D0634">
              <w:rPr>
                <w:rStyle w:val="Hyperlink"/>
                <w:noProof/>
              </w:rPr>
              <w:t>5.15</w:t>
            </w:r>
            <w:r w:rsidR="00817418">
              <w:rPr>
                <w:rFonts w:asciiTheme="minorHAnsi" w:hAnsiTheme="minorHAnsi" w:cstheme="minorBidi"/>
                <w:noProof/>
                <w:lang w:eastAsia="en-AU"/>
              </w:rPr>
              <w:tab/>
            </w:r>
            <w:r w:rsidR="00817418" w:rsidRPr="002D0634">
              <w:rPr>
                <w:rStyle w:val="Hyperlink"/>
                <w:noProof/>
              </w:rPr>
              <w:t>Glossary</w:t>
            </w:r>
            <w:r w:rsidR="00817418">
              <w:rPr>
                <w:noProof/>
                <w:webHidden/>
              </w:rPr>
              <w:tab/>
            </w:r>
            <w:r w:rsidR="00817418">
              <w:rPr>
                <w:noProof/>
                <w:webHidden/>
              </w:rPr>
              <w:fldChar w:fldCharType="begin"/>
            </w:r>
            <w:r w:rsidR="00817418">
              <w:rPr>
                <w:noProof/>
                <w:webHidden/>
              </w:rPr>
              <w:instrText xml:space="preserve"> PAGEREF _Toc51068017 \h </w:instrText>
            </w:r>
            <w:r w:rsidR="00817418">
              <w:rPr>
                <w:noProof/>
                <w:webHidden/>
              </w:rPr>
            </w:r>
            <w:r w:rsidR="00817418">
              <w:rPr>
                <w:noProof/>
                <w:webHidden/>
              </w:rPr>
              <w:fldChar w:fldCharType="separate"/>
            </w:r>
            <w:r>
              <w:rPr>
                <w:noProof/>
                <w:webHidden/>
              </w:rPr>
              <w:t>134</w:t>
            </w:r>
            <w:r w:rsidR="00817418">
              <w:rPr>
                <w:noProof/>
                <w:webHidden/>
              </w:rPr>
              <w:fldChar w:fldCharType="end"/>
            </w:r>
          </w:hyperlink>
        </w:p>
        <w:p w14:paraId="557927C4" w14:textId="7174BA06" w:rsidR="00817418" w:rsidRDefault="000B6734">
          <w:pPr>
            <w:pStyle w:val="TOC3"/>
            <w:rPr>
              <w:rFonts w:asciiTheme="minorHAnsi" w:hAnsiTheme="minorHAnsi" w:cstheme="minorBidi"/>
              <w:noProof/>
              <w:lang w:eastAsia="en-AU"/>
            </w:rPr>
          </w:pPr>
          <w:hyperlink w:anchor="_Toc51068018" w:history="1">
            <w:r w:rsidR="00817418" w:rsidRPr="002D0634">
              <w:rPr>
                <w:rStyle w:val="Hyperlink"/>
                <w:noProof/>
              </w:rPr>
              <w:t>5.15.1</w:t>
            </w:r>
            <w:r w:rsidR="00817418">
              <w:rPr>
                <w:rFonts w:asciiTheme="minorHAnsi" w:hAnsiTheme="minorHAnsi" w:cstheme="minorBidi"/>
                <w:noProof/>
                <w:lang w:eastAsia="en-AU"/>
              </w:rPr>
              <w:tab/>
            </w:r>
            <w:r w:rsidR="00817418" w:rsidRPr="002D0634">
              <w:rPr>
                <w:rStyle w:val="Hyperlink"/>
                <w:noProof/>
              </w:rPr>
              <w:t>Definitions</w:t>
            </w:r>
            <w:r w:rsidR="00817418">
              <w:rPr>
                <w:noProof/>
                <w:webHidden/>
              </w:rPr>
              <w:tab/>
            </w:r>
            <w:r w:rsidR="00817418">
              <w:rPr>
                <w:noProof/>
                <w:webHidden/>
              </w:rPr>
              <w:fldChar w:fldCharType="begin"/>
            </w:r>
            <w:r w:rsidR="00817418">
              <w:rPr>
                <w:noProof/>
                <w:webHidden/>
              </w:rPr>
              <w:instrText xml:space="preserve"> PAGEREF _Toc51068018 \h </w:instrText>
            </w:r>
            <w:r w:rsidR="00817418">
              <w:rPr>
                <w:noProof/>
                <w:webHidden/>
              </w:rPr>
            </w:r>
            <w:r w:rsidR="00817418">
              <w:rPr>
                <w:noProof/>
                <w:webHidden/>
              </w:rPr>
              <w:fldChar w:fldCharType="separate"/>
            </w:r>
            <w:r>
              <w:rPr>
                <w:noProof/>
                <w:webHidden/>
              </w:rPr>
              <w:t>134</w:t>
            </w:r>
            <w:r w:rsidR="00817418">
              <w:rPr>
                <w:noProof/>
                <w:webHidden/>
              </w:rPr>
              <w:fldChar w:fldCharType="end"/>
            </w:r>
          </w:hyperlink>
        </w:p>
        <w:p w14:paraId="23F75F2D" w14:textId="2FFB03A5" w:rsidR="00817418" w:rsidRDefault="000B6734">
          <w:pPr>
            <w:pStyle w:val="TOC3"/>
            <w:rPr>
              <w:rFonts w:asciiTheme="minorHAnsi" w:hAnsiTheme="minorHAnsi" w:cstheme="minorBidi"/>
              <w:noProof/>
              <w:lang w:eastAsia="en-AU"/>
            </w:rPr>
          </w:pPr>
          <w:hyperlink w:anchor="_Toc51068019" w:history="1">
            <w:r w:rsidR="00817418" w:rsidRPr="002D0634">
              <w:rPr>
                <w:rStyle w:val="Hyperlink"/>
                <w:noProof/>
              </w:rPr>
              <w:t>5.15.2</w:t>
            </w:r>
            <w:r w:rsidR="00817418">
              <w:rPr>
                <w:rFonts w:asciiTheme="minorHAnsi" w:hAnsiTheme="minorHAnsi" w:cstheme="minorBidi"/>
                <w:noProof/>
                <w:lang w:eastAsia="en-AU"/>
              </w:rPr>
              <w:tab/>
            </w:r>
            <w:r w:rsidR="00817418" w:rsidRPr="002D0634">
              <w:rPr>
                <w:rStyle w:val="Hyperlink"/>
                <w:noProof/>
              </w:rPr>
              <w:t>Acronyms</w:t>
            </w:r>
            <w:r w:rsidR="00817418">
              <w:rPr>
                <w:noProof/>
                <w:webHidden/>
              </w:rPr>
              <w:tab/>
            </w:r>
            <w:r w:rsidR="00817418">
              <w:rPr>
                <w:noProof/>
                <w:webHidden/>
              </w:rPr>
              <w:fldChar w:fldCharType="begin"/>
            </w:r>
            <w:r w:rsidR="00817418">
              <w:rPr>
                <w:noProof/>
                <w:webHidden/>
              </w:rPr>
              <w:instrText xml:space="preserve"> PAGEREF _Toc51068019 \h </w:instrText>
            </w:r>
            <w:r w:rsidR="00817418">
              <w:rPr>
                <w:noProof/>
                <w:webHidden/>
              </w:rPr>
            </w:r>
            <w:r w:rsidR="00817418">
              <w:rPr>
                <w:noProof/>
                <w:webHidden/>
              </w:rPr>
              <w:fldChar w:fldCharType="separate"/>
            </w:r>
            <w:r>
              <w:rPr>
                <w:noProof/>
                <w:webHidden/>
              </w:rPr>
              <w:t>135</w:t>
            </w:r>
            <w:r w:rsidR="00817418">
              <w:rPr>
                <w:noProof/>
                <w:webHidden/>
              </w:rPr>
              <w:fldChar w:fldCharType="end"/>
            </w:r>
          </w:hyperlink>
        </w:p>
        <w:p w14:paraId="640AF412" w14:textId="7E0A9F01" w:rsidR="00817418" w:rsidRDefault="000B6734">
          <w:pPr>
            <w:pStyle w:val="TOC1"/>
            <w:tabs>
              <w:tab w:val="left" w:pos="426"/>
              <w:tab w:val="right" w:leader="dot" w:pos="10025"/>
            </w:tabs>
            <w:rPr>
              <w:rFonts w:asciiTheme="minorHAnsi" w:hAnsiTheme="minorHAnsi" w:cstheme="minorBidi"/>
              <w:noProof/>
              <w:lang w:eastAsia="en-AU"/>
            </w:rPr>
          </w:pPr>
          <w:hyperlink w:anchor="_Toc51068020" w:history="1">
            <w:r w:rsidR="00817418" w:rsidRPr="002D0634">
              <w:rPr>
                <w:rStyle w:val="Hyperlink"/>
                <w:noProof/>
              </w:rPr>
              <w:t>6</w:t>
            </w:r>
            <w:r w:rsidR="00817418">
              <w:rPr>
                <w:rFonts w:asciiTheme="minorHAnsi" w:hAnsiTheme="minorHAnsi" w:cstheme="minorBidi"/>
                <w:noProof/>
                <w:lang w:eastAsia="en-AU"/>
              </w:rPr>
              <w:tab/>
            </w:r>
            <w:r w:rsidR="00817418" w:rsidRPr="002D0634">
              <w:rPr>
                <w:rStyle w:val="Hyperlink"/>
                <w:noProof/>
              </w:rPr>
              <w:t>Index</w:t>
            </w:r>
            <w:r w:rsidR="00817418">
              <w:rPr>
                <w:noProof/>
                <w:webHidden/>
              </w:rPr>
              <w:tab/>
            </w:r>
            <w:r w:rsidR="00817418">
              <w:rPr>
                <w:noProof/>
                <w:webHidden/>
              </w:rPr>
              <w:fldChar w:fldCharType="begin"/>
            </w:r>
            <w:r w:rsidR="00817418">
              <w:rPr>
                <w:noProof/>
                <w:webHidden/>
              </w:rPr>
              <w:instrText xml:space="preserve"> PAGEREF _Toc51068020 \h </w:instrText>
            </w:r>
            <w:r w:rsidR="00817418">
              <w:rPr>
                <w:noProof/>
                <w:webHidden/>
              </w:rPr>
            </w:r>
            <w:r w:rsidR="00817418">
              <w:rPr>
                <w:noProof/>
                <w:webHidden/>
              </w:rPr>
              <w:fldChar w:fldCharType="separate"/>
            </w:r>
            <w:r>
              <w:rPr>
                <w:noProof/>
                <w:webHidden/>
              </w:rPr>
              <w:t>138</w:t>
            </w:r>
            <w:r w:rsidR="00817418">
              <w:rPr>
                <w:noProof/>
                <w:webHidden/>
              </w:rPr>
              <w:fldChar w:fldCharType="end"/>
            </w:r>
          </w:hyperlink>
        </w:p>
        <w:p w14:paraId="1342559F" w14:textId="50C0227B" w:rsidR="00817418" w:rsidRDefault="000B6734">
          <w:pPr>
            <w:pStyle w:val="TOC2"/>
            <w:rPr>
              <w:rFonts w:asciiTheme="minorHAnsi" w:hAnsiTheme="minorHAnsi" w:cstheme="minorBidi"/>
              <w:noProof/>
              <w:lang w:eastAsia="en-AU"/>
            </w:rPr>
          </w:pPr>
          <w:hyperlink w:anchor="_Toc51068021" w:history="1">
            <w:r w:rsidR="00817418" w:rsidRPr="002D0634">
              <w:rPr>
                <w:rStyle w:val="Hyperlink"/>
                <w:noProof/>
              </w:rPr>
              <w:t>6.1</w:t>
            </w:r>
            <w:r w:rsidR="00817418">
              <w:rPr>
                <w:rFonts w:asciiTheme="minorHAnsi" w:hAnsiTheme="minorHAnsi" w:cstheme="minorBidi"/>
                <w:noProof/>
                <w:lang w:eastAsia="en-AU"/>
              </w:rPr>
              <w:tab/>
            </w:r>
            <w:r w:rsidR="00817418" w:rsidRPr="002D0634">
              <w:rPr>
                <w:rStyle w:val="Hyperlink"/>
                <w:noProof/>
              </w:rPr>
              <w:t>Compliance index</w:t>
            </w:r>
            <w:r w:rsidR="00817418">
              <w:rPr>
                <w:noProof/>
                <w:webHidden/>
              </w:rPr>
              <w:tab/>
            </w:r>
            <w:r w:rsidR="00817418">
              <w:rPr>
                <w:noProof/>
                <w:webHidden/>
              </w:rPr>
              <w:fldChar w:fldCharType="begin"/>
            </w:r>
            <w:r w:rsidR="00817418">
              <w:rPr>
                <w:noProof/>
                <w:webHidden/>
              </w:rPr>
              <w:instrText xml:space="preserve"> PAGEREF _Toc51068021 \h </w:instrText>
            </w:r>
            <w:r w:rsidR="00817418">
              <w:rPr>
                <w:noProof/>
                <w:webHidden/>
              </w:rPr>
            </w:r>
            <w:r w:rsidR="00817418">
              <w:rPr>
                <w:noProof/>
                <w:webHidden/>
              </w:rPr>
              <w:fldChar w:fldCharType="separate"/>
            </w:r>
            <w:r>
              <w:rPr>
                <w:noProof/>
                <w:webHidden/>
              </w:rPr>
              <w:t>138</w:t>
            </w:r>
            <w:r w:rsidR="00817418">
              <w:rPr>
                <w:noProof/>
                <w:webHidden/>
              </w:rPr>
              <w:fldChar w:fldCharType="end"/>
            </w:r>
          </w:hyperlink>
        </w:p>
        <w:p w14:paraId="72DB6AA2" w14:textId="558D0E04" w:rsidR="00817418" w:rsidRDefault="000B6734">
          <w:pPr>
            <w:pStyle w:val="TOC2"/>
            <w:rPr>
              <w:rFonts w:asciiTheme="minorHAnsi" w:hAnsiTheme="minorHAnsi" w:cstheme="minorBidi"/>
              <w:noProof/>
              <w:lang w:eastAsia="en-AU"/>
            </w:rPr>
          </w:pPr>
          <w:hyperlink w:anchor="_Toc51068022" w:history="1">
            <w:r w:rsidR="00817418" w:rsidRPr="002D0634">
              <w:rPr>
                <w:rStyle w:val="Hyperlink"/>
                <w:noProof/>
              </w:rPr>
              <w:t>6.2</w:t>
            </w:r>
            <w:r w:rsidR="00817418">
              <w:rPr>
                <w:rFonts w:asciiTheme="minorHAnsi" w:hAnsiTheme="minorHAnsi" w:cstheme="minorBidi"/>
                <w:noProof/>
                <w:lang w:eastAsia="en-AU"/>
              </w:rPr>
              <w:tab/>
            </w:r>
            <w:r w:rsidR="00817418" w:rsidRPr="002D0634">
              <w:rPr>
                <w:rStyle w:val="Hyperlink"/>
                <w:noProof/>
              </w:rPr>
              <w:t>Tables index</w:t>
            </w:r>
            <w:r w:rsidR="00817418">
              <w:rPr>
                <w:noProof/>
                <w:webHidden/>
              </w:rPr>
              <w:tab/>
            </w:r>
            <w:r w:rsidR="00817418">
              <w:rPr>
                <w:noProof/>
                <w:webHidden/>
              </w:rPr>
              <w:fldChar w:fldCharType="begin"/>
            </w:r>
            <w:r w:rsidR="00817418">
              <w:rPr>
                <w:noProof/>
                <w:webHidden/>
              </w:rPr>
              <w:instrText xml:space="preserve"> PAGEREF _Toc51068022 \h </w:instrText>
            </w:r>
            <w:r w:rsidR="00817418">
              <w:rPr>
                <w:noProof/>
                <w:webHidden/>
              </w:rPr>
            </w:r>
            <w:r w:rsidR="00817418">
              <w:rPr>
                <w:noProof/>
                <w:webHidden/>
              </w:rPr>
              <w:fldChar w:fldCharType="separate"/>
            </w:r>
            <w:r>
              <w:rPr>
                <w:noProof/>
                <w:webHidden/>
              </w:rPr>
              <w:t>142</w:t>
            </w:r>
            <w:r w:rsidR="00817418">
              <w:rPr>
                <w:noProof/>
                <w:webHidden/>
              </w:rPr>
              <w:fldChar w:fldCharType="end"/>
            </w:r>
          </w:hyperlink>
        </w:p>
        <w:p w14:paraId="6696B9B1" w14:textId="208DB1DB" w:rsidR="00817418" w:rsidRDefault="000B6734">
          <w:pPr>
            <w:pStyle w:val="TOC2"/>
            <w:rPr>
              <w:rFonts w:asciiTheme="minorHAnsi" w:hAnsiTheme="minorHAnsi" w:cstheme="minorBidi"/>
              <w:noProof/>
              <w:lang w:eastAsia="en-AU"/>
            </w:rPr>
          </w:pPr>
          <w:hyperlink w:anchor="_Toc51068023" w:history="1">
            <w:r w:rsidR="00817418" w:rsidRPr="002D0634">
              <w:rPr>
                <w:rStyle w:val="Hyperlink"/>
                <w:noProof/>
              </w:rPr>
              <w:t>6.3</w:t>
            </w:r>
            <w:r w:rsidR="00817418">
              <w:rPr>
                <w:rFonts w:asciiTheme="minorHAnsi" w:hAnsiTheme="minorHAnsi" w:cstheme="minorBidi"/>
                <w:noProof/>
                <w:lang w:eastAsia="en-AU"/>
              </w:rPr>
              <w:tab/>
            </w:r>
            <w:r w:rsidR="00817418" w:rsidRPr="002D0634">
              <w:rPr>
                <w:rStyle w:val="Hyperlink"/>
                <w:noProof/>
              </w:rPr>
              <w:t>Figures index</w:t>
            </w:r>
            <w:r w:rsidR="00817418">
              <w:rPr>
                <w:noProof/>
                <w:webHidden/>
              </w:rPr>
              <w:tab/>
            </w:r>
            <w:r w:rsidR="00817418">
              <w:rPr>
                <w:noProof/>
                <w:webHidden/>
              </w:rPr>
              <w:fldChar w:fldCharType="begin"/>
            </w:r>
            <w:r w:rsidR="00817418">
              <w:rPr>
                <w:noProof/>
                <w:webHidden/>
              </w:rPr>
              <w:instrText xml:space="preserve"> PAGEREF _Toc51068023 \h </w:instrText>
            </w:r>
            <w:r w:rsidR="00817418">
              <w:rPr>
                <w:noProof/>
                <w:webHidden/>
              </w:rPr>
            </w:r>
            <w:r w:rsidR="00817418">
              <w:rPr>
                <w:noProof/>
                <w:webHidden/>
              </w:rPr>
              <w:fldChar w:fldCharType="separate"/>
            </w:r>
            <w:r>
              <w:rPr>
                <w:noProof/>
                <w:webHidden/>
              </w:rPr>
              <w:t>143</w:t>
            </w:r>
            <w:r w:rsidR="00817418">
              <w:rPr>
                <w:noProof/>
                <w:webHidden/>
              </w:rPr>
              <w:fldChar w:fldCharType="end"/>
            </w:r>
          </w:hyperlink>
        </w:p>
        <w:p w14:paraId="319F4282" w14:textId="49ACA182" w:rsidR="00C52758" w:rsidRPr="00262F3A" w:rsidRDefault="00C52758">
          <w:r w:rsidRPr="00262F3A">
            <w:rPr>
              <w:b/>
              <w:bCs/>
              <w:noProof/>
            </w:rPr>
            <w:fldChar w:fldCharType="end"/>
          </w:r>
        </w:p>
      </w:sdtContent>
    </w:sdt>
    <w:p w14:paraId="45C74F97" w14:textId="77777777" w:rsidR="00775B02" w:rsidRPr="00262F3A" w:rsidRDefault="00775B02" w:rsidP="00561B3B">
      <w:r w:rsidRPr="00262F3A">
        <w:br w:type="page"/>
      </w:r>
    </w:p>
    <w:p w14:paraId="0A452FF2" w14:textId="77777777" w:rsidR="00775B02" w:rsidRPr="00262F3A" w:rsidRDefault="00775B02" w:rsidP="00084A73">
      <w:pPr>
        <w:pStyle w:val="Title"/>
      </w:pPr>
      <w:bookmarkStart w:id="1" w:name="_Toc51067955"/>
      <w:r w:rsidRPr="00262F3A">
        <w:lastRenderedPageBreak/>
        <w:t>Letter of transmittal</w:t>
      </w:r>
      <w:bookmarkEnd w:id="1"/>
    </w:p>
    <w:p w14:paraId="1B4D1375" w14:textId="77777777" w:rsidR="00775B02" w:rsidRPr="00262F3A" w:rsidRDefault="00C0257D" w:rsidP="00561B3B">
      <w:pPr>
        <w:pStyle w:val="BodyText"/>
        <w:rPr>
          <w:lang w:val="en-AU"/>
        </w:rPr>
      </w:pPr>
      <w:r w:rsidRPr="00262F3A">
        <w:rPr>
          <w:lang w:val="en-AU"/>
        </w:rPr>
        <w:t>Dear Minister</w:t>
      </w:r>
    </w:p>
    <w:p w14:paraId="76F04059" w14:textId="77777777" w:rsidR="00775B02" w:rsidRPr="00262F3A" w:rsidRDefault="00775B02" w:rsidP="00561B3B">
      <w:pPr>
        <w:pStyle w:val="BodyText"/>
        <w:rPr>
          <w:lang w:val="en-AU"/>
        </w:rPr>
      </w:pPr>
      <w:r w:rsidRPr="00262F3A">
        <w:rPr>
          <w:lang w:val="en-AU"/>
        </w:rPr>
        <w:t>On behalf of the National Disability Insurance Agency, I present to you the annual report for the reporting year 1 July 2019 to 30 June 2020.</w:t>
      </w:r>
    </w:p>
    <w:p w14:paraId="79E19628" w14:textId="77777777" w:rsidR="00775B02" w:rsidRPr="00262F3A" w:rsidRDefault="00775B02" w:rsidP="00561B3B">
      <w:pPr>
        <w:pStyle w:val="BodyText"/>
        <w:rPr>
          <w:lang w:val="en-AU"/>
        </w:rPr>
      </w:pPr>
      <w:r w:rsidRPr="00262F3A">
        <w:rPr>
          <w:lang w:val="en-AU"/>
        </w:rPr>
        <w:t xml:space="preserve">The report provides a detailed description of the Agency’s operations during the year and has been prepared in accordance with the </w:t>
      </w:r>
      <w:r w:rsidRPr="00262F3A">
        <w:rPr>
          <w:rStyle w:val="BodyTextItalic"/>
          <w:iCs w:val="0"/>
          <w:lang w:val="en-AU"/>
        </w:rPr>
        <w:t>Public Governance, Performance and Accountability Act 2013</w:t>
      </w:r>
      <w:r w:rsidRPr="00262F3A">
        <w:rPr>
          <w:lang w:val="en-AU"/>
        </w:rPr>
        <w:t xml:space="preserve"> (PGPA Act) and the </w:t>
      </w:r>
      <w:r w:rsidRPr="00262F3A">
        <w:rPr>
          <w:rStyle w:val="BodyTextItalic"/>
          <w:iCs w:val="0"/>
          <w:lang w:val="en-AU"/>
        </w:rPr>
        <w:t>National Disability Insurance Scheme Act 2013</w:t>
      </w:r>
      <w:r w:rsidRPr="00262F3A">
        <w:rPr>
          <w:lang w:val="en-AU"/>
        </w:rPr>
        <w:t xml:space="preserve"> (the NDIS Act).</w:t>
      </w:r>
    </w:p>
    <w:p w14:paraId="5E4A783D" w14:textId="77777777" w:rsidR="00775B02" w:rsidRPr="00262F3A" w:rsidRDefault="00775B02" w:rsidP="00561B3B">
      <w:pPr>
        <w:pStyle w:val="BodyText"/>
        <w:rPr>
          <w:lang w:val="en-AU"/>
        </w:rPr>
      </w:pPr>
      <w:r w:rsidRPr="00262F3A">
        <w:rPr>
          <w:lang w:val="en-AU"/>
        </w:rPr>
        <w:t>In accordance with section 39 of the PGPA Act, the report provides information about the Agency’s performance in achieving its purposes.</w:t>
      </w:r>
    </w:p>
    <w:p w14:paraId="69F391CD" w14:textId="77777777" w:rsidR="00775B02" w:rsidRPr="00262F3A" w:rsidRDefault="00775B02" w:rsidP="00561B3B">
      <w:pPr>
        <w:pStyle w:val="BodyText"/>
        <w:rPr>
          <w:lang w:val="en-AU"/>
        </w:rPr>
      </w:pPr>
      <w:r w:rsidRPr="00262F3A">
        <w:rPr>
          <w:lang w:val="en-AU"/>
        </w:rPr>
        <w:t>The report includes a copy of the Agency’s annual financial statements and the Auditor-General’s report as prescribed by subsection 43(4) of the PGPA Act.</w:t>
      </w:r>
    </w:p>
    <w:p w14:paraId="402D56EA" w14:textId="1A7C2874" w:rsidR="00775B02" w:rsidRPr="00262F3A" w:rsidRDefault="00775B02" w:rsidP="00561B3B">
      <w:pPr>
        <w:pStyle w:val="BodyText"/>
        <w:rPr>
          <w:lang w:val="en-AU"/>
        </w:rPr>
      </w:pPr>
      <w:r w:rsidRPr="00262F3A">
        <w:rPr>
          <w:lang w:val="en-AU"/>
        </w:rPr>
        <w:t xml:space="preserve">The report is made in accordance with a resolution of the Board of Directors, on </w:t>
      </w:r>
      <w:r w:rsidR="00817418">
        <w:rPr>
          <w:lang w:val="en-AU"/>
        </w:rPr>
        <w:t>15 September 2020</w:t>
      </w:r>
      <w:r w:rsidRPr="00262F3A">
        <w:rPr>
          <w:lang w:val="en-AU"/>
        </w:rPr>
        <w:t>, who are responsible for its preparation and content</w:t>
      </w:r>
      <w:r w:rsidR="00B32D4D">
        <w:rPr>
          <w:lang w:val="en-AU"/>
        </w:rPr>
        <w:t>,</w:t>
      </w:r>
      <w:r w:rsidRPr="00262F3A">
        <w:rPr>
          <w:lang w:val="en-AU"/>
        </w:rPr>
        <w:t xml:space="preserve"> and is being provided to you as the responsible minister under section 46 of the PGPA Act.</w:t>
      </w:r>
    </w:p>
    <w:p w14:paraId="266C2900" w14:textId="77777777" w:rsidR="00775B02" w:rsidRPr="00262F3A" w:rsidRDefault="00775B02" w:rsidP="00561B3B">
      <w:pPr>
        <w:pStyle w:val="BodyText"/>
        <w:rPr>
          <w:lang w:val="en-AU"/>
        </w:rPr>
      </w:pPr>
      <w:r w:rsidRPr="00262F3A">
        <w:rPr>
          <w:lang w:val="en-AU"/>
        </w:rPr>
        <w:t>The incorporated summary of the Annual Financial Sustainability Report 2019–20 and the inclusion of the reviewing actuary’s report fulfils the Agency’s obligations under subsection 172(4) of the NDIS Act.</w:t>
      </w:r>
    </w:p>
    <w:p w14:paraId="73A7303E" w14:textId="7F837C91" w:rsidR="00775B02" w:rsidRPr="00262F3A" w:rsidRDefault="00775B02">
      <w:pPr>
        <w:pStyle w:val="BodyText"/>
        <w:rPr>
          <w:lang w:val="en-AU"/>
        </w:rPr>
      </w:pPr>
      <w:r w:rsidRPr="00262F3A">
        <w:rPr>
          <w:lang w:val="en-AU"/>
        </w:rPr>
        <w:t>Yours sincerely</w:t>
      </w:r>
      <w:r w:rsidR="007D299F">
        <w:rPr>
          <w:lang w:val="en-AU"/>
        </w:rPr>
        <w:br/>
      </w:r>
    </w:p>
    <w:p w14:paraId="6FF2A5BE" w14:textId="77777777" w:rsidR="00775B02" w:rsidRPr="00262F3A" w:rsidRDefault="00BC6F3A" w:rsidP="00561B3B">
      <w:r w:rsidRPr="00262F3A">
        <w:t xml:space="preserve">Dr </w:t>
      </w:r>
      <w:r w:rsidR="00775B02" w:rsidRPr="00262F3A">
        <w:t>Helen Nugent</w:t>
      </w:r>
      <w:r w:rsidRPr="00262F3A">
        <w:t xml:space="preserve"> AO</w:t>
      </w:r>
      <w:r w:rsidRPr="00262F3A">
        <w:br/>
      </w:r>
      <w:r w:rsidR="00775B02" w:rsidRPr="00262F3A">
        <w:t>Chairman</w:t>
      </w:r>
      <w:r w:rsidRPr="00262F3A">
        <w:br/>
      </w:r>
      <w:r w:rsidR="00775B02" w:rsidRPr="00262F3A">
        <w:t>National Disability Insurance Agency</w:t>
      </w:r>
    </w:p>
    <w:p w14:paraId="4ACD6787" w14:textId="2828A244" w:rsidR="00775B02" w:rsidRPr="00262F3A" w:rsidRDefault="00817418" w:rsidP="00561B3B">
      <w:r>
        <w:t>15 September 2020</w:t>
      </w:r>
    </w:p>
    <w:p w14:paraId="45098979" w14:textId="77777777" w:rsidR="00775B02" w:rsidRPr="00262F3A" w:rsidRDefault="00775B02" w:rsidP="00561B3B"/>
    <w:p w14:paraId="19EBC239" w14:textId="77777777" w:rsidR="00775B02" w:rsidRPr="00262F3A" w:rsidRDefault="00775B02" w:rsidP="00561B3B">
      <w:r w:rsidRPr="00262F3A">
        <w:br w:type="page"/>
      </w:r>
    </w:p>
    <w:p w14:paraId="0486C154" w14:textId="77777777" w:rsidR="00C0257D" w:rsidRPr="00262F3A" w:rsidRDefault="00C0257D" w:rsidP="00561B3B">
      <w:pPr>
        <w:pStyle w:val="Heading1"/>
      </w:pPr>
      <w:bookmarkStart w:id="2" w:name="_Toc51067956"/>
      <w:r w:rsidRPr="00262F3A">
        <w:lastRenderedPageBreak/>
        <w:t>Introduction</w:t>
      </w:r>
      <w:bookmarkEnd w:id="2"/>
    </w:p>
    <w:p w14:paraId="40B364F8" w14:textId="7D28E670" w:rsidR="009B3991" w:rsidRPr="00262F3A" w:rsidRDefault="009B3991" w:rsidP="00561B3B">
      <w:r w:rsidRPr="00262F3A">
        <w:t>The 2019–20 Annual Report for the National Disability Insurance Agency (the Agency</w:t>
      </w:r>
      <w:r w:rsidR="00302F3B" w:rsidRPr="00262F3A">
        <w:t xml:space="preserve"> or NDIA</w:t>
      </w:r>
      <w:r w:rsidRPr="00262F3A">
        <w:t xml:space="preserve">) is prepared in accordance with legislative requirements. It summarises the Agency’s performance from 1 July 2019 until 30 June 2020. This includes how the Agency fulfilled the principles set out in the </w:t>
      </w:r>
      <w:r w:rsidRPr="00262F3A">
        <w:rPr>
          <w:i/>
        </w:rPr>
        <w:t>National Disability Insurance Scheme Act 2013</w:t>
      </w:r>
      <w:r w:rsidRPr="00262F3A">
        <w:t xml:space="preserve"> (NDIS Act). </w:t>
      </w:r>
    </w:p>
    <w:p w14:paraId="3D355370" w14:textId="77777777" w:rsidR="00C0257D" w:rsidRPr="00262F3A" w:rsidRDefault="009B3991" w:rsidP="008F00D1">
      <w:pPr>
        <w:pStyle w:val="Heading2"/>
      </w:pPr>
      <w:bookmarkStart w:id="3" w:name="_Toc51067957"/>
      <w:r w:rsidRPr="00262F3A">
        <w:t>Acknowledgement</w:t>
      </w:r>
      <w:bookmarkEnd w:id="3"/>
    </w:p>
    <w:p w14:paraId="52E45604" w14:textId="77777777" w:rsidR="002727E7" w:rsidRDefault="002727E7" w:rsidP="00AD7BDA">
      <w:pPr>
        <w:rPr>
          <w:rFonts w:ascii="Calibri" w:eastAsia="Calibri" w:hAnsi="Calibri"/>
          <w:lang w:eastAsia="en-US"/>
        </w:rPr>
      </w:pPr>
      <w:r>
        <w:t>We acknowledge and pay our respects to fellow Australians with disability - and reconfirm our commitment to the mission of the NDIS to contribute to a just and inclusive Australia where all can reach their full potential and contribution.  We support the objectives of the Convention on the Rights of Persons with Disabilities.</w:t>
      </w:r>
    </w:p>
    <w:p w14:paraId="34723916" w14:textId="77777777" w:rsidR="009B3991" w:rsidRPr="00262F3A" w:rsidRDefault="009B3991" w:rsidP="00561B3B">
      <w:r w:rsidRPr="00262F3A">
        <w:t>The Agency also acknowledges the Traditional Owners and Custodians of the country throughout Australia, and their continuing connection to land, sea and community. We pay our respects to their Elders, past, present and emerging.</w:t>
      </w:r>
    </w:p>
    <w:p w14:paraId="1D04DF1B" w14:textId="77777777" w:rsidR="009B3991" w:rsidRPr="00262F3A" w:rsidRDefault="00BF350C" w:rsidP="008F00D1">
      <w:pPr>
        <w:pStyle w:val="Heading2"/>
      </w:pPr>
      <w:bookmarkStart w:id="4" w:name="_Toc51067958"/>
      <w:r w:rsidRPr="00262F3A">
        <w:t>Chairman</w:t>
      </w:r>
      <w:r w:rsidR="002C054D" w:rsidRPr="00262F3A">
        <w:t>’s r</w:t>
      </w:r>
      <w:r w:rsidRPr="00262F3A">
        <w:t>eview</w:t>
      </w:r>
      <w:bookmarkEnd w:id="4"/>
    </w:p>
    <w:p w14:paraId="5EEFC7AD" w14:textId="77777777" w:rsidR="001A0D9F" w:rsidRPr="00262F3A" w:rsidRDefault="001A0D9F" w:rsidP="001A0D9F">
      <w:r w:rsidRPr="00262F3A">
        <w:t>The National Disability Insurance Agency has a singular focus: to help participants improve their outcomes.</w:t>
      </w:r>
    </w:p>
    <w:p w14:paraId="2FCC32E2" w14:textId="77777777" w:rsidR="001A0D9F" w:rsidRPr="00262F3A" w:rsidRDefault="001A0D9F" w:rsidP="001A0D9F">
      <w:r w:rsidRPr="00262F3A">
        <w:t xml:space="preserve">2020 was a landmark year for the National Disability Insurance Scheme. </w:t>
      </w:r>
    </w:p>
    <w:p w14:paraId="47C8C551" w14:textId="7412C6D8" w:rsidR="001A0D9F" w:rsidRPr="00262F3A" w:rsidRDefault="001A0D9F" w:rsidP="001A0D9F">
      <w:r w:rsidRPr="00262F3A">
        <w:t>Seven years after the launch of the Scheme, and four years after the move from Trial to Transition, the Scheme is now available to all eligible participants t</w:t>
      </w:r>
      <w:r w:rsidR="004D102E" w:rsidRPr="00262F3A">
        <w:t>hroughout Australia, with over 39</w:t>
      </w:r>
      <w:r w:rsidRPr="00262F3A">
        <w:t>0,000 participants benefiting from the supports provided. But, from a participant perspective, the delivery of faster and improved services has also been significant. The time to deliver access decisions and first plans dramatically reduced; participant satisfaction rates climbed to over 80 per</w:t>
      </w:r>
      <w:r w:rsidR="00742B72">
        <w:t xml:space="preserve"> </w:t>
      </w:r>
      <w:r w:rsidRPr="00262F3A">
        <w:t>cent; the number of reviewable decisions declined; and the percent</w:t>
      </w:r>
      <w:r w:rsidR="00B32D4D">
        <w:t>age</w:t>
      </w:r>
      <w:r w:rsidRPr="00262F3A">
        <w:t xml:space="preserve"> of complaints fell to a record low. That reflects better service for participants. </w:t>
      </w:r>
    </w:p>
    <w:p w14:paraId="7C469D9F" w14:textId="7D4073C7" w:rsidR="001A0D9F" w:rsidRPr="00262F3A" w:rsidRDefault="001A0D9F" w:rsidP="001A0D9F">
      <w:r w:rsidRPr="00262F3A">
        <w:t xml:space="preserve">This has not happened by chance.  It has happened </w:t>
      </w:r>
      <w:r w:rsidR="00AD7BDA">
        <w:t xml:space="preserve">because of the ability to commit additional resources; </w:t>
      </w:r>
      <w:r w:rsidRPr="00262F3A">
        <w:t>through the energy and commitment of the Minister, the senior management team under the leadership of our new Chief Executive Officer</w:t>
      </w:r>
      <w:r w:rsidR="00B32D4D">
        <w:t xml:space="preserve"> (CEO)</w:t>
      </w:r>
      <w:r w:rsidRPr="00262F3A">
        <w:t>, Martin Hoffman, and through the dedication of front line staff and partners. Simplified and streamlined processes have also been important.</w:t>
      </w:r>
    </w:p>
    <w:p w14:paraId="3C19DDDD" w14:textId="5F0F5F73" w:rsidR="001A0D9F" w:rsidRPr="00262F3A" w:rsidRDefault="001A0D9F" w:rsidP="001A0D9F">
      <w:r w:rsidRPr="00262F3A">
        <w:t>Most importantly, the year saw improved outcomes for participants: participants exercising more choice and control in their decision</w:t>
      </w:r>
      <w:r w:rsidR="00B32D4D">
        <w:t>-</w:t>
      </w:r>
      <w:r w:rsidRPr="00262F3A">
        <w:t xml:space="preserve">making; more carers joining the workforce; greater social inclusion for participants; and better health outcomes for some participants. </w:t>
      </w:r>
    </w:p>
    <w:p w14:paraId="47613FED" w14:textId="77777777" w:rsidR="001A0D9F" w:rsidRPr="00262F3A" w:rsidRDefault="001A0D9F" w:rsidP="001A0D9F">
      <w:r w:rsidRPr="00262F3A">
        <w:t xml:space="preserve">And, in the latter part of the year, those improvements occurred at the same time as participants faced the challenge of COVID-19.  Participants were front and centre as we recognised that the challenges they faced were greater than most other groups in society.  </w:t>
      </w:r>
    </w:p>
    <w:p w14:paraId="78DE3C5D" w14:textId="3D7C665C" w:rsidR="001A0D9F" w:rsidRPr="00262F3A" w:rsidRDefault="001A0D9F" w:rsidP="001A0D9F">
      <w:r w:rsidRPr="00262F3A">
        <w:t>In consultation with participants and providers, we learned together as events unfolded.  We made it easier for participants to access supports; we made technology more accessible so they could get support without leaving home; we helped negotiate easier  access to supermarket deliveries;  and we made it possible for providers to access personal protective equipment so that participants and provider staff could be safe.  Between March and June we made over 6</w:t>
      </w:r>
      <w:r w:rsidR="005610A1" w:rsidRPr="00262F3A">
        <w:t>5</w:t>
      </w:r>
      <w:r w:rsidRPr="00262F3A">
        <w:t xml:space="preserve">,000 care calls to the Scheme’s most </w:t>
      </w:r>
      <w:r w:rsidR="00162CBE">
        <w:t>at-risk</w:t>
      </w:r>
      <w:r w:rsidR="00162CBE" w:rsidRPr="00262F3A">
        <w:t xml:space="preserve"> </w:t>
      </w:r>
      <w:r w:rsidRPr="00262F3A">
        <w:t xml:space="preserve">participants.  And that has continued into the next stage of restrictions in Victoria.  Through those calls, we have sought to let participants know we care about them as an individual and that they are not alone during this dark hour.  Meeting the needs of participants in disability homes has also been a core focus as we work with providers and other </w:t>
      </w:r>
      <w:r w:rsidR="00B32D4D">
        <w:t>s</w:t>
      </w:r>
      <w:r w:rsidRPr="00262F3A">
        <w:t xml:space="preserve">tate and </w:t>
      </w:r>
      <w:r w:rsidR="00B32D4D">
        <w:t>f</w:t>
      </w:r>
      <w:r w:rsidRPr="00262F3A">
        <w:t>ederal agencies to keep participants as safe as possible.  Nonetheless, a small number of participants have passed away. We offer our sincere condolences to their family and friends.</w:t>
      </w:r>
    </w:p>
    <w:p w14:paraId="00BEB0C1" w14:textId="77777777" w:rsidR="001A0D9F" w:rsidRPr="00262F3A" w:rsidRDefault="001A0D9F" w:rsidP="001A0D9F">
      <w:r w:rsidRPr="00262F3A">
        <w:lastRenderedPageBreak/>
        <w:t>Our unrelenting focus on participants will continue and be amplified over the coming year, particularly through the early implementation of the Participant Service Guarantee.  At the same time, we will respond to any challenges that COVID might bring, while striving to simplify and streamline the way we serve participants and those who provide supports to them.</w:t>
      </w:r>
    </w:p>
    <w:p w14:paraId="2E8F7E0F" w14:textId="30863FB3" w:rsidR="001A0D9F" w:rsidRPr="00262F3A" w:rsidRDefault="001A0D9F" w:rsidP="001A0D9F">
      <w:r w:rsidRPr="00262F3A">
        <w:t>The Board and management are equally focused on getting it right for participants.  The CEO and his committed leadership team have made a real difference, as did Vicki Rundle</w:t>
      </w:r>
      <w:r w:rsidR="00B32D4D">
        <w:t>,</w:t>
      </w:r>
      <w:r w:rsidRPr="00262F3A">
        <w:t xml:space="preserve"> who was interim CEO before Martin joined.</w:t>
      </w:r>
    </w:p>
    <w:p w14:paraId="51E3C3CA" w14:textId="10DB0D11" w:rsidR="001A0D9F" w:rsidRPr="00262F3A" w:rsidRDefault="001A0D9F" w:rsidP="001A0D9F">
      <w:r w:rsidRPr="00262F3A">
        <w:t>So too have my dedicated colleagues on the Board.  In particular, I wish to acknowledge and thank the Chairmen of the Board Committees, who bear a disproportionate workload: Estelle Pearson</w:t>
      </w:r>
      <w:r w:rsidR="00B32D4D">
        <w:t>,</w:t>
      </w:r>
      <w:r w:rsidRPr="00262F3A">
        <w:t xml:space="preserve"> Sandra Birkensleigh</w:t>
      </w:r>
      <w:r w:rsidR="00B32D4D">
        <w:t>,</w:t>
      </w:r>
      <w:r w:rsidRPr="00262F3A">
        <w:t xml:space="preserve"> Jim Minto</w:t>
      </w:r>
      <w:r w:rsidR="00B32D4D">
        <w:t>,</w:t>
      </w:r>
      <w:r w:rsidRPr="00262F3A">
        <w:t xml:space="preserve"> Paul O’Sullivan</w:t>
      </w:r>
      <w:r w:rsidR="00B32D4D">
        <w:t>,</w:t>
      </w:r>
      <w:r w:rsidRPr="00262F3A">
        <w:t xml:space="preserve"> and Robyn Kruk.</w:t>
      </w:r>
    </w:p>
    <w:p w14:paraId="29DB0685" w14:textId="77777777" w:rsidR="001A0D9F" w:rsidRPr="00262F3A" w:rsidRDefault="001A0D9F" w:rsidP="001A0D9F">
      <w:r w:rsidRPr="00262F3A">
        <w:t>In addition, I pay a heartfelt tribute to John Walsh, who throughout the past year so ably led the Independent Advisory Council, through whose membership the voice of the participant resonates so profoundly with their frank, wise and fearless advice. Subsequent to the end of the financial year, John has advised of his intention to resign from the Board.  The Board and all participants are in John’s debt for the legacy of the Scheme that he fought for and profoundly shaped. We know he will remain a passionate advocate for the Scheme.</w:t>
      </w:r>
    </w:p>
    <w:p w14:paraId="5295EE4A" w14:textId="54CABC1A" w:rsidR="001A0D9F" w:rsidRPr="00262F3A" w:rsidRDefault="001A0D9F" w:rsidP="001A0D9F">
      <w:r w:rsidRPr="00262F3A">
        <w:t xml:space="preserve">We will also greatly miss another founding Director, Martin Laverty, </w:t>
      </w:r>
      <w:r w:rsidR="00B32D4D">
        <w:t>with his</w:t>
      </w:r>
      <w:r w:rsidRPr="00262F3A">
        <w:t xml:space="preserve"> background as a lawyer and his </w:t>
      </w:r>
      <w:r w:rsidR="00B32D4D">
        <w:t xml:space="preserve">boundless </w:t>
      </w:r>
      <w:r w:rsidRPr="00262F3A">
        <w:t>passion for the Scheme.  Andrea Staines also made a significant contribution through her first-hand knowledge of disability, as well as her insights into using technology to the benefit of participants.  We also welcomed Jane Burns</w:t>
      </w:r>
      <w:r w:rsidR="00B32D4D">
        <w:t>,</w:t>
      </w:r>
      <w:r w:rsidRPr="00262F3A">
        <w:t xml:space="preserve"> who brings with her a wealth of knowledge of mental health and first -hand experience of disability.</w:t>
      </w:r>
    </w:p>
    <w:p w14:paraId="5CE35BC8" w14:textId="39E5C00E" w:rsidR="001A0D9F" w:rsidRPr="00262F3A" w:rsidRDefault="001A0D9F" w:rsidP="001A0D9F">
      <w:r w:rsidRPr="00262F3A">
        <w:t>In conclusion, I wish to acknowledge the many participants, providers and representatives of the sector with whom I have had the privilege of interacting over the past year, COVID-19 notwithstanding.  I gain insight, wisdom and strength from each of you and I thank you for your ongoing commitment to the Scheme.</w:t>
      </w:r>
      <w:r w:rsidR="00BF350C" w:rsidRPr="00262F3A">
        <w:t xml:space="preserve"> </w:t>
      </w:r>
    </w:p>
    <w:p w14:paraId="1944EBC3" w14:textId="77777777" w:rsidR="00BF350C" w:rsidRPr="00262F3A" w:rsidRDefault="001A0D9F" w:rsidP="008F00D1">
      <w:pPr>
        <w:pStyle w:val="Heading2"/>
      </w:pPr>
      <w:bookmarkStart w:id="5" w:name="_Toc51067959"/>
      <w:r w:rsidRPr="00262F3A">
        <w:t xml:space="preserve">Chief </w:t>
      </w:r>
      <w:r w:rsidR="00BF350C" w:rsidRPr="00262F3A">
        <w:t xml:space="preserve">Executive Officer’s </w:t>
      </w:r>
      <w:r w:rsidR="002C054D" w:rsidRPr="00262F3A">
        <w:t>r</w:t>
      </w:r>
      <w:r w:rsidR="00BF350C" w:rsidRPr="00262F3A">
        <w:t>eview</w:t>
      </w:r>
      <w:bookmarkEnd w:id="5"/>
    </w:p>
    <w:p w14:paraId="18C13F6A" w14:textId="77777777" w:rsidR="009117D3" w:rsidRDefault="009117D3" w:rsidP="009117D3">
      <w:pPr>
        <w:rPr>
          <w:lang w:eastAsia="en-US"/>
        </w:rPr>
      </w:pPr>
      <w:r>
        <w:rPr>
          <w:lang w:eastAsia="en-US"/>
        </w:rPr>
        <w:t xml:space="preserve">I joined the Agency as CEO on 4 November 2019. I’m proud to be leading the Agency at this critical time as we make the transition from establishing a world-first Scheme, to improving the experience and outcomes our participants achieve with the Scheme. </w:t>
      </w:r>
    </w:p>
    <w:p w14:paraId="4F5A2C75" w14:textId="77777777" w:rsidR="009117D3" w:rsidRDefault="009117D3" w:rsidP="009117D3">
      <w:pPr>
        <w:rPr>
          <w:lang w:eastAsia="en-US"/>
        </w:rPr>
      </w:pPr>
      <w:r>
        <w:rPr>
          <w:lang w:eastAsia="en-US"/>
        </w:rPr>
        <w:t xml:space="preserve">This Annual Report sets out the significant achievements we made this year on that journey, culminating in the Scheme being fully available throughout Australia on 30 June 2020, and serving almost 400,000 participants with over a third of those receiving supports from government for the first time. </w:t>
      </w:r>
    </w:p>
    <w:p w14:paraId="2F1FE34D" w14:textId="77777777" w:rsidR="009117D3" w:rsidRDefault="009117D3" w:rsidP="009117D3">
      <w:pPr>
        <w:rPr>
          <w:lang w:eastAsia="en-US"/>
        </w:rPr>
      </w:pPr>
      <w:r>
        <w:rPr>
          <w:lang w:eastAsia="en-US"/>
        </w:rPr>
        <w:t>Most importantly, the Report highlights the positive impact the Scheme is having on the lives of participants. Participants are making more of their own decisions, are much more involved in the community and are better positioned to undertake activities that interest them.</w:t>
      </w:r>
    </w:p>
    <w:p w14:paraId="7837DC4B" w14:textId="77777777" w:rsidR="009117D3" w:rsidRDefault="009117D3" w:rsidP="009117D3">
      <w:pPr>
        <w:rPr>
          <w:lang w:eastAsia="en-US"/>
        </w:rPr>
      </w:pPr>
      <w:r>
        <w:rPr>
          <w:lang w:eastAsia="en-US"/>
        </w:rPr>
        <w:t>We also made significant improvements in the operating efficiency of the Agency. Getting the operational detail right means we have a better chance of having the Scheme deliver on its real purpose – a different life trajectory for people with disability.</w:t>
      </w:r>
    </w:p>
    <w:p w14:paraId="50563D21" w14:textId="6816C961" w:rsidR="009117D3" w:rsidRDefault="009117D3" w:rsidP="00AF2A24">
      <w:pPr>
        <w:pStyle w:val="ListParagraph"/>
        <w:numPr>
          <w:ilvl w:val="0"/>
          <w:numId w:val="43"/>
        </w:numPr>
        <w:rPr>
          <w:lang w:eastAsia="en-US"/>
        </w:rPr>
      </w:pPr>
      <w:r>
        <w:rPr>
          <w:lang w:eastAsia="en-US"/>
        </w:rPr>
        <w:t>In the June quarter, we had the lowest absolute number of complaints since June 2018, and that was when the Scheme had less than half the number of participants we do now.</w:t>
      </w:r>
    </w:p>
    <w:p w14:paraId="1773F402" w14:textId="77D12C41" w:rsidR="009117D3" w:rsidRDefault="00F526B2" w:rsidP="00AF2A24">
      <w:pPr>
        <w:pStyle w:val="ListParagraph"/>
        <w:numPr>
          <w:ilvl w:val="0"/>
          <w:numId w:val="43"/>
        </w:numPr>
        <w:rPr>
          <w:lang w:eastAsia="en-US"/>
        </w:rPr>
      </w:pPr>
      <w:r w:rsidRPr="00F526B2">
        <w:rPr>
          <w:lang w:eastAsia="en-US"/>
        </w:rPr>
        <w:t>Our Satisfaction Survey results in the June quarter (based on a random sample of over 5</w:t>
      </w:r>
      <w:r w:rsidR="00742B72">
        <w:rPr>
          <w:lang w:eastAsia="en-US"/>
        </w:rPr>
        <w:t>,</w:t>
      </w:r>
      <w:r w:rsidRPr="00F526B2">
        <w:rPr>
          <w:lang w:eastAsia="en-US"/>
        </w:rPr>
        <w:t>500 participants with ongoing oversight and input from the</w:t>
      </w:r>
      <w:r>
        <w:rPr>
          <w:lang w:eastAsia="en-US"/>
        </w:rPr>
        <w:t xml:space="preserve"> </w:t>
      </w:r>
      <w:r w:rsidR="009117D3">
        <w:rPr>
          <w:lang w:eastAsia="en-US"/>
        </w:rPr>
        <w:t>I</w:t>
      </w:r>
      <w:r w:rsidR="00745271">
        <w:rPr>
          <w:lang w:eastAsia="en-US"/>
        </w:rPr>
        <w:t xml:space="preserve">ndependent </w:t>
      </w:r>
      <w:r w:rsidR="009117D3">
        <w:rPr>
          <w:lang w:eastAsia="en-US"/>
        </w:rPr>
        <w:t>A</w:t>
      </w:r>
      <w:r w:rsidR="00745271">
        <w:rPr>
          <w:lang w:eastAsia="en-US"/>
        </w:rPr>
        <w:t xml:space="preserve">dvisory </w:t>
      </w:r>
      <w:r w:rsidR="009117D3">
        <w:rPr>
          <w:lang w:eastAsia="en-US"/>
        </w:rPr>
        <w:t>C</w:t>
      </w:r>
      <w:r w:rsidR="00745271">
        <w:rPr>
          <w:lang w:eastAsia="en-US"/>
        </w:rPr>
        <w:t>ommittee</w:t>
      </w:r>
      <w:r w:rsidR="009117D3">
        <w:rPr>
          <w:lang w:eastAsia="en-US"/>
        </w:rPr>
        <w:t xml:space="preserve">) </w:t>
      </w:r>
      <w:r w:rsidRPr="00F526B2">
        <w:rPr>
          <w:lang w:eastAsia="en-US"/>
        </w:rPr>
        <w:t>recorded our highest scores</w:t>
      </w:r>
      <w:r w:rsidR="00E23539">
        <w:rPr>
          <w:lang w:eastAsia="en-US"/>
        </w:rPr>
        <w:t>,</w:t>
      </w:r>
      <w:r w:rsidR="00E23539" w:rsidRPr="00F526B2">
        <w:rPr>
          <w:lang w:eastAsia="en-US"/>
        </w:rPr>
        <w:t xml:space="preserve"> </w:t>
      </w:r>
      <w:r w:rsidRPr="00F526B2">
        <w:rPr>
          <w:lang w:eastAsia="en-US"/>
        </w:rPr>
        <w:t>averaging over 83 per cent satisfaction across access, pre-planning, first-plans and plan reviews</w:t>
      </w:r>
      <w:r w:rsidR="009117D3">
        <w:rPr>
          <w:lang w:eastAsia="en-US"/>
        </w:rPr>
        <w:t>.</w:t>
      </w:r>
    </w:p>
    <w:p w14:paraId="56649C1C" w14:textId="7CA21424" w:rsidR="009117D3" w:rsidRDefault="009117D3" w:rsidP="00AF2A24">
      <w:pPr>
        <w:pStyle w:val="ListParagraph"/>
        <w:numPr>
          <w:ilvl w:val="0"/>
          <w:numId w:val="43"/>
        </w:numPr>
        <w:rPr>
          <w:lang w:eastAsia="en-US"/>
        </w:rPr>
      </w:pPr>
      <w:r>
        <w:rPr>
          <w:lang w:eastAsia="en-US"/>
        </w:rPr>
        <w:t>We are getting more than 90 per cent of reviews of reviewable decisions done in less than 60 days, with more than 95 per cent of any resulting plan changes being implemented in less than 28 days.</w:t>
      </w:r>
    </w:p>
    <w:p w14:paraId="6CC5BE87" w14:textId="2E9BB792" w:rsidR="009117D3" w:rsidRDefault="009117D3" w:rsidP="00AF2A24">
      <w:pPr>
        <w:pStyle w:val="ListParagraph"/>
        <w:numPr>
          <w:ilvl w:val="0"/>
          <w:numId w:val="43"/>
        </w:numPr>
        <w:rPr>
          <w:lang w:eastAsia="en-US"/>
        </w:rPr>
      </w:pPr>
      <w:r>
        <w:rPr>
          <w:lang w:eastAsia="en-US"/>
        </w:rPr>
        <w:t>In September 2019 we had 8</w:t>
      </w:r>
      <w:r w:rsidR="001E7ACB">
        <w:rPr>
          <w:lang w:eastAsia="en-US"/>
        </w:rPr>
        <w:t>,</w:t>
      </w:r>
      <w:r>
        <w:rPr>
          <w:lang w:eastAsia="en-US"/>
        </w:rPr>
        <w:t>400 review cases open</w:t>
      </w:r>
      <w:r w:rsidR="00E23539">
        <w:rPr>
          <w:lang w:eastAsia="en-US"/>
        </w:rPr>
        <w:t xml:space="preserve">; </w:t>
      </w:r>
      <w:r>
        <w:rPr>
          <w:lang w:eastAsia="en-US"/>
        </w:rPr>
        <w:t>at June 2020 it was down to 2</w:t>
      </w:r>
      <w:r w:rsidR="001E7ACB">
        <w:rPr>
          <w:lang w:eastAsia="en-US"/>
        </w:rPr>
        <w:t>,</w:t>
      </w:r>
      <w:r>
        <w:rPr>
          <w:lang w:eastAsia="en-US"/>
        </w:rPr>
        <w:t>100.</w:t>
      </w:r>
    </w:p>
    <w:p w14:paraId="792B3182" w14:textId="31FA3620" w:rsidR="009117D3" w:rsidRDefault="009117D3" w:rsidP="00AF2A24">
      <w:pPr>
        <w:pStyle w:val="ListParagraph"/>
        <w:numPr>
          <w:ilvl w:val="0"/>
          <w:numId w:val="43"/>
        </w:numPr>
        <w:rPr>
          <w:lang w:eastAsia="en-US"/>
        </w:rPr>
      </w:pPr>
      <w:r>
        <w:rPr>
          <w:lang w:eastAsia="en-US"/>
        </w:rPr>
        <w:lastRenderedPageBreak/>
        <w:t>Our focus on Participant Requested Plan Reviews is working too</w:t>
      </w:r>
      <w:r w:rsidR="00E23539">
        <w:rPr>
          <w:lang w:eastAsia="en-US"/>
        </w:rPr>
        <w:t xml:space="preserve">, </w:t>
      </w:r>
      <w:r>
        <w:rPr>
          <w:lang w:eastAsia="en-US"/>
        </w:rPr>
        <w:t>in June 2019 we had 7</w:t>
      </w:r>
      <w:r w:rsidR="001E7ACB">
        <w:rPr>
          <w:lang w:eastAsia="en-US"/>
        </w:rPr>
        <w:t>,</w:t>
      </w:r>
      <w:r>
        <w:rPr>
          <w:lang w:eastAsia="en-US"/>
        </w:rPr>
        <w:t>300 open reviews</w:t>
      </w:r>
      <w:r w:rsidR="00E23539">
        <w:rPr>
          <w:lang w:eastAsia="en-US"/>
        </w:rPr>
        <w:t xml:space="preserve">; </w:t>
      </w:r>
      <w:r>
        <w:rPr>
          <w:lang w:eastAsia="en-US"/>
        </w:rPr>
        <w:t>at June 2020 it was down to 2</w:t>
      </w:r>
      <w:r w:rsidR="001E7ACB">
        <w:rPr>
          <w:lang w:eastAsia="en-US"/>
        </w:rPr>
        <w:t>,</w:t>
      </w:r>
      <w:r>
        <w:rPr>
          <w:lang w:eastAsia="en-US"/>
        </w:rPr>
        <w:t>200.</w:t>
      </w:r>
    </w:p>
    <w:p w14:paraId="09173ACC" w14:textId="7598D278" w:rsidR="009117D3" w:rsidRDefault="009117D3" w:rsidP="00AF2A24">
      <w:pPr>
        <w:pStyle w:val="ListParagraph"/>
        <w:numPr>
          <w:ilvl w:val="0"/>
          <w:numId w:val="43"/>
        </w:numPr>
        <w:rPr>
          <w:lang w:eastAsia="en-US"/>
        </w:rPr>
      </w:pPr>
      <w:r>
        <w:rPr>
          <w:lang w:eastAsia="en-US"/>
        </w:rPr>
        <w:t xml:space="preserve">In June 2020, access decisions on average took 10 days, </w:t>
      </w:r>
      <w:r w:rsidR="001E7ACB">
        <w:rPr>
          <w:lang w:eastAsia="en-US"/>
        </w:rPr>
        <w:t>four</w:t>
      </w:r>
      <w:r>
        <w:rPr>
          <w:lang w:eastAsia="en-US"/>
        </w:rPr>
        <w:t xml:space="preserve"> times faster than 12 months ago. The average number of days to receive a first plan is 67 days, 50 per cent lower than 12 months ago.</w:t>
      </w:r>
    </w:p>
    <w:p w14:paraId="739B3902" w14:textId="77777777" w:rsidR="009117D3" w:rsidRDefault="009117D3" w:rsidP="009117D3">
      <w:pPr>
        <w:rPr>
          <w:lang w:eastAsia="en-US"/>
        </w:rPr>
      </w:pPr>
      <w:r>
        <w:rPr>
          <w:lang w:eastAsia="en-US"/>
        </w:rPr>
        <w:t>And all this has been done through a year when we also added 106,000 new participants and were dealing with a pandemic and all that has meant for Australia.</w:t>
      </w:r>
    </w:p>
    <w:p w14:paraId="4C2DE59F" w14:textId="77777777" w:rsidR="009117D3" w:rsidRDefault="009117D3" w:rsidP="009117D3">
      <w:pPr>
        <w:rPr>
          <w:lang w:eastAsia="en-US"/>
        </w:rPr>
      </w:pPr>
      <w:r>
        <w:rPr>
          <w:lang w:eastAsia="en-US"/>
        </w:rPr>
        <w:t xml:space="preserve">These are all just operating statistics – but we never forget each one represents an interaction with a real person, a participant and their family. </w:t>
      </w:r>
    </w:p>
    <w:p w14:paraId="79048BAC" w14:textId="77777777" w:rsidR="009117D3" w:rsidRDefault="009117D3" w:rsidP="009117D3">
      <w:pPr>
        <w:rPr>
          <w:lang w:eastAsia="en-US"/>
        </w:rPr>
      </w:pPr>
      <w:r>
        <w:rPr>
          <w:lang w:eastAsia="en-US"/>
        </w:rPr>
        <w:t>The Annual Report also gives a sense of the future direction of our journey, which of course is set out in more detail in the 2020-24 Corporate Plan.</w:t>
      </w:r>
    </w:p>
    <w:p w14:paraId="4AAF46B1" w14:textId="4C4D2C76" w:rsidR="009117D3" w:rsidRDefault="009117D3" w:rsidP="009117D3">
      <w:pPr>
        <w:rPr>
          <w:lang w:eastAsia="en-US"/>
        </w:rPr>
      </w:pPr>
      <w:r>
        <w:rPr>
          <w:lang w:eastAsia="en-US"/>
        </w:rPr>
        <w:t>I want to focus also on the intangibles – how the Agency will act and feel both internally and</w:t>
      </w:r>
      <w:r w:rsidR="00E23539">
        <w:rPr>
          <w:lang w:eastAsia="en-US"/>
        </w:rPr>
        <w:t>,</w:t>
      </w:r>
      <w:r>
        <w:rPr>
          <w:lang w:eastAsia="en-US"/>
        </w:rPr>
        <w:t xml:space="preserve"> even more importantly, externally</w:t>
      </w:r>
      <w:r w:rsidR="00E23539">
        <w:rPr>
          <w:lang w:eastAsia="en-US"/>
        </w:rPr>
        <w:t xml:space="preserve">: </w:t>
      </w:r>
      <w:r>
        <w:rPr>
          <w:lang w:eastAsia="en-US"/>
        </w:rPr>
        <w:t>how we will make real our culture and values. Again, this Report sets out the progress we have already made on this front.</w:t>
      </w:r>
    </w:p>
    <w:p w14:paraId="14AFAF78" w14:textId="7B98B7DA" w:rsidR="009117D3" w:rsidRDefault="009117D3" w:rsidP="009117D3">
      <w:pPr>
        <w:rPr>
          <w:lang w:eastAsia="en-US"/>
        </w:rPr>
      </w:pPr>
      <w:r>
        <w:rPr>
          <w:lang w:eastAsia="en-US"/>
        </w:rPr>
        <w:t>We will have a renewed focus on our participants, constantly asking ourselves: if I was a participant or my child was, how would I want things to happen? And of course many of our staff are just that</w:t>
      </w:r>
      <w:r w:rsidR="007B0675">
        <w:rPr>
          <w:lang w:eastAsia="en-US"/>
        </w:rPr>
        <w:t xml:space="preserve">: </w:t>
      </w:r>
      <w:r>
        <w:rPr>
          <w:lang w:eastAsia="en-US"/>
        </w:rPr>
        <w:t>participants or close family members of participants.</w:t>
      </w:r>
    </w:p>
    <w:p w14:paraId="07B9CE0D" w14:textId="77777777" w:rsidR="009117D3" w:rsidRDefault="009117D3" w:rsidP="009117D3">
      <w:pPr>
        <w:rPr>
          <w:lang w:eastAsia="en-US"/>
        </w:rPr>
      </w:pPr>
      <w:r>
        <w:rPr>
          <w:lang w:eastAsia="en-US"/>
        </w:rPr>
        <w:t>We will have a greater sense of urgency and pace in everything we do; decision velocity matters, just as decision quality does.</w:t>
      </w:r>
    </w:p>
    <w:p w14:paraId="097CBF4D" w14:textId="77777777" w:rsidR="009117D3" w:rsidRDefault="009117D3" w:rsidP="009117D3">
      <w:pPr>
        <w:rPr>
          <w:lang w:eastAsia="en-US"/>
        </w:rPr>
      </w:pPr>
      <w:r>
        <w:rPr>
          <w:lang w:eastAsia="en-US"/>
        </w:rPr>
        <w:t>We will be resisting the tendency towards the bureaucratic inward focus on process and form for its own sake, and instead take an outward focus on the participant experience and outcomes.</w:t>
      </w:r>
    </w:p>
    <w:p w14:paraId="19DAE2D9" w14:textId="77777777" w:rsidR="009117D3" w:rsidRDefault="009117D3" w:rsidP="009117D3">
      <w:pPr>
        <w:rPr>
          <w:lang w:eastAsia="en-US"/>
        </w:rPr>
      </w:pPr>
      <w:r>
        <w:rPr>
          <w:lang w:eastAsia="en-US"/>
        </w:rPr>
        <w:t>We will continue to improve how we engage about the Agency, our guidelines and decision making. Co-design and consultation will be real and meaningful. We’ll show a willingness to genuinely listen even if we don’t always agree, and willingness to say directly where we don’t agree and not skirt around it.</w:t>
      </w:r>
    </w:p>
    <w:p w14:paraId="3593E679" w14:textId="77777777" w:rsidR="009117D3" w:rsidRDefault="009117D3" w:rsidP="009117D3">
      <w:pPr>
        <w:rPr>
          <w:lang w:eastAsia="en-US"/>
        </w:rPr>
      </w:pPr>
      <w:r>
        <w:rPr>
          <w:lang w:eastAsia="en-US"/>
        </w:rPr>
        <w:t>We’ll also be working more closely with the other service systems – such as health, education, justice – across all jurisdictions that interact with our participants to reduce complexity.</w:t>
      </w:r>
    </w:p>
    <w:p w14:paraId="6B3D2189" w14:textId="77777777" w:rsidR="009117D3" w:rsidRDefault="009117D3" w:rsidP="009117D3">
      <w:pPr>
        <w:rPr>
          <w:lang w:eastAsia="en-US"/>
        </w:rPr>
      </w:pPr>
      <w:r>
        <w:rPr>
          <w:lang w:eastAsia="en-US"/>
        </w:rPr>
        <w:t>We will continue to focus on maintaining a high performing, high engagement, flexible and fast-moving culture.</w:t>
      </w:r>
    </w:p>
    <w:p w14:paraId="639DD803" w14:textId="77777777" w:rsidR="009117D3" w:rsidRDefault="009117D3" w:rsidP="009117D3">
      <w:pPr>
        <w:rPr>
          <w:lang w:eastAsia="en-US"/>
        </w:rPr>
      </w:pPr>
      <w:r>
        <w:rPr>
          <w:lang w:eastAsia="en-US"/>
        </w:rPr>
        <w:t>In my time with the Agency, I have been impressed by the passion and commitment of our workforce. Our staff and Partners in the Community teams have demonstrated the Agency’s resilience throughout the recent challenging times of severe bushfires and the COVID-19 pandemic. I thank them all for their incredible efforts over the last year.</w:t>
      </w:r>
    </w:p>
    <w:p w14:paraId="53936384" w14:textId="0375BE8F" w:rsidR="009117D3" w:rsidRDefault="009117D3" w:rsidP="009117D3">
      <w:pPr>
        <w:rPr>
          <w:lang w:eastAsia="en-US"/>
        </w:rPr>
      </w:pPr>
      <w:r>
        <w:rPr>
          <w:lang w:eastAsia="en-US"/>
        </w:rPr>
        <w:t>I must recognise Vicki Rundle, who acted as CEO before my appointment and then continued as a Deputy providing tremendous support and guidance. Vicki left for a senior leadership role at the Department of Veteran</w:t>
      </w:r>
      <w:r w:rsidR="00E23539">
        <w:rPr>
          <w:lang w:eastAsia="en-US"/>
        </w:rPr>
        <w:t>s’</w:t>
      </w:r>
      <w:r>
        <w:rPr>
          <w:lang w:eastAsia="en-US"/>
        </w:rPr>
        <w:t xml:space="preserve"> Affairs at the end of the year, leaving a lasting contribution to the Scheme.</w:t>
      </w:r>
    </w:p>
    <w:p w14:paraId="19511A35" w14:textId="77777777" w:rsidR="009117D3" w:rsidRDefault="009117D3" w:rsidP="009117D3">
      <w:pPr>
        <w:rPr>
          <w:lang w:eastAsia="en-US"/>
        </w:rPr>
      </w:pPr>
      <w:r>
        <w:rPr>
          <w:lang w:eastAsia="en-US"/>
        </w:rPr>
        <w:t>I also want to sincerely thank the many individual participants, families and carers, representative organisations, providers and peak bodies with whom we engage in many different ways for their expert assistance, support and encouragement, and for holding us to account too.</w:t>
      </w:r>
    </w:p>
    <w:p w14:paraId="28A93810" w14:textId="77777777" w:rsidR="009117D3" w:rsidRDefault="009117D3" w:rsidP="009117D3">
      <w:pPr>
        <w:rPr>
          <w:lang w:eastAsia="en-US"/>
        </w:rPr>
      </w:pPr>
      <w:r>
        <w:rPr>
          <w:lang w:eastAsia="en-US"/>
        </w:rPr>
        <w:t>I should also acknowledge our colleagues at the NDIS Quality and Safeguards Commission and the Department of Social Services, with whom we work closely to deliver the Scheme.</w:t>
      </w:r>
    </w:p>
    <w:p w14:paraId="5669D166" w14:textId="77777777" w:rsidR="009117D3" w:rsidRDefault="009117D3" w:rsidP="009117D3">
      <w:pPr>
        <w:rPr>
          <w:lang w:eastAsia="en-US"/>
        </w:rPr>
      </w:pPr>
      <w:r>
        <w:rPr>
          <w:lang w:eastAsia="en-US"/>
        </w:rPr>
        <w:t>I want to thank Helen Nugent as Chairman and the whole Board for its unstinting support and commitment to me and the whole Agency, in the interests of the Scheme and its participants. And the Independent Advisory Council for its significant and expert contribution over the year.</w:t>
      </w:r>
    </w:p>
    <w:p w14:paraId="78FBB896" w14:textId="77777777" w:rsidR="001716C9" w:rsidRDefault="009117D3" w:rsidP="001716C9">
      <w:r>
        <w:t>Let me close by stating simply that the whole Agency team and I are committed to bringing the Scheme ever closer to fulfilling the promise made to Australians living with disability. 2019-20 saw the Agency improve in delivering on that promise, with further progress to come.</w:t>
      </w:r>
    </w:p>
    <w:p w14:paraId="5BBDC1EF" w14:textId="6BE548CD" w:rsidR="00E26548" w:rsidRPr="00262F3A" w:rsidRDefault="00E26548" w:rsidP="001716C9">
      <w:pPr>
        <w:pStyle w:val="Heading2"/>
      </w:pPr>
      <w:bookmarkStart w:id="6" w:name="_Toc51067960"/>
      <w:r w:rsidRPr="00262F3A">
        <w:lastRenderedPageBreak/>
        <w:t>The National Disability Insurance Scheme</w:t>
      </w:r>
      <w:bookmarkEnd w:id="6"/>
      <w:r w:rsidRPr="00262F3A">
        <w:t xml:space="preserve"> </w:t>
      </w:r>
    </w:p>
    <w:p w14:paraId="19C5C9C4" w14:textId="7C25DFE1" w:rsidR="00E26548" w:rsidRPr="00262F3A" w:rsidRDefault="00E26548" w:rsidP="00E26548">
      <w:pPr>
        <w:rPr>
          <w:rFonts w:eastAsiaTheme="minorHAnsi"/>
          <w:lang w:eastAsia="en-US"/>
        </w:rPr>
      </w:pPr>
      <w:r w:rsidRPr="00262F3A">
        <w:rPr>
          <w:rFonts w:eastAsiaTheme="minorHAnsi"/>
          <w:lang w:eastAsia="en-US"/>
        </w:rPr>
        <w:t xml:space="preserve">The National Disability Insurance Scheme </w:t>
      </w:r>
      <w:r w:rsidR="00EC57BF" w:rsidRPr="00262F3A">
        <w:rPr>
          <w:rFonts w:eastAsiaTheme="minorHAnsi"/>
          <w:lang w:eastAsia="en-US"/>
        </w:rPr>
        <w:t xml:space="preserve">(NDIS or the Scheme) </w:t>
      </w:r>
      <w:r w:rsidRPr="00262F3A">
        <w:rPr>
          <w:rFonts w:eastAsiaTheme="minorHAnsi"/>
          <w:lang w:eastAsia="en-US"/>
        </w:rPr>
        <w:t>is a fundamental shift in the way Australians with a significant and permanent disability access supports. It ensures that all eligible Australians under the age of 65 years who have a permanent and significant disability can get the reasonable and necessary supports they need.</w:t>
      </w:r>
    </w:p>
    <w:p w14:paraId="53DA12CF" w14:textId="77777777" w:rsidR="00E26548" w:rsidRPr="00262F3A" w:rsidRDefault="00E26548" w:rsidP="00E26548">
      <w:pPr>
        <w:rPr>
          <w:rFonts w:eastAsiaTheme="minorHAnsi"/>
          <w:lang w:eastAsia="en-US"/>
        </w:rPr>
      </w:pPr>
      <w:r w:rsidRPr="00262F3A">
        <w:rPr>
          <w:rFonts w:eastAsiaTheme="minorHAnsi"/>
          <w:lang w:eastAsia="en-US"/>
        </w:rPr>
        <w:t>Under the Scheme, eligible people, known as participants, are given a plan of supports that is developed and tailored to their individual needs. A plan may include informal supports that a person receives through family or friends and from mainstream or other community services. If required, the Scheme will also fund reasonable and necessary supports that help participants achieve their goals.</w:t>
      </w:r>
    </w:p>
    <w:p w14:paraId="70106849" w14:textId="31CCE7F5" w:rsidR="00E26548" w:rsidRPr="00262F3A" w:rsidRDefault="00E26548" w:rsidP="00E26548">
      <w:pPr>
        <w:rPr>
          <w:rFonts w:eastAsiaTheme="minorHAnsi"/>
          <w:lang w:eastAsia="en-US"/>
        </w:rPr>
      </w:pPr>
      <w:r w:rsidRPr="00262F3A">
        <w:rPr>
          <w:rFonts w:eastAsiaTheme="minorHAnsi"/>
          <w:lang w:eastAsia="en-US"/>
        </w:rPr>
        <w:t xml:space="preserve">Participant choice and control are core features of the Scheme’s design. In this market-based system, participants work closely with planners and Local Area Coordinators </w:t>
      </w:r>
      <w:r w:rsidR="00DA6D2E">
        <w:rPr>
          <w:rFonts w:eastAsiaTheme="minorHAnsi"/>
          <w:lang w:eastAsia="en-US"/>
        </w:rPr>
        <w:t xml:space="preserve">(LACs) </w:t>
      </w:r>
      <w:r w:rsidRPr="00262F3A">
        <w:rPr>
          <w:rFonts w:eastAsiaTheme="minorHAnsi"/>
          <w:lang w:eastAsia="en-US"/>
        </w:rPr>
        <w:t>to determine a plan that focuses on their individual goals. Participants can choose their providers and move between them, rather than having providers selected for them.</w:t>
      </w:r>
    </w:p>
    <w:p w14:paraId="407DB799" w14:textId="77777777" w:rsidR="00E26548" w:rsidRPr="00262F3A" w:rsidRDefault="00E26548" w:rsidP="00E26548">
      <w:pPr>
        <w:rPr>
          <w:rFonts w:eastAsiaTheme="minorHAnsi"/>
          <w:lang w:eastAsia="en-US"/>
        </w:rPr>
      </w:pPr>
      <w:r w:rsidRPr="00262F3A">
        <w:rPr>
          <w:rFonts w:eastAsiaTheme="minorHAnsi"/>
          <w:lang w:eastAsia="en-US"/>
        </w:rPr>
        <w:t xml:space="preserve">On 1 July 2020 Christmas Island and Cocos Island joined the Scheme, completing the staged national geographical rollout of the NDIS. </w:t>
      </w:r>
    </w:p>
    <w:p w14:paraId="31F944D2" w14:textId="77777777" w:rsidR="00E26548" w:rsidRPr="00262F3A" w:rsidRDefault="00E26548" w:rsidP="00E26548">
      <w:pPr>
        <w:rPr>
          <w:rFonts w:eastAsiaTheme="minorHAnsi"/>
          <w:lang w:eastAsia="en-US"/>
        </w:rPr>
      </w:pPr>
      <w:r w:rsidRPr="00262F3A">
        <w:rPr>
          <w:rFonts w:eastAsiaTheme="minorHAnsi"/>
          <w:lang w:eastAsia="en-US"/>
        </w:rPr>
        <w:t>The Scheme provides specialist disability supports that complement mainstream services provided by the Australian Government and state and territory governments. It is founded on insurance principles, making evidence-based decisions on individuals’ access to the Scheme.</w:t>
      </w:r>
    </w:p>
    <w:p w14:paraId="42D1F6C5" w14:textId="77777777" w:rsidR="00E26548" w:rsidRPr="00262F3A" w:rsidRDefault="00E26548" w:rsidP="00E26548">
      <w:pPr>
        <w:rPr>
          <w:rFonts w:eastAsiaTheme="minorHAnsi"/>
          <w:lang w:eastAsia="en-US"/>
        </w:rPr>
      </w:pPr>
      <w:r w:rsidRPr="00262F3A">
        <w:rPr>
          <w:rFonts w:eastAsiaTheme="minorHAnsi"/>
          <w:lang w:eastAsia="en-US"/>
        </w:rPr>
        <w:t xml:space="preserve">This insurance approach is underpinned by four key principles: </w:t>
      </w:r>
    </w:p>
    <w:p w14:paraId="0BF4AC2D" w14:textId="77777777" w:rsidR="00E26548" w:rsidRPr="00262F3A" w:rsidRDefault="00E26548" w:rsidP="00AF2A24">
      <w:pPr>
        <w:pStyle w:val="ListParagraph"/>
        <w:numPr>
          <w:ilvl w:val="0"/>
          <w:numId w:val="24"/>
        </w:numPr>
        <w:autoSpaceDE w:val="0"/>
        <w:autoSpaceDN w:val="0"/>
        <w:adjustRightInd w:val="0"/>
        <w:spacing w:before="240"/>
        <w:rPr>
          <w:rFonts w:eastAsiaTheme="minorHAnsi"/>
          <w:b/>
          <w:color w:val="000000"/>
          <w:lang w:eastAsia="en-US"/>
        </w:rPr>
      </w:pPr>
      <w:r w:rsidRPr="00262F3A">
        <w:rPr>
          <w:rFonts w:eastAsiaTheme="minorHAnsi"/>
          <w:b/>
          <w:color w:val="000000"/>
          <w:lang w:eastAsia="en-US"/>
        </w:rPr>
        <w:t>Develop actuarial estimates of the reasonable and necessary support needs of the targeted population</w:t>
      </w:r>
    </w:p>
    <w:p w14:paraId="447DEE33" w14:textId="77777777" w:rsidR="00E26548" w:rsidRPr="00262F3A" w:rsidRDefault="00E26548" w:rsidP="00E26548">
      <w:pPr>
        <w:spacing w:before="240"/>
        <w:ind w:left="1012"/>
        <w:rPr>
          <w:rFonts w:eastAsiaTheme="minorHAnsi"/>
          <w:lang w:eastAsia="en-US"/>
        </w:rPr>
      </w:pPr>
      <w:r w:rsidRPr="00262F3A">
        <w:rPr>
          <w:rFonts w:eastAsiaTheme="minorHAnsi"/>
          <w:lang w:eastAsia="en-US"/>
        </w:rPr>
        <w:t>The Scheme Actuary estimates the aggregate annual funding requirements through analysis of reasonable and necessary support needs. The Agency continually tests the aggregate funding requirement against emerging experience.</w:t>
      </w:r>
    </w:p>
    <w:p w14:paraId="2E27E8AE" w14:textId="77777777" w:rsidR="00E26548" w:rsidRPr="00262F3A" w:rsidRDefault="00E26548" w:rsidP="00AF2A24">
      <w:pPr>
        <w:pStyle w:val="ListParagraph"/>
        <w:numPr>
          <w:ilvl w:val="0"/>
          <w:numId w:val="24"/>
        </w:numPr>
        <w:autoSpaceDE w:val="0"/>
        <w:autoSpaceDN w:val="0"/>
        <w:adjustRightInd w:val="0"/>
        <w:spacing w:before="240"/>
        <w:rPr>
          <w:rFonts w:eastAsiaTheme="minorHAnsi"/>
          <w:b/>
          <w:color w:val="000000"/>
          <w:lang w:eastAsia="en-US"/>
        </w:rPr>
      </w:pPr>
      <w:r w:rsidRPr="00262F3A">
        <w:rPr>
          <w:rFonts w:eastAsiaTheme="minorHAnsi"/>
          <w:b/>
          <w:color w:val="000000"/>
          <w:lang w:eastAsia="en-US"/>
        </w:rPr>
        <w:t xml:space="preserve">Focus on lifetime value for Scheme participants </w:t>
      </w:r>
    </w:p>
    <w:p w14:paraId="4C161FFF" w14:textId="77777777" w:rsidR="00E26548" w:rsidRPr="00262F3A" w:rsidRDefault="00E26548" w:rsidP="00E26548">
      <w:pPr>
        <w:spacing w:before="240"/>
        <w:ind w:left="1012"/>
        <w:rPr>
          <w:rFonts w:eastAsiaTheme="minorHAnsi"/>
          <w:lang w:eastAsia="en-US"/>
        </w:rPr>
      </w:pPr>
      <w:r w:rsidRPr="00262F3A">
        <w:rPr>
          <w:rFonts w:eastAsiaTheme="minorHAnsi"/>
          <w:lang w:eastAsia="en-US"/>
        </w:rPr>
        <w:t>The Agency focuses on lifetime value for Scheme participants by funding competitively priced, best-practice supports that deliver benefits and outcomes for participants. This includes the allocation of resources through early investment in capacity building.</w:t>
      </w:r>
    </w:p>
    <w:p w14:paraId="07D649BD" w14:textId="77777777" w:rsidR="00E26548" w:rsidRPr="00262F3A" w:rsidRDefault="00E26548" w:rsidP="00AF2A24">
      <w:pPr>
        <w:pStyle w:val="ListParagraph"/>
        <w:numPr>
          <w:ilvl w:val="0"/>
          <w:numId w:val="24"/>
        </w:numPr>
        <w:autoSpaceDE w:val="0"/>
        <w:autoSpaceDN w:val="0"/>
        <w:adjustRightInd w:val="0"/>
        <w:spacing w:before="240"/>
        <w:rPr>
          <w:rFonts w:eastAsiaTheme="minorHAnsi"/>
          <w:b/>
          <w:color w:val="000000"/>
          <w:lang w:eastAsia="en-US"/>
        </w:rPr>
      </w:pPr>
      <w:r w:rsidRPr="00262F3A">
        <w:rPr>
          <w:rFonts w:eastAsiaTheme="minorHAnsi"/>
          <w:b/>
          <w:color w:val="000000"/>
          <w:lang w:eastAsia="en-US"/>
        </w:rPr>
        <w:t>Invest in research and innovation</w:t>
      </w:r>
    </w:p>
    <w:p w14:paraId="42D791CE" w14:textId="77777777" w:rsidR="00E26548" w:rsidRPr="00262F3A" w:rsidRDefault="00E26548" w:rsidP="00E26548">
      <w:pPr>
        <w:spacing w:before="240"/>
        <w:ind w:left="1012"/>
        <w:rPr>
          <w:rFonts w:eastAsiaTheme="minorHAnsi"/>
          <w:lang w:eastAsia="en-US"/>
        </w:rPr>
      </w:pPr>
      <w:r w:rsidRPr="00262F3A">
        <w:rPr>
          <w:rFonts w:eastAsiaTheme="minorHAnsi"/>
          <w:lang w:eastAsia="en-US"/>
        </w:rPr>
        <w:t>The Agency</w:t>
      </w:r>
      <w:r w:rsidRPr="00262F3A" w:rsidDel="0058614A">
        <w:rPr>
          <w:rFonts w:eastAsiaTheme="minorHAnsi"/>
          <w:lang w:eastAsia="en-US"/>
        </w:rPr>
        <w:t xml:space="preserve"> </w:t>
      </w:r>
      <w:r w:rsidRPr="00262F3A">
        <w:rPr>
          <w:rFonts w:eastAsiaTheme="minorHAnsi"/>
          <w:lang w:eastAsia="en-US"/>
        </w:rPr>
        <w:t>invests in research and innovation aligned to the Scheme’s goals of improving social and economic participation, and independence for participants.</w:t>
      </w:r>
    </w:p>
    <w:p w14:paraId="630163E0" w14:textId="77777777" w:rsidR="00E26548" w:rsidRPr="00262F3A" w:rsidRDefault="00E26548" w:rsidP="00AF2A24">
      <w:pPr>
        <w:pStyle w:val="ListParagraph"/>
        <w:numPr>
          <w:ilvl w:val="0"/>
          <w:numId w:val="24"/>
        </w:numPr>
        <w:autoSpaceDE w:val="0"/>
        <w:autoSpaceDN w:val="0"/>
        <w:adjustRightInd w:val="0"/>
        <w:spacing w:before="240"/>
        <w:rPr>
          <w:rFonts w:eastAsiaTheme="minorHAnsi"/>
          <w:b/>
          <w:color w:val="000000"/>
          <w:lang w:eastAsia="en-US"/>
        </w:rPr>
      </w:pPr>
      <w:r w:rsidRPr="00262F3A">
        <w:rPr>
          <w:rFonts w:eastAsiaTheme="minorHAnsi"/>
          <w:b/>
          <w:color w:val="000000"/>
          <w:lang w:eastAsia="en-US"/>
        </w:rPr>
        <w:t>Support the development of community capability and social capital</w:t>
      </w:r>
    </w:p>
    <w:p w14:paraId="476172A0" w14:textId="77777777" w:rsidR="00E26548" w:rsidRPr="00262F3A" w:rsidRDefault="00E26548" w:rsidP="00E26548">
      <w:pPr>
        <w:spacing w:before="240"/>
        <w:ind w:left="1012"/>
        <w:rPr>
          <w:rFonts w:eastAsiaTheme="minorHAnsi"/>
          <w:lang w:eastAsia="en-US"/>
        </w:rPr>
      </w:pPr>
      <w:r w:rsidRPr="00262F3A">
        <w:rPr>
          <w:rFonts w:eastAsiaTheme="minorHAnsi"/>
          <w:lang w:eastAsia="en-US"/>
        </w:rPr>
        <w:t>In addition to providing individual supports, the Agency invests at a systemic level. For example, the Agency encourages the use of mainstream services, building community capacity and social capital. These activities are designed to benefit all people with disability, including people with disability who are not participants in the Scheme.</w:t>
      </w:r>
    </w:p>
    <w:p w14:paraId="00772D56" w14:textId="77777777" w:rsidR="00E26548" w:rsidRPr="00262F3A" w:rsidRDefault="00E26548" w:rsidP="00E26548">
      <w:pPr>
        <w:rPr>
          <w:rFonts w:eastAsiaTheme="minorHAnsi"/>
          <w:lang w:eastAsia="en-US"/>
        </w:rPr>
      </w:pPr>
      <w:r w:rsidRPr="00262F3A">
        <w:rPr>
          <w:rFonts w:eastAsiaTheme="minorHAnsi"/>
          <w:lang w:eastAsia="en-US"/>
        </w:rPr>
        <w:t>These four insurance principles are governed by the Board, which assesses, monitors, reports and manages Scheme sustainability within a prudential framework and in line with the Portfolio Budget Statements. This means that decisions are informed by:</w:t>
      </w:r>
    </w:p>
    <w:p w14:paraId="7712DB1C" w14:textId="77777777" w:rsidR="00E26548" w:rsidRPr="00262F3A" w:rsidRDefault="00E26548" w:rsidP="00AF2A24">
      <w:pPr>
        <w:pStyle w:val="ListParagraph"/>
        <w:numPr>
          <w:ilvl w:val="0"/>
          <w:numId w:val="23"/>
        </w:numPr>
        <w:autoSpaceDE w:val="0"/>
        <w:autoSpaceDN w:val="0"/>
        <w:adjustRightInd w:val="0"/>
        <w:spacing w:before="0" w:after="240"/>
        <w:rPr>
          <w:rFonts w:eastAsiaTheme="minorHAnsi"/>
          <w:color w:val="000000"/>
          <w:lang w:eastAsia="en-US"/>
        </w:rPr>
      </w:pPr>
      <w:r w:rsidRPr="00262F3A">
        <w:rPr>
          <w:rFonts w:eastAsiaTheme="minorHAnsi"/>
          <w:color w:val="000000"/>
          <w:lang w:eastAsia="en-US"/>
        </w:rPr>
        <w:t xml:space="preserve">a person’s level of functional capacity </w:t>
      </w:r>
    </w:p>
    <w:p w14:paraId="296CBB15" w14:textId="77777777" w:rsidR="00E26548" w:rsidRPr="00262F3A" w:rsidRDefault="00E26548" w:rsidP="00AF2A24">
      <w:pPr>
        <w:pStyle w:val="ListParagraph"/>
        <w:numPr>
          <w:ilvl w:val="0"/>
          <w:numId w:val="23"/>
        </w:numPr>
        <w:autoSpaceDE w:val="0"/>
        <w:autoSpaceDN w:val="0"/>
        <w:adjustRightInd w:val="0"/>
        <w:spacing w:before="0" w:after="240"/>
        <w:rPr>
          <w:rFonts w:eastAsiaTheme="minorHAnsi"/>
          <w:color w:val="000000"/>
          <w:lang w:eastAsia="en-US"/>
        </w:rPr>
      </w:pPr>
      <w:r w:rsidRPr="00262F3A">
        <w:rPr>
          <w:rFonts w:eastAsiaTheme="minorHAnsi"/>
          <w:color w:val="000000"/>
          <w:lang w:eastAsia="en-US"/>
        </w:rPr>
        <w:t>the reasonable and necessary supports required to enable a person to reach their goals, live and enjoy their life</w:t>
      </w:r>
    </w:p>
    <w:p w14:paraId="4B51E806" w14:textId="77777777" w:rsidR="00E26548" w:rsidRPr="00262F3A" w:rsidRDefault="00E26548" w:rsidP="00AF2A24">
      <w:pPr>
        <w:pStyle w:val="ListParagraph"/>
        <w:numPr>
          <w:ilvl w:val="0"/>
          <w:numId w:val="23"/>
        </w:numPr>
        <w:autoSpaceDE w:val="0"/>
        <w:autoSpaceDN w:val="0"/>
        <w:adjustRightInd w:val="0"/>
        <w:spacing w:before="0" w:after="240"/>
        <w:rPr>
          <w:rFonts w:eastAsiaTheme="minorHAnsi"/>
          <w:color w:val="000000"/>
          <w:lang w:eastAsia="en-US"/>
        </w:rPr>
      </w:pPr>
      <w:r w:rsidRPr="00262F3A">
        <w:rPr>
          <w:rFonts w:eastAsiaTheme="minorHAnsi"/>
          <w:color w:val="000000"/>
          <w:lang w:eastAsia="en-US"/>
        </w:rPr>
        <w:t>the overall context of Scheme financial sustainability.</w:t>
      </w:r>
    </w:p>
    <w:p w14:paraId="203F0E64" w14:textId="77777777" w:rsidR="00E26548" w:rsidRPr="00262F3A" w:rsidRDefault="00E26548" w:rsidP="00E26548">
      <w:pPr>
        <w:autoSpaceDE w:val="0"/>
        <w:autoSpaceDN w:val="0"/>
        <w:adjustRightInd w:val="0"/>
        <w:rPr>
          <w:rFonts w:eastAsiaTheme="minorHAnsi"/>
          <w:color w:val="000000"/>
          <w:lang w:eastAsia="en-US"/>
        </w:rPr>
      </w:pPr>
      <w:r w:rsidRPr="00262F3A">
        <w:rPr>
          <w:rFonts w:eastAsiaTheme="minorHAnsi"/>
          <w:color w:val="000000"/>
          <w:lang w:eastAsia="en-US"/>
        </w:rPr>
        <w:lastRenderedPageBreak/>
        <w:t xml:space="preserve">This approach considers financial support over the lifetime of the participant and is a move away from a traditional welfare model. The Scheme also has greater capacity for cost management as it maintains sustainability by calculating the total future cost of support for all eligible </w:t>
      </w:r>
      <w:r w:rsidRPr="00262F3A">
        <w:rPr>
          <w:rFonts w:eastAsiaTheme="minorHAnsi"/>
          <w:lang w:eastAsia="en-US"/>
        </w:rPr>
        <w:t>participants</w:t>
      </w:r>
      <w:r w:rsidRPr="00262F3A">
        <w:rPr>
          <w:rFonts w:eastAsiaTheme="minorHAnsi"/>
          <w:color w:val="000000"/>
          <w:lang w:eastAsia="en-US"/>
        </w:rPr>
        <w:t>.</w:t>
      </w:r>
    </w:p>
    <w:p w14:paraId="2E17CE7F" w14:textId="77777777" w:rsidR="00E26548" w:rsidRPr="00262F3A" w:rsidRDefault="00E26548" w:rsidP="00E26548">
      <w:pPr>
        <w:autoSpaceDE w:val="0"/>
        <w:autoSpaceDN w:val="0"/>
        <w:adjustRightInd w:val="0"/>
        <w:rPr>
          <w:rFonts w:eastAsiaTheme="minorHAnsi"/>
          <w:lang w:eastAsia="en-US"/>
        </w:rPr>
      </w:pPr>
      <w:r w:rsidRPr="00262F3A">
        <w:rPr>
          <w:rFonts w:eastAsiaTheme="minorHAnsi"/>
          <w:color w:val="000000"/>
          <w:lang w:eastAsia="en-US"/>
        </w:rPr>
        <w:t>The Scheme is ultimately designed to support participants to reach their individual goals and ensure they have the opportunity to participate in the community, get a job if they are able, and live more independent and full lives.</w:t>
      </w:r>
    </w:p>
    <w:p w14:paraId="6259B281" w14:textId="0981E8AD" w:rsidR="00E26548" w:rsidRPr="00262F3A" w:rsidRDefault="00E26548" w:rsidP="00E26548">
      <w:pPr>
        <w:rPr>
          <w:rFonts w:eastAsiaTheme="minorHAnsi"/>
          <w:lang w:eastAsia="en-US"/>
        </w:rPr>
      </w:pPr>
      <w:r w:rsidRPr="00262F3A">
        <w:rPr>
          <w:rFonts w:eastAsiaTheme="minorHAnsi"/>
          <w:lang w:eastAsia="en-US"/>
        </w:rPr>
        <w:t>The Scheme forms an important part of the Australian Government’s National Disability Strategy 2010</w:t>
      </w:r>
      <w:r w:rsidR="00DA6D2E">
        <w:rPr>
          <w:rFonts w:eastAsiaTheme="minorHAnsi"/>
          <w:lang w:eastAsia="en-US"/>
        </w:rPr>
        <w:t>-</w:t>
      </w:r>
      <w:r w:rsidRPr="00262F3A">
        <w:rPr>
          <w:rFonts w:eastAsiaTheme="minorHAnsi"/>
          <w:lang w:eastAsia="en-US"/>
        </w:rPr>
        <w:t>2020</w:t>
      </w:r>
      <w:r w:rsidR="00DA6D2E">
        <w:rPr>
          <w:rFonts w:eastAsiaTheme="minorHAnsi"/>
          <w:lang w:eastAsia="en-US"/>
        </w:rPr>
        <w:t>,</w:t>
      </w:r>
      <w:r w:rsidRPr="00262F3A">
        <w:rPr>
          <w:rFonts w:eastAsiaTheme="minorHAnsi"/>
          <w:lang w:eastAsia="en-US"/>
        </w:rPr>
        <w:t xml:space="preserve"> a 10-year policy framework for improving the lives of Australians with disability, their families and carers. Governments and communities across Australia are working together to develop a new strategy beyond 2020. The current and future strategy will be the key way Australia implements the United Nations Convention on the Rights of Persons with Disabilities, making sure people with disability can participate in all areas of Australian life and fulfil their potential as equal citizens.</w:t>
      </w:r>
    </w:p>
    <w:p w14:paraId="2621ECEF" w14:textId="77777777" w:rsidR="00E26548" w:rsidRPr="00262F3A" w:rsidRDefault="00E26548" w:rsidP="008F00D1">
      <w:pPr>
        <w:pStyle w:val="Heading2"/>
      </w:pPr>
      <w:bookmarkStart w:id="7" w:name="_Toc51067961"/>
      <w:r w:rsidRPr="00262F3A">
        <w:t>The National Disability Insurance Agency</w:t>
      </w:r>
      <w:bookmarkEnd w:id="7"/>
      <w:r w:rsidRPr="00262F3A">
        <w:t xml:space="preserve"> </w:t>
      </w:r>
    </w:p>
    <w:p w14:paraId="7E8B6024" w14:textId="3432379F" w:rsidR="00E26548" w:rsidRPr="00262F3A" w:rsidRDefault="00E26548" w:rsidP="00E26548">
      <w:pPr>
        <w:rPr>
          <w:rFonts w:eastAsiaTheme="minorHAnsi" w:cstheme="minorBidi"/>
          <w:bCs/>
          <w:noProof/>
          <w:lang w:eastAsia="en-US"/>
        </w:rPr>
      </w:pPr>
      <w:r w:rsidRPr="00262F3A">
        <w:rPr>
          <w:rFonts w:eastAsiaTheme="minorHAnsi" w:cstheme="minorBidi"/>
          <w:bCs/>
          <w:noProof/>
          <w:lang w:eastAsia="en-US"/>
        </w:rPr>
        <w:t>The Agency is a</w:t>
      </w:r>
      <w:r w:rsidR="00765D96" w:rsidRPr="00262F3A">
        <w:rPr>
          <w:rFonts w:eastAsiaTheme="minorHAnsi" w:cstheme="minorBidi"/>
          <w:bCs/>
          <w:noProof/>
          <w:lang w:eastAsia="en-US"/>
        </w:rPr>
        <w:t xml:space="preserve"> </w:t>
      </w:r>
      <w:r w:rsidRPr="00262F3A">
        <w:rPr>
          <w:rFonts w:eastAsiaTheme="minorHAnsi" w:cstheme="minorBidi"/>
          <w:bCs/>
          <w:noProof/>
          <w:lang w:eastAsia="en-US"/>
        </w:rPr>
        <w:t>corporate Commonwealth entity</w:t>
      </w:r>
      <w:r w:rsidR="00765D96" w:rsidRPr="00262F3A">
        <w:rPr>
          <w:rFonts w:eastAsiaTheme="minorHAnsi" w:cstheme="minorBidi"/>
          <w:bCs/>
          <w:noProof/>
          <w:lang w:eastAsia="en-US"/>
        </w:rPr>
        <w:t xml:space="preserve"> </w:t>
      </w:r>
      <w:r w:rsidR="00765D96" w:rsidRPr="00262F3A">
        <w:t>under the PGPA Act with statutory authority under the NDIS Act</w:t>
      </w:r>
      <w:r w:rsidR="00EC57BF" w:rsidRPr="00262F3A">
        <w:rPr>
          <w:rFonts w:eastAsiaTheme="minorHAnsi" w:cstheme="minorBidi"/>
          <w:bCs/>
          <w:noProof/>
          <w:lang w:eastAsia="en-US"/>
        </w:rPr>
        <w:t xml:space="preserve">. </w:t>
      </w:r>
      <w:r w:rsidRPr="00262F3A">
        <w:rPr>
          <w:rFonts w:eastAsiaTheme="minorHAnsi" w:cstheme="minorBidi"/>
          <w:bCs/>
          <w:noProof/>
          <w:lang w:eastAsia="en-US"/>
        </w:rPr>
        <w:t>Funding and governance of the Scheme is shared among the federal and state and territory governments. All Australian governments are involved in decisions on NDIS policy, funding and governance.</w:t>
      </w:r>
    </w:p>
    <w:p w14:paraId="43F444AE" w14:textId="78FA64D2" w:rsidR="00E26548" w:rsidRPr="00262F3A" w:rsidRDefault="00E26548" w:rsidP="00E26548">
      <w:pPr>
        <w:autoSpaceDE w:val="0"/>
        <w:autoSpaceDN w:val="0"/>
        <w:adjustRightInd w:val="0"/>
        <w:rPr>
          <w:rFonts w:eastAsia="Times New Roman"/>
          <w:color w:val="000000"/>
          <w:lang w:eastAsia="en-AU"/>
        </w:rPr>
      </w:pPr>
      <w:r w:rsidRPr="00262F3A">
        <w:rPr>
          <w:rFonts w:eastAsia="Times New Roman"/>
          <w:color w:val="000000"/>
          <w:lang w:eastAsia="en-AU"/>
        </w:rPr>
        <w:t xml:space="preserve">The Agency is overseen by the NDIA Board, which has responsibility for ensuring the proper, efficient and effective performance of the </w:t>
      </w:r>
      <w:r w:rsidRPr="00262F3A">
        <w:rPr>
          <w:lang w:eastAsia="en-US"/>
        </w:rPr>
        <w:t>Agency</w:t>
      </w:r>
      <w:r w:rsidRPr="00262F3A">
        <w:rPr>
          <w:rFonts w:eastAsia="Times New Roman"/>
          <w:color w:val="000000"/>
          <w:lang w:eastAsia="en-AU"/>
        </w:rPr>
        <w:t xml:space="preserve">’s functions and for setting our strategic direction. The </w:t>
      </w:r>
      <w:r w:rsidRPr="00262F3A">
        <w:rPr>
          <w:lang w:eastAsia="en-US"/>
        </w:rPr>
        <w:t>Agency</w:t>
      </w:r>
      <w:r w:rsidRPr="00262F3A">
        <w:rPr>
          <w:rFonts w:eastAsia="Times New Roman"/>
          <w:color w:val="000000"/>
          <w:lang w:eastAsia="en-AU"/>
        </w:rPr>
        <w:t xml:space="preserve">’s governance structure also includes an Independent Advisory Council </w:t>
      </w:r>
      <w:r w:rsidR="00EC57BF" w:rsidRPr="00262F3A">
        <w:rPr>
          <w:rFonts w:eastAsia="Times New Roman"/>
          <w:color w:val="000000"/>
          <w:lang w:eastAsia="en-AU"/>
        </w:rPr>
        <w:t xml:space="preserve">(IAC) </w:t>
      </w:r>
      <w:r w:rsidRPr="00262F3A">
        <w:rPr>
          <w:rFonts w:eastAsia="Times New Roman"/>
          <w:color w:val="000000"/>
          <w:lang w:eastAsia="en-AU"/>
        </w:rPr>
        <w:t xml:space="preserve">that provides advice to the Board on how effectively the </w:t>
      </w:r>
      <w:r w:rsidRPr="00262F3A">
        <w:rPr>
          <w:lang w:eastAsia="en-US"/>
        </w:rPr>
        <w:t>Agency</w:t>
      </w:r>
      <w:r w:rsidRPr="00262F3A">
        <w:rPr>
          <w:rFonts w:eastAsia="Times New Roman"/>
          <w:color w:val="000000"/>
          <w:lang w:eastAsia="en-AU"/>
        </w:rPr>
        <w:t xml:space="preserve"> is delivering the Scheme.</w:t>
      </w:r>
    </w:p>
    <w:p w14:paraId="4AEF7D39" w14:textId="77777777" w:rsidR="00E26548" w:rsidRPr="00262F3A" w:rsidRDefault="00E26548" w:rsidP="00E26548">
      <w:pPr>
        <w:rPr>
          <w:lang w:eastAsia="en-US"/>
        </w:rPr>
      </w:pPr>
      <w:r w:rsidRPr="00262F3A">
        <w:rPr>
          <w:lang w:eastAsia="en-US"/>
        </w:rPr>
        <w:t xml:space="preserve">The NDIS Act, in conjunction with other laws, gives effect to Australia’s obligations under the United Nations Convention on the Rights of Persons with Disabilities. </w:t>
      </w:r>
    </w:p>
    <w:p w14:paraId="60A3E3CC" w14:textId="7B084159" w:rsidR="00906191" w:rsidRPr="00262F3A" w:rsidRDefault="00906191" w:rsidP="00561B3B">
      <w:pPr>
        <w:pStyle w:val="Heading1"/>
      </w:pPr>
      <w:bookmarkStart w:id="8" w:name="_Toc51067962"/>
      <w:r w:rsidRPr="00262F3A">
        <w:lastRenderedPageBreak/>
        <w:t>Implementing a participant focused scheme</w:t>
      </w:r>
      <w:bookmarkEnd w:id="8"/>
    </w:p>
    <w:p w14:paraId="06BFEDC5" w14:textId="498A3022" w:rsidR="00FE17BB" w:rsidRPr="00262F3A" w:rsidRDefault="00FE17BB" w:rsidP="00FE17BB">
      <w:pPr>
        <w:rPr>
          <w:lang w:eastAsia="en-US"/>
        </w:rPr>
      </w:pPr>
      <w:r w:rsidRPr="00262F3A">
        <w:rPr>
          <w:rFonts w:cstheme="minorHAnsi"/>
        </w:rPr>
        <w:t xml:space="preserve">The 2020 </w:t>
      </w:r>
      <w:r w:rsidR="00B32D4D">
        <w:rPr>
          <w:rFonts w:cstheme="minorHAnsi"/>
        </w:rPr>
        <w:t>f</w:t>
      </w:r>
      <w:r w:rsidRPr="00262F3A">
        <w:rPr>
          <w:rFonts w:cstheme="minorHAnsi"/>
        </w:rPr>
        <w:t xml:space="preserve">inancial </w:t>
      </w:r>
      <w:r w:rsidR="00B32D4D">
        <w:rPr>
          <w:rFonts w:cstheme="minorHAnsi"/>
        </w:rPr>
        <w:t>y</w:t>
      </w:r>
      <w:r w:rsidRPr="00262F3A">
        <w:rPr>
          <w:rFonts w:cstheme="minorHAnsi"/>
        </w:rPr>
        <w:t>ear represents a significant milestone in the history of the NDIS, as this once in a generation social and economic reform moves from the Transition Phase into Full Scheme. It is, therefore, timely to reflect on where we have come from; where we are today; and how we intend to move forward.</w:t>
      </w:r>
    </w:p>
    <w:p w14:paraId="0A66FF20" w14:textId="77777777" w:rsidR="00906191" w:rsidRPr="00262F3A" w:rsidRDefault="00125269" w:rsidP="008F00D1">
      <w:pPr>
        <w:pStyle w:val="Heading2"/>
      </w:pPr>
      <w:bookmarkStart w:id="9" w:name="_Toc51067963"/>
      <w:r w:rsidRPr="00262F3A">
        <w:t>Where we have come from</w:t>
      </w:r>
      <w:bookmarkEnd w:id="9"/>
    </w:p>
    <w:p w14:paraId="07E2F1CB" w14:textId="1B886191" w:rsidR="00FE17BB" w:rsidRPr="00262F3A" w:rsidRDefault="00FE17BB" w:rsidP="00FE17BB">
      <w:pPr>
        <w:rPr>
          <w:rFonts w:cstheme="minorHAnsi"/>
        </w:rPr>
      </w:pPr>
      <w:r w:rsidRPr="00262F3A">
        <w:rPr>
          <w:rFonts w:cstheme="minorHAnsi"/>
        </w:rPr>
        <w:t xml:space="preserve">On </w:t>
      </w:r>
      <w:r w:rsidR="00B32D4D">
        <w:rPr>
          <w:rFonts w:cstheme="minorHAnsi"/>
        </w:rPr>
        <w:t xml:space="preserve">1 </w:t>
      </w:r>
      <w:r w:rsidRPr="00262F3A">
        <w:rPr>
          <w:rFonts w:cstheme="minorHAnsi"/>
        </w:rPr>
        <w:t xml:space="preserve">July 2020, the NDIS celebrated its seven year anniversary. This also marked completion of the staged national geographical rollout of the NDIS, with Christmas Island and the Cocos Islands joining the Scheme. </w:t>
      </w:r>
    </w:p>
    <w:p w14:paraId="2C562553" w14:textId="57C7F057" w:rsidR="00125269" w:rsidRPr="00262F3A" w:rsidRDefault="00FE17BB" w:rsidP="00FE17BB">
      <w:pPr>
        <w:rPr>
          <w:rFonts w:cstheme="minorHAnsi"/>
        </w:rPr>
      </w:pPr>
      <w:r w:rsidRPr="00262F3A">
        <w:rPr>
          <w:rFonts w:cstheme="minorHAnsi"/>
        </w:rPr>
        <w:t xml:space="preserve">While the implementation of the NDIS started in 2013 in seven trial sites across Australia, 1 July 2016 marked the start of the Transition Phase and the rapid expansion of the Scheme. At the end of the Trial period, the Scheme was geographically available to only eight per cent of the Australian population in specific geographies. As at 30 June 2020, the Scheme is now available to all Australians, irrespective of where they live. Almost 30,000 participants entered the Scheme in the first three years of operation, while over the subsequent four years of </w:t>
      </w:r>
      <w:r w:rsidR="00DA6D2E">
        <w:rPr>
          <w:rFonts w:cstheme="minorHAnsi"/>
        </w:rPr>
        <w:t>t</w:t>
      </w:r>
      <w:r w:rsidR="00DA6D2E" w:rsidRPr="00262F3A">
        <w:rPr>
          <w:rFonts w:cstheme="minorHAnsi"/>
        </w:rPr>
        <w:t>ransition</w:t>
      </w:r>
      <w:r w:rsidRPr="00262F3A">
        <w:rPr>
          <w:rFonts w:cstheme="minorHAnsi"/>
        </w:rPr>
        <w:t>, another 362,280 participants gained entry to the Scheme. This brought the total number of participants at 30 June 2020 to 391,999. It is now truly a national Scheme.</w:t>
      </w:r>
    </w:p>
    <w:p w14:paraId="791F6BE0" w14:textId="304BD83D" w:rsidR="00FE17BB" w:rsidRPr="00262F3A" w:rsidRDefault="00FE17BB" w:rsidP="00FE17BB">
      <w:pPr>
        <w:keepNext/>
        <w:rPr>
          <w:rFonts w:cstheme="minorHAnsi"/>
        </w:rPr>
      </w:pPr>
      <w:r w:rsidRPr="00262F3A">
        <w:rPr>
          <w:rFonts w:cstheme="minorHAnsi"/>
          <w:b/>
        </w:rPr>
        <w:t xml:space="preserve">Figure 2.1A: </w:t>
      </w:r>
      <w:r w:rsidR="000D26A2" w:rsidRPr="00262F3A">
        <w:rPr>
          <w:rFonts w:cstheme="minorHAnsi"/>
        </w:rPr>
        <w:t>T</w:t>
      </w:r>
      <w:r w:rsidRPr="00262F3A">
        <w:rPr>
          <w:rFonts w:cstheme="minorHAnsi"/>
        </w:rPr>
        <w:t>he number of active participants has increased from around 30,000 after three years of Trial, to nearly 392,000 four years later</w:t>
      </w:r>
    </w:p>
    <w:p w14:paraId="2F1E2D57" w14:textId="7E20B9B3" w:rsidR="00FE17BB" w:rsidRPr="00262F3A" w:rsidRDefault="00FE17BB" w:rsidP="00FE17BB">
      <w:pPr>
        <w:rPr>
          <w:lang w:eastAsia="en-US"/>
        </w:rPr>
      </w:pPr>
      <w:r w:rsidRPr="00262F3A">
        <w:rPr>
          <w:noProof/>
          <w:lang w:eastAsia="en-AU"/>
        </w:rPr>
        <w:drawing>
          <wp:inline distT="0" distB="0" distL="0" distR="0" wp14:anchorId="4BD26DB4" wp14:editId="3EE43FB6">
            <wp:extent cx="5731510" cy="3067685"/>
            <wp:effectExtent l="0" t="0" r="2540" b="0"/>
            <wp:docPr id="6" name="Picture 6" descr="The horizontal axis has years 2015–16 to 2019– 20 with increments of one year and the vertical axis has numbers in thousands from 0 to 400 with increments of 100. The legend shows bars for active participants and above the bars are trend arrows showing the yearly increase in active participants. The year, value of active participants and value of yearly increase on the arrow, from left to right are: 2015–16, 29,719, 59,891. 2016-17, 89,610, 82,723. 2017–18, 172,333, 113,682. 2018–19, 286,015, 105,894. 2019–20, 391,999, not appli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067685"/>
                    </a:xfrm>
                    <a:prstGeom prst="rect">
                      <a:avLst/>
                    </a:prstGeom>
                  </pic:spPr>
                </pic:pic>
              </a:graphicData>
            </a:graphic>
          </wp:inline>
        </w:drawing>
      </w:r>
    </w:p>
    <w:p w14:paraId="4880F918" w14:textId="2CD21743" w:rsidR="00FE17BB" w:rsidRPr="00262F3A" w:rsidRDefault="00FE17BB" w:rsidP="00FE17BB">
      <w:pPr>
        <w:rPr>
          <w:rFonts w:cstheme="minorHAnsi"/>
        </w:rPr>
      </w:pPr>
      <w:r w:rsidRPr="00262F3A">
        <w:rPr>
          <w:rFonts w:cstheme="minorHAnsi"/>
        </w:rPr>
        <w:t xml:space="preserve">The increase in participant numbers has led to an </w:t>
      </w:r>
      <w:r w:rsidR="00AD7BDA">
        <w:rPr>
          <w:rFonts w:cstheme="minorHAnsi"/>
        </w:rPr>
        <w:t>acceleration</w:t>
      </w:r>
      <w:r w:rsidR="00AD7BDA" w:rsidRPr="00262F3A">
        <w:rPr>
          <w:rFonts w:cstheme="minorHAnsi"/>
        </w:rPr>
        <w:t xml:space="preserve"> </w:t>
      </w:r>
      <w:r w:rsidRPr="00262F3A">
        <w:rPr>
          <w:rFonts w:cstheme="minorHAnsi"/>
        </w:rPr>
        <w:t>in the number of plan reviews. In 2019-20, the Agency undertook 332,070 reviews, compared to 205,163 reviews in 2018-19.</w:t>
      </w:r>
    </w:p>
    <w:p w14:paraId="6F1656A0" w14:textId="78E12141" w:rsidR="00FE17BB" w:rsidRPr="00262F3A" w:rsidRDefault="00FE17BB" w:rsidP="00FE17BB">
      <w:pPr>
        <w:keepNext/>
        <w:rPr>
          <w:rFonts w:cstheme="minorHAnsi"/>
        </w:rPr>
      </w:pPr>
      <w:r w:rsidRPr="00262F3A">
        <w:rPr>
          <w:rFonts w:cstheme="minorHAnsi"/>
          <w:b/>
        </w:rPr>
        <w:lastRenderedPageBreak/>
        <w:t xml:space="preserve">Figure 2.1B: </w:t>
      </w:r>
      <w:r w:rsidR="000D26A2" w:rsidRPr="00262F3A">
        <w:rPr>
          <w:rFonts w:cstheme="minorHAnsi"/>
        </w:rPr>
        <w:t>T</w:t>
      </w:r>
      <w:r w:rsidRPr="00262F3A">
        <w:rPr>
          <w:rFonts w:cstheme="minorHAnsi"/>
        </w:rPr>
        <w:t>he increase in participant numbers has led to an increase in the number of plan reviews</w:t>
      </w:r>
    </w:p>
    <w:p w14:paraId="227356D8" w14:textId="5297C1C1" w:rsidR="00FE17BB" w:rsidRPr="00262F3A" w:rsidRDefault="00FE17BB" w:rsidP="00FE17BB">
      <w:pPr>
        <w:rPr>
          <w:lang w:eastAsia="en-US"/>
        </w:rPr>
      </w:pPr>
      <w:r w:rsidRPr="00262F3A">
        <w:rPr>
          <w:noProof/>
          <w:lang w:eastAsia="en-AU"/>
        </w:rPr>
        <w:drawing>
          <wp:inline distT="0" distB="0" distL="0" distR="0" wp14:anchorId="31C6503C" wp14:editId="2691202B">
            <wp:extent cx="5014418" cy="2166620"/>
            <wp:effectExtent l="0" t="0" r="0" b="5080"/>
            <wp:docPr id="29" name="Picture 29" descr="The horizontal axis has years 2016–17 to 2019–20 with increments of one year and the vertical axis has numbers from 0 to 350,000 with increments of 50,000. The year and value of plan reviews, from left to right are: 2016–17, 36,931; 2017–18, 109,198; 2018–19, 205,163; 2019-20, 33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960"/>
                    <a:stretch/>
                  </pic:blipFill>
                  <pic:spPr bwMode="auto">
                    <a:xfrm>
                      <a:off x="0" y="0"/>
                      <a:ext cx="5028398" cy="2172660"/>
                    </a:xfrm>
                    <a:prstGeom prst="rect">
                      <a:avLst/>
                    </a:prstGeom>
                    <a:ln>
                      <a:noFill/>
                    </a:ln>
                    <a:extLst>
                      <a:ext uri="{53640926-AAD7-44D8-BBD7-CCE9431645EC}">
                        <a14:shadowObscured xmlns:a14="http://schemas.microsoft.com/office/drawing/2010/main"/>
                      </a:ext>
                    </a:extLst>
                  </pic:spPr>
                </pic:pic>
              </a:graphicData>
            </a:graphic>
          </wp:inline>
        </w:drawing>
      </w:r>
    </w:p>
    <w:p w14:paraId="22F0F28A" w14:textId="790A2C5B" w:rsidR="00FE17BB" w:rsidRPr="00262F3A" w:rsidRDefault="00FE17BB" w:rsidP="00FE17BB">
      <w:pPr>
        <w:rPr>
          <w:rFonts w:cstheme="minorHAnsi"/>
        </w:rPr>
      </w:pPr>
      <w:r w:rsidRPr="00262F3A">
        <w:rPr>
          <w:rFonts w:eastAsia="Malgun Gothic" w:cstheme="minorHAnsi"/>
          <w:color w:val="000000" w:themeColor="text1"/>
        </w:rPr>
        <w:t xml:space="preserve">But the most important measure is the positive impact the Scheme is having on the lives of participants. </w:t>
      </w:r>
      <w:r w:rsidRPr="00262F3A">
        <w:rPr>
          <w:rFonts w:cstheme="minorHAnsi"/>
        </w:rPr>
        <w:t>Parents of children in the Scheme are seeing their child’s independence increase. Participants aged 15 to 24 are making more of their own decisions and are much more involved in the community. Participants over 25 are now in a better position to undertake activities that interest them. They also say that their access to health services has improved and that the time they have spent in hospital has decreased. These are small steps on the journey to far more significant improvements in the lives of people with disability.</w:t>
      </w:r>
    </w:p>
    <w:p w14:paraId="1654850A" w14:textId="18DF0423" w:rsidR="00FE17BB" w:rsidRPr="00262F3A" w:rsidRDefault="00FE17BB" w:rsidP="00FE17BB">
      <w:pPr>
        <w:keepNext/>
        <w:rPr>
          <w:rFonts w:cstheme="minorHAnsi"/>
        </w:rPr>
      </w:pPr>
      <w:r w:rsidRPr="00262F3A">
        <w:rPr>
          <w:rFonts w:cstheme="minorHAnsi"/>
          <w:b/>
        </w:rPr>
        <w:t xml:space="preserve">Figure 2.1C: </w:t>
      </w:r>
      <w:r w:rsidR="000D26A2" w:rsidRPr="00262F3A">
        <w:rPr>
          <w:rFonts w:cstheme="minorHAnsi"/>
        </w:rPr>
        <w:t>R</w:t>
      </w:r>
      <w:r w:rsidRPr="00262F3A">
        <w:rPr>
          <w:rFonts w:cstheme="minorHAnsi"/>
        </w:rPr>
        <w:t>eported participant outcomes</w:t>
      </w:r>
    </w:p>
    <w:p w14:paraId="64E9E26A" w14:textId="298B8007" w:rsidR="00FE17BB" w:rsidRPr="00262F3A" w:rsidRDefault="00FE17BB" w:rsidP="00FE17BB">
      <w:pPr>
        <w:rPr>
          <w:rFonts w:cstheme="minorHAnsi"/>
          <w:b/>
        </w:rPr>
      </w:pPr>
      <w:r w:rsidRPr="00262F3A">
        <w:rPr>
          <w:noProof/>
          <w:lang w:eastAsia="en-AU"/>
        </w:rPr>
        <w:drawing>
          <wp:inline distT="0" distB="0" distL="0" distR="0" wp14:anchorId="67BB6388" wp14:editId="78BE9B5E">
            <wp:extent cx="4271071" cy="2208530"/>
            <wp:effectExtent l="0" t="0" r="0" b="1270"/>
            <wp:docPr id="13" name="Picture 13" descr="Figure 2.1C is made up of eleven bar graphs across two pages (three graphs on this page, and eight graphs on the following page).&#10;The first three bar graphs relate to participants from birth to before starting school. &#10;The first bar graph (top left) shows the percentage my child uses specialist services. The horizontal axis has per cent from 0 to 100 with increments of 20, and the vertical axis has three categories (baseline, 1st review and 2nd review). The categories and per cent are: Baseline, 73 point 6 per cent; 1st review, 92 point 7 per cent; 2nd Review, 96 point 9 per cent.&#10;&#10;The second bar graph (top right) relates to the previous graph and shows the percentage these services help my child gain the skills she or he needs to participate in everyday life. The horizontal axis has per cent from 0 to 100 with increments of 20, and the vertical axis has three categories (baseline, 1st review and 2nd review). The categories and per cent are: Baseline, 86 point 8 per cent; 1st review, 95 point 0 per cent; 2nd review, 97 point 9 per cent.&#10;&#10;The third bar graph (below the first bar graph) shows the percentage of those participating in community, cultural or religious activities, and percentage of children who feel welcomed. The horizontal axis has per cent from 0 to 100 with increments of 20 and the vertical axis has three categories (baseline, 1st review and 2nd review). The categories and per cent are: Baseline, 64 point 4 per cent; 1st review, 69 point 7 per cent; 2nd review, 70 point 8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1117"/>
                    <a:stretch/>
                  </pic:blipFill>
                  <pic:spPr bwMode="auto">
                    <a:xfrm>
                      <a:off x="0" y="0"/>
                      <a:ext cx="4278309" cy="2212273"/>
                    </a:xfrm>
                    <a:prstGeom prst="rect">
                      <a:avLst/>
                    </a:prstGeom>
                    <a:ln>
                      <a:noFill/>
                    </a:ln>
                    <a:extLst>
                      <a:ext uri="{53640926-AAD7-44D8-BBD7-CCE9431645EC}">
                        <a14:shadowObscured xmlns:a14="http://schemas.microsoft.com/office/drawing/2010/main"/>
                      </a:ext>
                    </a:extLst>
                  </pic:spPr>
                </pic:pic>
              </a:graphicData>
            </a:graphic>
          </wp:inline>
        </w:drawing>
      </w:r>
    </w:p>
    <w:p w14:paraId="57A5D7FB" w14:textId="736A0575" w:rsidR="00FE17BB" w:rsidRPr="00262F3A" w:rsidRDefault="00FE17BB" w:rsidP="00FE17BB">
      <w:pPr>
        <w:rPr>
          <w:lang w:eastAsia="en-US"/>
        </w:rPr>
      </w:pPr>
      <w:r w:rsidRPr="00262F3A">
        <w:rPr>
          <w:noProof/>
          <w:lang w:eastAsia="en-AU"/>
        </w:rPr>
        <w:lastRenderedPageBreak/>
        <w:drawing>
          <wp:inline distT="0" distB="0" distL="0" distR="0" wp14:anchorId="3D1EB291" wp14:editId="65F4B0FB">
            <wp:extent cx="4142983" cy="3582537"/>
            <wp:effectExtent l="0" t="0" r="0" b="0"/>
            <wp:docPr id="14" name="Picture 14" descr="Figure 2.1C continues from the previous page and shows reported participant outcomes.&#10;&#10;The first two bar graphs show participants from starting school to age 14 years. &#10;&#10;The first bar graph (top left) shows the percentage of children who are becoming more independent. The horizontal axis has per cent from 0 to 100 with increments of 20 and the vertical axis has three categories (baseline, 1st review and 2nd review). The categories and per cent are: Baseline, 43 point 5 per cent; 1st review, 46 point 5 per cent; 2nd review, 50 point 5 per cent.&#10;&#10;The second bar graph (top right) shows the percentage of children who have friends that they enjoy spending time with. The horizontal axis has per cent from 0 to 100 with increments of 20 and the vertical axis has three categories (baseline, 1st review and 2nd review). The categories and per cent are: Baseline, 46 point 5 per cent; 1st review, 48 point 9 per cent; 2nd review, 48 point 9 per cent.&#10;The next three bar graphs on this page show participant outcomes for participants aged 15 to 24 years.&#10;The third bar graph (top left) shows responses to the question, Do you make more decisions in your life than you did 2 years ago? The horizontal axis has per cent from 0 to 100 with increments of 20 and the vertical axis has three categories. The categories and per cent are: Baseline, 57 point 2 per cent; 1st review, 62 per cent; 2nd review, 63 point 7 per cent.&#10;The fourth bar graph (top right) shows responses to the question, Have you been actively involved in a community, cultural or religious group in the last 12 months? The horizontal axis has per cent from 0 to 100 with increments of 20 and the vertical axis has three categories (baseline, first review and second review). The categories and per cent are: Baseline, 31 point one per cent; 1st review, 37 point eight per cent; second review, 43 point three per cent.&#10;The fifth bar graph shows responses to the question, Are you currently working in a paid job? The horizontal axis has per cent from zero to 100 with increments of 20 and the vertical axis has three categories (baseline, first review and second review). The categories and per cent are: Baseline, 13 point three per cent; second review, 17 point nine per cent; second review, 22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8251" cy="3587093"/>
                    </a:xfrm>
                    <a:prstGeom prst="rect">
                      <a:avLst/>
                    </a:prstGeom>
                  </pic:spPr>
                </pic:pic>
              </a:graphicData>
            </a:graphic>
          </wp:inline>
        </w:drawing>
      </w:r>
    </w:p>
    <w:p w14:paraId="45604267" w14:textId="61C460DF" w:rsidR="00FE17BB" w:rsidRPr="00262F3A" w:rsidRDefault="00FE17BB" w:rsidP="00FE17BB">
      <w:pPr>
        <w:rPr>
          <w:lang w:eastAsia="en-US"/>
        </w:rPr>
      </w:pPr>
      <w:r w:rsidRPr="00262F3A">
        <w:rPr>
          <w:noProof/>
          <w:lang w:eastAsia="en-AU"/>
        </w:rPr>
        <w:drawing>
          <wp:inline distT="0" distB="0" distL="0" distR="0" wp14:anchorId="6CBEAA45" wp14:editId="0165F278">
            <wp:extent cx="4142096" cy="2434044"/>
            <wp:effectExtent l="0" t="0" r="0" b="4445"/>
            <wp:docPr id="4" name="Picture 4" descr="The next three bar graphs show participant outcomes for participants aged 25 years and over. &#10;&#10;The sixth bar graph shows responses to the question, Have you been actively involved in a community, cultural or religious group in the last 12 months? The horizontal axis has per cent from zero to 100 with increments of 20 and the vertical axis has three categories (baseline, first review and second review). The categories and per cent are: Baseline, 36 point five per cent; first review, 41 point six per cent; second review, 46 point eight per cent.&#10;The seventh bar graph shows the percentage of participants for each of the following three categories: Those who had no difficulties accessing health services; those who have a regular doctor; and those who have been to hospital in the last 12 months. The horizontal axis lists these three categories, and the vertical axis has per cent from zero to 100 with increments of 20. The legend shows purple for Baseline and blue for second review. The category, per cent for baseline and per cent for second review are: no difficulties accessing health services, 68 point five per cent, and 71 point six per cent; have a regular doctor, 87 point nine per cent, and 94 point seven per cent; have been to hospital in the last 12 months, 40 point six per cent, and 34 point eight per cent.&#10;The eighth bar graph shows responses to the question, Do you spend your free time doing activities that interest you? The horizontal axis has per cent from zero to 100 with increments of 20 and the vertical axis has three categories (baseline, first review and second review). The categories and per cent are: Baseline, 68 point three per cent; first review, 73 point two per cent; second review, 75 point nine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47590" cy="2437272"/>
                    </a:xfrm>
                    <a:prstGeom prst="rect">
                      <a:avLst/>
                    </a:prstGeom>
                  </pic:spPr>
                </pic:pic>
              </a:graphicData>
            </a:graphic>
          </wp:inline>
        </w:drawing>
      </w:r>
    </w:p>
    <w:p w14:paraId="45C53E07" w14:textId="0E946132" w:rsidR="00FE17BB" w:rsidRPr="00262F3A" w:rsidRDefault="00FE17BB" w:rsidP="00FE17BB">
      <w:pPr>
        <w:rPr>
          <w:rFonts w:cstheme="minorHAnsi"/>
        </w:rPr>
      </w:pPr>
      <w:r w:rsidRPr="00262F3A">
        <w:rPr>
          <w:rFonts w:cstheme="minorHAnsi"/>
        </w:rPr>
        <w:t>While the rate of participation in work for those in the Scheme continues to be stable, there are some marginal increases in employment for participants who entered the Scheme between 1 July 2016 and 30 June 2017 and have been in the Scheme for three years.  More needs to be done to facilitate greater access to employment opportunities.</w:t>
      </w:r>
    </w:p>
    <w:p w14:paraId="6D6165B9" w14:textId="6AB99A94" w:rsidR="00FE17BB" w:rsidRDefault="00FE17BB" w:rsidP="00FE17BB">
      <w:pPr>
        <w:rPr>
          <w:noProof/>
          <w:lang w:eastAsia="en-AU"/>
        </w:rPr>
      </w:pPr>
    </w:p>
    <w:p w14:paraId="6D6C07B0" w14:textId="6B283E4D" w:rsidR="00B14C20" w:rsidRDefault="00B14C20" w:rsidP="00FE17BB">
      <w:pPr>
        <w:rPr>
          <w:noProof/>
          <w:lang w:eastAsia="en-AU"/>
        </w:rPr>
      </w:pPr>
    </w:p>
    <w:p w14:paraId="01EAF222" w14:textId="12F4D85B" w:rsidR="00B14C20" w:rsidRDefault="00B14C20" w:rsidP="00FE17BB">
      <w:pPr>
        <w:rPr>
          <w:noProof/>
          <w:lang w:eastAsia="en-AU"/>
        </w:rPr>
      </w:pPr>
    </w:p>
    <w:p w14:paraId="561CE2C4" w14:textId="43AC5693" w:rsidR="00B14C20" w:rsidRDefault="00B14C20" w:rsidP="00FE17BB">
      <w:pPr>
        <w:rPr>
          <w:noProof/>
          <w:lang w:eastAsia="en-AU"/>
        </w:rPr>
      </w:pPr>
    </w:p>
    <w:p w14:paraId="45822D54" w14:textId="6B018BE3" w:rsidR="00B14C20" w:rsidRDefault="00B14C20" w:rsidP="00FE17BB">
      <w:pPr>
        <w:rPr>
          <w:noProof/>
          <w:lang w:eastAsia="en-AU"/>
        </w:rPr>
      </w:pPr>
    </w:p>
    <w:p w14:paraId="35607249" w14:textId="2ADA14C2" w:rsidR="00B14C20" w:rsidRDefault="00B14C20" w:rsidP="00FE17BB">
      <w:pPr>
        <w:rPr>
          <w:noProof/>
          <w:lang w:eastAsia="en-AU"/>
        </w:rPr>
      </w:pPr>
    </w:p>
    <w:p w14:paraId="0B5B2E12" w14:textId="0D94A91F" w:rsidR="00B14C20" w:rsidRDefault="00B14C20" w:rsidP="00FE17BB">
      <w:pPr>
        <w:rPr>
          <w:noProof/>
          <w:lang w:eastAsia="en-AU"/>
        </w:rPr>
      </w:pPr>
    </w:p>
    <w:p w14:paraId="1B28BDD1" w14:textId="45A55EE2" w:rsidR="00B14C20" w:rsidRDefault="00B14C20" w:rsidP="00FE17BB">
      <w:pPr>
        <w:rPr>
          <w:noProof/>
          <w:lang w:eastAsia="en-AU"/>
        </w:rPr>
      </w:pPr>
    </w:p>
    <w:p w14:paraId="7435E0DC" w14:textId="7B8BC9CA" w:rsidR="00B14C20" w:rsidRDefault="00B14C20" w:rsidP="00FE17BB">
      <w:pPr>
        <w:rPr>
          <w:noProof/>
          <w:lang w:eastAsia="en-AU"/>
        </w:rPr>
      </w:pPr>
    </w:p>
    <w:p w14:paraId="506B7D61" w14:textId="77777777" w:rsidR="00B14C20" w:rsidRPr="00C40353" w:rsidRDefault="00B14C20" w:rsidP="00B14C20">
      <w:r w:rsidRPr="00C40353">
        <w:lastRenderedPageBreak/>
        <w:t>For participants who entered the Scheme between 1 July 2016 and 30 June 2017 and have been in the Scheme for three years, there was a:</w:t>
      </w:r>
    </w:p>
    <w:tbl>
      <w:tblPr>
        <w:tblW w:w="8789" w:type="dxa"/>
        <w:tblInd w:w="567" w:type="dxa"/>
        <w:tblLook w:val="04A0" w:firstRow="1" w:lastRow="0" w:firstColumn="1" w:lastColumn="0" w:noHBand="0" w:noVBand="1"/>
      </w:tblPr>
      <w:tblGrid>
        <w:gridCol w:w="8789"/>
      </w:tblGrid>
      <w:tr w:rsidR="00B14C20" w:rsidRPr="00C40353" w14:paraId="4AC42603" w14:textId="77777777" w:rsidTr="007776BD">
        <w:trPr>
          <w:trHeight w:val="285"/>
        </w:trPr>
        <w:tc>
          <w:tcPr>
            <w:tcW w:w="8789" w:type="dxa"/>
            <w:tcBorders>
              <w:top w:val="nil"/>
              <w:left w:val="nil"/>
              <w:bottom w:val="nil"/>
              <w:right w:val="nil"/>
            </w:tcBorders>
            <w:shd w:val="clear" w:color="000000" w:fill="E7E6E6"/>
            <w:noWrap/>
            <w:vAlign w:val="bottom"/>
            <w:hideMark/>
          </w:tcPr>
          <w:p w14:paraId="46B5E2A1" w14:textId="77777777" w:rsidR="00B14C20" w:rsidRPr="00C40353" w:rsidRDefault="00B14C20" w:rsidP="007776BD">
            <w:pPr>
              <w:pStyle w:val="ListParagraph"/>
              <w:numPr>
                <w:ilvl w:val="0"/>
                <w:numId w:val="65"/>
              </w:numPr>
              <w:spacing w:before="0"/>
              <w:ind w:left="172" w:hanging="141"/>
              <w:rPr>
                <w:rFonts w:eastAsia="Times New Roman"/>
                <w:color w:val="000000"/>
                <w:lang w:eastAsia="en-AU"/>
              </w:rPr>
            </w:pPr>
            <w:r w:rsidRPr="00C40353">
              <w:rPr>
                <w:rFonts w:eastAsia="Times New Roman"/>
                <w:b/>
                <w:color w:val="7030A0"/>
                <w:lang w:eastAsia="en-AU"/>
              </w:rPr>
              <w:t>twelve</w:t>
            </w:r>
            <w:r w:rsidRPr="00C40353">
              <w:rPr>
                <w:rFonts w:eastAsia="Times New Roman"/>
                <w:color w:val="000000"/>
                <w:lang w:eastAsia="en-AU"/>
              </w:rPr>
              <w:t xml:space="preserve"> percentage increase from </w:t>
            </w:r>
            <w:r w:rsidRPr="00C40353">
              <w:rPr>
                <w:rFonts w:eastAsia="Times New Roman"/>
                <w:b/>
                <w:color w:val="7030A0"/>
                <w:lang w:eastAsia="en-AU"/>
              </w:rPr>
              <w:t>13%</w:t>
            </w:r>
            <w:r w:rsidRPr="00C40353">
              <w:rPr>
                <w:rFonts w:eastAsia="Times New Roman"/>
                <w:color w:val="000000"/>
                <w:lang w:eastAsia="en-AU"/>
              </w:rPr>
              <w:t xml:space="preserve"> to </w:t>
            </w:r>
            <w:r w:rsidRPr="00C40353">
              <w:rPr>
                <w:rFonts w:eastAsia="Times New Roman"/>
                <w:b/>
                <w:color w:val="7030A0"/>
                <w:lang w:eastAsia="en-AU"/>
              </w:rPr>
              <w:t xml:space="preserve">25% </w:t>
            </w:r>
            <w:r>
              <w:rPr>
                <w:rFonts w:eastAsia="Times New Roman"/>
                <w:color w:val="000000"/>
                <w:lang w:eastAsia="en-AU"/>
              </w:rPr>
              <w:t xml:space="preserve">for participants aged 15 - </w:t>
            </w:r>
            <w:r w:rsidRPr="00C40353">
              <w:rPr>
                <w:rFonts w:eastAsia="Times New Roman"/>
                <w:color w:val="000000"/>
                <w:lang w:eastAsia="en-AU"/>
              </w:rPr>
              <w:t>24 years</w:t>
            </w:r>
          </w:p>
        </w:tc>
      </w:tr>
      <w:tr w:rsidR="00B14C20" w:rsidRPr="00C40353" w14:paraId="44602506" w14:textId="77777777" w:rsidTr="007776BD">
        <w:trPr>
          <w:trHeight w:val="105"/>
        </w:trPr>
        <w:tc>
          <w:tcPr>
            <w:tcW w:w="8789" w:type="dxa"/>
            <w:tcBorders>
              <w:top w:val="nil"/>
              <w:left w:val="nil"/>
              <w:bottom w:val="nil"/>
              <w:right w:val="nil"/>
            </w:tcBorders>
            <w:shd w:val="clear" w:color="auto" w:fill="auto"/>
            <w:noWrap/>
            <w:vAlign w:val="bottom"/>
            <w:hideMark/>
          </w:tcPr>
          <w:p w14:paraId="61F30DAA" w14:textId="77777777" w:rsidR="00B14C20" w:rsidRPr="00C40353" w:rsidRDefault="00B14C20" w:rsidP="007776BD">
            <w:pPr>
              <w:spacing w:after="0"/>
              <w:rPr>
                <w:rFonts w:eastAsia="Times New Roman"/>
                <w:color w:val="000000"/>
                <w:lang w:eastAsia="en-AU"/>
              </w:rPr>
            </w:pPr>
          </w:p>
        </w:tc>
      </w:tr>
      <w:tr w:rsidR="00B14C20" w:rsidRPr="00C40353" w14:paraId="3F5D3E5C" w14:textId="77777777" w:rsidTr="007776BD">
        <w:trPr>
          <w:trHeight w:val="285"/>
        </w:trPr>
        <w:tc>
          <w:tcPr>
            <w:tcW w:w="8789" w:type="dxa"/>
            <w:tcBorders>
              <w:top w:val="nil"/>
              <w:left w:val="nil"/>
              <w:bottom w:val="nil"/>
              <w:right w:val="nil"/>
            </w:tcBorders>
            <w:shd w:val="clear" w:color="000000" w:fill="E7E6E6"/>
            <w:noWrap/>
            <w:vAlign w:val="bottom"/>
            <w:hideMark/>
          </w:tcPr>
          <w:p w14:paraId="37793118" w14:textId="77777777" w:rsidR="00B14C20" w:rsidRPr="00C40353" w:rsidRDefault="00B14C20" w:rsidP="007776BD">
            <w:pPr>
              <w:pStyle w:val="ListParagraph"/>
              <w:numPr>
                <w:ilvl w:val="0"/>
                <w:numId w:val="65"/>
              </w:numPr>
              <w:spacing w:before="0"/>
              <w:ind w:left="172" w:hanging="123"/>
              <w:rPr>
                <w:rFonts w:eastAsia="Times New Roman"/>
                <w:color w:val="000000"/>
                <w:lang w:eastAsia="en-AU"/>
              </w:rPr>
            </w:pPr>
            <w:r w:rsidRPr="00C40353">
              <w:rPr>
                <w:rFonts w:eastAsia="Times New Roman"/>
                <w:b/>
                <w:color w:val="7030A0"/>
                <w:lang w:eastAsia="en-AU"/>
              </w:rPr>
              <w:t xml:space="preserve">two </w:t>
            </w:r>
            <w:r w:rsidRPr="00C40353">
              <w:rPr>
                <w:rFonts w:eastAsia="Times New Roman"/>
                <w:color w:val="000000"/>
                <w:lang w:eastAsia="en-AU"/>
              </w:rPr>
              <w:t xml:space="preserve">percentage decrease from </w:t>
            </w:r>
            <w:r w:rsidRPr="00C40353">
              <w:rPr>
                <w:rFonts w:eastAsia="Times New Roman"/>
                <w:b/>
                <w:color w:val="7030A0"/>
                <w:lang w:eastAsia="en-AU"/>
              </w:rPr>
              <w:t xml:space="preserve">26% </w:t>
            </w:r>
            <w:r w:rsidRPr="00C40353">
              <w:rPr>
                <w:rFonts w:eastAsia="Times New Roman"/>
                <w:color w:val="000000"/>
                <w:lang w:eastAsia="en-AU"/>
              </w:rPr>
              <w:t xml:space="preserve">to </w:t>
            </w:r>
            <w:r w:rsidRPr="00C40353">
              <w:rPr>
                <w:rFonts w:eastAsia="Times New Roman"/>
                <w:b/>
                <w:color w:val="7030A0"/>
                <w:lang w:eastAsia="en-AU"/>
              </w:rPr>
              <w:t xml:space="preserve">24% </w:t>
            </w:r>
            <w:r w:rsidRPr="00C40353">
              <w:rPr>
                <w:rFonts w:eastAsia="Times New Roman"/>
                <w:color w:val="000000"/>
                <w:lang w:eastAsia="en-AU"/>
              </w:rPr>
              <w:t>for participants aged 25+ years</w:t>
            </w:r>
          </w:p>
        </w:tc>
      </w:tr>
      <w:tr w:rsidR="00B14C20" w:rsidRPr="00C40353" w14:paraId="404268E7" w14:textId="77777777" w:rsidTr="007776BD">
        <w:trPr>
          <w:trHeight w:val="105"/>
        </w:trPr>
        <w:tc>
          <w:tcPr>
            <w:tcW w:w="8789" w:type="dxa"/>
            <w:tcBorders>
              <w:top w:val="nil"/>
              <w:left w:val="nil"/>
              <w:bottom w:val="nil"/>
              <w:right w:val="nil"/>
            </w:tcBorders>
            <w:shd w:val="clear" w:color="auto" w:fill="auto"/>
            <w:noWrap/>
            <w:vAlign w:val="bottom"/>
            <w:hideMark/>
          </w:tcPr>
          <w:p w14:paraId="772E24B0" w14:textId="77777777" w:rsidR="00B14C20" w:rsidRPr="00C40353" w:rsidRDefault="00B14C20" w:rsidP="007776BD">
            <w:pPr>
              <w:spacing w:after="0"/>
              <w:rPr>
                <w:rFonts w:eastAsia="Times New Roman"/>
                <w:color w:val="000000"/>
                <w:lang w:eastAsia="en-AU"/>
              </w:rPr>
            </w:pPr>
          </w:p>
        </w:tc>
      </w:tr>
      <w:tr w:rsidR="00B14C20" w:rsidRPr="00C40353" w14:paraId="175D256A" w14:textId="77777777" w:rsidTr="007776BD">
        <w:trPr>
          <w:trHeight w:val="285"/>
        </w:trPr>
        <w:tc>
          <w:tcPr>
            <w:tcW w:w="8789" w:type="dxa"/>
            <w:tcBorders>
              <w:top w:val="nil"/>
              <w:left w:val="nil"/>
              <w:bottom w:val="nil"/>
              <w:right w:val="nil"/>
            </w:tcBorders>
            <w:shd w:val="clear" w:color="000000" w:fill="E7E6E6"/>
            <w:noWrap/>
            <w:vAlign w:val="bottom"/>
            <w:hideMark/>
          </w:tcPr>
          <w:p w14:paraId="4EBF2E39" w14:textId="77777777" w:rsidR="00B14C20" w:rsidRPr="00C40353" w:rsidRDefault="00B14C20" w:rsidP="007776BD">
            <w:pPr>
              <w:pStyle w:val="ListParagraph"/>
              <w:numPr>
                <w:ilvl w:val="0"/>
                <w:numId w:val="65"/>
              </w:numPr>
              <w:spacing w:before="0"/>
              <w:ind w:left="172" w:hanging="123"/>
              <w:rPr>
                <w:rFonts w:eastAsia="Times New Roman"/>
                <w:color w:val="000000"/>
                <w:lang w:eastAsia="en-AU"/>
              </w:rPr>
            </w:pPr>
            <w:r w:rsidRPr="00C40353">
              <w:rPr>
                <w:rFonts w:eastAsia="Times New Roman"/>
                <w:b/>
                <w:color w:val="7030A0"/>
                <w:lang w:eastAsia="en-AU"/>
              </w:rPr>
              <w:t xml:space="preserve">one </w:t>
            </w:r>
            <w:r w:rsidRPr="00C40353">
              <w:rPr>
                <w:rFonts w:eastAsia="Times New Roman"/>
                <w:color w:val="000000"/>
                <w:lang w:eastAsia="en-AU"/>
              </w:rPr>
              <w:t xml:space="preserve">percentage increase from </w:t>
            </w:r>
            <w:r w:rsidRPr="00C40353">
              <w:rPr>
                <w:rFonts w:eastAsia="Times New Roman"/>
                <w:b/>
                <w:color w:val="7030A0"/>
                <w:lang w:eastAsia="en-AU"/>
              </w:rPr>
              <w:t xml:space="preserve">23% </w:t>
            </w:r>
            <w:r w:rsidRPr="00C40353">
              <w:rPr>
                <w:rFonts w:eastAsia="Times New Roman"/>
                <w:color w:val="000000"/>
                <w:lang w:eastAsia="en-AU"/>
              </w:rPr>
              <w:t xml:space="preserve">to </w:t>
            </w:r>
            <w:r w:rsidRPr="00C40353">
              <w:rPr>
                <w:rFonts w:eastAsia="Times New Roman"/>
                <w:b/>
                <w:color w:val="7030A0"/>
                <w:lang w:eastAsia="en-AU"/>
              </w:rPr>
              <w:t xml:space="preserve">24% </w:t>
            </w:r>
            <w:r w:rsidRPr="00C40353">
              <w:rPr>
                <w:rFonts w:eastAsia="Times New Roman"/>
                <w:color w:val="000000"/>
                <w:lang w:eastAsia="en-AU"/>
              </w:rPr>
              <w:t>for participants aged 15+</w:t>
            </w:r>
          </w:p>
        </w:tc>
      </w:tr>
    </w:tbl>
    <w:p w14:paraId="6B710BC7" w14:textId="77777777" w:rsidR="00B14C20" w:rsidRPr="00B14C20" w:rsidRDefault="00B14C20" w:rsidP="00B14C20">
      <w:pPr>
        <w:rPr>
          <w:rFonts w:cstheme="minorHAnsi"/>
        </w:rPr>
      </w:pPr>
    </w:p>
    <w:p w14:paraId="6ADDBAF1" w14:textId="77777777" w:rsidR="00B14C20" w:rsidRPr="00B14C20" w:rsidRDefault="00B14C20" w:rsidP="00B14C20">
      <w:pPr>
        <w:rPr>
          <w:rFonts w:cstheme="minorHAnsi"/>
        </w:rPr>
      </w:pPr>
      <w:r w:rsidRPr="00B14C20">
        <w:rPr>
          <w:rFonts w:cstheme="minorHAnsi"/>
        </w:rPr>
        <w:t>For participants who entered the Scheme between 1 July 2017 and 30 June 2018 and have been in the Scheme for two years, there was also a marginal increase in employment:</w:t>
      </w:r>
    </w:p>
    <w:tbl>
      <w:tblPr>
        <w:tblW w:w="8789" w:type="dxa"/>
        <w:tblInd w:w="567" w:type="dxa"/>
        <w:tblLook w:val="04A0" w:firstRow="1" w:lastRow="0" w:firstColumn="1" w:lastColumn="0" w:noHBand="0" w:noVBand="1"/>
      </w:tblPr>
      <w:tblGrid>
        <w:gridCol w:w="8789"/>
      </w:tblGrid>
      <w:tr w:rsidR="00B14C20" w:rsidRPr="00C40353" w14:paraId="21A50B51" w14:textId="77777777" w:rsidTr="007776BD">
        <w:trPr>
          <w:trHeight w:val="285"/>
        </w:trPr>
        <w:tc>
          <w:tcPr>
            <w:tcW w:w="8789" w:type="dxa"/>
            <w:tcBorders>
              <w:top w:val="nil"/>
              <w:left w:val="nil"/>
              <w:bottom w:val="nil"/>
              <w:right w:val="nil"/>
            </w:tcBorders>
            <w:shd w:val="clear" w:color="000000" w:fill="E7E6E6"/>
            <w:noWrap/>
            <w:vAlign w:val="bottom"/>
            <w:hideMark/>
          </w:tcPr>
          <w:p w14:paraId="57598DE2" w14:textId="77777777" w:rsidR="00B14C20" w:rsidRPr="00C40353" w:rsidRDefault="00B14C20" w:rsidP="007776BD">
            <w:pPr>
              <w:pStyle w:val="ListParagraph"/>
              <w:numPr>
                <w:ilvl w:val="0"/>
                <w:numId w:val="65"/>
              </w:numPr>
              <w:spacing w:before="0"/>
              <w:ind w:left="172" w:hanging="141"/>
              <w:rPr>
                <w:rFonts w:eastAsia="Times New Roman"/>
                <w:color w:val="000000"/>
                <w:lang w:eastAsia="en-AU"/>
              </w:rPr>
            </w:pPr>
            <w:r>
              <w:rPr>
                <w:rFonts w:eastAsia="Times New Roman"/>
                <w:b/>
                <w:color w:val="7030A0"/>
                <w:lang w:eastAsia="en-AU"/>
              </w:rPr>
              <w:t>six</w:t>
            </w:r>
            <w:r w:rsidRPr="00C40353">
              <w:rPr>
                <w:rFonts w:eastAsia="Times New Roman"/>
                <w:color w:val="000000"/>
                <w:lang w:eastAsia="en-AU"/>
              </w:rPr>
              <w:t xml:space="preserve"> percentage increase from </w:t>
            </w:r>
            <w:r>
              <w:rPr>
                <w:rFonts w:eastAsia="Times New Roman"/>
                <w:b/>
                <w:color w:val="7030A0"/>
                <w:lang w:eastAsia="en-AU"/>
              </w:rPr>
              <w:t>15</w:t>
            </w:r>
            <w:r w:rsidRPr="00C40353">
              <w:rPr>
                <w:rFonts w:eastAsia="Times New Roman"/>
                <w:b/>
                <w:color w:val="7030A0"/>
                <w:lang w:eastAsia="en-AU"/>
              </w:rPr>
              <w:t>%</w:t>
            </w:r>
            <w:r w:rsidRPr="00C40353">
              <w:rPr>
                <w:rFonts w:eastAsia="Times New Roman"/>
                <w:color w:val="000000"/>
                <w:lang w:eastAsia="en-AU"/>
              </w:rPr>
              <w:t xml:space="preserve"> to </w:t>
            </w:r>
            <w:r>
              <w:rPr>
                <w:rFonts w:eastAsia="Times New Roman"/>
                <w:b/>
                <w:color w:val="7030A0"/>
                <w:lang w:eastAsia="en-AU"/>
              </w:rPr>
              <w:t>21</w:t>
            </w:r>
            <w:r w:rsidRPr="00C40353">
              <w:rPr>
                <w:rFonts w:eastAsia="Times New Roman"/>
                <w:b/>
                <w:color w:val="7030A0"/>
                <w:lang w:eastAsia="en-AU"/>
              </w:rPr>
              <w:t xml:space="preserve">% </w:t>
            </w:r>
            <w:r>
              <w:rPr>
                <w:rFonts w:eastAsia="Times New Roman"/>
                <w:color w:val="000000"/>
                <w:lang w:eastAsia="en-AU"/>
              </w:rPr>
              <w:t xml:space="preserve">for participants aged 15 - </w:t>
            </w:r>
            <w:r w:rsidRPr="00C40353">
              <w:rPr>
                <w:rFonts w:eastAsia="Times New Roman"/>
                <w:color w:val="000000"/>
                <w:lang w:eastAsia="en-AU"/>
              </w:rPr>
              <w:t>24 years</w:t>
            </w:r>
          </w:p>
        </w:tc>
      </w:tr>
      <w:tr w:rsidR="00B14C20" w:rsidRPr="00C40353" w14:paraId="1FD8409D" w14:textId="77777777" w:rsidTr="007776BD">
        <w:trPr>
          <w:trHeight w:val="105"/>
        </w:trPr>
        <w:tc>
          <w:tcPr>
            <w:tcW w:w="8789" w:type="dxa"/>
            <w:tcBorders>
              <w:top w:val="nil"/>
              <w:left w:val="nil"/>
              <w:bottom w:val="nil"/>
              <w:right w:val="nil"/>
            </w:tcBorders>
            <w:shd w:val="clear" w:color="auto" w:fill="auto"/>
            <w:noWrap/>
            <w:vAlign w:val="bottom"/>
            <w:hideMark/>
          </w:tcPr>
          <w:p w14:paraId="53AFF1B3" w14:textId="77777777" w:rsidR="00B14C20" w:rsidRPr="00C40353" w:rsidRDefault="00B14C20" w:rsidP="007776BD">
            <w:pPr>
              <w:spacing w:after="0"/>
              <w:rPr>
                <w:rFonts w:eastAsia="Times New Roman"/>
                <w:color w:val="000000"/>
                <w:lang w:eastAsia="en-AU"/>
              </w:rPr>
            </w:pPr>
          </w:p>
        </w:tc>
      </w:tr>
      <w:tr w:rsidR="00B14C20" w:rsidRPr="00C40353" w14:paraId="40B61C57" w14:textId="77777777" w:rsidTr="007776BD">
        <w:trPr>
          <w:trHeight w:val="285"/>
        </w:trPr>
        <w:tc>
          <w:tcPr>
            <w:tcW w:w="8789" w:type="dxa"/>
            <w:tcBorders>
              <w:top w:val="nil"/>
              <w:left w:val="nil"/>
              <w:bottom w:val="nil"/>
              <w:right w:val="nil"/>
            </w:tcBorders>
            <w:shd w:val="clear" w:color="000000" w:fill="E7E6E6"/>
            <w:noWrap/>
            <w:vAlign w:val="bottom"/>
            <w:hideMark/>
          </w:tcPr>
          <w:p w14:paraId="46337FAE" w14:textId="77777777" w:rsidR="00B14C20" w:rsidRPr="00C40353" w:rsidRDefault="00B14C20" w:rsidP="007776BD">
            <w:pPr>
              <w:pStyle w:val="ListParagraph"/>
              <w:numPr>
                <w:ilvl w:val="0"/>
                <w:numId w:val="65"/>
              </w:numPr>
              <w:spacing w:before="0"/>
              <w:ind w:left="172" w:hanging="123"/>
              <w:rPr>
                <w:rFonts w:eastAsia="Times New Roman"/>
                <w:color w:val="000000"/>
                <w:lang w:eastAsia="en-AU"/>
              </w:rPr>
            </w:pPr>
            <w:r w:rsidRPr="00C40353">
              <w:rPr>
                <w:rFonts w:eastAsia="Times New Roman"/>
                <w:b/>
                <w:color w:val="7030A0"/>
                <w:lang w:eastAsia="en-AU"/>
              </w:rPr>
              <w:t xml:space="preserve">two </w:t>
            </w:r>
            <w:r w:rsidRPr="00C40353">
              <w:rPr>
                <w:rFonts w:eastAsia="Times New Roman"/>
                <w:color w:val="000000"/>
                <w:lang w:eastAsia="en-AU"/>
              </w:rPr>
              <w:t xml:space="preserve">percentage decrease from </w:t>
            </w:r>
            <w:r>
              <w:rPr>
                <w:rFonts w:eastAsia="Times New Roman"/>
                <w:b/>
                <w:color w:val="7030A0"/>
                <w:lang w:eastAsia="en-AU"/>
              </w:rPr>
              <w:t>25</w:t>
            </w:r>
            <w:r w:rsidRPr="00C40353">
              <w:rPr>
                <w:rFonts w:eastAsia="Times New Roman"/>
                <w:b/>
                <w:color w:val="7030A0"/>
                <w:lang w:eastAsia="en-AU"/>
              </w:rPr>
              <w:t xml:space="preserve">% </w:t>
            </w:r>
            <w:r w:rsidRPr="00C40353">
              <w:rPr>
                <w:rFonts w:eastAsia="Times New Roman"/>
                <w:color w:val="000000"/>
                <w:lang w:eastAsia="en-AU"/>
              </w:rPr>
              <w:t xml:space="preserve">to </w:t>
            </w:r>
            <w:r>
              <w:rPr>
                <w:rFonts w:eastAsia="Times New Roman"/>
                <w:b/>
                <w:color w:val="7030A0"/>
                <w:lang w:eastAsia="en-AU"/>
              </w:rPr>
              <w:t>23</w:t>
            </w:r>
            <w:r w:rsidRPr="00C40353">
              <w:rPr>
                <w:rFonts w:eastAsia="Times New Roman"/>
                <w:b/>
                <w:color w:val="7030A0"/>
                <w:lang w:eastAsia="en-AU"/>
              </w:rPr>
              <w:t xml:space="preserve">% </w:t>
            </w:r>
            <w:r w:rsidRPr="00C40353">
              <w:rPr>
                <w:rFonts w:eastAsia="Times New Roman"/>
                <w:color w:val="000000"/>
                <w:lang w:eastAsia="en-AU"/>
              </w:rPr>
              <w:t>for participants aged 25+ years</w:t>
            </w:r>
          </w:p>
        </w:tc>
      </w:tr>
      <w:tr w:rsidR="00B14C20" w:rsidRPr="00C40353" w14:paraId="6E6F9626" w14:textId="77777777" w:rsidTr="007776BD">
        <w:trPr>
          <w:trHeight w:val="105"/>
        </w:trPr>
        <w:tc>
          <w:tcPr>
            <w:tcW w:w="8789" w:type="dxa"/>
            <w:tcBorders>
              <w:top w:val="nil"/>
              <w:left w:val="nil"/>
              <w:bottom w:val="nil"/>
              <w:right w:val="nil"/>
            </w:tcBorders>
            <w:shd w:val="clear" w:color="auto" w:fill="auto"/>
            <w:noWrap/>
            <w:vAlign w:val="bottom"/>
            <w:hideMark/>
          </w:tcPr>
          <w:p w14:paraId="2569FF30" w14:textId="77777777" w:rsidR="00B14C20" w:rsidRPr="00C40353" w:rsidRDefault="00B14C20" w:rsidP="007776BD">
            <w:pPr>
              <w:spacing w:after="0"/>
              <w:rPr>
                <w:rFonts w:eastAsia="Times New Roman"/>
                <w:color w:val="000000"/>
                <w:lang w:eastAsia="en-AU"/>
              </w:rPr>
            </w:pPr>
          </w:p>
        </w:tc>
      </w:tr>
      <w:tr w:rsidR="00B14C20" w:rsidRPr="00C40353" w14:paraId="34969CD4" w14:textId="77777777" w:rsidTr="007776BD">
        <w:trPr>
          <w:trHeight w:val="285"/>
        </w:trPr>
        <w:tc>
          <w:tcPr>
            <w:tcW w:w="8789" w:type="dxa"/>
            <w:tcBorders>
              <w:top w:val="nil"/>
              <w:left w:val="nil"/>
              <w:bottom w:val="nil"/>
              <w:right w:val="nil"/>
            </w:tcBorders>
            <w:shd w:val="clear" w:color="000000" w:fill="E7E6E6"/>
            <w:noWrap/>
            <w:vAlign w:val="bottom"/>
            <w:hideMark/>
          </w:tcPr>
          <w:p w14:paraId="49E0151C" w14:textId="77777777" w:rsidR="00B14C20" w:rsidRPr="00C40353" w:rsidRDefault="00B14C20" w:rsidP="007776BD">
            <w:pPr>
              <w:pStyle w:val="ListParagraph"/>
              <w:numPr>
                <w:ilvl w:val="0"/>
                <w:numId w:val="65"/>
              </w:numPr>
              <w:spacing w:before="0"/>
              <w:ind w:left="172" w:hanging="123"/>
              <w:rPr>
                <w:rFonts w:eastAsia="Times New Roman"/>
                <w:color w:val="000000"/>
                <w:lang w:eastAsia="en-AU"/>
              </w:rPr>
            </w:pPr>
            <w:r>
              <w:rPr>
                <w:rFonts w:eastAsia="Times New Roman"/>
                <w:b/>
                <w:color w:val="7030A0"/>
                <w:lang w:eastAsia="en-AU"/>
              </w:rPr>
              <w:t xml:space="preserve">an unchanged result of 23% </w:t>
            </w:r>
            <w:r w:rsidRPr="00C40353">
              <w:rPr>
                <w:rFonts w:eastAsia="Times New Roman"/>
                <w:color w:val="000000"/>
                <w:lang w:eastAsia="en-AU"/>
              </w:rPr>
              <w:t>for participants aged 15+</w:t>
            </w:r>
          </w:p>
        </w:tc>
      </w:tr>
    </w:tbl>
    <w:p w14:paraId="5BD3DE15" w14:textId="138B3B9A" w:rsidR="00B14C20" w:rsidRPr="00262F3A" w:rsidRDefault="00B14C20" w:rsidP="00B14C20">
      <w:pPr>
        <w:ind w:left="0"/>
        <w:rPr>
          <w:lang w:eastAsia="en-US"/>
        </w:rPr>
      </w:pPr>
    </w:p>
    <w:p w14:paraId="77A3F6BC" w14:textId="0257906C" w:rsidR="00FE17BB" w:rsidRPr="00262F3A" w:rsidRDefault="00FE17BB" w:rsidP="00FE17BB">
      <w:pPr>
        <w:rPr>
          <w:rFonts w:cstheme="minorHAnsi"/>
        </w:rPr>
      </w:pPr>
      <w:r w:rsidRPr="00262F3A">
        <w:rPr>
          <w:rFonts w:cstheme="minorHAnsi"/>
        </w:rPr>
        <w:t>The lives of families and carers are also improving.  More of them are in paid jobs, and they are seeing improved relationships with the services that assist with the care of their loved ones. Importantly, they are also seeing significant improvements in obtaining services that meet the needs of their loved ones and their needs as carers. This data is a strong indicator of the benefits of the Scheme, not just for participants but also for families and carers.</w:t>
      </w:r>
    </w:p>
    <w:p w14:paraId="57DD4A66" w14:textId="69545B8B" w:rsidR="00FE17BB" w:rsidRPr="00262F3A" w:rsidRDefault="00FE17BB" w:rsidP="00FE17BB">
      <w:pPr>
        <w:keepNext/>
        <w:rPr>
          <w:rFonts w:cstheme="minorHAnsi"/>
        </w:rPr>
      </w:pPr>
      <w:r w:rsidRPr="00262F3A">
        <w:rPr>
          <w:rFonts w:cstheme="minorHAnsi"/>
          <w:b/>
        </w:rPr>
        <w:t xml:space="preserve">Figure 2.1D: </w:t>
      </w:r>
      <w:r w:rsidR="000D26A2" w:rsidRPr="00262F3A">
        <w:rPr>
          <w:rFonts w:cstheme="minorHAnsi"/>
        </w:rPr>
        <w:t>R</w:t>
      </w:r>
      <w:r w:rsidRPr="00262F3A">
        <w:rPr>
          <w:rFonts w:cstheme="minorHAnsi"/>
        </w:rPr>
        <w:t>eported family and carer outcomes</w:t>
      </w:r>
    </w:p>
    <w:p w14:paraId="1A9050CC" w14:textId="04BD8EAD" w:rsidR="00FE17BB" w:rsidRPr="00262F3A" w:rsidRDefault="00FE17BB" w:rsidP="00FE17BB">
      <w:pPr>
        <w:rPr>
          <w:lang w:eastAsia="en-US"/>
        </w:rPr>
      </w:pPr>
      <w:r w:rsidRPr="00262F3A">
        <w:rPr>
          <w:noProof/>
          <w:lang w:eastAsia="en-AU"/>
        </w:rPr>
        <w:drawing>
          <wp:inline distT="0" distB="0" distL="0" distR="0" wp14:anchorId="77174528" wp14:editId="456ADB2B">
            <wp:extent cx="4646714" cy="2438400"/>
            <wp:effectExtent l="0" t="0" r="1905" b="0"/>
            <wp:docPr id="5" name="Picture 5" descr="Figure 2.1D is made up of ten bar graphs across two pages (four graphs on this page, and six graphs on the following page).&#10;The first four bar graphs relate to participants from birth to age 14 years.&#10;The bar graph (top left) shows the percentage of family and carers who are working in a paid job. The horizontal axis has per cent from zero to 100 with increments of 20 and the vertical axis has three categories (baseline, first review and second review). The categories and per cent are: Baseline, 46 point four per cent; first review, 49 point nine per cent; second review, 51 point seven per cent.&#10;&#10;The second bar graph (top right) shows the percentage of family and carers who work 15 or more hours per week in a paid job. The horizontal axis has per cent from zero to 100 with increments of 20 and the vertical axis has three categories (baseline, first review and second review). The categories and per cent are: Baseline, 79 point one per cent; first review, 82 point second per cent; second review, 83 point nine per cent.&#10;&#10;The third bar graph shows the percentage of family and carers who know what specialist services are needed to promote my child's learning and development. The horizontal axis has per cent from zero to 100 with increments of 20 and the vertical axis has three categories (baseline, first review and second review). The categories and per cent are: Baseline, 40 point six per cent; first review, 49 point six per cent; second review, 52 point three per cent.&#10;&#10;The fourth bar graph shows the percentage of family and carers whose relationship with services is good or very good. The horizontal axis has per cent from zero to 100 with increments of 20 and the vertical axis has three categories (baseline, first review and second review). The categories and per cent are: Baseline, 78 point eight per cent; first review, 85 point eight per cent; second review, 88 point seven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909"/>
                    <a:stretch/>
                  </pic:blipFill>
                  <pic:spPr bwMode="auto">
                    <a:xfrm>
                      <a:off x="0" y="0"/>
                      <a:ext cx="4652980" cy="2441688"/>
                    </a:xfrm>
                    <a:prstGeom prst="rect">
                      <a:avLst/>
                    </a:prstGeom>
                    <a:ln>
                      <a:noFill/>
                    </a:ln>
                    <a:extLst>
                      <a:ext uri="{53640926-AAD7-44D8-BBD7-CCE9431645EC}">
                        <a14:shadowObscured xmlns:a14="http://schemas.microsoft.com/office/drawing/2010/main"/>
                      </a:ext>
                    </a:extLst>
                  </pic:spPr>
                </pic:pic>
              </a:graphicData>
            </a:graphic>
          </wp:inline>
        </w:drawing>
      </w:r>
    </w:p>
    <w:p w14:paraId="6C65CD42" w14:textId="032B7A01" w:rsidR="00FE17BB" w:rsidRPr="00262F3A" w:rsidRDefault="00FE17BB" w:rsidP="00FE17BB">
      <w:pPr>
        <w:rPr>
          <w:lang w:eastAsia="en-US"/>
        </w:rPr>
      </w:pPr>
      <w:r w:rsidRPr="00262F3A">
        <w:rPr>
          <w:noProof/>
          <w:lang w:eastAsia="en-AU"/>
        </w:rPr>
        <w:lastRenderedPageBreak/>
        <w:drawing>
          <wp:inline distT="0" distB="0" distL="0" distR="0" wp14:anchorId="475FA7A9" wp14:editId="5E09249E">
            <wp:extent cx="4630306" cy="5445457"/>
            <wp:effectExtent l="0" t="0" r="0" b="3175"/>
            <wp:docPr id="8" name="Picture 8" descr="Figure 2.1.D continues from the previous page and shows reported family and carer outcomes.&#10;&#10;The next three bar graphs relate to participants aged 15 to 24 years.&#10;The first bar graph (top left) shows the percentage of family and carers who report that the services my family member with disability and my family receive meet our needs. The horizontal axis has per cent from zero to 100 with increments of 20 and the vertical axis has three categories (baseline, first review and second review). The categories and per cent are: Baseline, 18 per cent; first review, 32 per cent and second review, 37 point five per cent.&#10;&#10;The second bar graph (top right) shows percentages of family and carers for each of the following three categories: Those who work in a paid job; work 15 hours or more a week; and work more than 30 hours a week. These categories are on the horizontal axis and the vertical axis has per cent from zero to 100 with increments of 20. The legend shows purple for Baseline, light blue for First review and blue for Second review. The category, per cent for baseline, per cent for first review and per cent for second review are: Works in a paid job, 51 point eight per cent, 55 point one per cent, 53 point nine per cent; Works 15 hours or more per week, 82 point seven per cent, 85 point eight per cent, 88 point 0 per cent; Works 30 hours or more per week, 51 point 0 per cent, 55 point seven per cent, 59 point one per cent.&#10;&#10;The third bar graph shows the percentage of family and carers who feel that the services my family member with disability and my family use listen to me. The horizontal axis has per cent from zero to 100 with increments of 20 and the vertical axis has three categories (baseline, first review and second review). The categories and per cent are: Baseline, 66 point six per cent; first review, 71 point two per cent; second review, 73 point eight per cent.&#10;The three bar graphs relate to participants aged 25 years and over.&#10;The fourth bar graph (shows the percentage of family and carers who are currently working in a paid job. The horizontal axis has percentages from zero to 100 with increments of 20 and the vertical axis has three categories (baseline, first review and second review). The categories and percentages are: Baseline, 24 point two per cent; first review, 27 point two per cent; second review, 23 point one per cent.&#10;&#10;The fifth bar graph shows three categories on the horizontal axis. They are: per cent who say that the services their family member with disability and their family receive meet their needs; per cent who had no difficulties working in partnership with professionals and service providers to meet the needs of their family member with disability; and per cent who say the services helped them to plan for the future. The vertical axis has per cent from zero to 100 with increments of 20. The legend shows purple for Baseline, light blue for First review and blue for Second review. The category, per cent for baseline, per cent for first review and per cent for second review are: percentage who say that the services their family member with disability and their family receive meet their needs, 23 point one per cent, 34 point six per cent, 40 point seven per cent; percentage who had no difficulties working in partnership with professionals and service providers to meet the needs of their family member with disability, 62 point one per cent, 75 per cent, 89 point seven per cent; percentage who say the services helped them to plan for the future, 44 point eight per cent, 57 point one per cent, 75 point nine per cent.&#10;&#10;The sixth bar graph shows the percentage of family and carers who work 15 or more hours per week in a paid job. The horizontal axis has percentages from zero to 100 with increments of 20 and the vertical axis has three categories (baseline, first review and second review). The categories and per cent are: Baseline, 83 point three per cent; first review, 82 point four per cent; second review, 88 point nine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33991" cy="5449791"/>
                    </a:xfrm>
                    <a:prstGeom prst="rect">
                      <a:avLst/>
                    </a:prstGeom>
                  </pic:spPr>
                </pic:pic>
              </a:graphicData>
            </a:graphic>
          </wp:inline>
        </w:drawing>
      </w:r>
    </w:p>
    <w:p w14:paraId="7CEF2D21" w14:textId="61B754AD" w:rsidR="00DD1395" w:rsidRDefault="004B2F8B" w:rsidP="00EB7A97">
      <w:pPr>
        <w:rPr>
          <w:rFonts w:cstheme="minorHAnsi"/>
        </w:rPr>
      </w:pPr>
      <w:r w:rsidRPr="00262F3A">
        <w:rPr>
          <w:rFonts w:cstheme="minorHAnsi"/>
          <w:color w:val="000000"/>
        </w:rPr>
        <w:t>The payments being received by individual participants have increased significantly over the last four years. Participants received an av</w:t>
      </w:r>
      <w:r w:rsidR="008D3F01">
        <w:rPr>
          <w:rFonts w:cstheme="minorHAnsi"/>
          <w:color w:val="000000"/>
        </w:rPr>
        <w:t>erage of $50,800, as at 30 June</w:t>
      </w:r>
      <w:r w:rsidRPr="00262F3A">
        <w:rPr>
          <w:rFonts w:cstheme="minorHAnsi"/>
          <w:color w:val="000000"/>
        </w:rPr>
        <w:t xml:space="preserve"> 2020, up from $32,300 as at 30 June 2017. While this significant increase has benefits and challenges, it reflects changes in participant mix, as well as real increases in participant benefits. </w:t>
      </w:r>
      <w:r w:rsidRPr="00262F3A">
        <w:rPr>
          <w:rFonts w:cstheme="minorHAnsi"/>
        </w:rPr>
        <w:t xml:space="preserve">Moreover, the longer participants are in the Scheme, the more empowered they are to utilise their plan. The significant increase in the number of participants and in the average payment per participant has resulted in total Scheme payments increasing from $2.18 billion in the first year of </w:t>
      </w:r>
      <w:r w:rsidR="008D3F01">
        <w:rPr>
          <w:rFonts w:cstheme="minorHAnsi"/>
        </w:rPr>
        <w:t>t</w:t>
      </w:r>
      <w:r w:rsidRPr="00262F3A">
        <w:rPr>
          <w:rFonts w:cstheme="minorHAnsi"/>
        </w:rPr>
        <w:t>ransition (2016-17) to $16.11 billion</w:t>
      </w:r>
      <w:r w:rsidR="006810ED">
        <w:rPr>
          <w:rFonts w:cstheme="minorHAnsi"/>
        </w:rPr>
        <w:t>*</w:t>
      </w:r>
      <w:r w:rsidRPr="00262F3A">
        <w:rPr>
          <w:rFonts w:cstheme="minorHAnsi"/>
        </w:rPr>
        <w:t xml:space="preserve"> in 2019-20.</w:t>
      </w:r>
    </w:p>
    <w:p w14:paraId="35F42313" w14:textId="41EC5E14" w:rsidR="00FE17BB" w:rsidRPr="00262F3A" w:rsidRDefault="00DD1395" w:rsidP="00FE17BB">
      <w:pPr>
        <w:rPr>
          <w:rFonts w:cstheme="minorHAnsi"/>
        </w:rPr>
      </w:pPr>
      <w:r>
        <w:rPr>
          <w:rFonts w:cstheme="minorHAnsi"/>
        </w:rPr>
        <w:t>*</w:t>
      </w:r>
      <w:r w:rsidRPr="00DD1395">
        <w:rPr>
          <w:sz w:val="12"/>
          <w:szCs w:val="12"/>
        </w:rPr>
        <w:t xml:space="preserve"> </w:t>
      </w:r>
      <w:r w:rsidRPr="006810ED">
        <w:rPr>
          <w:sz w:val="12"/>
          <w:szCs w:val="12"/>
        </w:rPr>
        <w:t>This number reflects payments made during the 2019–20 year for support provided in the 2019–20 year and differs from the amount in the annual financial statements. This number will progressively increase and will be re-stated in subsequent quarterly reports to reflect payments made for supports provided in 2019–20 post 30 June 2020.</w:t>
      </w:r>
    </w:p>
    <w:p w14:paraId="6ACF106C" w14:textId="65F0225E" w:rsidR="004B2F8B" w:rsidRPr="00262F3A" w:rsidRDefault="004B2F8B" w:rsidP="004B2F8B">
      <w:pPr>
        <w:keepNext/>
        <w:rPr>
          <w:rFonts w:cstheme="minorHAnsi"/>
        </w:rPr>
      </w:pPr>
      <w:r w:rsidRPr="00262F3A">
        <w:rPr>
          <w:rFonts w:cstheme="minorHAnsi"/>
          <w:b/>
        </w:rPr>
        <w:lastRenderedPageBreak/>
        <w:t>Figure 2.1E:</w:t>
      </w:r>
      <w:r w:rsidRPr="00262F3A">
        <w:rPr>
          <w:rFonts w:cstheme="minorHAnsi"/>
        </w:rPr>
        <w:t xml:space="preserve"> Over the last three years, the Scheme has grown by more than seven times</w:t>
      </w:r>
    </w:p>
    <w:p w14:paraId="48634A83" w14:textId="3B4D9A77" w:rsidR="004B2F8B" w:rsidRPr="00262F3A" w:rsidRDefault="004B2F8B" w:rsidP="00FE17BB">
      <w:pPr>
        <w:rPr>
          <w:lang w:eastAsia="en-US"/>
        </w:rPr>
      </w:pPr>
      <w:r w:rsidRPr="00262F3A">
        <w:rPr>
          <w:noProof/>
          <w:lang w:eastAsia="en-AU"/>
        </w:rPr>
        <w:drawing>
          <wp:inline distT="0" distB="0" distL="0" distR="0" wp14:anchorId="698F2C07" wp14:editId="2E6AAB3B">
            <wp:extent cx="5731510" cy="2931478"/>
            <wp:effectExtent l="0" t="0" r="2540" b="2540"/>
            <wp:docPr id="11" name="Picture 11" descr="The bar graph shows payments from years 2016–17 to 2019–20. The horizontal axis has years 2016–17 to 2019–20 with increments of one year, and the vertical axis has numbers in millions from 0 to 20 with increments of 5. The year and value of payments, from left to right are: 2016–17, dollars 2,184 point 9 million; 2017–18, dollars 5,428 point 4 million; 2018–19, dollars 10,362 point 9 million; 2019–20, dollars 16,114 point 9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812"/>
                    <a:stretch/>
                  </pic:blipFill>
                  <pic:spPr bwMode="auto">
                    <a:xfrm>
                      <a:off x="0" y="0"/>
                      <a:ext cx="5731510" cy="2931478"/>
                    </a:xfrm>
                    <a:prstGeom prst="rect">
                      <a:avLst/>
                    </a:prstGeom>
                    <a:ln>
                      <a:noFill/>
                    </a:ln>
                    <a:extLst>
                      <a:ext uri="{53640926-AAD7-44D8-BBD7-CCE9431645EC}">
                        <a14:shadowObscured xmlns:a14="http://schemas.microsoft.com/office/drawing/2010/main"/>
                      </a:ext>
                    </a:extLst>
                  </pic:spPr>
                </pic:pic>
              </a:graphicData>
            </a:graphic>
          </wp:inline>
        </w:drawing>
      </w:r>
    </w:p>
    <w:p w14:paraId="27623899" w14:textId="4DBB52EA" w:rsidR="004B2F8B" w:rsidRPr="00262F3A" w:rsidRDefault="004B2F8B" w:rsidP="004B2F8B">
      <w:pPr>
        <w:rPr>
          <w:rFonts w:cstheme="minorHAnsi"/>
        </w:rPr>
      </w:pPr>
      <w:r w:rsidRPr="00262F3A">
        <w:rPr>
          <w:sz w:val="12"/>
          <w:szCs w:val="12"/>
          <w:vertAlign w:val="superscript"/>
        </w:rPr>
        <w:t>3</w:t>
      </w:r>
      <w:r w:rsidR="008E5362" w:rsidRPr="00262F3A">
        <w:rPr>
          <w:sz w:val="12"/>
          <w:szCs w:val="12"/>
        </w:rPr>
        <w:t>The numbers in this chart reflect payments made for support provided in each financial year. For example, in 2018-19, $10,362.9m of support was provided to participants. As there is a lag between when support is provided and when it is paid, some of the support provided in 2018-19 was paid for in 2019-20–however, these payments are counted in the $10,362.9m in 2018-19 because this is when the support was provided. For 2019-20, the $16,114.9m is the support that has been provided in 2019-20 and paid for in 2019-20. The amount of support provided in 2019-20 is higher than the $16,114.9m as some support provided in 2019-20 had not been paid for by 30 June 2020 (when the data was analysed), and will be paid for post 30 June 2020</w:t>
      </w:r>
      <w:r w:rsidRPr="00262F3A">
        <w:rPr>
          <w:sz w:val="12"/>
          <w:szCs w:val="12"/>
        </w:rPr>
        <w:t>.</w:t>
      </w:r>
      <w:r w:rsidR="006810ED">
        <w:rPr>
          <w:sz w:val="12"/>
          <w:szCs w:val="12"/>
        </w:rPr>
        <w:t xml:space="preserve"> </w:t>
      </w:r>
      <w:r w:rsidR="006810ED" w:rsidRPr="006810ED">
        <w:rPr>
          <w:sz w:val="12"/>
          <w:szCs w:val="12"/>
        </w:rPr>
        <w:t>This number reflects payments made during the 2019–20 year for support provided in the 2019–20 year and differs from the amount in the annual financial statements. This number will progressively increase and will be re-stated in subsequent quarterly reports to reflect payments made for supports provided in 2019–20 post 30 June 2020.</w:t>
      </w:r>
    </w:p>
    <w:p w14:paraId="2B2B8B7E" w14:textId="1F1446E6" w:rsidR="004B2F8B" w:rsidRPr="00262F3A" w:rsidRDefault="004B2F8B" w:rsidP="00FE17BB">
      <w:pPr>
        <w:rPr>
          <w:rFonts w:cstheme="minorHAnsi"/>
        </w:rPr>
      </w:pPr>
      <w:r w:rsidRPr="00262F3A">
        <w:rPr>
          <w:rFonts w:cstheme="minorHAnsi"/>
        </w:rPr>
        <w:t>Payments to participants are flowing through a larger and more vibrant provider sector, with the number of providers having increased from 4,005 in 2017 to 14,882 in 2020. This four-fold increase in the number of providers has led to greater choice and control for participants, and expanding employment opportunities for the disability workforce.</w:t>
      </w:r>
    </w:p>
    <w:p w14:paraId="67F0B919" w14:textId="639DF473" w:rsidR="004B2F8B" w:rsidRPr="00262F3A" w:rsidRDefault="004B2F8B" w:rsidP="004B2F8B">
      <w:pPr>
        <w:keepNext/>
        <w:rPr>
          <w:rFonts w:cstheme="minorHAnsi"/>
        </w:rPr>
      </w:pPr>
      <w:r w:rsidRPr="00262F3A">
        <w:rPr>
          <w:rFonts w:cstheme="minorHAnsi"/>
          <w:b/>
        </w:rPr>
        <w:t>Figure 2.1F:</w:t>
      </w:r>
      <w:r w:rsidRPr="00262F3A">
        <w:rPr>
          <w:rFonts w:cstheme="minorHAnsi"/>
        </w:rPr>
        <w:t xml:space="preserve"> The number of providers actively supporting participants has grown by almost four times since 2017</w:t>
      </w:r>
    </w:p>
    <w:p w14:paraId="3DB7D5F1" w14:textId="2F3B22AD" w:rsidR="004B2F8B" w:rsidRPr="00262F3A" w:rsidRDefault="004B2F8B" w:rsidP="00FE17BB">
      <w:pPr>
        <w:rPr>
          <w:lang w:eastAsia="en-US"/>
        </w:rPr>
      </w:pPr>
      <w:r w:rsidRPr="00262F3A">
        <w:rPr>
          <w:noProof/>
          <w:lang w:eastAsia="en-AU"/>
        </w:rPr>
        <w:drawing>
          <wp:inline distT="0" distB="0" distL="0" distR="0" wp14:anchorId="2F04BA43" wp14:editId="65665A24">
            <wp:extent cx="5731510" cy="2416810"/>
            <wp:effectExtent l="0" t="0" r="2540" b="2540"/>
            <wp:docPr id="12" name="Picture 12" descr="The bar graph shows Active providers from 30 June 2017 to 30 June 2020. The horizontal axis has years from 30 June 2017 to 30 June 2020 with increments of one year and the vertical axis has numbers from 0 to 15,000 with increments of 3,000. The year and number of providers actively supporting participants, from left to right are:  30 June 2017, 4,005; 30 June 2018, 8,457; 30 June 2019, 12,361; 30 June 2020, 1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4779"/>
                    <a:stretch/>
                  </pic:blipFill>
                  <pic:spPr bwMode="auto">
                    <a:xfrm>
                      <a:off x="0" y="0"/>
                      <a:ext cx="5731510" cy="2416810"/>
                    </a:xfrm>
                    <a:prstGeom prst="rect">
                      <a:avLst/>
                    </a:prstGeom>
                    <a:ln>
                      <a:noFill/>
                    </a:ln>
                    <a:extLst>
                      <a:ext uri="{53640926-AAD7-44D8-BBD7-CCE9431645EC}">
                        <a14:shadowObscured xmlns:a14="http://schemas.microsoft.com/office/drawing/2010/main"/>
                      </a:ext>
                    </a:extLst>
                  </pic:spPr>
                </pic:pic>
              </a:graphicData>
            </a:graphic>
          </wp:inline>
        </w:drawing>
      </w:r>
    </w:p>
    <w:p w14:paraId="0AAE1F31" w14:textId="206E742D" w:rsidR="004B2F8B" w:rsidRPr="00262F3A" w:rsidRDefault="004B2F8B" w:rsidP="00FE17BB">
      <w:pPr>
        <w:rPr>
          <w:rFonts w:cstheme="minorHAnsi"/>
        </w:rPr>
      </w:pPr>
      <w:r w:rsidRPr="00262F3A">
        <w:rPr>
          <w:rFonts w:cstheme="minorHAnsi"/>
        </w:rPr>
        <w:t>To support the significant growth in the Scheme, the number of staff engaged through the NDIA and its partner organisations that directly serve participants has also increased from 4,564 as at 30 June 2017 to 11,550 by the end of the 2020 financial year.</w:t>
      </w:r>
    </w:p>
    <w:p w14:paraId="013155DE" w14:textId="2C5C1BFD" w:rsidR="004B2F8B" w:rsidRPr="00262F3A" w:rsidRDefault="004B2F8B" w:rsidP="004B2F8B">
      <w:pPr>
        <w:keepNext/>
        <w:rPr>
          <w:rFonts w:cstheme="minorHAnsi"/>
        </w:rPr>
      </w:pPr>
      <w:r w:rsidRPr="00262F3A">
        <w:rPr>
          <w:rFonts w:cstheme="minorHAnsi"/>
          <w:b/>
        </w:rPr>
        <w:lastRenderedPageBreak/>
        <w:t>Figure 2.1G:</w:t>
      </w:r>
      <w:r w:rsidRPr="00262F3A">
        <w:rPr>
          <w:rFonts w:cstheme="minorHAnsi"/>
        </w:rPr>
        <w:t xml:space="preserve"> The NDIA staff and partner workforce has increased 2.5 times over the last three years</w:t>
      </w:r>
    </w:p>
    <w:p w14:paraId="3B84C835" w14:textId="59B2EFCA" w:rsidR="004B2F8B" w:rsidRPr="00262F3A" w:rsidRDefault="004B2F8B" w:rsidP="00FE17BB">
      <w:pPr>
        <w:rPr>
          <w:lang w:eastAsia="en-US"/>
        </w:rPr>
      </w:pPr>
      <w:r w:rsidRPr="00262F3A">
        <w:rPr>
          <w:noProof/>
          <w:lang w:eastAsia="en-AU"/>
        </w:rPr>
        <w:drawing>
          <wp:inline distT="0" distB="0" distL="0" distR="0" wp14:anchorId="40A60C4C" wp14:editId="484AED9E">
            <wp:extent cx="4522470" cy="2038136"/>
            <wp:effectExtent l="0" t="0" r="0" b="635"/>
            <wp:docPr id="15" name="Picture 15" descr="The bar graph shows staff and partner workforce growth from 30 June 2017 to 30 June 2020. The horizontal axis has years from 30 June 2017 to 30 June 2020 with increments of one year and the vertical axis has numbers  from 0 to 12,000 with increments of 2,000. The year and value for NDIA staff and partner workforce, from left to right are:  30 June 2017, 4,564; 30 June 2018, 7,872; 30 June 2019, 11,061; 30 June 2020, 1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0834"/>
                    <a:stretch/>
                  </pic:blipFill>
                  <pic:spPr bwMode="auto">
                    <a:xfrm>
                      <a:off x="0" y="0"/>
                      <a:ext cx="4531126" cy="2042037"/>
                    </a:xfrm>
                    <a:prstGeom prst="rect">
                      <a:avLst/>
                    </a:prstGeom>
                    <a:ln>
                      <a:noFill/>
                    </a:ln>
                    <a:extLst>
                      <a:ext uri="{53640926-AAD7-44D8-BBD7-CCE9431645EC}">
                        <a14:shadowObscured xmlns:a14="http://schemas.microsoft.com/office/drawing/2010/main"/>
                      </a:ext>
                    </a:extLst>
                  </pic:spPr>
                </pic:pic>
              </a:graphicData>
            </a:graphic>
          </wp:inline>
        </w:drawing>
      </w:r>
    </w:p>
    <w:p w14:paraId="79796D57" w14:textId="05A700DB" w:rsidR="004B2F8B" w:rsidRPr="00262F3A" w:rsidRDefault="004B2F8B" w:rsidP="00FE17BB">
      <w:pPr>
        <w:rPr>
          <w:rFonts w:cstheme="minorHAnsi"/>
        </w:rPr>
      </w:pPr>
      <w:r w:rsidRPr="00262F3A">
        <w:rPr>
          <w:rFonts w:cstheme="minorHAnsi"/>
        </w:rPr>
        <w:t>In summary, the past seven years – and particularly the last four – have seen the rollout of one of the most significant reforms in Australian history. The Scheme is now reaching people with disability in every region in Australia, and delivering life-changing improvements in their lives.  At the same time, it is driving economic growth and providing more employment opportunities to support NDIS participants to achieve their goals. This reform is a critical boost to the Australian economy, when over 1.5 million jobs have been lost in recent months due the impact of COVID-19.</w:t>
      </w:r>
    </w:p>
    <w:p w14:paraId="376DDCE7" w14:textId="77777777" w:rsidR="00CB391A" w:rsidRPr="00262F3A" w:rsidRDefault="00CB391A" w:rsidP="00CB391A">
      <w:pPr>
        <w:pStyle w:val="Heading2"/>
      </w:pPr>
      <w:bookmarkStart w:id="10" w:name="_Toc51067964"/>
      <w:r w:rsidRPr="00262F3A">
        <w:t>Where we are today</w:t>
      </w:r>
      <w:bookmarkEnd w:id="10"/>
    </w:p>
    <w:p w14:paraId="677166E6" w14:textId="0D2D56E1" w:rsidR="004B2F8B" w:rsidRPr="00262F3A" w:rsidRDefault="004B2F8B" w:rsidP="004B2F8B">
      <w:pPr>
        <w:pStyle w:val="Heading3"/>
      </w:pPr>
      <w:bookmarkStart w:id="11" w:name="_Toc51067965"/>
      <w:r w:rsidRPr="00262F3A">
        <w:t>NDIA Aspirations</w:t>
      </w:r>
      <w:bookmarkEnd w:id="11"/>
    </w:p>
    <w:p w14:paraId="00CB7FB2" w14:textId="3322E0F3" w:rsidR="004B2F8B" w:rsidRPr="00262F3A" w:rsidRDefault="004B2F8B" w:rsidP="004B2F8B">
      <w:pPr>
        <w:autoSpaceDE w:val="0"/>
        <w:autoSpaceDN w:val="0"/>
        <w:adjustRightInd w:val="0"/>
        <w:spacing w:before="100" w:line="191" w:lineRule="atLeast"/>
        <w:rPr>
          <w:rFonts w:cstheme="minorHAnsi"/>
        </w:rPr>
      </w:pPr>
      <w:r w:rsidRPr="00262F3A">
        <w:rPr>
          <w:rFonts w:cstheme="minorHAnsi"/>
        </w:rPr>
        <w:t>Drawing on the expectations of the former Council of Australian Governments Disability Reform Council, the Agency’s purpose is supported by five aspirations, as outlined in the NDIA Corporate Plan 2019–</w:t>
      </w:r>
      <w:r w:rsidR="008D3F01">
        <w:rPr>
          <w:rFonts w:cstheme="minorHAnsi"/>
        </w:rPr>
        <w:t>20</w:t>
      </w:r>
      <w:r w:rsidRPr="00262F3A">
        <w:rPr>
          <w:rFonts w:cstheme="minorHAnsi"/>
        </w:rPr>
        <w:t xml:space="preserve">23 and illustrated in </w:t>
      </w:r>
      <w:r w:rsidR="00651B37" w:rsidRPr="00262F3A">
        <w:rPr>
          <w:rFonts w:cstheme="minorHAnsi"/>
        </w:rPr>
        <w:t>f</w:t>
      </w:r>
      <w:r w:rsidRPr="00262F3A">
        <w:rPr>
          <w:rFonts w:cstheme="minorHAnsi"/>
        </w:rPr>
        <w:t xml:space="preserve">igure </w:t>
      </w:r>
      <w:r w:rsidR="00651B37" w:rsidRPr="00262F3A">
        <w:rPr>
          <w:rFonts w:cstheme="minorHAnsi"/>
        </w:rPr>
        <w:t>2.2.</w:t>
      </w:r>
      <w:r w:rsidRPr="00262F3A">
        <w:rPr>
          <w:rFonts w:cstheme="minorHAnsi"/>
        </w:rPr>
        <w:t>1</w:t>
      </w:r>
      <w:r w:rsidR="00651B37" w:rsidRPr="00262F3A">
        <w:rPr>
          <w:rFonts w:cstheme="minorHAnsi"/>
        </w:rPr>
        <w:t>A.</w:t>
      </w:r>
      <w:r w:rsidRPr="00262F3A">
        <w:rPr>
          <w:rFonts w:cstheme="minorHAnsi"/>
        </w:rPr>
        <w:t xml:space="preserve"> The five aspirations are:</w:t>
      </w:r>
    </w:p>
    <w:p w14:paraId="19EE79DA" w14:textId="3E35DEBA" w:rsidR="004B2F8B" w:rsidRPr="00262F3A" w:rsidRDefault="004B2F8B" w:rsidP="00AF2A24">
      <w:pPr>
        <w:numPr>
          <w:ilvl w:val="0"/>
          <w:numId w:val="26"/>
        </w:numPr>
        <w:autoSpaceDE w:val="0"/>
        <w:autoSpaceDN w:val="0"/>
        <w:adjustRightInd w:val="0"/>
        <w:spacing w:before="0" w:after="60"/>
        <w:ind w:left="993" w:hanging="360"/>
        <w:rPr>
          <w:rFonts w:cstheme="minorHAnsi"/>
        </w:rPr>
      </w:pPr>
      <w:r w:rsidRPr="00262F3A">
        <w:rPr>
          <w:rFonts w:cstheme="minorHAnsi"/>
        </w:rPr>
        <w:t xml:space="preserve">A quality experience and outcomes for participants </w:t>
      </w:r>
    </w:p>
    <w:p w14:paraId="6CC55DC9" w14:textId="34F3CB19" w:rsidR="004B2F8B" w:rsidRPr="00262F3A" w:rsidRDefault="004B2F8B" w:rsidP="00AF2A24">
      <w:pPr>
        <w:numPr>
          <w:ilvl w:val="0"/>
          <w:numId w:val="26"/>
        </w:numPr>
        <w:autoSpaceDE w:val="0"/>
        <w:autoSpaceDN w:val="0"/>
        <w:adjustRightInd w:val="0"/>
        <w:spacing w:before="0" w:after="60"/>
        <w:ind w:left="993" w:hanging="360"/>
        <w:rPr>
          <w:rFonts w:cstheme="minorHAnsi"/>
        </w:rPr>
      </w:pPr>
      <w:r w:rsidRPr="00262F3A">
        <w:rPr>
          <w:rFonts w:cstheme="minorHAnsi"/>
        </w:rPr>
        <w:t xml:space="preserve">A competitive market with innovative supports </w:t>
      </w:r>
    </w:p>
    <w:p w14:paraId="6AABD932" w14:textId="1C74FCD3" w:rsidR="004B2F8B" w:rsidRPr="00262F3A" w:rsidRDefault="004B2F8B" w:rsidP="00AF2A24">
      <w:pPr>
        <w:numPr>
          <w:ilvl w:val="0"/>
          <w:numId w:val="26"/>
        </w:numPr>
        <w:autoSpaceDE w:val="0"/>
        <w:autoSpaceDN w:val="0"/>
        <w:adjustRightInd w:val="0"/>
        <w:spacing w:before="0" w:after="60"/>
        <w:ind w:left="993" w:hanging="360"/>
        <w:rPr>
          <w:rFonts w:cstheme="minorHAnsi"/>
        </w:rPr>
      </w:pPr>
      <w:r w:rsidRPr="00262F3A">
        <w:rPr>
          <w:rFonts w:cstheme="minorHAnsi"/>
        </w:rPr>
        <w:t xml:space="preserve">A connected and engaged stakeholder sector </w:t>
      </w:r>
    </w:p>
    <w:p w14:paraId="5DB84E6B" w14:textId="00B8251E" w:rsidR="004B2F8B" w:rsidRPr="00262F3A" w:rsidRDefault="004B2F8B" w:rsidP="00AF2A24">
      <w:pPr>
        <w:numPr>
          <w:ilvl w:val="0"/>
          <w:numId w:val="26"/>
        </w:numPr>
        <w:autoSpaceDE w:val="0"/>
        <w:autoSpaceDN w:val="0"/>
        <w:adjustRightInd w:val="0"/>
        <w:spacing w:before="0" w:after="60"/>
        <w:ind w:left="993" w:hanging="360"/>
        <w:rPr>
          <w:rFonts w:cstheme="minorHAnsi"/>
        </w:rPr>
      </w:pPr>
      <w:r w:rsidRPr="00262F3A">
        <w:rPr>
          <w:rFonts w:cstheme="minorHAnsi"/>
        </w:rPr>
        <w:t xml:space="preserve">A financially sustainable scheme </w:t>
      </w:r>
    </w:p>
    <w:p w14:paraId="02A5575C" w14:textId="5447697A" w:rsidR="004B2F8B" w:rsidRPr="00262F3A" w:rsidRDefault="004B2F8B" w:rsidP="00AF2A24">
      <w:pPr>
        <w:numPr>
          <w:ilvl w:val="0"/>
          <w:numId w:val="26"/>
        </w:numPr>
        <w:autoSpaceDE w:val="0"/>
        <w:autoSpaceDN w:val="0"/>
        <w:adjustRightInd w:val="0"/>
        <w:spacing w:before="0"/>
        <w:ind w:left="993" w:hanging="360"/>
        <w:rPr>
          <w:rFonts w:cstheme="minorHAnsi"/>
          <w:b/>
        </w:rPr>
      </w:pPr>
      <w:r w:rsidRPr="00262F3A">
        <w:rPr>
          <w:rFonts w:cstheme="minorHAnsi"/>
        </w:rPr>
        <w:t xml:space="preserve">A high-performing NDIA. </w:t>
      </w:r>
    </w:p>
    <w:p w14:paraId="1C151AE6" w14:textId="074EE292" w:rsidR="004B2F8B" w:rsidRPr="00262F3A" w:rsidRDefault="004B2F8B" w:rsidP="004B2F8B">
      <w:pPr>
        <w:autoSpaceDE w:val="0"/>
        <w:autoSpaceDN w:val="0"/>
        <w:adjustRightInd w:val="0"/>
        <w:spacing w:after="60"/>
        <w:rPr>
          <w:rFonts w:cstheme="minorHAnsi"/>
        </w:rPr>
      </w:pPr>
      <w:r w:rsidRPr="00262F3A">
        <w:rPr>
          <w:rFonts w:cstheme="minorHAnsi"/>
        </w:rPr>
        <w:t xml:space="preserve">The Disability Ministers’ expectations for participant and community outcomes, supporting market development, and safeguarding the sustainability of the NDIS are reflected in Aspirations 1, 2 and 4. The expectations for developing a high-performing NDIA and building and maintaining stakeholder confidence are reflected in Aspirations 3 and 5. </w:t>
      </w:r>
    </w:p>
    <w:p w14:paraId="70B59F0E" w14:textId="5998D4D8" w:rsidR="004B2F8B" w:rsidRPr="00262F3A" w:rsidRDefault="004B2F8B" w:rsidP="004B2F8B">
      <w:pPr>
        <w:autoSpaceDE w:val="0"/>
        <w:autoSpaceDN w:val="0"/>
        <w:adjustRightInd w:val="0"/>
        <w:spacing w:after="60"/>
        <w:rPr>
          <w:rFonts w:cstheme="minorHAnsi"/>
        </w:rPr>
      </w:pPr>
      <w:r w:rsidRPr="00262F3A">
        <w:rPr>
          <w:rFonts w:cstheme="minorHAnsi"/>
        </w:rPr>
        <w:t>The new NDIA Corporate Plan for 2020–</w:t>
      </w:r>
      <w:r w:rsidR="008D3F01">
        <w:rPr>
          <w:rFonts w:cstheme="minorHAnsi"/>
        </w:rPr>
        <w:t>20</w:t>
      </w:r>
      <w:r w:rsidRPr="00262F3A">
        <w:rPr>
          <w:rFonts w:cstheme="minorHAnsi"/>
        </w:rPr>
        <w:t xml:space="preserve">24 includes an additional aspiration that articulates the Agency’s work within a whole-of-government response in slowing the spread of COVID-19, and ensuring continuity of essential services to NDIS participants. </w:t>
      </w:r>
    </w:p>
    <w:p w14:paraId="624E328E" w14:textId="5798D47D" w:rsidR="004B2F8B" w:rsidRPr="00262F3A" w:rsidRDefault="004B2F8B" w:rsidP="004B2F8B">
      <w:pPr>
        <w:rPr>
          <w:rFonts w:cstheme="minorHAnsi"/>
        </w:rPr>
      </w:pPr>
      <w:r w:rsidRPr="00262F3A">
        <w:rPr>
          <w:rFonts w:cstheme="minorHAnsi"/>
        </w:rPr>
        <w:t xml:space="preserve">To view the </w:t>
      </w:r>
      <w:r w:rsidR="00765D96" w:rsidRPr="00262F3A">
        <w:rPr>
          <w:rFonts w:cstheme="minorHAnsi"/>
        </w:rPr>
        <w:t xml:space="preserve">current </w:t>
      </w:r>
      <w:r w:rsidRPr="00262F3A">
        <w:rPr>
          <w:rFonts w:cstheme="minorHAnsi"/>
        </w:rPr>
        <w:t xml:space="preserve">NDIA Corporate Plan, go to </w:t>
      </w:r>
      <w:hyperlink r:id="rId21" w:tooltip="The NDIA Corporate Plan can be found on our website." w:history="1">
        <w:r w:rsidRPr="00262F3A">
          <w:rPr>
            <w:rStyle w:val="Hyperlink"/>
            <w:rFonts w:cstheme="minorHAnsi"/>
          </w:rPr>
          <w:t>www.ndis.gov.au</w:t>
        </w:r>
      </w:hyperlink>
      <w:r w:rsidRPr="00262F3A">
        <w:rPr>
          <w:rFonts w:cstheme="minorHAnsi"/>
        </w:rPr>
        <w:t>.</w:t>
      </w:r>
    </w:p>
    <w:p w14:paraId="5609BB7D" w14:textId="4E06239C" w:rsidR="004B2F8B" w:rsidRPr="00262F3A" w:rsidRDefault="004B2F8B" w:rsidP="004B2F8B">
      <w:pPr>
        <w:keepNext/>
        <w:rPr>
          <w:rFonts w:cstheme="minorHAnsi"/>
        </w:rPr>
      </w:pPr>
      <w:r w:rsidRPr="00262F3A">
        <w:rPr>
          <w:rFonts w:cstheme="minorHAnsi"/>
          <w:b/>
        </w:rPr>
        <w:lastRenderedPageBreak/>
        <w:t>Figure 2.</w:t>
      </w:r>
      <w:r w:rsidR="00CB391A" w:rsidRPr="00262F3A">
        <w:rPr>
          <w:rFonts w:cstheme="minorHAnsi"/>
          <w:b/>
        </w:rPr>
        <w:t>2</w:t>
      </w:r>
      <w:r w:rsidRPr="00262F3A">
        <w:rPr>
          <w:rFonts w:cstheme="minorHAnsi"/>
          <w:b/>
        </w:rPr>
        <w:t>.1A:</w:t>
      </w:r>
      <w:r w:rsidRPr="00262F3A">
        <w:rPr>
          <w:rFonts w:cstheme="minorHAnsi"/>
        </w:rPr>
        <w:t xml:space="preserve"> NDIA </w:t>
      </w:r>
      <w:r w:rsidR="00A90F64">
        <w:rPr>
          <w:rFonts w:cstheme="minorHAnsi"/>
        </w:rPr>
        <w:t>Purpose and Aspirations (2019-</w:t>
      </w:r>
      <w:r w:rsidR="00E23539">
        <w:rPr>
          <w:rFonts w:cstheme="minorHAnsi"/>
        </w:rPr>
        <w:t>20</w:t>
      </w:r>
      <w:r w:rsidRPr="00262F3A">
        <w:rPr>
          <w:rFonts w:cstheme="minorHAnsi"/>
        </w:rPr>
        <w:t>23</w:t>
      </w:r>
      <w:r w:rsidR="000E1639" w:rsidRPr="00262F3A">
        <w:rPr>
          <w:rFonts w:cstheme="minorHAnsi"/>
        </w:rPr>
        <w:t>)</w:t>
      </w:r>
    </w:p>
    <w:p w14:paraId="4F2594B0" w14:textId="5C3D4BD8" w:rsidR="004B2F8B" w:rsidRPr="00262F3A" w:rsidRDefault="004B2F8B" w:rsidP="004B2F8B">
      <w:pPr>
        <w:rPr>
          <w:lang w:eastAsia="en-US"/>
        </w:rPr>
      </w:pPr>
      <w:r w:rsidRPr="00262F3A">
        <w:rPr>
          <w:rFonts w:cstheme="minorHAnsi"/>
          <w:noProof/>
          <w:lang w:eastAsia="en-AU"/>
        </w:rPr>
        <w:drawing>
          <wp:inline distT="0" distB="0" distL="0" distR="0" wp14:anchorId="440A05B5" wp14:editId="7DD53F89">
            <wp:extent cx="6022886" cy="5025386"/>
            <wp:effectExtent l="0" t="0" r="0" b="4445"/>
            <wp:docPr id="19" name="Picture 19" descr="Figure 2.2.1A is a diagram that shows the National Disability Insurance Agency’s (NDIA) purpose and five aspirations as described in the NDIA Corporate Plan 2019–23. &#10;The NDIA purpose is to increase the ability of individuals with a significant and permanent disability (participants) to be more independent, and engage more socially and economically, at the same time as delivering a financially sustainable Scheme that inspires community and stakeholder confidence.&#10;&#10;The image shows each of the Agency’s five aspirations extending from the purpose.&#10;&#10;Aspiration 1 is A quality experience and outcomes for participants. Facilitate outcomes of economic and social independence and deliver a quality service for participants, and their families, carers and providers.&#10;&#10;Aspiration 2 is A competitive market with innovative supports. Work with participants and other stakeholders to enable the growth of a market of adequate size, quality and innovation.&#10;&#10;Aspiration 3 is A connected and engaged stakeholder sector. A strong and engaged stakeholder sector that genuinely collaborates and contributes to the delivery of the Scheme, with confidence in theNDIA.&#10;&#10;Aspiration 4 is A financially sustainable scheme. Deliver a financially sustainable Scheme within the agreed funding, based on insurance principles and risk awareness.&#10;&#10;Aspiration 5 is A high-performing NDIA. Develop a high-performing NDIA that has an engaged workforce with systems and processes that facilitate service 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3453"/>
                    <a:stretch/>
                  </pic:blipFill>
                  <pic:spPr bwMode="auto">
                    <a:xfrm>
                      <a:off x="0" y="0"/>
                      <a:ext cx="6022886" cy="5025386"/>
                    </a:xfrm>
                    <a:prstGeom prst="rect">
                      <a:avLst/>
                    </a:prstGeom>
                    <a:ln>
                      <a:noFill/>
                    </a:ln>
                    <a:extLst>
                      <a:ext uri="{53640926-AAD7-44D8-BBD7-CCE9431645EC}">
                        <a14:shadowObscured xmlns:a14="http://schemas.microsoft.com/office/drawing/2010/main"/>
                      </a:ext>
                    </a:extLst>
                  </pic:spPr>
                </pic:pic>
              </a:graphicData>
            </a:graphic>
          </wp:inline>
        </w:drawing>
      </w:r>
    </w:p>
    <w:p w14:paraId="36937A3B" w14:textId="135480CA" w:rsidR="004B2F8B" w:rsidRPr="00262F3A" w:rsidRDefault="004B2F8B" w:rsidP="004B2F8B">
      <w:pPr>
        <w:pStyle w:val="Heading3"/>
      </w:pPr>
      <w:bookmarkStart w:id="12" w:name="_Toc51067966"/>
      <w:r w:rsidRPr="00262F3A">
        <w:t>NDIA Values</w:t>
      </w:r>
      <w:bookmarkEnd w:id="12"/>
    </w:p>
    <w:p w14:paraId="2BDD71BE" w14:textId="52A55A4A" w:rsidR="004B2F8B" w:rsidRPr="00262F3A" w:rsidRDefault="004B2F8B" w:rsidP="004B2F8B">
      <w:pPr>
        <w:rPr>
          <w:rFonts w:eastAsia="Times New Roman" w:cstheme="minorHAnsi"/>
          <w:color w:val="000000"/>
          <w:lang w:eastAsia="en-AU"/>
        </w:rPr>
      </w:pPr>
      <w:r w:rsidRPr="00262F3A">
        <w:rPr>
          <w:rFonts w:eastAsia="Times New Roman" w:cstheme="minorHAnsi"/>
          <w:color w:val="000000"/>
          <w:lang w:eastAsia="en-AU"/>
        </w:rPr>
        <w:t xml:space="preserve">The </w:t>
      </w:r>
      <w:r w:rsidRPr="00262F3A">
        <w:rPr>
          <w:rFonts w:cstheme="minorHAnsi"/>
        </w:rPr>
        <w:t>Agency</w:t>
      </w:r>
      <w:r w:rsidRPr="00262F3A" w:rsidDel="0058614A">
        <w:rPr>
          <w:rFonts w:eastAsia="Times New Roman" w:cstheme="minorHAnsi"/>
          <w:color w:val="000000"/>
          <w:lang w:eastAsia="en-AU"/>
        </w:rPr>
        <w:t xml:space="preserve"> </w:t>
      </w:r>
      <w:r w:rsidRPr="00262F3A">
        <w:rPr>
          <w:rFonts w:eastAsia="Times New Roman" w:cstheme="minorHAnsi"/>
          <w:color w:val="000000"/>
          <w:lang w:eastAsia="en-AU"/>
        </w:rPr>
        <w:t xml:space="preserve">works within a set of four key values, illustrated in </w:t>
      </w:r>
      <w:r w:rsidR="00651B37" w:rsidRPr="00262F3A">
        <w:rPr>
          <w:rFonts w:eastAsia="Times New Roman" w:cstheme="minorHAnsi"/>
          <w:color w:val="000000"/>
          <w:lang w:eastAsia="en-AU"/>
        </w:rPr>
        <w:t>f</w:t>
      </w:r>
      <w:r w:rsidRPr="00262F3A">
        <w:rPr>
          <w:rFonts w:eastAsia="Times New Roman" w:cstheme="minorHAnsi"/>
          <w:color w:val="000000"/>
          <w:lang w:eastAsia="en-AU"/>
        </w:rPr>
        <w:t xml:space="preserve">igure </w:t>
      </w:r>
      <w:r w:rsidR="00651B37" w:rsidRPr="00262F3A">
        <w:rPr>
          <w:rFonts w:eastAsia="Times New Roman" w:cstheme="minorHAnsi"/>
          <w:color w:val="000000"/>
          <w:lang w:eastAsia="en-AU"/>
        </w:rPr>
        <w:t>2.2.2A</w:t>
      </w:r>
      <w:r w:rsidRPr="00262F3A">
        <w:rPr>
          <w:rFonts w:eastAsia="Times New Roman" w:cstheme="minorHAnsi"/>
          <w:color w:val="000000"/>
          <w:lang w:eastAsia="en-AU"/>
        </w:rPr>
        <w:t xml:space="preserve">. These values, which were developed in consultation with staff and partners, reflect </w:t>
      </w:r>
      <w:r w:rsidR="008D3F01">
        <w:rPr>
          <w:rFonts w:eastAsia="Times New Roman" w:cstheme="minorHAnsi"/>
          <w:color w:val="000000"/>
          <w:lang w:eastAsia="en-AU"/>
        </w:rPr>
        <w:t xml:space="preserve">our </w:t>
      </w:r>
      <w:r w:rsidRPr="00262F3A">
        <w:rPr>
          <w:rFonts w:eastAsia="Times New Roman" w:cstheme="minorHAnsi"/>
          <w:color w:val="000000"/>
          <w:lang w:eastAsia="en-AU"/>
        </w:rPr>
        <w:t xml:space="preserve">passion </w:t>
      </w:r>
      <w:r w:rsidR="008D3F01">
        <w:rPr>
          <w:rFonts w:eastAsia="Times New Roman" w:cstheme="minorHAnsi"/>
          <w:color w:val="000000"/>
          <w:lang w:eastAsia="en-AU"/>
        </w:rPr>
        <w:t xml:space="preserve">for </w:t>
      </w:r>
      <w:r w:rsidRPr="00262F3A">
        <w:rPr>
          <w:rFonts w:eastAsia="Times New Roman" w:cstheme="minorHAnsi"/>
          <w:color w:val="000000"/>
          <w:lang w:eastAsia="en-AU"/>
        </w:rPr>
        <w:t xml:space="preserve">and commitment </w:t>
      </w:r>
      <w:r w:rsidR="008D3F01">
        <w:rPr>
          <w:rFonts w:eastAsia="Times New Roman" w:cstheme="minorHAnsi"/>
          <w:color w:val="000000"/>
          <w:lang w:eastAsia="en-AU"/>
        </w:rPr>
        <w:t xml:space="preserve">to </w:t>
      </w:r>
      <w:r w:rsidRPr="00262F3A">
        <w:rPr>
          <w:rFonts w:eastAsia="Times New Roman" w:cstheme="minorHAnsi"/>
          <w:color w:val="000000"/>
          <w:lang w:eastAsia="en-AU"/>
        </w:rPr>
        <w:t>an empowered, inclusive and participant-centred culture.</w:t>
      </w:r>
    </w:p>
    <w:p w14:paraId="6E726633" w14:textId="29BC862D" w:rsidR="004B2F8B" w:rsidRPr="00262F3A" w:rsidRDefault="004B2F8B" w:rsidP="004B2F8B">
      <w:pPr>
        <w:keepNext/>
        <w:rPr>
          <w:rFonts w:cstheme="minorHAnsi"/>
        </w:rPr>
      </w:pPr>
      <w:r w:rsidRPr="00262F3A">
        <w:rPr>
          <w:rFonts w:cstheme="minorHAnsi"/>
          <w:b/>
        </w:rPr>
        <w:t xml:space="preserve">Figure </w:t>
      </w:r>
      <w:r w:rsidR="00CB391A" w:rsidRPr="00262F3A">
        <w:rPr>
          <w:rFonts w:cstheme="minorHAnsi"/>
          <w:b/>
        </w:rPr>
        <w:t>2.2.</w:t>
      </w:r>
      <w:r w:rsidRPr="00262F3A">
        <w:rPr>
          <w:rFonts w:cstheme="minorHAnsi"/>
          <w:b/>
        </w:rPr>
        <w:t>2</w:t>
      </w:r>
      <w:r w:rsidR="00CB391A" w:rsidRPr="00262F3A">
        <w:rPr>
          <w:rFonts w:cstheme="minorHAnsi"/>
          <w:b/>
        </w:rPr>
        <w:t>A</w:t>
      </w:r>
      <w:r w:rsidRPr="00262F3A">
        <w:rPr>
          <w:rFonts w:cstheme="minorHAnsi"/>
          <w:b/>
        </w:rPr>
        <w:t xml:space="preserve">: </w:t>
      </w:r>
      <w:r w:rsidRPr="00262F3A">
        <w:rPr>
          <w:rFonts w:cstheme="minorHAnsi"/>
        </w:rPr>
        <w:t>Nation</w:t>
      </w:r>
      <w:r w:rsidR="000E1639" w:rsidRPr="00262F3A">
        <w:rPr>
          <w:rFonts w:cstheme="minorHAnsi"/>
        </w:rPr>
        <w:t>al Disability Insurance Agency V</w:t>
      </w:r>
      <w:r w:rsidRPr="00262F3A">
        <w:rPr>
          <w:rFonts w:cstheme="minorHAnsi"/>
        </w:rPr>
        <w:t>alues</w:t>
      </w:r>
    </w:p>
    <w:p w14:paraId="3061B3B9" w14:textId="3278C68C" w:rsidR="004B2F8B" w:rsidRPr="00262F3A" w:rsidRDefault="004B2F8B" w:rsidP="004B2F8B">
      <w:pPr>
        <w:rPr>
          <w:lang w:eastAsia="en-US"/>
        </w:rPr>
      </w:pPr>
      <w:r w:rsidRPr="00262F3A">
        <w:rPr>
          <w:rFonts w:cstheme="minorHAnsi"/>
          <w:noProof/>
          <w:lang w:eastAsia="en-AU"/>
        </w:rPr>
        <w:drawing>
          <wp:inline distT="0" distB="0" distL="0" distR="0" wp14:anchorId="65F7C699" wp14:editId="27999B8F">
            <wp:extent cx="6372225" cy="2480785"/>
            <wp:effectExtent l="0" t="0" r="0" b="0"/>
            <wp:docPr id="20" name="Picture 20" descr="Figure 2.2.2A shows the National Disability Insurance Agency’s four values. The four values are: 1. we value people (we put participants at the heart of everything we do); 2. we grow together (we work together to deliver quality outcomes); 3. we aim higher (we are resilient and always have the courage to do better); and 4. we take care (we own what we do and we do the right 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72225" cy="2480785"/>
                    </a:xfrm>
                    <a:prstGeom prst="rect">
                      <a:avLst/>
                    </a:prstGeom>
                  </pic:spPr>
                </pic:pic>
              </a:graphicData>
            </a:graphic>
          </wp:inline>
        </w:drawing>
      </w:r>
    </w:p>
    <w:p w14:paraId="74E3BE04" w14:textId="5DA49B93" w:rsidR="004B2F8B" w:rsidRPr="00262F3A" w:rsidRDefault="004B2F8B" w:rsidP="004B2F8B">
      <w:pPr>
        <w:spacing w:before="100" w:beforeAutospacing="1" w:after="100" w:afterAutospacing="1"/>
        <w:rPr>
          <w:rFonts w:eastAsia="Times New Roman" w:cstheme="minorHAnsi"/>
          <w:color w:val="000000"/>
          <w:lang w:eastAsia="en-AU"/>
        </w:rPr>
      </w:pPr>
      <w:r w:rsidRPr="00262F3A">
        <w:rPr>
          <w:rFonts w:eastAsia="Times New Roman" w:cstheme="minorHAnsi"/>
          <w:color w:val="000000"/>
          <w:lang w:eastAsia="en-AU"/>
        </w:rPr>
        <w:lastRenderedPageBreak/>
        <w:t xml:space="preserve">Additionally, all </w:t>
      </w:r>
      <w:r w:rsidRPr="00262F3A">
        <w:rPr>
          <w:rFonts w:cstheme="minorHAnsi"/>
        </w:rPr>
        <w:t>Agency</w:t>
      </w:r>
      <w:r w:rsidRPr="00262F3A">
        <w:rPr>
          <w:rFonts w:eastAsia="Times New Roman" w:cstheme="minorHAnsi"/>
          <w:color w:val="000000"/>
          <w:lang w:eastAsia="en-AU"/>
        </w:rPr>
        <w:t xml:space="preserve"> staff are required to follow the Australian Public Service </w:t>
      </w:r>
      <w:r w:rsidR="008D3F01">
        <w:rPr>
          <w:rFonts w:eastAsia="Times New Roman" w:cstheme="minorHAnsi"/>
          <w:color w:val="000000"/>
          <w:lang w:eastAsia="en-AU"/>
        </w:rPr>
        <w:t xml:space="preserve">(APS) </w:t>
      </w:r>
      <w:r w:rsidRPr="00262F3A">
        <w:rPr>
          <w:rFonts w:eastAsia="Times New Roman" w:cstheme="minorHAnsi"/>
          <w:color w:val="000000"/>
          <w:lang w:eastAsia="en-AU"/>
        </w:rPr>
        <w:t>Values and Code of Conduct, which require all staff to be impartial, committed to service, accountable, respectful and ethical.</w:t>
      </w:r>
    </w:p>
    <w:p w14:paraId="5E65A493" w14:textId="3D8FC4CA" w:rsidR="004B2F8B" w:rsidRPr="00262F3A" w:rsidRDefault="00A90F64" w:rsidP="004B2F8B">
      <w:pPr>
        <w:pStyle w:val="Heading3"/>
      </w:pPr>
      <w:bookmarkStart w:id="13" w:name="_Toc51067967"/>
      <w:r>
        <w:t>Key achievements in 2019-</w:t>
      </w:r>
      <w:r w:rsidR="004B2F8B" w:rsidRPr="00262F3A">
        <w:t>20</w:t>
      </w:r>
      <w:bookmarkEnd w:id="13"/>
    </w:p>
    <w:p w14:paraId="39925440" w14:textId="1BA9FC29" w:rsidR="004B2F8B" w:rsidRPr="00262F3A" w:rsidRDefault="004B2F8B" w:rsidP="00E418F7">
      <w:pPr>
        <w:pStyle w:val="Heading4"/>
        <w:rPr>
          <w:rStyle w:val="Heading5Char"/>
        </w:rPr>
      </w:pPr>
      <w:r w:rsidRPr="00262F3A">
        <w:rPr>
          <w:rStyle w:val="Heading5Char"/>
        </w:rPr>
        <w:t xml:space="preserve">Response to coronavirus (COVID-19) </w:t>
      </w:r>
    </w:p>
    <w:p w14:paraId="3DB6DF5C" w14:textId="2668CC87" w:rsidR="004B2F8B" w:rsidRPr="00262F3A" w:rsidRDefault="00162CBE" w:rsidP="004B2F8B">
      <w:pPr>
        <w:autoSpaceDE w:val="0"/>
        <w:autoSpaceDN w:val="0"/>
        <w:adjustRightInd w:val="0"/>
        <w:spacing w:after="0"/>
        <w:rPr>
          <w:rFonts w:cstheme="minorHAnsi"/>
        </w:rPr>
      </w:pPr>
      <w:r w:rsidRPr="004D102E">
        <w:rPr>
          <w:rFonts w:cstheme="minorHAnsi"/>
        </w:rPr>
        <w:t>Th</w:t>
      </w:r>
      <w:r>
        <w:rPr>
          <w:rFonts w:cstheme="minorHAnsi"/>
        </w:rPr>
        <w:t xml:space="preserve">roughout the first half of 2020, the priority of the NDIA was supporting participants, providers, staff and partners during the COVID-19 pandemic. The response required </w:t>
      </w:r>
      <w:r w:rsidR="004B2F8B" w:rsidRPr="00262F3A">
        <w:rPr>
          <w:rFonts w:cstheme="minorHAnsi"/>
        </w:rPr>
        <w:t>a rapid realignment of priorities as the Agency responded to ensure participants, including those deemed to be at high</w:t>
      </w:r>
      <w:r w:rsidR="001A1568">
        <w:rPr>
          <w:rFonts w:cstheme="minorHAnsi"/>
        </w:rPr>
        <w:t xml:space="preserve"> </w:t>
      </w:r>
      <w:r w:rsidR="004B2F8B" w:rsidRPr="00262F3A">
        <w:rPr>
          <w:rFonts w:cstheme="minorHAnsi"/>
        </w:rPr>
        <w:t xml:space="preserve">risk, continued to get the support they needed. </w:t>
      </w:r>
    </w:p>
    <w:p w14:paraId="40D202A4" w14:textId="6CE1243E" w:rsidR="004B2F8B" w:rsidRPr="00262F3A" w:rsidRDefault="004B2F8B" w:rsidP="004B2F8B">
      <w:pPr>
        <w:autoSpaceDE w:val="0"/>
        <w:autoSpaceDN w:val="0"/>
        <w:adjustRightInd w:val="0"/>
        <w:spacing w:after="0"/>
        <w:rPr>
          <w:rFonts w:cstheme="minorHAnsi"/>
        </w:rPr>
      </w:pPr>
      <w:r w:rsidRPr="00262F3A">
        <w:rPr>
          <w:rFonts w:cstheme="minorHAnsi"/>
        </w:rPr>
        <w:t>The</w:t>
      </w:r>
      <w:r w:rsidR="008D3F01">
        <w:rPr>
          <w:rFonts w:cstheme="minorHAnsi"/>
        </w:rPr>
        <w:t xml:space="preserve"> NDIA continues to work across g</w:t>
      </w:r>
      <w:r w:rsidRPr="00262F3A">
        <w:rPr>
          <w:rFonts w:cstheme="minorHAnsi"/>
        </w:rPr>
        <w:t>overnments, including with the Department of Social Services</w:t>
      </w:r>
      <w:r w:rsidR="008D3F01">
        <w:rPr>
          <w:rFonts w:cstheme="minorHAnsi"/>
        </w:rPr>
        <w:t xml:space="preserve"> (DSS)</w:t>
      </w:r>
      <w:r w:rsidRPr="00262F3A">
        <w:rPr>
          <w:rFonts w:cstheme="minorHAnsi"/>
        </w:rPr>
        <w:t xml:space="preserve">, the NDIS Quality and Safeguards Commission, Services Australia, and </w:t>
      </w:r>
      <w:r w:rsidR="008D3F01">
        <w:rPr>
          <w:rFonts w:cstheme="minorHAnsi"/>
        </w:rPr>
        <w:t>s</w:t>
      </w:r>
      <w:r w:rsidRPr="00262F3A">
        <w:rPr>
          <w:rFonts w:cstheme="minorHAnsi"/>
        </w:rPr>
        <w:t xml:space="preserve">tate and </w:t>
      </w:r>
      <w:r w:rsidR="008D3F01">
        <w:rPr>
          <w:rFonts w:cstheme="minorHAnsi"/>
        </w:rPr>
        <w:t>t</w:t>
      </w:r>
      <w:r w:rsidRPr="00262F3A">
        <w:rPr>
          <w:rFonts w:cstheme="minorHAnsi"/>
        </w:rPr>
        <w:t xml:space="preserve">erritory governments to ensure continuity of essential supports for NDIS participants. This includes a specific focus on supporting participants in COVID-19 ‘hot-spots’, especially Victoria. </w:t>
      </w:r>
    </w:p>
    <w:p w14:paraId="737AAE77" w14:textId="77777777" w:rsidR="004B2F8B" w:rsidRPr="00262F3A" w:rsidRDefault="004B2F8B" w:rsidP="004B2F8B">
      <w:pPr>
        <w:autoSpaceDE w:val="0"/>
        <w:autoSpaceDN w:val="0"/>
        <w:adjustRightInd w:val="0"/>
        <w:spacing w:after="0"/>
        <w:rPr>
          <w:rFonts w:cstheme="minorHAnsi"/>
        </w:rPr>
      </w:pPr>
      <w:r w:rsidRPr="00262F3A">
        <w:rPr>
          <w:rFonts w:cstheme="minorHAnsi"/>
        </w:rPr>
        <w:t>As at 30 June 2020, the NDIA had rolled out initiatives to support participants during the pandemic, including:</w:t>
      </w:r>
    </w:p>
    <w:p w14:paraId="1544FAB4" w14:textId="77777777" w:rsidR="004B2F8B" w:rsidRPr="00262F3A" w:rsidRDefault="004B2F8B" w:rsidP="00AF2A24">
      <w:pPr>
        <w:pStyle w:val="ListParagraph"/>
        <w:numPr>
          <w:ilvl w:val="0"/>
          <w:numId w:val="27"/>
        </w:numPr>
        <w:autoSpaceDE w:val="0"/>
        <w:autoSpaceDN w:val="0"/>
        <w:adjustRightInd w:val="0"/>
        <w:spacing w:before="0"/>
        <w:ind w:left="993"/>
        <w:rPr>
          <w:rFonts w:cstheme="minorHAnsi"/>
        </w:rPr>
      </w:pPr>
      <w:r w:rsidRPr="00262F3A">
        <w:rPr>
          <w:rFonts w:cstheme="minorHAnsi"/>
        </w:rPr>
        <w:t xml:space="preserve">Proactively contacting 65,844 vulnerable participants to ensure they had the essential support they required. This measure was very well received by participants. Subsequently, efforts have been redoubled with Victoria’s declaration of a State of Disaster in August 2020.  </w:t>
      </w:r>
    </w:p>
    <w:p w14:paraId="12527D98" w14:textId="6EDDFE62" w:rsidR="004B2F8B" w:rsidRPr="00262F3A" w:rsidRDefault="004B2F8B" w:rsidP="00AF2A24">
      <w:pPr>
        <w:pStyle w:val="ListParagraph"/>
        <w:numPr>
          <w:ilvl w:val="0"/>
          <w:numId w:val="27"/>
        </w:numPr>
        <w:autoSpaceDE w:val="0"/>
        <w:autoSpaceDN w:val="0"/>
        <w:adjustRightInd w:val="0"/>
        <w:spacing w:before="0"/>
        <w:ind w:left="993"/>
        <w:rPr>
          <w:rFonts w:cstheme="minorHAnsi"/>
        </w:rPr>
      </w:pPr>
      <w:r w:rsidRPr="00262F3A">
        <w:rPr>
          <w:rFonts w:cstheme="minorHAnsi"/>
          <w:color w:val="000000"/>
        </w:rPr>
        <w:t xml:space="preserve">Working closely with </w:t>
      </w:r>
      <w:r w:rsidR="008D3F01">
        <w:rPr>
          <w:rFonts w:cstheme="minorHAnsi"/>
          <w:color w:val="000000"/>
        </w:rPr>
        <w:t>s</w:t>
      </w:r>
      <w:r w:rsidRPr="00262F3A">
        <w:rPr>
          <w:rFonts w:cstheme="minorHAnsi"/>
          <w:color w:val="000000"/>
        </w:rPr>
        <w:t xml:space="preserve">tate and </w:t>
      </w:r>
      <w:r w:rsidR="008D3F01">
        <w:rPr>
          <w:rFonts w:cstheme="minorHAnsi"/>
          <w:color w:val="000000"/>
        </w:rPr>
        <w:t>t</w:t>
      </w:r>
      <w:r w:rsidRPr="00262F3A">
        <w:rPr>
          <w:rFonts w:cstheme="minorHAnsi"/>
          <w:color w:val="000000"/>
        </w:rPr>
        <w:t>erritory officials to alleviate pressure on the hospital system</w:t>
      </w:r>
      <w:r w:rsidR="008D3F01">
        <w:rPr>
          <w:rFonts w:cstheme="minorHAnsi"/>
          <w:color w:val="000000"/>
        </w:rPr>
        <w:t>.</w:t>
      </w:r>
      <w:r w:rsidRPr="00262F3A">
        <w:rPr>
          <w:rFonts w:cstheme="minorHAnsi"/>
          <w:color w:val="000000"/>
        </w:rPr>
        <w:t xml:space="preserve"> </w:t>
      </w:r>
      <w:r w:rsidR="008D3F01">
        <w:rPr>
          <w:rFonts w:cstheme="minorHAnsi"/>
          <w:color w:val="000000"/>
        </w:rPr>
        <w:t>M</w:t>
      </w:r>
      <w:r w:rsidRPr="00262F3A">
        <w:rPr>
          <w:rFonts w:cstheme="minorHAnsi"/>
          <w:color w:val="000000"/>
        </w:rPr>
        <w:t>ore than 1,000 participants who were clinically ready for dis</w:t>
      </w:r>
      <w:r w:rsidR="008D3F01">
        <w:rPr>
          <w:rFonts w:cstheme="minorHAnsi"/>
          <w:color w:val="000000"/>
        </w:rPr>
        <w:t>charge from hospital</w:t>
      </w:r>
      <w:r w:rsidRPr="00262F3A">
        <w:rPr>
          <w:rFonts w:cstheme="minorHAnsi"/>
          <w:color w:val="000000"/>
        </w:rPr>
        <w:t xml:space="preserve"> exited the hospital system to alternative accommodation.  </w:t>
      </w:r>
    </w:p>
    <w:p w14:paraId="01A8FE86" w14:textId="77777777" w:rsidR="004B2F8B" w:rsidRPr="00262F3A" w:rsidRDefault="004B2F8B" w:rsidP="00AF2A24">
      <w:pPr>
        <w:pStyle w:val="ListParagraph"/>
        <w:numPr>
          <w:ilvl w:val="0"/>
          <w:numId w:val="27"/>
        </w:numPr>
        <w:autoSpaceDE w:val="0"/>
        <w:autoSpaceDN w:val="0"/>
        <w:adjustRightInd w:val="0"/>
        <w:spacing w:before="0"/>
        <w:ind w:left="993"/>
        <w:rPr>
          <w:rFonts w:cstheme="minorHAnsi"/>
        </w:rPr>
      </w:pPr>
      <w:r w:rsidRPr="00262F3A">
        <w:rPr>
          <w:rFonts w:cstheme="minorHAnsi"/>
          <w:color w:val="000000"/>
        </w:rPr>
        <w:t xml:space="preserve">Working with supermarket retailers to make sure NDIS participants wanting support to grocery shop had priority access to home delivery services. </w:t>
      </w:r>
    </w:p>
    <w:p w14:paraId="4B390709" w14:textId="7BE422EA" w:rsidR="004B2F8B" w:rsidRPr="00262F3A" w:rsidRDefault="004B2F8B" w:rsidP="00AF2A24">
      <w:pPr>
        <w:pStyle w:val="ListParagraph"/>
        <w:numPr>
          <w:ilvl w:val="0"/>
          <w:numId w:val="27"/>
        </w:numPr>
        <w:autoSpaceDE w:val="0"/>
        <w:autoSpaceDN w:val="0"/>
        <w:adjustRightInd w:val="0"/>
        <w:spacing w:before="0"/>
        <w:ind w:left="993"/>
        <w:rPr>
          <w:rFonts w:cstheme="minorHAnsi"/>
        </w:rPr>
      </w:pPr>
      <w:r w:rsidRPr="00262F3A">
        <w:rPr>
          <w:rFonts w:cstheme="minorHAnsi"/>
          <w:color w:val="000000"/>
        </w:rPr>
        <w:t xml:space="preserve">Encouraging participants to identify their essential supports and to use their funding flexibly to meet their critical needs, with plans being amended quickly where required to support this flexibility. Plan </w:t>
      </w:r>
      <w:r w:rsidR="00162CBE">
        <w:rPr>
          <w:rFonts w:cstheme="minorHAnsi"/>
          <w:color w:val="000000"/>
        </w:rPr>
        <w:t>flexibility</w:t>
      </w:r>
      <w:r w:rsidR="00162CBE" w:rsidRPr="00262F3A">
        <w:rPr>
          <w:rFonts w:cstheme="minorHAnsi"/>
          <w:color w:val="000000"/>
        </w:rPr>
        <w:t xml:space="preserve"> </w:t>
      </w:r>
      <w:r w:rsidRPr="00262F3A">
        <w:rPr>
          <w:rFonts w:cstheme="minorHAnsi"/>
          <w:color w:val="000000"/>
        </w:rPr>
        <w:t>included partic</w:t>
      </w:r>
      <w:r w:rsidR="008D3F01">
        <w:rPr>
          <w:rFonts w:cstheme="minorHAnsi"/>
          <w:color w:val="000000"/>
        </w:rPr>
        <w:t>ipants being able to access low-c</w:t>
      </w:r>
      <w:r w:rsidRPr="00262F3A">
        <w:rPr>
          <w:rFonts w:cstheme="minorHAnsi"/>
          <w:color w:val="000000"/>
        </w:rPr>
        <w:t>ost assistive technology of up to $1,500 (e.g. smart devices) to help ensure the continuity of NDIS</w:t>
      </w:r>
      <w:r w:rsidR="008D3F01">
        <w:rPr>
          <w:rFonts w:cstheme="minorHAnsi"/>
          <w:color w:val="000000"/>
        </w:rPr>
        <w:t>-</w:t>
      </w:r>
      <w:r w:rsidRPr="00262F3A">
        <w:rPr>
          <w:rFonts w:cstheme="minorHAnsi"/>
          <w:color w:val="000000"/>
        </w:rPr>
        <w:t xml:space="preserve">funded supports (e.g. therapy and social participation). </w:t>
      </w:r>
    </w:p>
    <w:p w14:paraId="65CFD27D" w14:textId="4791E5E9" w:rsidR="004B2F8B" w:rsidRPr="00262F3A" w:rsidRDefault="004B2F8B" w:rsidP="00AF2A24">
      <w:pPr>
        <w:pStyle w:val="ListParagraph"/>
        <w:numPr>
          <w:ilvl w:val="0"/>
          <w:numId w:val="27"/>
        </w:numPr>
        <w:autoSpaceDE w:val="0"/>
        <w:autoSpaceDN w:val="0"/>
        <w:adjustRightInd w:val="0"/>
        <w:spacing w:before="0"/>
        <w:ind w:left="993"/>
        <w:rPr>
          <w:rFonts w:cstheme="minorHAnsi"/>
        </w:rPr>
      </w:pPr>
      <w:r w:rsidRPr="00262F3A">
        <w:rPr>
          <w:rFonts w:cstheme="minorHAnsi"/>
          <w:color w:val="000000"/>
        </w:rPr>
        <w:t>Staff and partners working flexibly to support participants through the pandemic – planning meetings were conducted via phone (or video-conference) or face</w:t>
      </w:r>
      <w:r w:rsidR="008D3F01">
        <w:rPr>
          <w:rFonts w:cstheme="minorHAnsi"/>
          <w:color w:val="000000"/>
        </w:rPr>
        <w:t xml:space="preserve"> </w:t>
      </w:r>
      <w:r w:rsidRPr="00262F3A">
        <w:rPr>
          <w:rFonts w:cstheme="minorHAnsi"/>
          <w:color w:val="000000"/>
        </w:rPr>
        <w:t>to</w:t>
      </w:r>
      <w:r w:rsidR="008D3F01">
        <w:rPr>
          <w:rFonts w:cstheme="minorHAnsi"/>
          <w:color w:val="000000"/>
        </w:rPr>
        <w:t xml:space="preserve"> </w:t>
      </w:r>
      <w:r w:rsidRPr="00262F3A">
        <w:rPr>
          <w:rFonts w:cstheme="minorHAnsi"/>
          <w:color w:val="000000"/>
        </w:rPr>
        <w:t>face at the preference of the participant.</w:t>
      </w:r>
    </w:p>
    <w:p w14:paraId="34B7CB55" w14:textId="77777777" w:rsidR="004B2F8B" w:rsidRPr="00262F3A" w:rsidRDefault="004B2F8B" w:rsidP="004B2F8B">
      <w:pPr>
        <w:autoSpaceDE w:val="0"/>
        <w:autoSpaceDN w:val="0"/>
        <w:adjustRightInd w:val="0"/>
      </w:pPr>
      <w:r w:rsidRPr="00262F3A">
        <w:t>During the COVID-19 pandemic, underlying payments for support remained at pre-pandemic levels and indeed increased, indicating that participants continued to receive supports while recognising that the mix of supports somewhat changed. Total average weekly payments increased from around $326 million in February and March 2020 to $364 million in June 2020. While community and social participation supports reduced due to community restrictions, activities of daily living supports increased for participants at home.</w:t>
      </w:r>
    </w:p>
    <w:p w14:paraId="0A0052B9" w14:textId="77777777" w:rsidR="004B2F8B" w:rsidRPr="00262F3A" w:rsidRDefault="004B2F8B" w:rsidP="004B2F8B">
      <w:pPr>
        <w:autoSpaceDE w:val="0"/>
        <w:autoSpaceDN w:val="0"/>
        <w:adjustRightInd w:val="0"/>
        <w:spacing w:after="0"/>
        <w:rPr>
          <w:rFonts w:cstheme="minorHAnsi"/>
          <w:color w:val="000000"/>
        </w:rPr>
      </w:pPr>
      <w:r w:rsidRPr="00262F3A">
        <w:rPr>
          <w:rFonts w:cstheme="minorHAnsi"/>
          <w:color w:val="000000"/>
        </w:rPr>
        <w:t xml:space="preserve">In addition to supporting participants during the pandemic, the NDIA implemented initiatives to support providers, complementing the broader suite of assistance provided by the Government to businesses and workers. Specific initiatives included: </w:t>
      </w:r>
    </w:p>
    <w:p w14:paraId="40A826B7" w14:textId="3B8F7CED" w:rsidR="004B2F8B" w:rsidRPr="00262F3A" w:rsidRDefault="004B2F8B" w:rsidP="00AF2A24">
      <w:pPr>
        <w:pStyle w:val="ListParagraph"/>
        <w:numPr>
          <w:ilvl w:val="0"/>
          <w:numId w:val="28"/>
        </w:numPr>
        <w:autoSpaceDE w:val="0"/>
        <w:autoSpaceDN w:val="0"/>
        <w:adjustRightInd w:val="0"/>
        <w:spacing w:before="0" w:after="98"/>
        <w:ind w:left="993"/>
        <w:rPr>
          <w:rFonts w:cstheme="minorHAnsi"/>
          <w:color w:val="000000"/>
        </w:rPr>
      </w:pPr>
      <w:r w:rsidRPr="00262F3A">
        <w:rPr>
          <w:rFonts w:cstheme="minorHAnsi"/>
        </w:rPr>
        <w:t xml:space="preserve">$668 million was paid in one-off advance payments to 4,769 registered providers to support them with immediate cash flow to help </w:t>
      </w:r>
      <w:r w:rsidR="008D3F01">
        <w:rPr>
          <w:rFonts w:cstheme="minorHAnsi"/>
        </w:rPr>
        <w:t xml:space="preserve">them </w:t>
      </w:r>
      <w:r w:rsidRPr="00262F3A">
        <w:rPr>
          <w:rFonts w:cstheme="minorHAnsi"/>
        </w:rPr>
        <w:t xml:space="preserve">continue to operate and support participants. </w:t>
      </w:r>
    </w:p>
    <w:p w14:paraId="0DE22016" w14:textId="4DA78C7C" w:rsidR="004B2F8B" w:rsidRPr="00262F3A" w:rsidRDefault="004B2F8B" w:rsidP="00AF2A24">
      <w:pPr>
        <w:pStyle w:val="ListParagraph"/>
        <w:numPr>
          <w:ilvl w:val="0"/>
          <w:numId w:val="28"/>
        </w:numPr>
        <w:spacing w:before="0" w:after="160" w:line="259" w:lineRule="auto"/>
        <w:ind w:left="993"/>
        <w:rPr>
          <w:rFonts w:cstheme="minorHAnsi"/>
        </w:rPr>
      </w:pPr>
      <w:r w:rsidRPr="00262F3A">
        <w:rPr>
          <w:rFonts w:cstheme="minorHAnsi"/>
        </w:rPr>
        <w:t xml:space="preserve">A temporary 10 per cent COVID-19 </w:t>
      </w:r>
      <w:r w:rsidR="008D3F01">
        <w:rPr>
          <w:rFonts w:cstheme="minorHAnsi"/>
        </w:rPr>
        <w:t xml:space="preserve">price </w:t>
      </w:r>
      <w:r w:rsidRPr="00262F3A">
        <w:rPr>
          <w:rFonts w:cstheme="minorHAnsi"/>
        </w:rPr>
        <w:t>loading on some supports was added for three months (25 March 2020 to 30 June 2020) to help providers better cover the additional costs associated with operating during the pandemic.</w:t>
      </w:r>
    </w:p>
    <w:p w14:paraId="36F5AB28" w14:textId="77777777" w:rsidR="004B2F8B" w:rsidRPr="00262F3A" w:rsidRDefault="004B2F8B" w:rsidP="00AF2A24">
      <w:pPr>
        <w:pStyle w:val="ListParagraph"/>
        <w:numPr>
          <w:ilvl w:val="0"/>
          <w:numId w:val="28"/>
        </w:numPr>
        <w:autoSpaceDE w:val="0"/>
        <w:autoSpaceDN w:val="0"/>
        <w:adjustRightInd w:val="0"/>
        <w:spacing w:before="0" w:after="98"/>
        <w:ind w:left="993"/>
        <w:rPr>
          <w:rFonts w:cstheme="minorHAnsi"/>
          <w:color w:val="000000"/>
        </w:rPr>
      </w:pPr>
      <w:r w:rsidRPr="00262F3A">
        <w:rPr>
          <w:rFonts w:cstheme="minorHAnsi"/>
          <w:color w:val="000000"/>
        </w:rPr>
        <w:t xml:space="preserve">Increased flexibility with the NDIA’s cancellation policies from 25 March 2020 to 30 June 2020.  </w:t>
      </w:r>
    </w:p>
    <w:p w14:paraId="09B3FC18" w14:textId="73ED38B1" w:rsidR="004B2F8B" w:rsidRPr="00262F3A" w:rsidRDefault="004B2F8B" w:rsidP="00AF2A24">
      <w:pPr>
        <w:pStyle w:val="ListParagraph"/>
        <w:numPr>
          <w:ilvl w:val="0"/>
          <w:numId w:val="28"/>
        </w:numPr>
        <w:autoSpaceDE w:val="0"/>
        <w:autoSpaceDN w:val="0"/>
        <w:adjustRightInd w:val="0"/>
        <w:spacing w:before="0"/>
        <w:ind w:left="993"/>
        <w:rPr>
          <w:rFonts w:cstheme="minorHAnsi"/>
          <w:color w:val="000000"/>
        </w:rPr>
      </w:pPr>
      <w:r w:rsidRPr="00262F3A">
        <w:rPr>
          <w:rFonts w:cstheme="minorHAnsi"/>
          <w:color w:val="000000"/>
        </w:rPr>
        <w:t xml:space="preserve">Two new support items were introduced for participants in </w:t>
      </w:r>
      <w:r w:rsidR="0060508A">
        <w:rPr>
          <w:rFonts w:cstheme="minorHAnsi"/>
          <w:color w:val="000000"/>
        </w:rPr>
        <w:t>s</w:t>
      </w:r>
      <w:r w:rsidR="0060508A" w:rsidRPr="00262F3A">
        <w:rPr>
          <w:rFonts w:cstheme="minorHAnsi"/>
          <w:color w:val="000000"/>
        </w:rPr>
        <w:t xml:space="preserve">upported </w:t>
      </w:r>
      <w:r w:rsidR="0060508A">
        <w:rPr>
          <w:rFonts w:cstheme="minorHAnsi"/>
          <w:color w:val="000000"/>
        </w:rPr>
        <w:t>i</w:t>
      </w:r>
      <w:r w:rsidR="0060508A" w:rsidRPr="00262F3A">
        <w:rPr>
          <w:rFonts w:cstheme="minorHAnsi"/>
          <w:color w:val="000000"/>
        </w:rPr>
        <w:t xml:space="preserve">ndependent </w:t>
      </w:r>
      <w:r w:rsidR="0060508A">
        <w:rPr>
          <w:rFonts w:cstheme="minorHAnsi"/>
          <w:color w:val="000000"/>
        </w:rPr>
        <w:t>l</w:t>
      </w:r>
      <w:r w:rsidR="0060508A" w:rsidRPr="00262F3A">
        <w:rPr>
          <w:rFonts w:cstheme="minorHAnsi"/>
          <w:color w:val="000000"/>
        </w:rPr>
        <w:t xml:space="preserve">iving </w:t>
      </w:r>
      <w:r w:rsidRPr="00262F3A">
        <w:rPr>
          <w:rFonts w:cstheme="minorHAnsi"/>
          <w:color w:val="000000"/>
        </w:rPr>
        <w:t xml:space="preserve">(SIL) diagnosed with COVID-19 (cleaning services and additional supports to cover the costs of higher intensity support related to the participant’s diagnosis). </w:t>
      </w:r>
    </w:p>
    <w:p w14:paraId="58DAE109" w14:textId="7EEF42D3" w:rsidR="004B2F8B" w:rsidRPr="00262F3A" w:rsidRDefault="004B2F8B" w:rsidP="00AF2A24">
      <w:pPr>
        <w:pStyle w:val="ListParagraph"/>
        <w:numPr>
          <w:ilvl w:val="0"/>
          <w:numId w:val="28"/>
        </w:numPr>
        <w:autoSpaceDE w:val="0"/>
        <w:autoSpaceDN w:val="0"/>
        <w:adjustRightInd w:val="0"/>
        <w:spacing w:before="0"/>
        <w:ind w:left="993"/>
        <w:rPr>
          <w:rFonts w:cstheme="minorHAnsi"/>
          <w:color w:val="000000"/>
        </w:rPr>
      </w:pPr>
      <w:r w:rsidRPr="00262F3A">
        <w:rPr>
          <w:rFonts w:cstheme="minorHAnsi"/>
          <w:color w:val="000000"/>
        </w:rPr>
        <w:lastRenderedPageBreak/>
        <w:t xml:space="preserve">Access to the National Medical Stockpile of </w:t>
      </w:r>
      <w:r w:rsidR="0060508A">
        <w:rPr>
          <w:rFonts w:cstheme="minorHAnsi"/>
          <w:color w:val="000000"/>
        </w:rPr>
        <w:t>p</w:t>
      </w:r>
      <w:r w:rsidR="0060508A" w:rsidRPr="00262F3A">
        <w:rPr>
          <w:rFonts w:cstheme="minorHAnsi"/>
          <w:color w:val="000000"/>
        </w:rPr>
        <w:t xml:space="preserve">ersonal </w:t>
      </w:r>
      <w:r w:rsidR="0060508A">
        <w:rPr>
          <w:rFonts w:cstheme="minorHAnsi"/>
          <w:color w:val="000000"/>
        </w:rPr>
        <w:t>p</w:t>
      </w:r>
      <w:r w:rsidR="0060508A" w:rsidRPr="00262F3A">
        <w:rPr>
          <w:rFonts w:cstheme="minorHAnsi"/>
          <w:color w:val="000000"/>
        </w:rPr>
        <w:t xml:space="preserve">rotective </w:t>
      </w:r>
      <w:r w:rsidR="0060508A">
        <w:rPr>
          <w:rFonts w:cstheme="minorHAnsi"/>
          <w:color w:val="000000"/>
        </w:rPr>
        <w:t>e</w:t>
      </w:r>
      <w:r w:rsidR="0060508A" w:rsidRPr="00262F3A">
        <w:rPr>
          <w:rFonts w:cstheme="minorHAnsi"/>
          <w:color w:val="000000"/>
        </w:rPr>
        <w:t xml:space="preserve">quipment </w:t>
      </w:r>
      <w:r w:rsidRPr="00262F3A">
        <w:rPr>
          <w:rFonts w:cstheme="minorHAnsi"/>
          <w:color w:val="000000"/>
        </w:rPr>
        <w:t xml:space="preserve">(PPE) for disability providers including registered and unregistered providers, and self-managed </w:t>
      </w:r>
      <w:r w:rsidRPr="00262F3A">
        <w:rPr>
          <w:rFonts w:cstheme="minorHAnsi"/>
        </w:rPr>
        <w:t xml:space="preserve">participants. </w:t>
      </w:r>
      <w:r w:rsidR="004D102E" w:rsidRPr="00262F3A">
        <w:rPr>
          <w:rFonts w:cstheme="minorHAnsi"/>
        </w:rPr>
        <w:t>As at 30 June 2020, 25,550 items of PPE from the National Medical Stockpile have been distributed to organisations delivering support to NDIS participants</w:t>
      </w:r>
      <w:r w:rsidRPr="00262F3A">
        <w:rPr>
          <w:rFonts w:cstheme="minorHAnsi"/>
        </w:rPr>
        <w:t>.</w:t>
      </w:r>
    </w:p>
    <w:p w14:paraId="4708053B" w14:textId="021A351A" w:rsidR="004B2F8B" w:rsidRPr="00262F3A" w:rsidRDefault="004B2F8B" w:rsidP="004B2F8B">
      <w:pPr>
        <w:rPr>
          <w:rFonts w:cstheme="minorHAnsi"/>
        </w:rPr>
      </w:pPr>
      <w:r w:rsidRPr="00262F3A">
        <w:rPr>
          <w:rFonts w:cstheme="minorHAnsi"/>
        </w:rPr>
        <w:t xml:space="preserve">The NDIA has maintained regular engagement with providers and sector stakeholders to ensure the Agency is responsive to emerging issues on the ground, including workforce issues. This includes regular daily meetings as well as personal care calls to </w:t>
      </w:r>
      <w:r w:rsidR="00F45A8D">
        <w:rPr>
          <w:rFonts w:cstheme="minorHAnsi"/>
        </w:rPr>
        <w:t>CEOs</w:t>
      </w:r>
      <w:r w:rsidRPr="00262F3A">
        <w:rPr>
          <w:rFonts w:cstheme="minorHAnsi"/>
        </w:rPr>
        <w:t xml:space="preserve"> of </w:t>
      </w:r>
      <w:r w:rsidR="00162CBE">
        <w:rPr>
          <w:rFonts w:cstheme="minorHAnsi"/>
        </w:rPr>
        <w:t>disability organisations and</w:t>
      </w:r>
      <w:r w:rsidR="00162CBE" w:rsidRPr="004D102E">
        <w:rPr>
          <w:rFonts w:cstheme="minorHAnsi"/>
        </w:rPr>
        <w:t xml:space="preserve"> </w:t>
      </w:r>
      <w:r w:rsidRPr="00262F3A">
        <w:rPr>
          <w:rFonts w:cstheme="minorHAnsi"/>
        </w:rPr>
        <w:t>providers.</w:t>
      </w:r>
    </w:p>
    <w:p w14:paraId="19BD7C81" w14:textId="0EAA5C41" w:rsidR="004B2F8B" w:rsidRPr="00262F3A" w:rsidRDefault="004B2F8B" w:rsidP="004B2F8B">
      <w:pPr>
        <w:rPr>
          <w:rFonts w:cstheme="minorHAnsi"/>
          <w:color w:val="000000"/>
        </w:rPr>
      </w:pPr>
      <w:r w:rsidRPr="00262F3A">
        <w:rPr>
          <w:rFonts w:cstheme="minorHAnsi"/>
          <w:color w:val="000000"/>
        </w:rPr>
        <w:t>The impacts of COVID-19 are far-reaching, and will continue to affect participants, their families, carers, providers and Agency staff for years to come. As the pandemic continues to evolve, and ‘hot-spots’ emerge, the NDIA’s absolute prior</w:t>
      </w:r>
      <w:r w:rsidR="00F45A8D">
        <w:rPr>
          <w:rFonts w:cstheme="minorHAnsi"/>
          <w:color w:val="000000"/>
        </w:rPr>
        <w:t>ity continues to be participant</w:t>
      </w:r>
      <w:r w:rsidRPr="00262F3A">
        <w:rPr>
          <w:rFonts w:cstheme="minorHAnsi"/>
          <w:color w:val="000000"/>
        </w:rPr>
        <w:t>s</w:t>
      </w:r>
      <w:r w:rsidR="00F45A8D">
        <w:rPr>
          <w:rFonts w:cstheme="minorHAnsi"/>
          <w:color w:val="000000"/>
        </w:rPr>
        <w:t>’</w:t>
      </w:r>
      <w:r w:rsidRPr="00262F3A">
        <w:rPr>
          <w:rFonts w:cstheme="minorHAnsi"/>
          <w:color w:val="000000"/>
        </w:rPr>
        <w:t xml:space="preserve"> health, safety, and ensuring participants can continue to access their essential supports. The health of those caring for participants is also a priority. Without them, participants cannot be safe.</w:t>
      </w:r>
    </w:p>
    <w:p w14:paraId="155E3310" w14:textId="695607BD" w:rsidR="004B2F8B" w:rsidRPr="00262F3A" w:rsidRDefault="004B2F8B" w:rsidP="004B2F8B">
      <w:pPr>
        <w:rPr>
          <w:rFonts w:cstheme="minorHAnsi"/>
        </w:rPr>
      </w:pPr>
      <w:r w:rsidRPr="00262F3A">
        <w:rPr>
          <w:rFonts w:cstheme="minorHAnsi"/>
        </w:rPr>
        <w:t>In addition to the pandemic, the NDIA supported participants affected by the January 2020 bushfires in Victoria and NSW, both during the emergency an</w:t>
      </w:r>
      <w:r w:rsidR="00F45A8D">
        <w:rPr>
          <w:rFonts w:cstheme="minorHAnsi"/>
        </w:rPr>
        <w:t>d in the recovery phase. Agency-</w:t>
      </w:r>
      <w:r w:rsidRPr="00262F3A">
        <w:rPr>
          <w:rFonts w:cstheme="minorHAnsi"/>
        </w:rPr>
        <w:t xml:space="preserve">initiated reviews for participants were used in affected areas to capture changes in circumstances and, where required, plans were adjusted to provide necessary supports as well as repairs or replacement of equipment. Agency staff also worked with Services Australia Mobile Service Vehicles and Pop-Up Service to support participants in affected areas. </w:t>
      </w:r>
    </w:p>
    <w:p w14:paraId="59D9AA41" w14:textId="2DE19723" w:rsidR="004B2F8B" w:rsidRPr="00262F3A" w:rsidRDefault="004B2F8B" w:rsidP="00E418F7">
      <w:pPr>
        <w:pStyle w:val="Heading4"/>
      </w:pPr>
      <w:r w:rsidRPr="00262F3A">
        <w:t>Quality experience for participants</w:t>
      </w:r>
    </w:p>
    <w:p w14:paraId="0E65575C" w14:textId="77777777" w:rsidR="004B2F8B" w:rsidRPr="00262F3A" w:rsidRDefault="004B2F8B" w:rsidP="004B2F8B">
      <w:pPr>
        <w:rPr>
          <w:rFonts w:cstheme="minorHAnsi"/>
          <w:color w:val="000000"/>
        </w:rPr>
      </w:pPr>
      <w:r w:rsidRPr="00262F3A">
        <w:rPr>
          <w:rFonts w:cstheme="minorHAnsi"/>
          <w:color w:val="000000"/>
        </w:rPr>
        <w:t xml:space="preserve">The NDIA’s central focus is to ensure participants realise the full benefits of this visionary social reform. </w:t>
      </w:r>
    </w:p>
    <w:p w14:paraId="60D50C6F" w14:textId="77777777" w:rsidR="004B2F8B" w:rsidRPr="00262F3A" w:rsidRDefault="004B2F8B" w:rsidP="004B2F8B">
      <w:pPr>
        <w:rPr>
          <w:rFonts w:cstheme="minorHAnsi"/>
          <w:color w:val="000000"/>
        </w:rPr>
      </w:pPr>
      <w:r w:rsidRPr="00262F3A">
        <w:rPr>
          <w:rFonts w:cstheme="minorHAnsi"/>
          <w:color w:val="000000"/>
        </w:rPr>
        <w:t xml:space="preserve">The path to ensuring the NDIS delivers on this promise has been challenging. Processes put in place during Trial were ill-defined and systems were inadequately scoped, creating multiple challenges in the Transition Phase of the Scheme. As a result, the Agency was not as well positioned to deliver the quality of service that the Board and management desired.  </w:t>
      </w:r>
    </w:p>
    <w:p w14:paraId="684AD803" w14:textId="77777777" w:rsidR="004B2F8B" w:rsidRPr="00262F3A" w:rsidRDefault="004B2F8B" w:rsidP="004B2F8B">
      <w:pPr>
        <w:rPr>
          <w:rFonts w:cstheme="minorHAnsi"/>
          <w:color w:val="000000"/>
        </w:rPr>
      </w:pPr>
      <w:r w:rsidRPr="00262F3A">
        <w:rPr>
          <w:rFonts w:cstheme="minorHAnsi"/>
          <w:color w:val="000000"/>
        </w:rPr>
        <w:t>The focus of the past four years, and in particular of 2020, has been on initiatives to address these challenges, including those related to the underlying NDIS service delivery model. This work has resulted in significant progress being made.</w:t>
      </w:r>
    </w:p>
    <w:p w14:paraId="1A4DD531" w14:textId="77777777" w:rsidR="004B2F8B" w:rsidRPr="00262F3A" w:rsidRDefault="004B2F8B" w:rsidP="00E418F7">
      <w:pPr>
        <w:pStyle w:val="Heading5"/>
      </w:pPr>
      <w:r w:rsidRPr="00262F3A">
        <w:t>Wait times</w:t>
      </w:r>
    </w:p>
    <w:p w14:paraId="7489A403" w14:textId="26D8EAF5" w:rsidR="004B2F8B" w:rsidRPr="00262F3A" w:rsidRDefault="004B2F8B" w:rsidP="004B2F8B">
      <w:pPr>
        <w:rPr>
          <w:rFonts w:cstheme="minorHAnsi"/>
          <w:color w:val="000000"/>
        </w:rPr>
      </w:pPr>
      <w:r w:rsidRPr="00262F3A">
        <w:rPr>
          <w:rFonts w:cstheme="minorHAnsi"/>
          <w:color w:val="000000"/>
        </w:rPr>
        <w:t xml:space="preserve">Wait times have been reduced. Access decisions are now being made on average within 10 days for adults and </w:t>
      </w:r>
      <w:r w:rsidR="004F419C" w:rsidRPr="00262F3A">
        <w:rPr>
          <w:rFonts w:cstheme="minorHAnsi"/>
          <w:color w:val="000000"/>
        </w:rPr>
        <w:t>six</w:t>
      </w:r>
      <w:r w:rsidRPr="00262F3A">
        <w:rPr>
          <w:rFonts w:cstheme="minorHAnsi"/>
          <w:color w:val="000000"/>
        </w:rPr>
        <w:t xml:space="preserve"> days for children, which is four and seven times faster respectively than was the case </w:t>
      </w:r>
      <w:r w:rsidR="00F45A8D">
        <w:rPr>
          <w:rFonts w:cstheme="minorHAnsi"/>
          <w:color w:val="000000"/>
        </w:rPr>
        <w:t>12</w:t>
      </w:r>
      <w:r w:rsidRPr="00262F3A">
        <w:rPr>
          <w:rFonts w:cstheme="minorHAnsi"/>
          <w:color w:val="000000"/>
        </w:rPr>
        <w:t xml:space="preserve"> months ago. The time to obtain a first plan has significantly reduced by 50 per cent for adults, and 67 </w:t>
      </w:r>
      <w:r w:rsidR="003822FE">
        <w:rPr>
          <w:rFonts w:cstheme="minorHAnsi"/>
          <w:color w:val="000000"/>
        </w:rPr>
        <w:t xml:space="preserve">per cent </w:t>
      </w:r>
      <w:r w:rsidRPr="00262F3A">
        <w:rPr>
          <w:rFonts w:cstheme="minorHAnsi"/>
          <w:color w:val="000000"/>
        </w:rPr>
        <w:t xml:space="preserve">for children. This reduction is particularly important for children, as getting support early reduces the impact of development delays or disability. </w:t>
      </w:r>
    </w:p>
    <w:p w14:paraId="09A31039" w14:textId="6B9BFD5C" w:rsidR="004B2F8B" w:rsidRPr="00262F3A" w:rsidRDefault="004B2F8B" w:rsidP="004B2F8B">
      <w:pPr>
        <w:rPr>
          <w:rFonts w:cstheme="minorHAnsi"/>
          <w:color w:val="000000"/>
        </w:rPr>
      </w:pPr>
      <w:r w:rsidRPr="00262F3A">
        <w:rPr>
          <w:rFonts w:cstheme="minorHAnsi"/>
          <w:color w:val="000000"/>
        </w:rPr>
        <w:t>In addition, plan reviews requested by a participant are being undertaken at pace. As at 30 June 2020, 100 per</w:t>
      </w:r>
      <w:r w:rsidR="00F45A8D">
        <w:rPr>
          <w:rFonts w:cstheme="minorHAnsi"/>
          <w:color w:val="000000"/>
        </w:rPr>
        <w:t xml:space="preserve"> </w:t>
      </w:r>
      <w:r w:rsidRPr="00262F3A">
        <w:rPr>
          <w:rFonts w:cstheme="minorHAnsi"/>
          <w:color w:val="000000"/>
        </w:rPr>
        <w:t>cent of all decisions on whether a review would be undertaken were made within 21 days. Where it was decided to undertake a review, 53 per cent of the plans were reviewed within 28 days.</w:t>
      </w:r>
    </w:p>
    <w:p w14:paraId="41551B23" w14:textId="04C515D5" w:rsidR="004B2F8B" w:rsidRPr="00262F3A" w:rsidRDefault="004B2F8B" w:rsidP="004B2F8B">
      <w:pPr>
        <w:keepNext/>
        <w:rPr>
          <w:rFonts w:cstheme="minorHAnsi"/>
          <w:color w:val="000000"/>
        </w:rPr>
      </w:pPr>
      <w:r w:rsidRPr="00262F3A">
        <w:rPr>
          <w:rFonts w:cstheme="minorHAnsi"/>
          <w:b/>
          <w:color w:val="000000"/>
        </w:rPr>
        <w:lastRenderedPageBreak/>
        <w:t>Figure 2</w:t>
      </w:r>
      <w:r w:rsidR="00E418F7" w:rsidRPr="00262F3A">
        <w:rPr>
          <w:rFonts w:cstheme="minorHAnsi"/>
          <w:b/>
          <w:color w:val="000000"/>
        </w:rPr>
        <w:t>.2</w:t>
      </w:r>
      <w:r w:rsidRPr="00262F3A">
        <w:rPr>
          <w:rFonts w:cstheme="minorHAnsi"/>
          <w:b/>
          <w:color w:val="000000"/>
        </w:rPr>
        <w:t>.3</w:t>
      </w:r>
      <w:r w:rsidR="00E418F7" w:rsidRPr="00262F3A">
        <w:rPr>
          <w:rFonts w:cstheme="minorHAnsi"/>
          <w:b/>
          <w:color w:val="000000"/>
        </w:rPr>
        <w:t>A</w:t>
      </w:r>
      <w:r w:rsidRPr="00262F3A">
        <w:rPr>
          <w:rFonts w:cstheme="minorHAnsi"/>
          <w:b/>
          <w:color w:val="000000"/>
        </w:rPr>
        <w:t>:</w:t>
      </w:r>
      <w:r w:rsidRPr="00262F3A">
        <w:rPr>
          <w:rFonts w:cstheme="minorHAnsi"/>
          <w:color w:val="000000"/>
        </w:rPr>
        <w:t xml:space="preserve"> The average number of days taken to complete an access decision (within the month)</w:t>
      </w:r>
    </w:p>
    <w:p w14:paraId="425B095B" w14:textId="763C6159" w:rsidR="004B2F8B" w:rsidRPr="00262F3A" w:rsidRDefault="004B2F8B" w:rsidP="004B2F8B">
      <w:pPr>
        <w:ind w:left="1440"/>
        <w:rPr>
          <w:lang w:eastAsia="en-US"/>
        </w:rPr>
      </w:pPr>
      <w:r w:rsidRPr="00262F3A">
        <w:rPr>
          <w:noProof/>
          <w:lang w:eastAsia="en-AU"/>
        </w:rPr>
        <w:drawing>
          <wp:inline distT="0" distB="0" distL="0" distR="0" wp14:anchorId="14343D14" wp14:editId="0CDEA763">
            <wp:extent cx="4082144" cy="1622066"/>
            <wp:effectExtent l="0" t="0" r="0" b="0"/>
            <wp:docPr id="22" name="Picture 22" descr="Figure 2.2.3A is a line graph. There are months and year on the horizontal axis from June 2019 to June 2020, in increments of one month; and number of days from zero to 50, in increments of 10. The graph shows as at 30 June 2020, access decisions are now being made on average within 10 days for adults and six days for children; and outstanding access decisions, on average, for six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4788" b="5565"/>
                    <a:stretch/>
                  </pic:blipFill>
                  <pic:spPr bwMode="auto">
                    <a:xfrm>
                      <a:off x="0" y="0"/>
                      <a:ext cx="4114949" cy="1635101"/>
                    </a:xfrm>
                    <a:prstGeom prst="rect">
                      <a:avLst/>
                    </a:prstGeom>
                    <a:ln>
                      <a:noFill/>
                    </a:ln>
                    <a:extLst>
                      <a:ext uri="{53640926-AAD7-44D8-BBD7-CCE9431645EC}">
                        <a14:shadowObscured xmlns:a14="http://schemas.microsoft.com/office/drawing/2010/main"/>
                      </a:ext>
                    </a:extLst>
                  </pic:spPr>
                </pic:pic>
              </a:graphicData>
            </a:graphic>
          </wp:inline>
        </w:drawing>
      </w:r>
    </w:p>
    <w:p w14:paraId="056F9317" w14:textId="79419A5E" w:rsidR="004B2F8B" w:rsidRPr="00262F3A" w:rsidRDefault="004B2F8B" w:rsidP="004B2F8B">
      <w:pPr>
        <w:keepNext/>
        <w:rPr>
          <w:rFonts w:cstheme="minorHAnsi"/>
          <w:color w:val="000000"/>
        </w:rPr>
      </w:pPr>
      <w:r w:rsidRPr="00262F3A">
        <w:rPr>
          <w:rFonts w:cstheme="minorHAnsi"/>
          <w:b/>
          <w:color w:val="000000"/>
        </w:rPr>
        <w:t>Figure 2</w:t>
      </w:r>
      <w:r w:rsidR="00E418F7" w:rsidRPr="00262F3A">
        <w:rPr>
          <w:rFonts w:cstheme="minorHAnsi"/>
          <w:b/>
          <w:color w:val="000000"/>
        </w:rPr>
        <w:t>.2</w:t>
      </w:r>
      <w:r w:rsidR="00F45A8D">
        <w:rPr>
          <w:rFonts w:cstheme="minorHAnsi"/>
          <w:b/>
          <w:color w:val="000000"/>
        </w:rPr>
        <w:t>.3B:</w:t>
      </w:r>
      <w:r w:rsidRPr="00262F3A">
        <w:rPr>
          <w:rFonts w:cstheme="minorHAnsi"/>
          <w:b/>
          <w:color w:val="000000"/>
        </w:rPr>
        <w:t xml:space="preserve"> </w:t>
      </w:r>
      <w:r w:rsidRPr="00262F3A">
        <w:rPr>
          <w:rFonts w:cstheme="minorHAnsi"/>
          <w:color w:val="000000"/>
        </w:rPr>
        <w:t>The average number of days taken to complete and approve a first plan</w:t>
      </w:r>
    </w:p>
    <w:p w14:paraId="7A32A982" w14:textId="01310386" w:rsidR="004B2F8B" w:rsidRPr="00262F3A" w:rsidRDefault="004B2F8B" w:rsidP="004B2F8B">
      <w:pPr>
        <w:ind w:left="1440"/>
        <w:rPr>
          <w:lang w:eastAsia="en-US"/>
        </w:rPr>
      </w:pPr>
      <w:r w:rsidRPr="00262F3A">
        <w:rPr>
          <w:noProof/>
          <w:lang w:eastAsia="en-AU"/>
        </w:rPr>
        <w:drawing>
          <wp:inline distT="0" distB="0" distL="0" distR="0" wp14:anchorId="7F1720D9" wp14:editId="729FFB80">
            <wp:extent cx="4362804" cy="1685677"/>
            <wp:effectExtent l="0" t="0" r="0" b="0"/>
            <wp:docPr id="23" name="Picture 23" descr="Figure 2.2.3B is a line graph. There are months and year on the horizontal axis from June 2019 to June 2020, in increments of one month; and number of days from zero to 150, in increments of 30. The graph shows on average, first plans for participants aged zero to six years were approved within 48 days, and for first plans in progress as at 30 June 2020, had on average been in progress for 19 days. For participants aged seven years and over, first plans were approved on average within 80 days, and first plans that were in progress at 30 June 2020, had on average been in progress for 41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0745" b="7410"/>
                    <a:stretch/>
                  </pic:blipFill>
                  <pic:spPr bwMode="auto">
                    <a:xfrm>
                      <a:off x="0" y="0"/>
                      <a:ext cx="4395275" cy="1698223"/>
                    </a:xfrm>
                    <a:prstGeom prst="rect">
                      <a:avLst/>
                    </a:prstGeom>
                    <a:ln>
                      <a:noFill/>
                    </a:ln>
                    <a:extLst>
                      <a:ext uri="{53640926-AAD7-44D8-BBD7-CCE9431645EC}">
                        <a14:shadowObscured xmlns:a14="http://schemas.microsoft.com/office/drawing/2010/main"/>
                      </a:ext>
                    </a:extLst>
                  </pic:spPr>
                </pic:pic>
              </a:graphicData>
            </a:graphic>
          </wp:inline>
        </w:drawing>
      </w:r>
    </w:p>
    <w:p w14:paraId="5060E29A" w14:textId="6A4405B1" w:rsidR="004B2F8B" w:rsidRPr="00262F3A" w:rsidRDefault="004B2F8B" w:rsidP="004B2F8B">
      <w:pPr>
        <w:rPr>
          <w:rFonts w:cstheme="minorHAnsi"/>
          <w:color w:val="000000"/>
        </w:rPr>
      </w:pPr>
      <w:r w:rsidRPr="00262F3A">
        <w:rPr>
          <w:rFonts w:cstheme="minorHAnsi"/>
          <w:color w:val="000000"/>
        </w:rPr>
        <w:t>The number of review of reviewable decisions (RoRDs) has increased over the last year due to the increase in the number of participants. As at 30 June 2020, there was a significant reduction (69 per cent) in the number of open RoRD</w:t>
      </w:r>
      <w:r w:rsidR="00F45A8D">
        <w:rPr>
          <w:rFonts w:cstheme="minorHAnsi"/>
          <w:color w:val="000000"/>
        </w:rPr>
        <w:t>s</w:t>
      </w:r>
      <w:r w:rsidRPr="00262F3A">
        <w:rPr>
          <w:rFonts w:cstheme="minorHAnsi"/>
          <w:color w:val="000000"/>
        </w:rPr>
        <w:t>.</w:t>
      </w:r>
    </w:p>
    <w:p w14:paraId="1A014212" w14:textId="693C67F7" w:rsidR="004B2F8B" w:rsidRPr="00262F3A" w:rsidRDefault="00E418F7" w:rsidP="004B2F8B">
      <w:pPr>
        <w:keepNext/>
        <w:rPr>
          <w:rFonts w:cstheme="minorHAnsi"/>
        </w:rPr>
      </w:pPr>
      <w:r w:rsidRPr="00262F3A">
        <w:rPr>
          <w:rFonts w:cstheme="minorHAnsi"/>
          <w:b/>
        </w:rPr>
        <w:t>Figure 2.2</w:t>
      </w:r>
      <w:r w:rsidR="004B2F8B" w:rsidRPr="00262F3A">
        <w:rPr>
          <w:rFonts w:cstheme="minorHAnsi"/>
          <w:b/>
        </w:rPr>
        <w:t xml:space="preserve">.3C: </w:t>
      </w:r>
      <w:r w:rsidR="004B2F8B" w:rsidRPr="00262F3A">
        <w:rPr>
          <w:rFonts w:cstheme="minorHAnsi"/>
        </w:rPr>
        <w:t>RoRDs received and closed during the March quarter and open as at 30 June 2020</w:t>
      </w:r>
    </w:p>
    <w:p w14:paraId="6BC6A968" w14:textId="151F6B39" w:rsidR="004B2F8B" w:rsidRPr="00262F3A" w:rsidRDefault="004B2F8B" w:rsidP="004B2F8B">
      <w:pPr>
        <w:ind w:left="1440"/>
        <w:rPr>
          <w:lang w:eastAsia="en-US"/>
        </w:rPr>
      </w:pPr>
      <w:r w:rsidRPr="00262F3A">
        <w:rPr>
          <w:noProof/>
          <w:lang w:eastAsia="en-AU"/>
        </w:rPr>
        <w:drawing>
          <wp:inline distT="0" distB="0" distL="0" distR="0" wp14:anchorId="5741B1CB" wp14:editId="383EAB74">
            <wp:extent cx="5009322" cy="2466367"/>
            <wp:effectExtent l="0" t="0" r="1270" b="0"/>
            <wp:docPr id="28" name="Picture 28" descr="Figure 2.2.3C is a bar graph. The horizontal axis has the year and status of RoRDs (open, new and closed) and the vertical axis has numbers from 0 to 25,000 with increments of 5,000. The legend shows purple for open, orange for new, and green for closed. &#10;&#10;The bar graph shows: number of open RoRDs as at 30 June 2019, 6,834; number of new RoRDs in Quarter 1 (Q1), 2019–20, plus 7,409,number of closed RoRDs in Q1, 2019–20, minus 5,831. Open RoRDs as at 30 September 2019, 8,412; number of new RoRDs in Quarter 2 (Q2), 2019–20, plus 9,092; number of closed RoRDs in Q2, 2019–20, minus 7,112. Number of open RoRDs as at 31 December 2019, 10,392; number of new RoRDs in Quarter 3 (Q3), 2019–20, plus 9,229; number of closed RoRDs in Q3, 2019–20, minus 12,755. Number of open RoRDs as at 31 March 2020, 6,866; number of new RoRDs in Quarter 4 (Q4), 2019–20, plus 9,166; number of closed RoRDs in Q4, 2019–20, minus 13,916. Number of open RoRDs as at 30 June 2020, 2,1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9195"/>
                    <a:stretch/>
                  </pic:blipFill>
                  <pic:spPr bwMode="auto">
                    <a:xfrm>
                      <a:off x="0" y="0"/>
                      <a:ext cx="5018451" cy="2470862"/>
                    </a:xfrm>
                    <a:prstGeom prst="rect">
                      <a:avLst/>
                    </a:prstGeom>
                    <a:ln>
                      <a:noFill/>
                    </a:ln>
                    <a:extLst>
                      <a:ext uri="{53640926-AAD7-44D8-BBD7-CCE9431645EC}">
                        <a14:shadowObscured xmlns:a14="http://schemas.microsoft.com/office/drawing/2010/main"/>
                      </a:ext>
                    </a:extLst>
                  </pic:spPr>
                </pic:pic>
              </a:graphicData>
            </a:graphic>
          </wp:inline>
        </w:drawing>
      </w:r>
    </w:p>
    <w:p w14:paraId="716113AA" w14:textId="75A5F774" w:rsidR="004B2F8B" w:rsidRPr="00262F3A" w:rsidRDefault="00D54041" w:rsidP="004B2F8B">
      <w:r w:rsidRPr="00262F3A">
        <w:t xml:space="preserve">The backlog of assistive technology and home modification quotes has been cleared. The Agency aims to have 90 per cent of </w:t>
      </w:r>
      <w:r w:rsidR="00F45A8D">
        <w:t>a</w:t>
      </w:r>
      <w:r w:rsidRPr="00262F3A">
        <w:t xml:space="preserve">ssistive </w:t>
      </w:r>
      <w:r w:rsidR="00F45A8D">
        <w:t>t</w:t>
      </w:r>
      <w:r w:rsidRPr="00262F3A">
        <w:t xml:space="preserve">echnology and </w:t>
      </w:r>
      <w:r w:rsidR="00F45A8D">
        <w:t>h</w:t>
      </w:r>
      <w:r w:rsidRPr="00262F3A">
        <w:t xml:space="preserve">ome </w:t>
      </w:r>
      <w:r w:rsidR="00F45A8D">
        <w:t>m</w:t>
      </w:r>
      <w:r w:rsidRPr="00262F3A">
        <w:t>odification requests completed in under 10 days.</w:t>
      </w:r>
    </w:p>
    <w:p w14:paraId="707A1D87" w14:textId="77777777" w:rsidR="004B2F8B" w:rsidRPr="00262F3A" w:rsidRDefault="004B2F8B" w:rsidP="004B2F8B">
      <w:pPr>
        <w:autoSpaceDE w:val="0"/>
        <w:autoSpaceDN w:val="0"/>
        <w:adjustRightInd w:val="0"/>
        <w:spacing w:after="0"/>
        <w:rPr>
          <w:rFonts w:cstheme="minorHAnsi"/>
        </w:rPr>
      </w:pPr>
      <w:r w:rsidRPr="00262F3A">
        <w:rPr>
          <w:rFonts w:cstheme="minorHAnsi"/>
        </w:rPr>
        <w:t xml:space="preserve">Moreover, the National Contact Centre (NCC) continues to meet high service levels, with 84 per cent of calls answered within 60 seconds, and abandonment rates consistently are at a low 1.1 per cent. The average speed to answer was less than 26 seconds. </w:t>
      </w:r>
    </w:p>
    <w:p w14:paraId="2059A0B6" w14:textId="7F1DBF22" w:rsidR="004B2F8B" w:rsidRPr="00262F3A" w:rsidRDefault="004B2F8B" w:rsidP="004B2F8B">
      <w:pPr>
        <w:rPr>
          <w:rFonts w:cstheme="minorHAnsi"/>
        </w:rPr>
      </w:pPr>
      <w:r w:rsidRPr="00262F3A">
        <w:rPr>
          <w:rFonts w:cstheme="minorHAnsi"/>
        </w:rPr>
        <w:t xml:space="preserve">Satisfaction levels are high and continue to improve across each stage of participant engagement with the Scheme. A larger, more robust survey launched in Quarter 2 2018-19, </w:t>
      </w:r>
      <w:r w:rsidRPr="00262F3A">
        <w:rPr>
          <w:rFonts w:cstheme="minorHAnsi"/>
        </w:rPr>
        <w:lastRenderedPageBreak/>
        <w:t xml:space="preserve">shows the improvements made up to Quarter 4 2019-20: from 69 </w:t>
      </w:r>
      <w:r w:rsidR="003822FE">
        <w:rPr>
          <w:rFonts w:cstheme="minorHAnsi"/>
        </w:rPr>
        <w:t xml:space="preserve">per cent </w:t>
      </w:r>
      <w:r w:rsidRPr="00262F3A">
        <w:rPr>
          <w:rFonts w:cstheme="minorHAnsi"/>
        </w:rPr>
        <w:t>to 81 per</w:t>
      </w:r>
      <w:r w:rsidR="00F45A8D">
        <w:rPr>
          <w:rFonts w:cstheme="minorHAnsi"/>
        </w:rPr>
        <w:t xml:space="preserve"> </w:t>
      </w:r>
      <w:r w:rsidRPr="00262F3A">
        <w:rPr>
          <w:rFonts w:cstheme="minorHAnsi"/>
        </w:rPr>
        <w:t xml:space="preserve">cent at the </w:t>
      </w:r>
      <w:r w:rsidR="00F45A8D">
        <w:rPr>
          <w:rFonts w:cstheme="minorHAnsi"/>
        </w:rPr>
        <w:t>a</w:t>
      </w:r>
      <w:r w:rsidRPr="00262F3A">
        <w:rPr>
          <w:rFonts w:cstheme="minorHAnsi"/>
        </w:rPr>
        <w:t xml:space="preserve">ccess stage; from 75 </w:t>
      </w:r>
      <w:r w:rsidR="003822FE">
        <w:rPr>
          <w:rFonts w:cstheme="minorHAnsi"/>
        </w:rPr>
        <w:t xml:space="preserve">per cent </w:t>
      </w:r>
      <w:r w:rsidRPr="00262F3A">
        <w:rPr>
          <w:rFonts w:cstheme="minorHAnsi"/>
        </w:rPr>
        <w:t xml:space="preserve">to 83 </w:t>
      </w:r>
      <w:r w:rsidR="003822FE">
        <w:rPr>
          <w:rFonts w:cstheme="minorHAnsi"/>
        </w:rPr>
        <w:t xml:space="preserve">per cent </w:t>
      </w:r>
      <w:r w:rsidRPr="00262F3A">
        <w:rPr>
          <w:rFonts w:cstheme="minorHAnsi"/>
        </w:rPr>
        <w:t xml:space="preserve">during the </w:t>
      </w:r>
      <w:r w:rsidR="00F45A8D">
        <w:rPr>
          <w:rFonts w:cstheme="minorHAnsi"/>
        </w:rPr>
        <w:t>p</w:t>
      </w:r>
      <w:r w:rsidRPr="00262F3A">
        <w:rPr>
          <w:rFonts w:cstheme="minorHAnsi"/>
        </w:rPr>
        <w:t>re-</w:t>
      </w:r>
      <w:r w:rsidR="00F45A8D">
        <w:rPr>
          <w:rFonts w:cstheme="minorHAnsi"/>
        </w:rPr>
        <w:t>p</w:t>
      </w:r>
      <w:r w:rsidRPr="00262F3A">
        <w:rPr>
          <w:rFonts w:cstheme="minorHAnsi"/>
        </w:rPr>
        <w:t xml:space="preserve">lanning </w:t>
      </w:r>
      <w:r w:rsidR="00F45A8D">
        <w:rPr>
          <w:rFonts w:cstheme="minorHAnsi"/>
        </w:rPr>
        <w:t>p</w:t>
      </w:r>
      <w:r w:rsidRPr="00262F3A">
        <w:rPr>
          <w:rFonts w:cstheme="minorHAnsi"/>
        </w:rPr>
        <w:t>rocess; from 77 per</w:t>
      </w:r>
      <w:r w:rsidR="00F45A8D">
        <w:rPr>
          <w:rFonts w:cstheme="minorHAnsi"/>
        </w:rPr>
        <w:t xml:space="preserve"> </w:t>
      </w:r>
      <w:r w:rsidRPr="00262F3A">
        <w:rPr>
          <w:rFonts w:cstheme="minorHAnsi"/>
        </w:rPr>
        <w:t>cent to 84 per</w:t>
      </w:r>
      <w:r w:rsidR="00F45A8D">
        <w:rPr>
          <w:rFonts w:cstheme="minorHAnsi"/>
        </w:rPr>
        <w:t xml:space="preserve"> </w:t>
      </w:r>
      <w:r w:rsidRPr="00262F3A">
        <w:rPr>
          <w:rFonts w:cstheme="minorHAnsi"/>
        </w:rPr>
        <w:t xml:space="preserve">cent at the </w:t>
      </w:r>
      <w:r w:rsidR="00026966">
        <w:rPr>
          <w:rFonts w:cstheme="minorHAnsi"/>
        </w:rPr>
        <w:t>p</w:t>
      </w:r>
      <w:r w:rsidR="00026966" w:rsidRPr="00262F3A">
        <w:rPr>
          <w:rFonts w:cstheme="minorHAnsi"/>
        </w:rPr>
        <w:t xml:space="preserve">lanning </w:t>
      </w:r>
      <w:r w:rsidR="00026966">
        <w:rPr>
          <w:rFonts w:cstheme="minorHAnsi"/>
        </w:rPr>
        <w:t>p</w:t>
      </w:r>
      <w:r w:rsidR="00026966" w:rsidRPr="00262F3A">
        <w:rPr>
          <w:rFonts w:cstheme="minorHAnsi"/>
        </w:rPr>
        <w:t>rocess</w:t>
      </w:r>
      <w:r w:rsidRPr="00262F3A">
        <w:rPr>
          <w:rFonts w:cstheme="minorHAnsi"/>
        </w:rPr>
        <w:t>; and from 68 per</w:t>
      </w:r>
      <w:r w:rsidR="00F45A8D">
        <w:rPr>
          <w:rFonts w:cstheme="minorHAnsi"/>
        </w:rPr>
        <w:t xml:space="preserve"> </w:t>
      </w:r>
      <w:r w:rsidRPr="00262F3A">
        <w:rPr>
          <w:rFonts w:cstheme="minorHAnsi"/>
        </w:rPr>
        <w:t>cent to 85 per</w:t>
      </w:r>
      <w:r w:rsidR="00F45A8D">
        <w:rPr>
          <w:rFonts w:cstheme="minorHAnsi"/>
        </w:rPr>
        <w:t xml:space="preserve"> cent at the r</w:t>
      </w:r>
      <w:r w:rsidRPr="00262F3A">
        <w:rPr>
          <w:rFonts w:cstheme="minorHAnsi"/>
        </w:rPr>
        <w:t xml:space="preserve">eview </w:t>
      </w:r>
      <w:r w:rsidR="00F45A8D">
        <w:rPr>
          <w:rFonts w:cstheme="minorHAnsi"/>
        </w:rPr>
        <w:t>s</w:t>
      </w:r>
      <w:r w:rsidRPr="00262F3A">
        <w:rPr>
          <w:rFonts w:cstheme="minorHAnsi"/>
        </w:rPr>
        <w:t>tage. In response to a key empathy question as to whether the person from the NDIS understands a participant’s disability, satisfaction ranged from 83 per</w:t>
      </w:r>
      <w:r w:rsidR="00F45A8D">
        <w:rPr>
          <w:rFonts w:cstheme="minorHAnsi"/>
        </w:rPr>
        <w:t xml:space="preserve"> </w:t>
      </w:r>
      <w:r w:rsidRPr="00262F3A">
        <w:rPr>
          <w:rFonts w:cstheme="minorHAnsi"/>
        </w:rPr>
        <w:t>cent to 88 per</w:t>
      </w:r>
      <w:r w:rsidR="00F45A8D">
        <w:rPr>
          <w:rFonts w:cstheme="minorHAnsi"/>
        </w:rPr>
        <w:t xml:space="preserve"> cent across the p</w:t>
      </w:r>
      <w:r w:rsidRPr="00262F3A">
        <w:rPr>
          <w:rFonts w:cstheme="minorHAnsi"/>
        </w:rPr>
        <w:t>re-</w:t>
      </w:r>
      <w:r w:rsidR="00F45A8D">
        <w:rPr>
          <w:rFonts w:cstheme="minorHAnsi"/>
        </w:rPr>
        <w:t>p</w:t>
      </w:r>
      <w:r w:rsidRPr="00262F3A">
        <w:rPr>
          <w:rFonts w:cstheme="minorHAnsi"/>
        </w:rPr>
        <w:t xml:space="preserve">lanning; </w:t>
      </w:r>
      <w:r w:rsidR="00F45A8D">
        <w:rPr>
          <w:rFonts w:cstheme="minorHAnsi"/>
        </w:rPr>
        <w:t>p</w:t>
      </w:r>
      <w:r w:rsidRPr="00262F3A">
        <w:rPr>
          <w:rFonts w:cstheme="minorHAnsi"/>
        </w:rPr>
        <w:t xml:space="preserve">lanning; and </w:t>
      </w:r>
      <w:r w:rsidR="00F45A8D">
        <w:rPr>
          <w:rFonts w:cstheme="minorHAnsi"/>
        </w:rPr>
        <w:t>p</w:t>
      </w:r>
      <w:r w:rsidRPr="00262F3A">
        <w:rPr>
          <w:rFonts w:cstheme="minorHAnsi"/>
        </w:rPr>
        <w:t xml:space="preserve">lan </w:t>
      </w:r>
      <w:r w:rsidR="00F45A8D">
        <w:rPr>
          <w:rFonts w:cstheme="minorHAnsi"/>
        </w:rPr>
        <w:t>r</w:t>
      </w:r>
      <w:r w:rsidRPr="00262F3A">
        <w:rPr>
          <w:rFonts w:cstheme="minorHAnsi"/>
        </w:rPr>
        <w:t>eview process.</w:t>
      </w:r>
    </w:p>
    <w:p w14:paraId="25B3F3DB" w14:textId="2613585D" w:rsidR="004B2F8B" w:rsidRPr="00262F3A" w:rsidRDefault="004B2F8B" w:rsidP="004B2F8B">
      <w:pPr>
        <w:keepNext/>
        <w:rPr>
          <w:rFonts w:cstheme="minorHAnsi"/>
        </w:rPr>
      </w:pPr>
      <w:r w:rsidRPr="00262F3A">
        <w:rPr>
          <w:rFonts w:cstheme="minorHAnsi"/>
          <w:b/>
        </w:rPr>
        <w:t>Figure 2.</w:t>
      </w:r>
      <w:r w:rsidR="00E418F7" w:rsidRPr="00262F3A">
        <w:rPr>
          <w:rFonts w:cstheme="minorHAnsi"/>
          <w:b/>
        </w:rPr>
        <w:t>2</w:t>
      </w:r>
      <w:r w:rsidRPr="00262F3A">
        <w:rPr>
          <w:rFonts w:cstheme="minorHAnsi"/>
          <w:b/>
        </w:rPr>
        <w:t xml:space="preserve">.3D: </w:t>
      </w:r>
      <w:r w:rsidRPr="00262F3A">
        <w:rPr>
          <w:rFonts w:cstheme="minorHAnsi"/>
        </w:rPr>
        <w:t>Trend of satisfaction across the pathway (% very good/good)</w:t>
      </w:r>
    </w:p>
    <w:p w14:paraId="24B9D134" w14:textId="5B8B5D78" w:rsidR="004B2F8B" w:rsidRPr="00262F3A" w:rsidRDefault="004B2F8B" w:rsidP="004B2F8B">
      <w:pPr>
        <w:ind w:left="1440"/>
        <w:rPr>
          <w:lang w:eastAsia="en-US"/>
        </w:rPr>
      </w:pPr>
      <w:r w:rsidRPr="00262F3A">
        <w:rPr>
          <w:rFonts w:cstheme="minorHAnsi"/>
          <w:noProof/>
          <w:lang w:eastAsia="en-AU"/>
        </w:rPr>
        <w:drawing>
          <wp:inline distT="0" distB="0" distL="0" distR="0" wp14:anchorId="7AD99724" wp14:editId="68DDEA8F">
            <wp:extent cx="4424363" cy="2381191"/>
            <wp:effectExtent l="0" t="0" r="0" b="635"/>
            <wp:docPr id="30" name="Picture 30" descr="Figure 2.2.3D is a bar graph. The horizontal axis shows the year, quarter (quarter 1 (Q1), quarter 2 (Q2), quarter 3 (Q3) and quarter 4 (Q4)) and the stage of the process it relates to (access process, pre –planning process, planning process and review process). The vertical axis shows the percentage from 0 to 100 per cent with increments of 10. &#10;&#10;The bar graph shows: The Access Process, represented by seven purple coloured bars, shows for 2018–19, Q2 69 per cent, Q3 72 percent, and Q4 69 per cent; for 2019–20, Q1 73 per cent, Q2 75 per cent, Q3 70 per cent, and Q4 81 per cent.  &#10;&#10;The Pre-Planning Process, represented by seven green coloured bars, shows for 2018–19, Q2 75 per cent, Q3 79 per cent, Q4 82 per cent, for 2019–20, Q1 80 per cent, Q2 78 per cent, Q3 80 per cent, and Q4 83 per cent. &#10;&#10;The Planning Process, represented by seven pink coloured bars, shows for 2018–19, Q2 77 per cent, Q3 80 per cent, Q4 80 per cent, 2019–20, Q1 82 per cent, Q2 79 per cent, Q3 80 per cent, and Q4 84 per cent; &#10;&#10;The Review Process, represented by seven orange coloured bars, shows for 2018–19, Q2 68 per cent, Q3 74 per cent, Q4 73 per cent, for 2019–20, Q1 78 per cent, Q2 79 per cent, Q3 82 per cent, and Q4 85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0251" b="15729"/>
                    <a:stretch/>
                  </pic:blipFill>
                  <pic:spPr bwMode="auto">
                    <a:xfrm>
                      <a:off x="0" y="0"/>
                      <a:ext cx="4436120" cy="2387519"/>
                    </a:xfrm>
                    <a:prstGeom prst="rect">
                      <a:avLst/>
                    </a:prstGeom>
                    <a:noFill/>
                    <a:ln>
                      <a:noFill/>
                    </a:ln>
                    <a:extLst>
                      <a:ext uri="{53640926-AAD7-44D8-BBD7-CCE9431645EC}">
                        <a14:shadowObscured xmlns:a14="http://schemas.microsoft.com/office/drawing/2010/main"/>
                      </a:ext>
                    </a:extLst>
                  </pic:spPr>
                </pic:pic>
              </a:graphicData>
            </a:graphic>
          </wp:inline>
        </w:drawing>
      </w:r>
    </w:p>
    <w:p w14:paraId="0C8D9EE3" w14:textId="66609F2E" w:rsidR="004B2F8B" w:rsidRPr="00262F3A" w:rsidRDefault="004B2F8B" w:rsidP="004B2F8B">
      <w:r w:rsidRPr="00262F3A">
        <w:t xml:space="preserve">There has also been a reduction in the number of participant complaints over the past year, and it is now at the lowest rate in </w:t>
      </w:r>
      <w:r w:rsidR="004F419C" w:rsidRPr="00262F3A">
        <w:t>three</w:t>
      </w:r>
      <w:r w:rsidRPr="00262F3A">
        <w:t xml:space="preserve"> years. Participant complaints received per quarter, as a percentage of access requests, was 5.4 per cent a year ago and is at 3.9 per cent in June 2020. </w:t>
      </w:r>
      <w:r w:rsidR="00F45A8D">
        <w:t xml:space="preserve">In June 2020, </w:t>
      </w:r>
      <w:r w:rsidRPr="00262F3A">
        <w:t>84 per cent of complaints were closed within 21 days, compared to 32 per cent of complaints in June 2019.</w:t>
      </w:r>
    </w:p>
    <w:p w14:paraId="1ACAE0B9" w14:textId="1FFF9073" w:rsidR="004B2F8B" w:rsidRPr="00262F3A" w:rsidRDefault="004B2F8B" w:rsidP="004B2F8B">
      <w:pPr>
        <w:keepNext/>
      </w:pPr>
      <w:r w:rsidRPr="00262F3A">
        <w:rPr>
          <w:b/>
        </w:rPr>
        <w:t xml:space="preserve">Figure </w:t>
      </w:r>
      <w:r w:rsidR="00E418F7" w:rsidRPr="00262F3A">
        <w:rPr>
          <w:b/>
        </w:rPr>
        <w:t>2.2</w:t>
      </w:r>
      <w:r w:rsidRPr="00262F3A">
        <w:rPr>
          <w:b/>
        </w:rPr>
        <w:t xml:space="preserve">.3E: </w:t>
      </w:r>
      <w:r w:rsidRPr="00262F3A">
        <w:t>Participant complaints received as a proportion of access requests</w:t>
      </w:r>
    </w:p>
    <w:p w14:paraId="2A66AD8D" w14:textId="5AD965AE" w:rsidR="004B2F8B" w:rsidRPr="00262F3A" w:rsidRDefault="004B2F8B" w:rsidP="004B2F8B">
      <w:pPr>
        <w:ind w:left="1440"/>
        <w:rPr>
          <w:lang w:eastAsia="en-US"/>
        </w:rPr>
      </w:pPr>
      <w:r w:rsidRPr="00262F3A">
        <w:rPr>
          <w:noProof/>
          <w:lang w:eastAsia="en-AU"/>
        </w:rPr>
        <w:drawing>
          <wp:inline distT="0" distB="0" distL="0" distR="0" wp14:anchorId="23CF5E66" wp14:editId="2BE098FB">
            <wp:extent cx="3452107" cy="2771775"/>
            <wp:effectExtent l="0" t="0" r="0" b="0"/>
            <wp:docPr id="31" name="Picture 31" descr="Figure 2.2.3E is a bar and line graph that shows participant complaints received as a proportion of access requests. The horizontal axis has month and year (date ranges between September 2016 to June 2020). The left vertical axis has numbers from 0 to 12,000 with increments of 2,000 and the right vertical axis has percentages from 0 to 8 with increments of 1. The legend shows orange bars for participant complaints and a solid purple line for rate of complaints to access requests. &#10;&#10;The bar graph shows: September 2016, 668 and 4.6 per cent; December 2016, 1,247 and 6.2 per cent; March 2017, 1,427 and 5.4 per cent; June 2017, 1,902 and 5.5 per cent;  September 2017, 2,725 and 6.3 per cent; December 2017, 3,682 and 7.2 per cent; March 2018, 4,215 and 6.8 per cent; June 2018, 5,159 and  7.1 per cent;  September 2018, 5,631 and 6.9 per cent; December 2018, 6,020 and 6.7 per cent; March 2019, 5,593 and 5.7 per cent; June 2019, 5,363 and 5.4 per cent;  September 2019, 6,210 and  5.6 per cent; December 2019, 6,562 and 5.5 per cent; March 2020, 6,578 and 5.3 per cent; June 2020, 5,211 and 3.9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5783"/>
                    <a:stretch/>
                  </pic:blipFill>
                  <pic:spPr bwMode="auto">
                    <a:xfrm>
                      <a:off x="0" y="0"/>
                      <a:ext cx="3468655" cy="2785062"/>
                    </a:xfrm>
                    <a:prstGeom prst="rect">
                      <a:avLst/>
                    </a:prstGeom>
                    <a:ln>
                      <a:noFill/>
                    </a:ln>
                    <a:extLst>
                      <a:ext uri="{53640926-AAD7-44D8-BBD7-CCE9431645EC}">
                        <a14:shadowObscured xmlns:a14="http://schemas.microsoft.com/office/drawing/2010/main"/>
                      </a:ext>
                    </a:extLst>
                  </pic:spPr>
                </pic:pic>
              </a:graphicData>
            </a:graphic>
          </wp:inline>
        </w:drawing>
      </w:r>
    </w:p>
    <w:p w14:paraId="55A5D4BF" w14:textId="77777777" w:rsidR="00E418F7" w:rsidRPr="00262F3A" w:rsidRDefault="00E418F7" w:rsidP="00E418F7">
      <w:pPr>
        <w:pStyle w:val="Heading5"/>
      </w:pPr>
      <w:r w:rsidRPr="00262F3A">
        <w:t xml:space="preserve">Participant characteristics </w:t>
      </w:r>
    </w:p>
    <w:p w14:paraId="7B271C7A" w14:textId="4B60BA04" w:rsidR="00E418F7" w:rsidRPr="00262F3A" w:rsidRDefault="00E418F7" w:rsidP="00E418F7">
      <w:pPr>
        <w:autoSpaceDE w:val="0"/>
        <w:autoSpaceDN w:val="0"/>
        <w:adjustRightInd w:val="0"/>
        <w:spacing w:after="0"/>
        <w:rPr>
          <w:rFonts w:cstheme="minorHAnsi"/>
        </w:rPr>
      </w:pPr>
      <w:r w:rsidRPr="00262F3A">
        <w:rPr>
          <w:rFonts w:cstheme="minorHAnsi"/>
        </w:rPr>
        <w:t xml:space="preserve">More than 120,000, or 31 per cent, of participants in the Scheme have a primary disability of autism, and a further </w:t>
      </w:r>
      <w:r w:rsidR="00D94ABA" w:rsidRPr="00262F3A">
        <w:rPr>
          <w:rFonts w:cstheme="minorHAnsi"/>
        </w:rPr>
        <w:t>84,769</w:t>
      </w:r>
      <w:r w:rsidRPr="00262F3A">
        <w:rPr>
          <w:rFonts w:cstheme="minorHAnsi"/>
        </w:rPr>
        <w:t xml:space="preserve">, or 22 per cent, of participants have an intellectual disability. Understanding trends and differences in the prevalence rate of disability cohorts among age groups and states is important to ensuring equity and fairness in decision-making as well as the ongoing financial sustainability of the NDIS. </w:t>
      </w:r>
    </w:p>
    <w:p w14:paraId="115AF5BD" w14:textId="77777777" w:rsidR="00E418F7" w:rsidRPr="00262F3A" w:rsidRDefault="00E418F7" w:rsidP="00E418F7">
      <w:pPr>
        <w:pStyle w:val="Heading5"/>
      </w:pPr>
      <w:r w:rsidRPr="00262F3A">
        <w:lastRenderedPageBreak/>
        <w:t xml:space="preserve">Participant diversity </w:t>
      </w:r>
    </w:p>
    <w:p w14:paraId="220EBC8E" w14:textId="156075B5" w:rsidR="00E418F7" w:rsidRPr="00262F3A" w:rsidRDefault="00E418F7" w:rsidP="00E418F7">
      <w:pPr>
        <w:autoSpaceDE w:val="0"/>
        <w:autoSpaceDN w:val="0"/>
        <w:adjustRightInd w:val="0"/>
        <w:spacing w:after="0"/>
        <w:rPr>
          <w:rFonts w:cstheme="minorHAnsi"/>
        </w:rPr>
      </w:pPr>
      <w:r w:rsidRPr="00262F3A">
        <w:rPr>
          <w:rFonts w:cstheme="minorHAnsi"/>
        </w:rPr>
        <w:t xml:space="preserve">In 2019-20, Scheme participants continued to reflect Australia’s diversity, with higher proportions of participants from Aboriginal and Torres Strait Islander and </w:t>
      </w:r>
      <w:r w:rsidR="00F45A8D">
        <w:rPr>
          <w:rFonts w:cstheme="minorHAnsi"/>
        </w:rPr>
        <w:t>c</w:t>
      </w:r>
      <w:r w:rsidRPr="00262F3A">
        <w:rPr>
          <w:rFonts w:cstheme="minorHAnsi"/>
        </w:rPr>
        <w:t xml:space="preserve">ulturally and </w:t>
      </w:r>
      <w:r w:rsidR="00F45A8D">
        <w:rPr>
          <w:rFonts w:cstheme="minorHAnsi"/>
        </w:rPr>
        <w:t>l</w:t>
      </w:r>
      <w:r w:rsidRPr="00262F3A">
        <w:rPr>
          <w:rFonts w:cstheme="minorHAnsi"/>
        </w:rPr>
        <w:t xml:space="preserve">inguistically </w:t>
      </w:r>
      <w:r w:rsidR="00F45A8D">
        <w:rPr>
          <w:rFonts w:cstheme="minorHAnsi"/>
        </w:rPr>
        <w:t>d</w:t>
      </w:r>
      <w:r w:rsidRPr="00262F3A">
        <w:rPr>
          <w:rFonts w:cstheme="minorHAnsi"/>
        </w:rPr>
        <w:t xml:space="preserve">iverse </w:t>
      </w:r>
      <w:r w:rsidR="00026966">
        <w:rPr>
          <w:rFonts w:cstheme="minorHAnsi"/>
        </w:rPr>
        <w:t xml:space="preserve">(CALD) </w:t>
      </w:r>
      <w:r w:rsidRPr="00262F3A">
        <w:rPr>
          <w:rFonts w:cstheme="minorHAnsi"/>
        </w:rPr>
        <w:t>backgrounds entering the Scheme. As at 30 June 2020, 25,077 participants in the Scheme identified as Aboriginal and/or Torres Strait Islander, compared to 16,417 in the previous year (increase of 52.8 per cent)</w:t>
      </w:r>
      <w:r w:rsidR="00F45A8D">
        <w:rPr>
          <w:rFonts w:cstheme="minorHAnsi"/>
        </w:rPr>
        <w:t xml:space="preserve"> and</w:t>
      </w:r>
      <w:r w:rsidRPr="00262F3A">
        <w:rPr>
          <w:rFonts w:cstheme="minorHAnsi"/>
        </w:rPr>
        <w:t xml:space="preserve"> 36,066 participants identified as CALD, compared to 24,023 in the previous year (increase of 52.8 per cent). The proportion of participants who identify as CALD (9.2 per cent) is well below the </w:t>
      </w:r>
      <w:r w:rsidR="00162CBE">
        <w:rPr>
          <w:rFonts w:cstheme="minorHAnsi"/>
        </w:rPr>
        <w:t>estimate</w:t>
      </w:r>
      <w:r w:rsidRPr="00262F3A">
        <w:rPr>
          <w:rFonts w:cstheme="minorHAnsi"/>
        </w:rPr>
        <w:t xml:space="preserve"> of 21 per cent.</w:t>
      </w:r>
      <w:r w:rsidR="00162CBE">
        <w:rPr>
          <w:rFonts w:cstheme="minorHAnsi"/>
        </w:rPr>
        <w:t xml:space="preserve"> The expanded NDIA Community Connector Program will assist the Agency to identify people with disability in CALD communities, increase </w:t>
      </w:r>
      <w:r w:rsidR="00162CBE">
        <w:rPr>
          <w:color w:val="222222"/>
        </w:rPr>
        <w:t xml:space="preserve">awareness of the NDIS and provide support for people to access the Scheme. In addition, </w:t>
      </w:r>
      <w:r w:rsidR="00162CBE">
        <w:rPr>
          <w:rFonts w:cstheme="minorHAnsi"/>
        </w:rPr>
        <w:t>t</w:t>
      </w:r>
      <w:r w:rsidRPr="00262F3A">
        <w:rPr>
          <w:rFonts w:cstheme="minorHAnsi"/>
        </w:rPr>
        <w:t xml:space="preserve">he NDIA Board has initiated further work to understand the slower than expected intake of CALD participants. </w:t>
      </w:r>
    </w:p>
    <w:p w14:paraId="63C4E575" w14:textId="77777777" w:rsidR="00E418F7" w:rsidRPr="00262F3A" w:rsidRDefault="00E418F7" w:rsidP="00E418F7">
      <w:pPr>
        <w:pStyle w:val="Heading5"/>
      </w:pPr>
      <w:r w:rsidRPr="00262F3A">
        <w:t>Support for children</w:t>
      </w:r>
    </w:p>
    <w:p w14:paraId="13A3A4F4" w14:textId="77777777" w:rsidR="00E418F7" w:rsidRPr="00262F3A" w:rsidRDefault="00E418F7" w:rsidP="00E418F7">
      <w:pPr>
        <w:rPr>
          <w:rFonts w:cstheme="minorHAnsi"/>
          <w:color w:val="000000"/>
        </w:rPr>
      </w:pPr>
      <w:r w:rsidRPr="00262F3A">
        <w:t xml:space="preserve">Of the 391,999 participants with approved plans at 30 June 2020, 61,962 were children aged 0-6 (16 per cent). </w:t>
      </w:r>
      <w:r w:rsidRPr="00262F3A">
        <w:rPr>
          <w:rFonts w:cstheme="minorHAnsi"/>
          <w:color w:val="000000"/>
        </w:rPr>
        <w:t>Over the past year, the number of children receiving support in the Early Childhood Early Intervention (ECEI) Approach has increased by 54 per cent.</w:t>
      </w:r>
    </w:p>
    <w:p w14:paraId="07FBEA41" w14:textId="7404D58B" w:rsidR="00E418F7" w:rsidRPr="00262F3A" w:rsidRDefault="00E418F7" w:rsidP="00E418F7">
      <w:pPr>
        <w:rPr>
          <w:rFonts w:cstheme="minorHAnsi"/>
          <w:color w:val="000000"/>
        </w:rPr>
      </w:pPr>
      <w:r w:rsidRPr="00262F3A">
        <w:rPr>
          <w:rFonts w:cstheme="minorHAnsi"/>
          <w:color w:val="000000"/>
        </w:rPr>
        <w:t>The wait times for children to access NDIS supports ha</w:t>
      </w:r>
      <w:r w:rsidR="00F45A8D">
        <w:rPr>
          <w:rFonts w:cstheme="minorHAnsi"/>
          <w:color w:val="000000"/>
        </w:rPr>
        <w:t>ve</w:t>
      </w:r>
      <w:r w:rsidRPr="00262F3A">
        <w:rPr>
          <w:rFonts w:cstheme="minorHAnsi"/>
          <w:color w:val="000000"/>
        </w:rPr>
        <w:t xml:space="preserve"> significantly decreased. Access decisions are now being made on average within </w:t>
      </w:r>
      <w:r w:rsidR="0060508A">
        <w:rPr>
          <w:rFonts w:cstheme="minorHAnsi"/>
          <w:color w:val="000000"/>
        </w:rPr>
        <w:t>six</w:t>
      </w:r>
      <w:r w:rsidR="0060508A" w:rsidRPr="00262F3A">
        <w:rPr>
          <w:rFonts w:cstheme="minorHAnsi"/>
          <w:color w:val="000000"/>
        </w:rPr>
        <w:t xml:space="preserve"> </w:t>
      </w:r>
      <w:r w:rsidRPr="00262F3A">
        <w:rPr>
          <w:rFonts w:cstheme="minorHAnsi"/>
          <w:color w:val="000000"/>
        </w:rPr>
        <w:t xml:space="preserve">days for children, which is seven times faster than </w:t>
      </w:r>
      <w:r w:rsidR="00F45A8D">
        <w:rPr>
          <w:rFonts w:cstheme="minorHAnsi"/>
          <w:color w:val="000000"/>
        </w:rPr>
        <w:t>12</w:t>
      </w:r>
      <w:r w:rsidRPr="00262F3A">
        <w:rPr>
          <w:rFonts w:cstheme="minorHAnsi"/>
          <w:color w:val="000000"/>
        </w:rPr>
        <w:t xml:space="preserve"> months ago. The time to obtain a first plan has also significantly reduced by 67 per cent for children. This reduction is important for children as getting support early reduces the impact of their development delays or disability. </w:t>
      </w:r>
    </w:p>
    <w:p w14:paraId="66566945" w14:textId="77777777" w:rsidR="00E418F7" w:rsidRPr="00262F3A" w:rsidRDefault="00E418F7" w:rsidP="00E418F7">
      <w:pPr>
        <w:rPr>
          <w:rFonts w:cstheme="minorHAnsi"/>
          <w:color w:val="000000"/>
        </w:rPr>
      </w:pPr>
      <w:r w:rsidRPr="00262F3A">
        <w:rPr>
          <w:rFonts w:cstheme="minorHAnsi"/>
          <w:color w:val="000000"/>
        </w:rPr>
        <w:t xml:space="preserve">The Agency has commenced a review of the implementation of the ECEI Approach to ensure it is based on best practice and is family centred. </w:t>
      </w:r>
    </w:p>
    <w:p w14:paraId="1C117BF9" w14:textId="77777777" w:rsidR="00E418F7" w:rsidRPr="00262F3A" w:rsidRDefault="00E418F7" w:rsidP="00E418F7">
      <w:pPr>
        <w:pStyle w:val="Heading5"/>
      </w:pPr>
      <w:r w:rsidRPr="00262F3A">
        <w:t>Enhanced planning to better respond to the episodic nature of psychosocial disability</w:t>
      </w:r>
    </w:p>
    <w:p w14:paraId="65CDB541" w14:textId="3B78F644" w:rsidR="00E418F7" w:rsidRPr="00262F3A" w:rsidRDefault="00E418F7" w:rsidP="00E418F7">
      <w:pPr>
        <w:rPr>
          <w:rFonts w:cstheme="minorHAnsi"/>
          <w:color w:val="000000"/>
        </w:rPr>
      </w:pPr>
      <w:r w:rsidRPr="00262F3A">
        <w:rPr>
          <w:rFonts w:cstheme="minorHAnsi"/>
          <w:color w:val="000000"/>
        </w:rPr>
        <w:t>In 2019-20, the NDIA continued to roll</w:t>
      </w:r>
      <w:r w:rsidR="00E23539">
        <w:rPr>
          <w:rFonts w:cstheme="minorHAnsi"/>
          <w:color w:val="000000"/>
        </w:rPr>
        <w:t xml:space="preserve"> </w:t>
      </w:r>
      <w:r w:rsidRPr="00262F3A">
        <w:rPr>
          <w:rFonts w:cstheme="minorHAnsi"/>
          <w:color w:val="000000"/>
        </w:rPr>
        <w:t xml:space="preserve">out improvements for people with a psychosocial disability nationally. This includes embedding processes for streamlined access into everyday practices, the development and sharing of key documents to support access decisions, delivering training and education regarding NDIS access requirements to the mental health sector, and the addition of a new support item called ‘psychosocial recovery coach’ in the NDIS Price Guide from July 2020. Indicative of this focus, as at 30 June 2020, 37,795 participants had a psychosocial disability, an increase of 50 per cent on last year. </w:t>
      </w:r>
    </w:p>
    <w:p w14:paraId="1FAF687D" w14:textId="78812FDA" w:rsidR="00E418F7" w:rsidRPr="00262F3A" w:rsidRDefault="00E418F7" w:rsidP="00E418F7">
      <w:pPr>
        <w:rPr>
          <w:rFonts w:cstheme="minorHAnsi"/>
          <w:color w:val="000000"/>
        </w:rPr>
      </w:pPr>
      <w:r w:rsidRPr="00262F3A">
        <w:rPr>
          <w:rFonts w:cstheme="minorHAnsi"/>
          <w:color w:val="000000"/>
        </w:rPr>
        <w:t xml:space="preserve">In addition, a commitment from Disability Ministers to improve access and experiences for participants with a psychosocial disability was announced following the 9 October 2019 meeting. The NDIA, together with DSS, and state and territory health department representatives, have established project teams and commenced working collaboratively on the following key initiatives to be delivered in 2021: </w:t>
      </w:r>
    </w:p>
    <w:p w14:paraId="27485023" w14:textId="0F15AFDD" w:rsidR="00E418F7" w:rsidRPr="00262F3A" w:rsidRDefault="009159DB" w:rsidP="00AF2A24">
      <w:pPr>
        <w:pStyle w:val="ListParagraph"/>
        <w:numPr>
          <w:ilvl w:val="0"/>
          <w:numId w:val="31"/>
        </w:numPr>
        <w:autoSpaceDE w:val="0"/>
        <w:autoSpaceDN w:val="0"/>
        <w:spacing w:before="0"/>
        <w:ind w:left="993"/>
        <w:contextualSpacing w:val="0"/>
        <w:rPr>
          <w:color w:val="000000"/>
        </w:rPr>
      </w:pPr>
      <w:r>
        <w:rPr>
          <w:color w:val="000000"/>
        </w:rPr>
        <w:t>u</w:t>
      </w:r>
      <w:r w:rsidRPr="00262F3A">
        <w:rPr>
          <w:color w:val="000000"/>
        </w:rPr>
        <w:t xml:space="preserve">ndertaking </w:t>
      </w:r>
      <w:r w:rsidR="00E418F7" w:rsidRPr="00262F3A">
        <w:rPr>
          <w:color w:val="000000"/>
        </w:rPr>
        <w:t>a joint examin</w:t>
      </w:r>
      <w:r w:rsidR="000273B0">
        <w:rPr>
          <w:color w:val="000000"/>
        </w:rPr>
        <w:t>ation of access and eligibility</w:t>
      </w:r>
    </w:p>
    <w:p w14:paraId="1C37288E" w14:textId="4E0879E4" w:rsidR="00E418F7" w:rsidRPr="00262F3A" w:rsidRDefault="009159DB" w:rsidP="00AF2A24">
      <w:pPr>
        <w:pStyle w:val="ListParagraph"/>
        <w:numPr>
          <w:ilvl w:val="0"/>
          <w:numId w:val="31"/>
        </w:numPr>
        <w:autoSpaceDE w:val="0"/>
        <w:autoSpaceDN w:val="0"/>
        <w:spacing w:before="0"/>
        <w:ind w:left="993"/>
        <w:contextualSpacing w:val="0"/>
        <w:rPr>
          <w:color w:val="000000"/>
        </w:rPr>
      </w:pPr>
      <w:r>
        <w:rPr>
          <w:color w:val="000000"/>
        </w:rPr>
        <w:t>i</w:t>
      </w:r>
      <w:r w:rsidRPr="00262F3A">
        <w:rPr>
          <w:color w:val="000000"/>
        </w:rPr>
        <w:t xml:space="preserve">mproving </w:t>
      </w:r>
      <w:r w:rsidR="00E418F7" w:rsidRPr="00262F3A">
        <w:rPr>
          <w:color w:val="000000"/>
        </w:rPr>
        <w:t>linkages and referral to mental health supports for pe</w:t>
      </w:r>
      <w:r w:rsidR="000273B0">
        <w:rPr>
          <w:color w:val="000000"/>
        </w:rPr>
        <w:t>ople not eligible for the NDIS</w:t>
      </w:r>
    </w:p>
    <w:p w14:paraId="0B1BA143" w14:textId="3638FA0B" w:rsidR="00E418F7" w:rsidRPr="00262F3A" w:rsidRDefault="009159DB" w:rsidP="00AF2A24">
      <w:pPr>
        <w:pStyle w:val="ListParagraph"/>
        <w:numPr>
          <w:ilvl w:val="0"/>
          <w:numId w:val="31"/>
        </w:numPr>
        <w:autoSpaceDE w:val="0"/>
        <w:autoSpaceDN w:val="0"/>
        <w:spacing w:before="0"/>
        <w:ind w:left="993"/>
        <w:contextualSpacing w:val="0"/>
        <w:rPr>
          <w:color w:val="000000"/>
        </w:rPr>
      </w:pPr>
      <w:r>
        <w:rPr>
          <w:color w:val="000000"/>
        </w:rPr>
        <w:t>i</w:t>
      </w:r>
      <w:r w:rsidRPr="00262F3A">
        <w:rPr>
          <w:color w:val="000000"/>
        </w:rPr>
        <w:t xml:space="preserve">mplementing </w:t>
      </w:r>
      <w:r w:rsidR="00E418F7" w:rsidRPr="00262F3A">
        <w:rPr>
          <w:color w:val="000000"/>
        </w:rPr>
        <w:t>a psychosocial di</w:t>
      </w:r>
      <w:r w:rsidR="000273B0">
        <w:rPr>
          <w:color w:val="000000"/>
        </w:rPr>
        <w:t>sability recovery approach</w:t>
      </w:r>
    </w:p>
    <w:p w14:paraId="3E063A5E" w14:textId="42DD4625" w:rsidR="00E418F7" w:rsidRPr="00262F3A" w:rsidRDefault="009159DB" w:rsidP="00AF2A24">
      <w:pPr>
        <w:pStyle w:val="ListParagraph"/>
        <w:numPr>
          <w:ilvl w:val="0"/>
          <w:numId w:val="31"/>
        </w:numPr>
        <w:autoSpaceDE w:val="0"/>
        <w:autoSpaceDN w:val="0"/>
        <w:spacing w:before="0"/>
        <w:ind w:left="993"/>
        <w:contextualSpacing w:val="0"/>
        <w:rPr>
          <w:color w:val="000000"/>
        </w:rPr>
      </w:pPr>
      <w:r>
        <w:rPr>
          <w:color w:val="000000"/>
        </w:rPr>
        <w:t>i</w:t>
      </w:r>
      <w:r w:rsidRPr="00262F3A">
        <w:rPr>
          <w:color w:val="000000"/>
        </w:rPr>
        <w:t xml:space="preserve">mplementing </w:t>
      </w:r>
      <w:r w:rsidR="00E418F7" w:rsidRPr="00262F3A">
        <w:rPr>
          <w:color w:val="000000"/>
        </w:rPr>
        <w:t xml:space="preserve">a national approach to concurrent supports. </w:t>
      </w:r>
    </w:p>
    <w:p w14:paraId="036D8CA2" w14:textId="77777777" w:rsidR="00E418F7" w:rsidRPr="00262F3A" w:rsidRDefault="00E418F7" w:rsidP="00E418F7">
      <w:pPr>
        <w:pStyle w:val="Heading5"/>
      </w:pPr>
      <w:r w:rsidRPr="00262F3A">
        <w:t>Younger people with disability in residential aged care</w:t>
      </w:r>
    </w:p>
    <w:p w14:paraId="77EF5E1C" w14:textId="77777777" w:rsidR="00E418F7" w:rsidRPr="00262F3A" w:rsidRDefault="00E418F7" w:rsidP="00E418F7">
      <w:pPr>
        <w:rPr>
          <w:rFonts w:cstheme="minorHAnsi"/>
          <w:color w:val="000000"/>
        </w:rPr>
      </w:pPr>
      <w:r w:rsidRPr="00262F3A">
        <w:rPr>
          <w:rFonts w:cstheme="minorHAnsi"/>
          <w:color w:val="000000"/>
        </w:rPr>
        <w:t xml:space="preserve">The Agency is reducing the number of younger people with disability in residential aged care by helping them access more age-appropriate housing and supported living options. </w:t>
      </w:r>
    </w:p>
    <w:p w14:paraId="34FA530E" w14:textId="3DD8E497" w:rsidR="00E418F7" w:rsidRPr="00262F3A" w:rsidRDefault="00E418F7" w:rsidP="00E418F7">
      <w:pPr>
        <w:rPr>
          <w:rFonts w:cstheme="minorHAnsi"/>
          <w:color w:val="000000"/>
        </w:rPr>
      </w:pPr>
      <w:r w:rsidRPr="00262F3A">
        <w:rPr>
          <w:rFonts w:cstheme="minorHAnsi"/>
          <w:color w:val="000000"/>
        </w:rPr>
        <w:t xml:space="preserve">Over the past year, the number of younger people in residential aged care with a plan has increased by </w:t>
      </w:r>
      <w:r w:rsidR="004F419C" w:rsidRPr="00262F3A">
        <w:rPr>
          <w:rFonts w:cstheme="minorHAnsi"/>
          <w:color w:val="000000"/>
        </w:rPr>
        <w:t>four</w:t>
      </w:r>
      <w:r w:rsidRPr="00262F3A">
        <w:rPr>
          <w:rFonts w:cstheme="minorHAnsi"/>
          <w:color w:val="000000"/>
        </w:rPr>
        <w:t xml:space="preserve"> per cent from 3,554 to 3,690. </w:t>
      </w:r>
      <w:r w:rsidR="000273B0">
        <w:rPr>
          <w:rFonts w:cstheme="minorHAnsi"/>
          <w:color w:val="000000"/>
        </w:rPr>
        <w:t xml:space="preserve">Since 1 July 2016, </w:t>
      </w:r>
      <w:r w:rsidRPr="00262F3A">
        <w:rPr>
          <w:rFonts w:cstheme="minorHAnsi"/>
          <w:color w:val="000000"/>
        </w:rPr>
        <w:t>377 participants who entered the Scheme in residential aged care have exited to a more appropriate accommodation sett</w:t>
      </w:r>
      <w:r w:rsidR="004F419C" w:rsidRPr="00262F3A">
        <w:rPr>
          <w:rFonts w:cstheme="minorHAnsi"/>
          <w:color w:val="000000"/>
        </w:rPr>
        <w:t xml:space="preserve">ing. </w:t>
      </w:r>
      <w:r w:rsidR="00162CBE">
        <w:rPr>
          <w:rFonts w:cstheme="minorHAnsi"/>
          <w:color w:val="000000"/>
        </w:rPr>
        <w:t xml:space="preserve">There also are fewer younger people entering aged care compared to previous years. </w:t>
      </w:r>
      <w:r w:rsidR="000273B0">
        <w:rPr>
          <w:rFonts w:cstheme="minorHAnsi"/>
          <w:color w:val="000000"/>
        </w:rPr>
        <w:t xml:space="preserve">Currently, </w:t>
      </w:r>
      <w:r w:rsidR="004F419C" w:rsidRPr="00262F3A">
        <w:rPr>
          <w:rFonts w:cstheme="minorHAnsi"/>
          <w:color w:val="000000"/>
        </w:rPr>
        <w:t>127, or three</w:t>
      </w:r>
      <w:r w:rsidRPr="00262F3A">
        <w:rPr>
          <w:rFonts w:cstheme="minorHAnsi"/>
          <w:color w:val="000000"/>
        </w:rPr>
        <w:t xml:space="preserve"> per cent, of participants in residential aged care are under the age of 45, with the overwhelming majority aged between 55 and 64. </w:t>
      </w:r>
    </w:p>
    <w:p w14:paraId="025115BC" w14:textId="76BDB76E" w:rsidR="00E418F7" w:rsidRPr="00262F3A" w:rsidRDefault="00E418F7" w:rsidP="00E418F7">
      <w:pPr>
        <w:rPr>
          <w:rFonts w:cstheme="minorHAnsi"/>
          <w:color w:val="000000"/>
        </w:rPr>
      </w:pPr>
      <w:r w:rsidRPr="00262F3A">
        <w:rPr>
          <w:rFonts w:cstheme="minorHAnsi"/>
          <w:color w:val="000000"/>
        </w:rPr>
        <w:lastRenderedPageBreak/>
        <w:t xml:space="preserve">A Joint Agency Taskforce has been formed between </w:t>
      </w:r>
      <w:r w:rsidR="00026966">
        <w:rPr>
          <w:rFonts w:cstheme="minorHAnsi"/>
          <w:color w:val="000000"/>
        </w:rPr>
        <w:t xml:space="preserve">the </w:t>
      </w:r>
      <w:r w:rsidRPr="00262F3A">
        <w:rPr>
          <w:rFonts w:cstheme="minorHAnsi"/>
          <w:color w:val="000000"/>
        </w:rPr>
        <w:t xml:space="preserve">DSS, </w:t>
      </w:r>
      <w:r w:rsidR="000273B0">
        <w:rPr>
          <w:rFonts w:cstheme="minorHAnsi"/>
          <w:color w:val="000000"/>
        </w:rPr>
        <w:t xml:space="preserve">the </w:t>
      </w:r>
      <w:r w:rsidRPr="00262F3A">
        <w:rPr>
          <w:rFonts w:cstheme="minorHAnsi"/>
          <w:color w:val="000000"/>
        </w:rPr>
        <w:t xml:space="preserve">Department of Health and </w:t>
      </w:r>
      <w:r w:rsidR="000273B0">
        <w:rPr>
          <w:rFonts w:cstheme="minorHAnsi"/>
          <w:color w:val="000000"/>
        </w:rPr>
        <w:t xml:space="preserve">the </w:t>
      </w:r>
      <w:r w:rsidRPr="00262F3A">
        <w:rPr>
          <w:rFonts w:cstheme="minorHAnsi"/>
          <w:color w:val="000000"/>
        </w:rPr>
        <w:t>NDIA to develop a new strategy that builds on the Younger People in Residential Aged Care Action Plan. The new strategy will ensure:</w:t>
      </w:r>
    </w:p>
    <w:p w14:paraId="7BBB7202" w14:textId="77777777" w:rsidR="00E418F7" w:rsidRPr="00262F3A" w:rsidRDefault="00E418F7" w:rsidP="00AF2A24">
      <w:pPr>
        <w:pStyle w:val="ListParagraph"/>
        <w:numPr>
          <w:ilvl w:val="0"/>
          <w:numId w:val="32"/>
        </w:numPr>
        <w:autoSpaceDE w:val="0"/>
        <w:autoSpaceDN w:val="0"/>
        <w:adjustRightInd w:val="0"/>
        <w:spacing w:before="0"/>
        <w:rPr>
          <w:rFonts w:cstheme="minorHAnsi"/>
        </w:rPr>
      </w:pPr>
      <w:r w:rsidRPr="00262F3A">
        <w:rPr>
          <w:rFonts w:cstheme="minorHAnsi"/>
        </w:rPr>
        <w:t>no people under the age of 65 entering residential aged care by 2022</w:t>
      </w:r>
    </w:p>
    <w:p w14:paraId="6111B714" w14:textId="77777777" w:rsidR="00E418F7" w:rsidRPr="00262F3A" w:rsidRDefault="00E418F7" w:rsidP="00AF2A24">
      <w:pPr>
        <w:pStyle w:val="ListParagraph"/>
        <w:numPr>
          <w:ilvl w:val="0"/>
          <w:numId w:val="32"/>
        </w:numPr>
        <w:autoSpaceDE w:val="0"/>
        <w:autoSpaceDN w:val="0"/>
        <w:adjustRightInd w:val="0"/>
        <w:spacing w:before="0"/>
        <w:rPr>
          <w:rFonts w:cstheme="minorHAnsi"/>
        </w:rPr>
      </w:pPr>
      <w:r w:rsidRPr="00262F3A">
        <w:rPr>
          <w:rFonts w:cstheme="minorHAnsi"/>
        </w:rPr>
        <w:t>no people under the age of 45 living in residential aged care by 2022</w:t>
      </w:r>
    </w:p>
    <w:p w14:paraId="7FA970E0" w14:textId="77777777" w:rsidR="00E418F7" w:rsidRPr="00262F3A" w:rsidRDefault="00E418F7" w:rsidP="00AF2A24">
      <w:pPr>
        <w:pStyle w:val="ListParagraph"/>
        <w:numPr>
          <w:ilvl w:val="0"/>
          <w:numId w:val="32"/>
        </w:numPr>
        <w:autoSpaceDE w:val="0"/>
        <w:autoSpaceDN w:val="0"/>
        <w:adjustRightInd w:val="0"/>
        <w:spacing w:before="0"/>
        <w:rPr>
          <w:rFonts w:cstheme="minorHAnsi"/>
        </w:rPr>
      </w:pPr>
      <w:r w:rsidRPr="00262F3A">
        <w:rPr>
          <w:rFonts w:cstheme="minorHAnsi"/>
        </w:rPr>
        <w:t xml:space="preserve">no people under the age of 65 living in residential aged care by 2025. </w:t>
      </w:r>
    </w:p>
    <w:p w14:paraId="45A35B3D" w14:textId="77777777" w:rsidR="00E418F7" w:rsidRPr="00262F3A" w:rsidRDefault="00E418F7" w:rsidP="00E418F7">
      <w:pPr>
        <w:pStyle w:val="Heading5"/>
      </w:pPr>
      <w:r w:rsidRPr="00262F3A">
        <w:t>Improved participant economic outcomes</w:t>
      </w:r>
    </w:p>
    <w:p w14:paraId="26F005BC" w14:textId="131B5F2F" w:rsidR="00E418F7" w:rsidRPr="00262F3A" w:rsidRDefault="00E418F7" w:rsidP="00E418F7">
      <w:pPr>
        <w:autoSpaceDE w:val="0"/>
        <w:autoSpaceDN w:val="0"/>
        <w:adjustRightInd w:val="0"/>
        <w:spacing w:after="0"/>
        <w:rPr>
          <w:rFonts w:cstheme="minorHAnsi"/>
        </w:rPr>
      </w:pPr>
      <w:r w:rsidRPr="00262F3A">
        <w:rPr>
          <w:rFonts w:cstheme="minorHAnsi"/>
        </w:rPr>
        <w:t>In addition to improving community and social participation rates for participants, the NDIA continued to deliver on key actions and activities aligned to the NDIS Participant Employment Strategy 2019-2022. While the COVID-19 pandemic continues to have an impact on the labour market and broader economic condi</w:t>
      </w:r>
      <w:r w:rsidR="000273B0">
        <w:rPr>
          <w:rFonts w:cstheme="minorHAnsi"/>
        </w:rPr>
        <w:t>tions, the Agency remains focus</w:t>
      </w:r>
      <w:r w:rsidRPr="00262F3A">
        <w:rPr>
          <w:rFonts w:cstheme="minorHAnsi"/>
        </w:rPr>
        <w:t xml:space="preserve">ed on seizing opportunities arising due to changing work practices and supporting NDIS participants to achieve their employment goals. Key initiatives in 2019-20 included: </w:t>
      </w:r>
    </w:p>
    <w:p w14:paraId="6118B737" w14:textId="44C644F4" w:rsidR="00E418F7" w:rsidRPr="00262F3A" w:rsidRDefault="009159DB" w:rsidP="00AF2A24">
      <w:pPr>
        <w:pStyle w:val="ListParagraph"/>
        <w:numPr>
          <w:ilvl w:val="0"/>
          <w:numId w:val="29"/>
        </w:numPr>
        <w:spacing w:before="0" w:after="160" w:line="259" w:lineRule="auto"/>
        <w:ind w:left="993"/>
        <w:rPr>
          <w:rFonts w:cstheme="minorHAnsi"/>
        </w:rPr>
      </w:pPr>
      <w:r>
        <w:rPr>
          <w:rFonts w:cstheme="minorHAnsi"/>
        </w:rPr>
        <w:t>j</w:t>
      </w:r>
      <w:r w:rsidRPr="00262F3A">
        <w:rPr>
          <w:rFonts w:cstheme="minorHAnsi"/>
        </w:rPr>
        <w:t xml:space="preserve">oining </w:t>
      </w:r>
      <w:r w:rsidR="00E418F7" w:rsidRPr="00262F3A">
        <w:rPr>
          <w:rFonts w:cstheme="minorHAnsi"/>
        </w:rPr>
        <w:t>the Collaborative Partnership, a Commonwealth-led collaboration between the public, private and not-for-profit sectors aimed at improving work participation and return to work success for p</w:t>
      </w:r>
      <w:r w:rsidR="000273B0">
        <w:rPr>
          <w:rFonts w:cstheme="minorHAnsi"/>
        </w:rPr>
        <w:t>eople with disability or injury</w:t>
      </w:r>
    </w:p>
    <w:p w14:paraId="0C39A27C" w14:textId="05502527" w:rsidR="00E418F7" w:rsidRPr="00262F3A" w:rsidRDefault="009159DB" w:rsidP="00AF2A24">
      <w:pPr>
        <w:pStyle w:val="ListParagraph"/>
        <w:numPr>
          <w:ilvl w:val="0"/>
          <w:numId w:val="29"/>
        </w:numPr>
        <w:spacing w:before="0" w:after="120" w:line="259" w:lineRule="auto"/>
        <w:ind w:left="993"/>
        <w:rPr>
          <w:rFonts w:cstheme="minorHAnsi"/>
        </w:rPr>
      </w:pPr>
      <w:r>
        <w:rPr>
          <w:rFonts w:cstheme="minorHAnsi"/>
        </w:rPr>
        <w:t>e</w:t>
      </w:r>
      <w:r w:rsidRPr="00262F3A">
        <w:rPr>
          <w:rFonts w:cstheme="minorHAnsi"/>
        </w:rPr>
        <w:t xml:space="preserve">ngaging </w:t>
      </w:r>
      <w:r w:rsidR="00E418F7" w:rsidRPr="00262F3A">
        <w:rPr>
          <w:rFonts w:cstheme="minorHAnsi"/>
        </w:rPr>
        <w:t xml:space="preserve">with the Australian Public Service Commission </w:t>
      </w:r>
      <w:r w:rsidR="000273B0">
        <w:rPr>
          <w:rFonts w:cstheme="minorHAnsi"/>
        </w:rPr>
        <w:t xml:space="preserve">(APSC) </w:t>
      </w:r>
      <w:r w:rsidR="00E418F7" w:rsidRPr="00262F3A">
        <w:rPr>
          <w:rFonts w:cstheme="minorHAnsi"/>
        </w:rPr>
        <w:t>to develop the next iteration of the APS Disability Employment Strategy, with a particular focus on the engagement of Scheme participants in A</w:t>
      </w:r>
      <w:r w:rsidR="000273B0">
        <w:rPr>
          <w:rFonts w:cstheme="minorHAnsi"/>
        </w:rPr>
        <w:t>PS roles</w:t>
      </w:r>
    </w:p>
    <w:p w14:paraId="1A1B18EF" w14:textId="6EADFAD8" w:rsidR="00E418F7" w:rsidRPr="00262F3A" w:rsidRDefault="009159DB" w:rsidP="00AF2A24">
      <w:pPr>
        <w:pStyle w:val="ListParagraph"/>
        <w:numPr>
          <w:ilvl w:val="0"/>
          <w:numId w:val="29"/>
        </w:numPr>
        <w:spacing w:before="0" w:after="120" w:line="259" w:lineRule="auto"/>
        <w:ind w:left="993"/>
        <w:rPr>
          <w:rFonts w:eastAsia="Times New Roman" w:cstheme="minorHAnsi"/>
          <w:lang w:eastAsia="en-AU"/>
        </w:rPr>
      </w:pPr>
      <w:r>
        <w:rPr>
          <w:rFonts w:cstheme="minorHAnsi"/>
        </w:rPr>
        <w:t>c</w:t>
      </w:r>
      <w:r w:rsidRPr="00262F3A">
        <w:rPr>
          <w:rFonts w:cstheme="minorHAnsi"/>
        </w:rPr>
        <w:t xml:space="preserve">ommencing </w:t>
      </w:r>
      <w:r w:rsidR="00E418F7" w:rsidRPr="00262F3A">
        <w:rPr>
          <w:rFonts w:cstheme="minorHAnsi"/>
        </w:rPr>
        <w:t xml:space="preserve">research into the roles of the NDIS, participants and parents/guardians in supporting NDIS participants to gain and remain in paid employment. The research will deliver informed, evidence-based tools for decision-making that can be </w:t>
      </w:r>
      <w:r w:rsidR="000273B0">
        <w:rPr>
          <w:rFonts w:cstheme="minorHAnsi"/>
        </w:rPr>
        <w:t>piloted and tested by the NDIS</w:t>
      </w:r>
    </w:p>
    <w:p w14:paraId="1C9850E8" w14:textId="237D1AB8" w:rsidR="00E418F7" w:rsidRPr="00262F3A" w:rsidRDefault="009159DB" w:rsidP="00AF2A24">
      <w:pPr>
        <w:pStyle w:val="ListParagraph"/>
        <w:numPr>
          <w:ilvl w:val="0"/>
          <w:numId w:val="29"/>
        </w:numPr>
        <w:spacing w:before="0" w:after="120" w:line="259" w:lineRule="auto"/>
        <w:ind w:left="993"/>
        <w:rPr>
          <w:rFonts w:eastAsia="Times New Roman" w:cstheme="minorHAnsi"/>
          <w:lang w:eastAsia="en-AU"/>
        </w:rPr>
      </w:pPr>
      <w:r>
        <w:rPr>
          <w:rFonts w:cstheme="minorHAnsi"/>
        </w:rPr>
        <w:t>w</w:t>
      </w:r>
      <w:r w:rsidRPr="00262F3A">
        <w:rPr>
          <w:rFonts w:cstheme="minorHAnsi"/>
        </w:rPr>
        <w:t xml:space="preserve">orking </w:t>
      </w:r>
      <w:r w:rsidR="00E418F7" w:rsidRPr="00262F3A">
        <w:rPr>
          <w:rFonts w:cstheme="minorHAnsi"/>
        </w:rPr>
        <w:t xml:space="preserve">with DSS </w:t>
      </w:r>
      <w:r w:rsidR="00E418F7" w:rsidRPr="00262F3A">
        <w:rPr>
          <w:rFonts w:eastAsia="Times New Roman" w:cstheme="minorHAnsi"/>
          <w:lang w:eastAsia="en-AU"/>
        </w:rPr>
        <w:t xml:space="preserve">to improve the interfaces between the Scheme and mainstream employment supports, including the Disability Employment Services program. </w:t>
      </w:r>
    </w:p>
    <w:p w14:paraId="1A64A415" w14:textId="267BA23C" w:rsidR="00E418F7" w:rsidRPr="00262F3A" w:rsidRDefault="00E418F7" w:rsidP="00E418F7">
      <w:pPr>
        <w:rPr>
          <w:rFonts w:eastAsia="Times New Roman" w:cstheme="minorHAnsi"/>
          <w:lang w:eastAsia="en-AU"/>
        </w:rPr>
      </w:pPr>
      <w:r w:rsidRPr="00262F3A">
        <w:rPr>
          <w:rFonts w:eastAsia="Times New Roman" w:cstheme="minorHAnsi"/>
          <w:lang w:eastAsia="en-AU"/>
        </w:rPr>
        <w:t>The NDIA is also supporting the evolution of supported employment. In Ju</w:t>
      </w:r>
      <w:r w:rsidR="0042283E">
        <w:rPr>
          <w:rFonts w:eastAsia="Times New Roman" w:cstheme="minorHAnsi"/>
          <w:lang w:eastAsia="en-AU"/>
        </w:rPr>
        <w:t>ly</w:t>
      </w:r>
      <w:r w:rsidRPr="00262F3A">
        <w:rPr>
          <w:rFonts w:eastAsia="Times New Roman" w:cstheme="minorHAnsi"/>
          <w:lang w:eastAsia="en-AU"/>
        </w:rPr>
        <w:t xml:space="preserve"> 2020, the NDIA introduced new pricing for supports in employment to give participants greater choice and control about where and how they work and who provides their supports, as well as creating new opportunities for providers.</w:t>
      </w:r>
    </w:p>
    <w:p w14:paraId="21F77E44" w14:textId="77777777" w:rsidR="00E418F7" w:rsidRPr="00262F3A" w:rsidRDefault="00E418F7" w:rsidP="00E418F7">
      <w:pPr>
        <w:pStyle w:val="Heading5"/>
      </w:pPr>
      <w:r w:rsidRPr="00262F3A">
        <w:t>Community Connectors</w:t>
      </w:r>
    </w:p>
    <w:p w14:paraId="2EB3B8DE" w14:textId="77777777" w:rsidR="00E418F7" w:rsidRPr="00262F3A" w:rsidRDefault="00E418F7" w:rsidP="00E418F7">
      <w:pPr>
        <w:rPr>
          <w:rFonts w:eastAsia="Times New Roman" w:cstheme="minorHAnsi"/>
          <w:lang w:eastAsia="en-AU"/>
        </w:rPr>
      </w:pPr>
      <w:r w:rsidRPr="00262F3A">
        <w:rPr>
          <w:rFonts w:eastAsia="Times New Roman" w:cstheme="minorHAnsi"/>
          <w:lang w:eastAsia="en-AU"/>
        </w:rPr>
        <w:t xml:space="preserve">Community Connectors are trusted local community members who enable better linkages between people, communities and services. In 2019, an additional $20 million was committed to expand the NDIA’s Community Connectors Program over two years to more locations to support and assist four identified communities to navigate the NDIS, including  Aboriginal and Torres Strait Islander, CALD, ageing parents caring for children with disability, and people with psychosocial disability. </w:t>
      </w:r>
    </w:p>
    <w:p w14:paraId="3FC7DF09" w14:textId="77777777" w:rsidR="00E418F7" w:rsidRPr="00262F3A" w:rsidRDefault="00E418F7" w:rsidP="00E418F7">
      <w:pPr>
        <w:rPr>
          <w:rFonts w:eastAsia="Times New Roman" w:cstheme="minorHAnsi"/>
          <w:lang w:eastAsia="en-AU"/>
        </w:rPr>
      </w:pPr>
      <w:r w:rsidRPr="00262F3A">
        <w:rPr>
          <w:rFonts w:eastAsia="Times New Roman" w:cstheme="minorHAnsi"/>
          <w:lang w:eastAsia="en-AU"/>
        </w:rPr>
        <w:t>Together with the DSS and Carers Australia, the NDIA has also developed a virtual Community Connector support service and referral pathway for ageing parents and carers of people with disability.</w:t>
      </w:r>
    </w:p>
    <w:p w14:paraId="71C4338F" w14:textId="77777777" w:rsidR="00E418F7" w:rsidRPr="00262F3A" w:rsidRDefault="00E418F7" w:rsidP="00E418F7">
      <w:pPr>
        <w:pStyle w:val="Heading5"/>
      </w:pPr>
      <w:r w:rsidRPr="00262F3A">
        <w:t>Information, Linkages and Capacity Building (ILC)</w:t>
      </w:r>
    </w:p>
    <w:p w14:paraId="0EFAE63E" w14:textId="77777777" w:rsidR="00E418F7" w:rsidRPr="00262F3A" w:rsidRDefault="00E418F7" w:rsidP="00E418F7">
      <w:pPr>
        <w:keepNext/>
        <w:rPr>
          <w:rFonts w:cstheme="minorHAnsi"/>
        </w:rPr>
      </w:pPr>
      <w:r w:rsidRPr="00262F3A">
        <w:rPr>
          <w:rFonts w:cstheme="minorHAnsi"/>
        </w:rPr>
        <w:t xml:space="preserve">The ILC grants program continues to support organisations to build a more inclusive, accessible and connected Australia. </w:t>
      </w:r>
    </w:p>
    <w:p w14:paraId="4A5FA493" w14:textId="00EE7C3A" w:rsidR="00E418F7" w:rsidRPr="00262F3A" w:rsidRDefault="00E418F7" w:rsidP="00E418F7">
      <w:pPr>
        <w:keepNext/>
        <w:rPr>
          <w:rFonts w:cstheme="minorHAnsi"/>
        </w:rPr>
      </w:pPr>
      <w:r w:rsidRPr="00262F3A">
        <w:rPr>
          <w:rFonts w:cstheme="minorHAnsi"/>
        </w:rPr>
        <w:t>In 2019–20 ILC grants were provided to 198 organisations across the country, with an overall total value of $237.8 million</w:t>
      </w:r>
      <w:r w:rsidR="00A57C5F">
        <w:rPr>
          <w:rFonts w:cstheme="minorHAnsi"/>
        </w:rPr>
        <w:t xml:space="preserve"> awarded</w:t>
      </w:r>
      <w:r w:rsidRPr="00262F3A">
        <w:rPr>
          <w:rFonts w:cstheme="minorHAnsi"/>
        </w:rPr>
        <w:t>. The four grant rounds delivered the following funding to organisations across Australia:</w:t>
      </w:r>
    </w:p>
    <w:p w14:paraId="52398341" w14:textId="77777777" w:rsidR="00E418F7" w:rsidRPr="00262F3A" w:rsidRDefault="00E418F7" w:rsidP="00AF2A24">
      <w:pPr>
        <w:pStyle w:val="ListParagraph"/>
        <w:numPr>
          <w:ilvl w:val="0"/>
          <w:numId w:val="30"/>
        </w:numPr>
        <w:spacing w:before="0" w:after="120"/>
        <w:ind w:left="993" w:hanging="357"/>
        <w:contextualSpacing w:val="0"/>
        <w:rPr>
          <w:rFonts w:cstheme="minorHAnsi"/>
        </w:rPr>
      </w:pPr>
      <w:r w:rsidRPr="00262F3A">
        <w:rPr>
          <w:rFonts w:cstheme="minorHAnsi"/>
        </w:rPr>
        <w:t>National Information Program: $65 million was awarded to 37 organisations for projects that increase the accessibility, quality and consistency of information available to people with disability.</w:t>
      </w:r>
    </w:p>
    <w:p w14:paraId="036D2504" w14:textId="77777777" w:rsidR="00E418F7" w:rsidRPr="00262F3A" w:rsidRDefault="00E418F7" w:rsidP="00AF2A24">
      <w:pPr>
        <w:pStyle w:val="ListParagraph"/>
        <w:numPr>
          <w:ilvl w:val="0"/>
          <w:numId w:val="30"/>
        </w:numPr>
        <w:spacing w:before="0" w:after="120"/>
        <w:ind w:left="993" w:hanging="357"/>
        <w:contextualSpacing w:val="0"/>
        <w:rPr>
          <w:rFonts w:cstheme="minorHAnsi"/>
        </w:rPr>
      </w:pPr>
      <w:r w:rsidRPr="00262F3A">
        <w:rPr>
          <w:rFonts w:cstheme="minorHAnsi"/>
        </w:rPr>
        <w:lastRenderedPageBreak/>
        <w:t>Individual Capacity Building: $105 million was awarded to 105 organisations for projects that will enable systematic nationwide access to peer support, mentoring and other skills-building activities.</w:t>
      </w:r>
    </w:p>
    <w:p w14:paraId="0D31BA1C" w14:textId="77777777" w:rsidR="00E418F7" w:rsidRPr="00262F3A" w:rsidRDefault="00E418F7" w:rsidP="00AF2A24">
      <w:pPr>
        <w:pStyle w:val="ListParagraph"/>
        <w:numPr>
          <w:ilvl w:val="0"/>
          <w:numId w:val="30"/>
        </w:numPr>
        <w:spacing w:before="0" w:after="120"/>
        <w:ind w:left="993" w:hanging="357"/>
        <w:contextualSpacing w:val="0"/>
        <w:rPr>
          <w:rFonts w:cstheme="minorHAnsi"/>
        </w:rPr>
      </w:pPr>
      <w:r w:rsidRPr="00262F3A">
        <w:rPr>
          <w:rFonts w:cstheme="minorHAnsi"/>
        </w:rPr>
        <w:t>Economic and Community Participation: $32.7 million was awarded to 28 organisations for projects that will provide meaningful pathways to employment for people with disability.</w:t>
      </w:r>
    </w:p>
    <w:p w14:paraId="47BD8BBA" w14:textId="77777777" w:rsidR="00E418F7" w:rsidRPr="00262F3A" w:rsidRDefault="00E418F7" w:rsidP="00AF2A24">
      <w:pPr>
        <w:pStyle w:val="ListParagraph"/>
        <w:numPr>
          <w:ilvl w:val="0"/>
          <w:numId w:val="30"/>
        </w:numPr>
        <w:spacing w:before="0" w:after="120"/>
        <w:ind w:left="993" w:hanging="357"/>
        <w:contextualSpacing w:val="0"/>
        <w:rPr>
          <w:rFonts w:cstheme="minorHAnsi"/>
        </w:rPr>
      </w:pPr>
      <w:r w:rsidRPr="00262F3A">
        <w:rPr>
          <w:rFonts w:cstheme="minorHAnsi"/>
        </w:rPr>
        <w:t xml:space="preserve">Mainstream Capacity Building: $35.1 million was awarded to 28 organisations for projects that will enable people with disability to benefit from the same mainstream health services as everyone else. </w:t>
      </w:r>
    </w:p>
    <w:p w14:paraId="4DA64A51" w14:textId="30904BEA" w:rsidR="00E418F7" w:rsidRPr="00262F3A" w:rsidRDefault="00E418F7" w:rsidP="00E418F7">
      <w:pPr>
        <w:rPr>
          <w:rFonts w:cstheme="minorHAnsi"/>
        </w:rPr>
      </w:pPr>
      <w:r w:rsidRPr="00262F3A">
        <w:rPr>
          <w:rFonts w:cstheme="minorHAnsi"/>
        </w:rPr>
        <w:t xml:space="preserve">The activities delivered by the grant-funded organisations complement the work of the Partners in the Community Program </w:t>
      </w:r>
      <w:r w:rsidR="009159DB">
        <w:rPr>
          <w:rFonts w:cstheme="minorHAnsi"/>
        </w:rPr>
        <w:t>(</w:t>
      </w:r>
      <w:r w:rsidR="0050536B">
        <w:rPr>
          <w:rFonts w:cstheme="minorHAnsi"/>
        </w:rPr>
        <w:t>PiTC</w:t>
      </w:r>
      <w:r w:rsidR="009159DB">
        <w:rPr>
          <w:rFonts w:cstheme="minorHAnsi"/>
        </w:rPr>
        <w:t xml:space="preserve">) </w:t>
      </w:r>
      <w:r w:rsidRPr="00262F3A">
        <w:rPr>
          <w:rFonts w:cstheme="minorHAnsi"/>
        </w:rPr>
        <w:t xml:space="preserve">to connect people with disability, their families and carers with the information they need to connect to their local community and mainstream services. </w:t>
      </w:r>
    </w:p>
    <w:p w14:paraId="611EAE28" w14:textId="6C5CDA1D" w:rsidR="004B2F8B" w:rsidRPr="00262F3A" w:rsidRDefault="00E418F7" w:rsidP="00E418F7">
      <w:pPr>
        <w:rPr>
          <w:lang w:eastAsia="en-US"/>
        </w:rPr>
      </w:pPr>
      <w:r w:rsidRPr="00262F3A">
        <w:rPr>
          <w:rFonts w:cstheme="minorHAnsi"/>
        </w:rPr>
        <w:t>In reviewing the broad picture of support for the 4.4 million Australians who have disability, the Minister for the NDIS, the Hon Stuart Robert MP, and the Minister for Families and Social Services, Senator the Hon Anne Ruston, agreed that the administration of the grants component of the ILC will be transitioned from the NDIA to the DSS</w:t>
      </w:r>
      <w:r w:rsidR="006953A4" w:rsidRPr="00262F3A">
        <w:rPr>
          <w:rFonts w:cstheme="minorHAnsi"/>
        </w:rPr>
        <w:t xml:space="preserve"> in 2020-21</w:t>
      </w:r>
      <w:r w:rsidRPr="00262F3A">
        <w:rPr>
          <w:rFonts w:cstheme="minorHAnsi"/>
        </w:rPr>
        <w:t>. This change will help ensure the ILC grant</w:t>
      </w:r>
      <w:r w:rsidR="00C77709">
        <w:rPr>
          <w:rFonts w:cstheme="minorHAnsi"/>
        </w:rPr>
        <w:t>s</w:t>
      </w:r>
      <w:r w:rsidRPr="00262F3A">
        <w:rPr>
          <w:rFonts w:cstheme="minorHAnsi"/>
        </w:rPr>
        <w:t xml:space="preserve"> program is closely aligned with the new National Disability Strategy, a joint priority for all governments. The ILC appropriation will remain unchanged</w:t>
      </w:r>
    </w:p>
    <w:p w14:paraId="3C7B30FC" w14:textId="70A26D0B" w:rsidR="00E418F7" w:rsidRPr="00262F3A" w:rsidRDefault="00E418F7" w:rsidP="00E418F7">
      <w:pPr>
        <w:pStyle w:val="Heading4"/>
      </w:pPr>
      <w:r w:rsidRPr="00262F3A">
        <w:t>A competitive market</w:t>
      </w:r>
    </w:p>
    <w:p w14:paraId="5D130AE9" w14:textId="77777777" w:rsidR="00E418F7" w:rsidRPr="00262F3A" w:rsidRDefault="00E418F7" w:rsidP="00E418F7">
      <w:pPr>
        <w:rPr>
          <w:rFonts w:cstheme="minorHAnsi"/>
        </w:rPr>
      </w:pPr>
      <w:r w:rsidRPr="00262F3A">
        <w:rPr>
          <w:rFonts w:cstheme="minorHAnsi"/>
        </w:rPr>
        <w:t xml:space="preserve">NDIA continues to help develop and grow a market that reliably supplies quality and innovative supports to meet participant needs and goals. The NDIA recognises it has an important shared role as market steward in the disability support services marketplace to ensure participants are able to access the supports and services they need. The NDIA’s market stewardship role includes monitoring, evaluation, oversight and, where necessary, intervention. </w:t>
      </w:r>
    </w:p>
    <w:p w14:paraId="3E9684E8" w14:textId="77777777" w:rsidR="00E418F7" w:rsidRPr="00262F3A" w:rsidRDefault="00E418F7" w:rsidP="00E418F7">
      <w:pPr>
        <w:rPr>
          <w:rFonts w:cstheme="minorHAnsi"/>
        </w:rPr>
      </w:pPr>
      <w:r w:rsidRPr="00262F3A">
        <w:rPr>
          <w:rFonts w:cstheme="minorHAnsi"/>
        </w:rPr>
        <w:t xml:space="preserve">In 2019-20, the NDIA invested in the development of the NDIS market through continued work with service providers to address key and emerging areas for improvement. Through market engagement activities, market analysis and strategic communications to drive market responses, the NDIA implemented a number of initiatives to improve the participant and provider experience. </w:t>
      </w:r>
    </w:p>
    <w:p w14:paraId="2F758037" w14:textId="77777777" w:rsidR="00E418F7" w:rsidRPr="00262F3A" w:rsidRDefault="00E418F7" w:rsidP="00E418F7">
      <w:pPr>
        <w:pStyle w:val="Heading5"/>
      </w:pPr>
      <w:r w:rsidRPr="00262F3A">
        <w:t xml:space="preserve">Revisions to pricing </w:t>
      </w:r>
    </w:p>
    <w:p w14:paraId="49C47FD8" w14:textId="5B0F48E1" w:rsidR="00E418F7" w:rsidRPr="00262F3A" w:rsidRDefault="00E418F7" w:rsidP="00E418F7">
      <w:pPr>
        <w:autoSpaceDE w:val="0"/>
        <w:autoSpaceDN w:val="0"/>
        <w:adjustRightInd w:val="0"/>
        <w:spacing w:after="0"/>
        <w:rPr>
          <w:rFonts w:cstheme="minorHAnsi"/>
          <w:color w:val="000000"/>
        </w:rPr>
      </w:pPr>
      <w:r w:rsidRPr="00262F3A">
        <w:rPr>
          <w:rFonts w:cstheme="minorHAnsi"/>
          <w:color w:val="000000"/>
        </w:rPr>
        <w:t>Price</w:t>
      </w:r>
      <w:r w:rsidR="00C77709">
        <w:rPr>
          <w:rFonts w:cstheme="minorHAnsi"/>
          <w:color w:val="000000"/>
        </w:rPr>
        <w:t>s</w:t>
      </w:r>
      <w:r w:rsidRPr="00262F3A">
        <w:rPr>
          <w:rFonts w:cstheme="minorHAnsi"/>
          <w:color w:val="000000"/>
        </w:rPr>
        <w:t xml:space="preserve"> are set to ensure the availability of supply for the benefit of participants. To ensure participants can better utilise their NDIS plans, the NDIA is committed to building market confidence by encouraging market development, particularly in thin markets.</w:t>
      </w:r>
    </w:p>
    <w:p w14:paraId="6CEF6DBE" w14:textId="000EE890" w:rsidR="00E418F7" w:rsidRPr="00262F3A" w:rsidRDefault="00E418F7" w:rsidP="00E418F7">
      <w:pPr>
        <w:autoSpaceDE w:val="0"/>
        <w:autoSpaceDN w:val="0"/>
        <w:adjustRightInd w:val="0"/>
        <w:spacing w:after="0"/>
        <w:rPr>
          <w:rFonts w:cstheme="minorHAnsi"/>
          <w:color w:val="000000"/>
        </w:rPr>
      </w:pPr>
      <w:r w:rsidRPr="00262F3A">
        <w:rPr>
          <w:rFonts w:cstheme="minorHAnsi"/>
          <w:color w:val="000000"/>
        </w:rPr>
        <w:t xml:space="preserve">While the longer-term goal of the NDIA is to deregulate prices for disability supports, this has not </w:t>
      </w:r>
      <w:r w:rsidR="00494E4A">
        <w:rPr>
          <w:rFonts w:cstheme="minorHAnsi"/>
          <w:color w:val="000000"/>
        </w:rPr>
        <w:t xml:space="preserve">so far </w:t>
      </w:r>
      <w:r w:rsidRPr="00262F3A">
        <w:rPr>
          <w:rFonts w:cstheme="minorHAnsi"/>
          <w:color w:val="000000"/>
        </w:rPr>
        <w:t>been possible given the rapid growth of the market and current areas of immaturity. Over the past year, the NDIA has continued to monitor and adjust pricing in accordance with market changes.</w:t>
      </w:r>
    </w:p>
    <w:p w14:paraId="3D1C8911" w14:textId="530B72A5" w:rsidR="00E418F7" w:rsidRPr="00262F3A" w:rsidRDefault="00C77709" w:rsidP="00E418F7">
      <w:pPr>
        <w:pStyle w:val="Heading5"/>
      </w:pPr>
      <w:r>
        <w:t>Annual Price</w:t>
      </w:r>
      <w:r w:rsidR="00E418F7" w:rsidRPr="00262F3A">
        <w:t xml:space="preserve"> Review </w:t>
      </w:r>
    </w:p>
    <w:p w14:paraId="798A4A53" w14:textId="77777777" w:rsidR="00E418F7" w:rsidRPr="00262F3A" w:rsidRDefault="00E418F7" w:rsidP="00E418F7">
      <w:r w:rsidRPr="00262F3A">
        <w:t xml:space="preserve">The NDIA completed the Annual Price Review for 2020-21 in consultation with participants, providers and the wider disability sector. The review examined NDIS price limits and related policies to ensure they continue to be appropriate to the market and to understand where changes may be required. </w:t>
      </w:r>
    </w:p>
    <w:p w14:paraId="74AA3030" w14:textId="2ABD1B76" w:rsidR="00E418F7" w:rsidRPr="00262F3A" w:rsidRDefault="00E418F7" w:rsidP="00E418F7">
      <w:r w:rsidRPr="00262F3A">
        <w:t>Recommendations from the Annual Price Review are reflected in changes to the NDIS Price Guide 2020</w:t>
      </w:r>
      <w:r w:rsidR="005A4784">
        <w:t>-</w:t>
      </w:r>
      <w:r w:rsidRPr="00262F3A">
        <w:t xml:space="preserve">21. Key updates effective 1 July 2020 included: </w:t>
      </w:r>
    </w:p>
    <w:p w14:paraId="7CE2A427" w14:textId="15D14DB3" w:rsidR="00E418F7" w:rsidRPr="00262F3A" w:rsidRDefault="009159DB" w:rsidP="00AF2A24">
      <w:pPr>
        <w:pStyle w:val="ListParagraph"/>
        <w:numPr>
          <w:ilvl w:val="0"/>
          <w:numId w:val="33"/>
        </w:numPr>
      </w:pPr>
      <w:r>
        <w:t>a</w:t>
      </w:r>
      <w:r w:rsidRPr="00262F3A">
        <w:t xml:space="preserve">mending </w:t>
      </w:r>
      <w:r w:rsidR="00E418F7" w:rsidRPr="00262F3A">
        <w:t>the Disability Support Worker Cost Model to better reflect the cost structures of efficient providers</w:t>
      </w:r>
    </w:p>
    <w:p w14:paraId="1DC054EC" w14:textId="191F6F64" w:rsidR="00E418F7" w:rsidRPr="00262F3A" w:rsidRDefault="009159DB" w:rsidP="00AF2A24">
      <w:pPr>
        <w:pStyle w:val="ListParagraph"/>
        <w:numPr>
          <w:ilvl w:val="0"/>
          <w:numId w:val="33"/>
        </w:numPr>
      </w:pPr>
      <w:r>
        <w:t>r</w:t>
      </w:r>
      <w:r w:rsidR="00E418F7" w:rsidRPr="00262F3A">
        <w:t xml:space="preserve">educing Temporary Transformation Payment (TTP) from 7.5 per cent to </w:t>
      </w:r>
      <w:r>
        <w:t>six</w:t>
      </w:r>
      <w:r w:rsidRPr="00262F3A">
        <w:t xml:space="preserve"> </w:t>
      </w:r>
      <w:r w:rsidR="00E418F7" w:rsidRPr="00262F3A">
        <w:t xml:space="preserve">per cent </w:t>
      </w:r>
    </w:p>
    <w:p w14:paraId="768692CF" w14:textId="64FE4D29" w:rsidR="00E418F7" w:rsidRPr="00262F3A" w:rsidRDefault="009159DB" w:rsidP="00AF2A24">
      <w:pPr>
        <w:pStyle w:val="ListParagraph"/>
        <w:numPr>
          <w:ilvl w:val="0"/>
          <w:numId w:val="33"/>
        </w:numPr>
      </w:pPr>
      <w:r>
        <w:t>c</w:t>
      </w:r>
      <w:r w:rsidRPr="00262F3A">
        <w:t xml:space="preserve">larifying </w:t>
      </w:r>
      <w:r w:rsidR="00E418F7" w:rsidRPr="00262F3A">
        <w:t xml:space="preserve">definitions for high intensity support levels </w:t>
      </w:r>
      <w:r>
        <w:t>one</w:t>
      </w:r>
      <w:r w:rsidRPr="00262F3A">
        <w:t xml:space="preserve"> </w:t>
      </w:r>
      <w:r w:rsidR="00E418F7" w:rsidRPr="00262F3A">
        <w:t xml:space="preserve">to </w:t>
      </w:r>
      <w:r>
        <w:t>three</w:t>
      </w:r>
      <w:r w:rsidRPr="00262F3A">
        <w:t xml:space="preserve"> </w:t>
      </w:r>
      <w:r w:rsidR="00E418F7" w:rsidRPr="00262F3A">
        <w:t xml:space="preserve">and time of day and day of week </w:t>
      </w:r>
    </w:p>
    <w:p w14:paraId="23BB0E6E" w14:textId="44F2832B" w:rsidR="00E418F7" w:rsidRPr="00262F3A" w:rsidRDefault="009159DB" w:rsidP="00AF2A24">
      <w:pPr>
        <w:pStyle w:val="ListParagraph"/>
        <w:numPr>
          <w:ilvl w:val="0"/>
          <w:numId w:val="33"/>
        </w:numPr>
      </w:pPr>
      <w:r>
        <w:lastRenderedPageBreak/>
        <w:t>r</w:t>
      </w:r>
      <w:r w:rsidRPr="00262F3A">
        <w:t xml:space="preserve">etaining </w:t>
      </w:r>
      <w:r w:rsidR="00E418F7" w:rsidRPr="00262F3A">
        <w:t xml:space="preserve">the cancellation rule regarding claiming 100 per cent rather than 90 per cent </w:t>
      </w:r>
    </w:p>
    <w:p w14:paraId="5A2555EB" w14:textId="3A1D46A0" w:rsidR="00E418F7" w:rsidRPr="00262F3A" w:rsidRDefault="009159DB" w:rsidP="00AF2A24">
      <w:pPr>
        <w:pStyle w:val="ListParagraph"/>
        <w:numPr>
          <w:ilvl w:val="0"/>
          <w:numId w:val="33"/>
        </w:numPr>
      </w:pPr>
      <w:r>
        <w:t>m</w:t>
      </w:r>
      <w:r w:rsidRPr="00262F3A">
        <w:t xml:space="preserve">aking </w:t>
      </w:r>
      <w:r w:rsidR="00E418F7" w:rsidRPr="00262F3A">
        <w:t xml:space="preserve">more providers eligible to charge an establishment fee to assist with one-off costs such as assessing a participant's needs </w:t>
      </w:r>
    </w:p>
    <w:p w14:paraId="655E0EE8" w14:textId="102B2CB0" w:rsidR="00E418F7" w:rsidRPr="00262F3A" w:rsidRDefault="009159DB" w:rsidP="00AF2A24">
      <w:pPr>
        <w:pStyle w:val="ListParagraph"/>
        <w:numPr>
          <w:ilvl w:val="0"/>
          <w:numId w:val="33"/>
        </w:numPr>
      </w:pPr>
      <w:r>
        <w:t>m</w:t>
      </w:r>
      <w:r w:rsidR="00E418F7" w:rsidRPr="00262F3A">
        <w:t xml:space="preserve">aking plan managers eligible to claim provider travel and non-face-to-face supports. </w:t>
      </w:r>
    </w:p>
    <w:p w14:paraId="080C0366" w14:textId="77777777" w:rsidR="00E418F7" w:rsidRPr="00262F3A" w:rsidRDefault="00E418F7" w:rsidP="00E418F7">
      <w:pPr>
        <w:pStyle w:val="Heading5"/>
      </w:pPr>
      <w:r w:rsidRPr="00262F3A">
        <w:t>Activity-based transport</w:t>
      </w:r>
    </w:p>
    <w:p w14:paraId="0ADCFD1D" w14:textId="77777777" w:rsidR="00E418F7" w:rsidRPr="00262F3A" w:rsidRDefault="00E418F7" w:rsidP="00E418F7">
      <w:pPr>
        <w:rPr>
          <w:b/>
        </w:rPr>
      </w:pPr>
      <w:r w:rsidRPr="00262F3A">
        <w:t>In March 2020, changes were made to the NDIS pricing arrangements so that providers of community participation supports can, at the request of a participant, transport a participant to or from a community participation support. In these cases, the provider is entitled, if the participant agrees, to bill the participant’s plan for the time support workers spend providing transport as part of the community participation support. They are also entitled to bill for any associated non-labour costs.</w:t>
      </w:r>
    </w:p>
    <w:p w14:paraId="68E50AAD" w14:textId="77777777" w:rsidR="00E418F7" w:rsidRPr="00262F3A" w:rsidRDefault="00E418F7" w:rsidP="00E418F7">
      <w:pPr>
        <w:pStyle w:val="Heading5"/>
        <w:rPr>
          <w:b/>
        </w:rPr>
      </w:pPr>
      <w:r w:rsidRPr="00262F3A">
        <w:t xml:space="preserve">Specialist disability accommodation </w:t>
      </w:r>
    </w:p>
    <w:p w14:paraId="243F74F5" w14:textId="5BD2788C" w:rsidR="00E418F7" w:rsidRPr="00262F3A" w:rsidRDefault="00C77709" w:rsidP="00E418F7">
      <w:pPr>
        <w:autoSpaceDE w:val="0"/>
        <w:autoSpaceDN w:val="0"/>
        <w:adjustRightInd w:val="0"/>
        <w:spacing w:after="0"/>
        <w:rPr>
          <w:rFonts w:cstheme="minorHAnsi"/>
        </w:rPr>
      </w:pPr>
      <w:r>
        <w:rPr>
          <w:rFonts w:cstheme="minorHAnsi"/>
        </w:rPr>
        <w:t>Reforms to s</w:t>
      </w:r>
      <w:r w:rsidR="00E418F7" w:rsidRPr="00262F3A">
        <w:rPr>
          <w:rFonts w:cstheme="minorHAnsi"/>
        </w:rPr>
        <w:t xml:space="preserve">pecialist </w:t>
      </w:r>
      <w:r>
        <w:rPr>
          <w:rFonts w:cstheme="minorHAnsi"/>
        </w:rPr>
        <w:t>d</w:t>
      </w:r>
      <w:r w:rsidR="00E418F7" w:rsidRPr="00262F3A">
        <w:rPr>
          <w:rFonts w:cstheme="minorHAnsi"/>
        </w:rPr>
        <w:t xml:space="preserve">isability </w:t>
      </w:r>
      <w:r>
        <w:rPr>
          <w:rFonts w:cstheme="minorHAnsi"/>
        </w:rPr>
        <w:t>a</w:t>
      </w:r>
      <w:r w:rsidR="00E418F7" w:rsidRPr="00262F3A">
        <w:rPr>
          <w:rFonts w:cstheme="minorHAnsi"/>
        </w:rPr>
        <w:t xml:space="preserve">ccommodation (SDA) are further strengthening and improving the market, providing investors with the confidence to deliver varied and innovative housing for participants eligible for SDA. Major initiatives are driving a rapid increase in the SDA market, with a 37.5 per cent growth in the year to June 2019 in enrolled dwellings, and 150 per cent growth in new SDA builds. </w:t>
      </w:r>
    </w:p>
    <w:p w14:paraId="2CF70E57" w14:textId="79C07495" w:rsidR="00E418F7" w:rsidRPr="00262F3A" w:rsidRDefault="00E418F7" w:rsidP="00E418F7">
      <w:pPr>
        <w:autoSpaceDE w:val="0"/>
        <w:autoSpaceDN w:val="0"/>
        <w:adjustRightInd w:val="0"/>
        <w:spacing w:after="0"/>
        <w:rPr>
          <w:rFonts w:cstheme="minorHAnsi"/>
        </w:rPr>
      </w:pPr>
      <w:r w:rsidRPr="00262F3A">
        <w:rPr>
          <w:rFonts w:cstheme="minorHAnsi"/>
        </w:rPr>
        <w:t xml:space="preserve">In October 2019, the NDIA released three major initiatives to support growth, innovation and sustainability in the SDA market. </w:t>
      </w:r>
    </w:p>
    <w:p w14:paraId="6CAA8892" w14:textId="632CA593" w:rsidR="00E418F7" w:rsidRPr="00262F3A" w:rsidRDefault="00E418F7" w:rsidP="00E418F7">
      <w:pPr>
        <w:autoSpaceDE w:val="0"/>
        <w:autoSpaceDN w:val="0"/>
        <w:adjustRightInd w:val="0"/>
        <w:spacing w:after="0"/>
        <w:rPr>
          <w:rFonts w:cstheme="minorHAnsi"/>
        </w:rPr>
      </w:pPr>
      <w:r w:rsidRPr="00262F3A">
        <w:rPr>
          <w:rFonts w:cstheme="minorHAnsi"/>
        </w:rPr>
        <w:t xml:space="preserve">The release of the </w:t>
      </w:r>
      <w:r w:rsidRPr="00262F3A">
        <w:rPr>
          <w:rFonts w:cstheme="minorHAnsi"/>
          <w:b/>
          <w:bCs/>
        </w:rPr>
        <w:t>SDA Design Standard</w:t>
      </w:r>
      <w:r w:rsidRPr="00262F3A">
        <w:rPr>
          <w:rFonts w:cstheme="minorHAnsi"/>
          <w:bCs/>
        </w:rPr>
        <w:t xml:space="preserve"> </w:t>
      </w:r>
      <w:r w:rsidRPr="00262F3A">
        <w:rPr>
          <w:rFonts w:cstheme="minorHAnsi"/>
        </w:rPr>
        <w:t xml:space="preserve">brings clarity </w:t>
      </w:r>
      <w:r w:rsidR="00C77709">
        <w:rPr>
          <w:rFonts w:cstheme="minorHAnsi"/>
        </w:rPr>
        <w:t>for</w:t>
      </w:r>
      <w:r w:rsidRPr="00262F3A">
        <w:rPr>
          <w:rFonts w:cstheme="minorHAnsi"/>
        </w:rPr>
        <w:t xml:space="preserve"> providers </w:t>
      </w:r>
      <w:r w:rsidR="00C77709">
        <w:rPr>
          <w:rFonts w:cstheme="minorHAnsi"/>
        </w:rPr>
        <w:t xml:space="preserve">on </w:t>
      </w:r>
      <w:r w:rsidRPr="00262F3A">
        <w:rPr>
          <w:rFonts w:cstheme="minorHAnsi"/>
        </w:rPr>
        <w:t>home design requirements and guidelines to seek pre-certification for the enrolment of a dwelling as SDA, at both the planning and final-as-built stages. The SDA Design Standard is based on four categories of SDA design, as outlined in the SDA Rules</w:t>
      </w:r>
      <w:r w:rsidR="00C77709">
        <w:rPr>
          <w:rFonts w:cstheme="minorHAnsi"/>
        </w:rPr>
        <w:t xml:space="preserve"> - </w:t>
      </w:r>
      <w:r w:rsidRPr="00262F3A">
        <w:rPr>
          <w:rFonts w:cstheme="minorHAnsi"/>
        </w:rPr>
        <w:t>Improved Liveability, Robust, Fully Accessible, and High Physical Support</w:t>
      </w:r>
      <w:r w:rsidR="00C77709">
        <w:rPr>
          <w:rFonts w:cstheme="minorHAnsi"/>
        </w:rPr>
        <w:t xml:space="preserve"> -</w:t>
      </w:r>
      <w:r w:rsidRPr="00262F3A">
        <w:rPr>
          <w:rFonts w:cstheme="minorHAnsi"/>
        </w:rPr>
        <w:t xml:space="preserve"> and will be incorporated into newly built dwellings. </w:t>
      </w:r>
    </w:p>
    <w:p w14:paraId="541E6526" w14:textId="77777777" w:rsidR="00E418F7" w:rsidRPr="00262F3A" w:rsidRDefault="00E418F7" w:rsidP="00E418F7">
      <w:pPr>
        <w:autoSpaceDE w:val="0"/>
        <w:autoSpaceDN w:val="0"/>
        <w:adjustRightInd w:val="0"/>
        <w:spacing w:after="0"/>
        <w:rPr>
          <w:rFonts w:cstheme="minorHAnsi"/>
        </w:rPr>
      </w:pPr>
      <w:r w:rsidRPr="00262F3A">
        <w:rPr>
          <w:rFonts w:cstheme="minorHAnsi"/>
        </w:rPr>
        <w:t xml:space="preserve">The </w:t>
      </w:r>
      <w:r w:rsidRPr="00262F3A">
        <w:rPr>
          <w:rFonts w:cstheme="minorHAnsi"/>
          <w:b/>
          <w:bCs/>
        </w:rPr>
        <w:t xml:space="preserve">SDA Innovation Plan </w:t>
      </w:r>
      <w:r w:rsidRPr="00262F3A">
        <w:rPr>
          <w:rFonts w:cstheme="minorHAnsi"/>
        </w:rPr>
        <w:t>was developed with input from participants and other stakeholders to identify and promote innovative SDA options, and is based on three key pillars: design in partnership, participants and their community, and promote the leading edge. The Innovation Plan will look to promote and enable the availability of innovative accommodation and ensure the flexibility to discover new and better ways to provide SDA. The NDIA will be undertaking activities throughout 2020 and into 2021 to encourage innovation in SDA and support models.</w:t>
      </w:r>
    </w:p>
    <w:p w14:paraId="0B341D9F" w14:textId="77777777" w:rsidR="00E418F7" w:rsidRPr="00262F3A" w:rsidRDefault="00E418F7" w:rsidP="00E418F7">
      <w:pPr>
        <w:autoSpaceDE w:val="0"/>
        <w:autoSpaceDN w:val="0"/>
        <w:adjustRightInd w:val="0"/>
        <w:spacing w:after="0"/>
        <w:rPr>
          <w:rFonts w:cstheme="minorHAnsi"/>
        </w:rPr>
      </w:pPr>
      <w:r w:rsidRPr="00262F3A">
        <w:rPr>
          <w:rFonts w:cstheme="minorHAnsi"/>
        </w:rPr>
        <w:t xml:space="preserve">Commencing in April 2019, the </w:t>
      </w:r>
      <w:r w:rsidRPr="00262F3A">
        <w:rPr>
          <w:rFonts w:cstheme="minorHAnsi"/>
          <w:b/>
          <w:bCs/>
        </w:rPr>
        <w:t xml:space="preserve">SDA Limited Cost Assumptions Review </w:t>
      </w:r>
      <w:r w:rsidRPr="00262F3A">
        <w:rPr>
          <w:rFonts w:cstheme="minorHAnsi"/>
        </w:rPr>
        <w:t xml:space="preserve">was finalised and published on the NDIS website in October 2019. The review recommended a number of price limit increases for certain SDA categories and locations, to encourage investment in a diverse range of dwellings and to improve the choice of living options for participants eligible for SDA. </w:t>
      </w:r>
    </w:p>
    <w:p w14:paraId="35DC4E96" w14:textId="53584D81" w:rsidR="00C70983" w:rsidRPr="00262F3A" w:rsidRDefault="00E418F7" w:rsidP="00E418F7">
      <w:pPr>
        <w:rPr>
          <w:rFonts w:cstheme="minorHAnsi"/>
        </w:rPr>
      </w:pPr>
      <w:r w:rsidRPr="00262F3A">
        <w:rPr>
          <w:rFonts w:cstheme="minorHAnsi"/>
        </w:rPr>
        <w:t>In addition, in June 2020, the Minister for the NDIS, the Hon Stuart Robert MP, signed significant updates to the NDIS SDA Rules 2020.  The changes have removed previous requirements that prevented some dwelling configurations that are commonly suitable for families from being enrolled as</w:t>
      </w:r>
      <w:r w:rsidR="00070203">
        <w:rPr>
          <w:rFonts w:cstheme="minorHAnsi"/>
        </w:rPr>
        <w:t xml:space="preserve"> SDA</w:t>
      </w:r>
      <w:r w:rsidRPr="00262F3A">
        <w:rPr>
          <w:rFonts w:cstheme="minorHAnsi"/>
        </w:rPr>
        <w:t xml:space="preserve">. Eligible participants may also now share their </w:t>
      </w:r>
      <w:r w:rsidR="00070203">
        <w:rPr>
          <w:rFonts w:cstheme="minorHAnsi"/>
        </w:rPr>
        <w:t xml:space="preserve">SDA </w:t>
      </w:r>
      <w:r w:rsidRPr="00262F3A">
        <w:rPr>
          <w:rFonts w:cstheme="minorHAnsi"/>
        </w:rPr>
        <w:t xml:space="preserve">bedroom with a partner, provided this does not present an unacceptable risk to their safety. Under the new SDA Rules, the Agency will take full responsibility for enrolling </w:t>
      </w:r>
      <w:r w:rsidR="00070203">
        <w:rPr>
          <w:rFonts w:cstheme="minorHAnsi"/>
        </w:rPr>
        <w:t xml:space="preserve">SDA </w:t>
      </w:r>
      <w:r w:rsidRPr="00262F3A">
        <w:rPr>
          <w:rFonts w:cstheme="minorHAnsi"/>
        </w:rPr>
        <w:t>dwellings.</w:t>
      </w:r>
    </w:p>
    <w:p w14:paraId="3B2C4D12" w14:textId="2479EE2E" w:rsidR="00E418F7" w:rsidRPr="00262F3A" w:rsidRDefault="00D36D6C" w:rsidP="00D36D6C">
      <w:pPr>
        <w:keepNext/>
        <w:rPr>
          <w:rFonts w:cstheme="minorHAnsi"/>
        </w:rPr>
      </w:pPr>
      <w:r w:rsidRPr="00262F3A">
        <w:rPr>
          <w:rFonts w:cstheme="minorHAnsi"/>
          <w:b/>
        </w:rPr>
        <w:lastRenderedPageBreak/>
        <w:t xml:space="preserve">Figure </w:t>
      </w:r>
      <w:r w:rsidR="000E1639" w:rsidRPr="00262F3A">
        <w:rPr>
          <w:rFonts w:cstheme="minorHAnsi"/>
          <w:b/>
        </w:rPr>
        <w:t>2.2.3F:</w:t>
      </w:r>
      <w:r w:rsidRPr="00262F3A">
        <w:rPr>
          <w:rFonts w:cstheme="minorHAnsi"/>
        </w:rPr>
        <w:t xml:space="preserve"> Number of enrolled dwellings (excluding in-kind)</w:t>
      </w:r>
    </w:p>
    <w:p w14:paraId="7D808569" w14:textId="3628C565" w:rsidR="00D36D6C" w:rsidRPr="00262F3A" w:rsidRDefault="00D36D6C" w:rsidP="00D36D6C">
      <w:pPr>
        <w:ind w:left="1440"/>
        <w:rPr>
          <w:lang w:eastAsia="en-US"/>
        </w:rPr>
      </w:pPr>
      <w:r w:rsidRPr="00262F3A">
        <w:rPr>
          <w:noProof/>
          <w:lang w:eastAsia="en-AU"/>
        </w:rPr>
        <w:drawing>
          <wp:inline distT="0" distB="0" distL="0" distR="0" wp14:anchorId="030C563F" wp14:editId="13500D68">
            <wp:extent cx="3048000" cy="2386013"/>
            <wp:effectExtent l="0" t="0" r="0" b="0"/>
            <wp:docPr id="224" name="Picture 224" descr="Figure 2.2.3F is a bar graph. The bar graph represented by orange coloured bars, shows number of enrolled dwellings (excluding in-kind) from 30 June 2017 to 30 June 2020. The horizontal axis has months starting from June 2017 to 30 June 2020, in increments of 3 months. The vertical axis has numbers from 0 to 5,000 with increments of 500. &#10;&#10;The bar graph shows: 30 June 2017, 497; 30 September 2017, 764; 31 December 2017, 1,135; 31 March 2018, 1,311; 30 June 2018, 1,697; 30 September 2018, 2,243; 31 December 2018, 2,593; 31 March 2019, 2,896; 30 June 2019, 3,170; 30 September 2019; 3,489, 31 December 2019, 3,938; 31 March 20, 4,123; and 30 June 2020, 4,3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2105"/>
                    <a:stretch/>
                  </pic:blipFill>
                  <pic:spPr bwMode="auto">
                    <a:xfrm>
                      <a:off x="0" y="0"/>
                      <a:ext cx="3048000" cy="2386013"/>
                    </a:xfrm>
                    <a:prstGeom prst="rect">
                      <a:avLst/>
                    </a:prstGeom>
                    <a:ln>
                      <a:noFill/>
                    </a:ln>
                    <a:extLst>
                      <a:ext uri="{53640926-AAD7-44D8-BBD7-CCE9431645EC}">
                        <a14:shadowObscured xmlns:a14="http://schemas.microsoft.com/office/drawing/2010/main"/>
                      </a:ext>
                    </a:extLst>
                  </pic:spPr>
                </pic:pic>
              </a:graphicData>
            </a:graphic>
          </wp:inline>
        </w:drawing>
      </w:r>
    </w:p>
    <w:p w14:paraId="1DA69E25" w14:textId="77777777" w:rsidR="00D36D6C" w:rsidRPr="00262F3A" w:rsidRDefault="00D36D6C" w:rsidP="00D36D6C">
      <w:pPr>
        <w:pStyle w:val="Heading5"/>
      </w:pPr>
      <w:r w:rsidRPr="00262F3A">
        <w:t>Digital Partnership Program</w:t>
      </w:r>
    </w:p>
    <w:p w14:paraId="5303B6F7" w14:textId="6331EED8" w:rsidR="00D36D6C" w:rsidRPr="00262F3A" w:rsidRDefault="00D36D6C" w:rsidP="00D36D6C">
      <w:pPr>
        <w:autoSpaceDE w:val="0"/>
        <w:autoSpaceDN w:val="0"/>
        <w:adjustRightInd w:val="0"/>
        <w:spacing w:after="0"/>
        <w:rPr>
          <w:rFonts w:cstheme="minorHAnsi"/>
        </w:rPr>
      </w:pPr>
      <w:r w:rsidRPr="00262F3A">
        <w:rPr>
          <w:rFonts w:cstheme="minorHAnsi"/>
        </w:rPr>
        <w:t xml:space="preserve">On 30 June 2020, </w:t>
      </w:r>
      <w:r w:rsidR="00070203">
        <w:rPr>
          <w:rFonts w:cstheme="minorHAnsi"/>
        </w:rPr>
        <w:t xml:space="preserve">the </w:t>
      </w:r>
      <w:r w:rsidRPr="00262F3A">
        <w:rPr>
          <w:rFonts w:cstheme="minorHAnsi"/>
        </w:rPr>
        <w:t>Minister for the NDIS, the Hon Stuart Robert MP</w:t>
      </w:r>
      <w:r w:rsidR="00070203">
        <w:rPr>
          <w:rFonts w:cstheme="minorHAnsi"/>
        </w:rPr>
        <w:t>,</w:t>
      </w:r>
      <w:r w:rsidRPr="00262F3A">
        <w:rPr>
          <w:rFonts w:cstheme="minorHAnsi"/>
        </w:rPr>
        <w:t xml:space="preserve"> announced the next phase of the Digital Partnership Program to improve the digital experience for NDIS participants and providers. The program manages controlled and secure access to some of the Agency’s data and systems, with the latest phase expanding access to the Agency’s </w:t>
      </w:r>
      <w:r w:rsidR="00070203">
        <w:rPr>
          <w:rFonts w:cstheme="minorHAnsi"/>
        </w:rPr>
        <w:t>a</w:t>
      </w:r>
      <w:r w:rsidRPr="00262F3A">
        <w:rPr>
          <w:rFonts w:cstheme="minorHAnsi"/>
        </w:rPr>
        <w:t xml:space="preserve">pplication </w:t>
      </w:r>
      <w:r w:rsidR="00070203">
        <w:rPr>
          <w:rFonts w:cstheme="minorHAnsi"/>
        </w:rPr>
        <w:t>p</w:t>
      </w:r>
      <w:r w:rsidRPr="00262F3A">
        <w:rPr>
          <w:rFonts w:cstheme="minorHAnsi"/>
        </w:rPr>
        <w:t xml:space="preserve">rogramming </w:t>
      </w:r>
      <w:r w:rsidR="00070203">
        <w:rPr>
          <w:rFonts w:cstheme="minorHAnsi"/>
        </w:rPr>
        <w:t>i</w:t>
      </w:r>
      <w:r w:rsidRPr="00262F3A">
        <w:rPr>
          <w:rFonts w:cstheme="minorHAnsi"/>
        </w:rPr>
        <w:t xml:space="preserve">nterfaces (APIs) to more software developers working with registered providers. </w:t>
      </w:r>
    </w:p>
    <w:p w14:paraId="17FCC5B9" w14:textId="77777777" w:rsidR="00D36D6C" w:rsidRPr="00262F3A" w:rsidRDefault="00D36D6C" w:rsidP="00D36D6C">
      <w:pPr>
        <w:rPr>
          <w:rFonts w:cstheme="minorHAnsi"/>
        </w:rPr>
      </w:pPr>
      <w:r w:rsidRPr="00262F3A">
        <w:rPr>
          <w:rFonts w:cstheme="minorHAnsi"/>
        </w:rPr>
        <w:t xml:space="preserve">The APIs are being created so providers and software developers can build new tools, applications and digital marketplaces to improve how participants, providers and the NDIA all connect and work together. The next phase gives more software developers who are working with registered NDIS providers the ability to request access to the NDIA’s APIs, creating more opportunities for digital experts to develop new tools and applications. </w:t>
      </w:r>
    </w:p>
    <w:p w14:paraId="573A09E5" w14:textId="77777777" w:rsidR="00D36D6C" w:rsidRPr="00262F3A" w:rsidRDefault="00D36D6C" w:rsidP="00D36D6C">
      <w:pPr>
        <w:pStyle w:val="Heading5"/>
      </w:pPr>
      <w:r w:rsidRPr="00262F3A">
        <w:t>Utilisation</w:t>
      </w:r>
    </w:p>
    <w:p w14:paraId="689A7F2A" w14:textId="59D7B1E1" w:rsidR="00D36D6C" w:rsidRPr="00262F3A" w:rsidRDefault="00D36D6C" w:rsidP="00D36D6C">
      <w:pPr>
        <w:rPr>
          <w:rFonts w:cstheme="minorHAnsi"/>
          <w:b/>
        </w:rPr>
      </w:pPr>
      <w:r w:rsidRPr="00262F3A">
        <w:rPr>
          <w:rFonts w:cstheme="minorHAnsi"/>
        </w:rPr>
        <w:t xml:space="preserve">For support provided between 1 October 2019 and 31 March 2020, data at 30 June 2020 indicated that 70 per cent of support had been utilised nationally. Experience in other schemes with individual budgets (internationally and in Australia) indicates that plan utilisation is unlikely to be 100 per cent. However, for some participants utilisation should be higher than </w:t>
      </w:r>
      <w:r w:rsidR="00070203">
        <w:rPr>
          <w:rFonts w:cstheme="minorHAnsi"/>
        </w:rPr>
        <w:t xml:space="preserve">the </w:t>
      </w:r>
      <w:r w:rsidRPr="00262F3A">
        <w:rPr>
          <w:rFonts w:cstheme="minorHAnsi"/>
        </w:rPr>
        <w:t>current level.</w:t>
      </w:r>
    </w:p>
    <w:p w14:paraId="0A0D5A75" w14:textId="77777777" w:rsidR="00D36D6C" w:rsidRPr="00262F3A" w:rsidRDefault="00D36D6C" w:rsidP="00D36D6C">
      <w:pPr>
        <w:rPr>
          <w:rFonts w:cstheme="minorHAnsi"/>
          <w:color w:val="000000"/>
        </w:rPr>
      </w:pPr>
      <w:r w:rsidRPr="00262F3A">
        <w:rPr>
          <w:rFonts w:cstheme="minorHAnsi"/>
          <w:color w:val="000000"/>
        </w:rPr>
        <w:t xml:space="preserve">The two biggest drivers of utilisation are: </w:t>
      </w:r>
    </w:p>
    <w:p w14:paraId="3D53F912" w14:textId="77777777" w:rsidR="00D36D6C" w:rsidRPr="00262F3A" w:rsidRDefault="00D36D6C" w:rsidP="00AF2A24">
      <w:pPr>
        <w:pStyle w:val="ListParagraph"/>
        <w:numPr>
          <w:ilvl w:val="0"/>
          <w:numId w:val="34"/>
        </w:numPr>
        <w:spacing w:before="0" w:after="240"/>
        <w:rPr>
          <w:rFonts w:cstheme="minorHAnsi"/>
          <w:bCs/>
          <w:iCs/>
        </w:rPr>
      </w:pPr>
      <w:r w:rsidRPr="00262F3A">
        <w:rPr>
          <w:rFonts w:cstheme="minorHAnsi"/>
          <w:bCs/>
          <w:iCs/>
        </w:rPr>
        <w:t xml:space="preserve">whether a participant is in supported independent living </w:t>
      </w:r>
    </w:p>
    <w:p w14:paraId="55297720" w14:textId="089EAD2C" w:rsidR="00D36D6C" w:rsidRPr="00262F3A" w:rsidRDefault="00D36D6C" w:rsidP="00AF2A24">
      <w:pPr>
        <w:pStyle w:val="ListParagraph"/>
        <w:numPr>
          <w:ilvl w:val="0"/>
          <w:numId w:val="34"/>
        </w:numPr>
        <w:rPr>
          <w:lang w:eastAsia="en-US"/>
        </w:rPr>
      </w:pPr>
      <w:r w:rsidRPr="00262F3A">
        <w:rPr>
          <w:rFonts w:cstheme="minorHAnsi"/>
          <w:bCs/>
          <w:iCs/>
        </w:rPr>
        <w:t>how long a participant has been in the Scheme (the longer they have been in the Scheme, the more they utilise their plan).</w:t>
      </w:r>
    </w:p>
    <w:p w14:paraId="4A663817" w14:textId="7A36FE2A" w:rsidR="00D36D6C" w:rsidRPr="00262F3A" w:rsidRDefault="00D36D6C" w:rsidP="00D36D6C">
      <w:pPr>
        <w:keepNext/>
        <w:rPr>
          <w:rFonts w:cstheme="minorHAnsi"/>
          <w:bCs/>
          <w:iCs/>
        </w:rPr>
      </w:pPr>
      <w:r w:rsidRPr="00262F3A">
        <w:rPr>
          <w:rFonts w:cstheme="minorHAnsi"/>
          <w:b/>
          <w:bCs/>
          <w:iCs/>
        </w:rPr>
        <w:lastRenderedPageBreak/>
        <w:t xml:space="preserve">Figure </w:t>
      </w:r>
      <w:r w:rsidR="000E1639" w:rsidRPr="00262F3A">
        <w:rPr>
          <w:rFonts w:cstheme="minorHAnsi"/>
          <w:b/>
          <w:bCs/>
          <w:iCs/>
        </w:rPr>
        <w:t>2.2.3G</w:t>
      </w:r>
      <w:r w:rsidRPr="00262F3A">
        <w:rPr>
          <w:rFonts w:cstheme="minorHAnsi"/>
          <w:b/>
          <w:bCs/>
          <w:iCs/>
        </w:rPr>
        <w:t>:</w:t>
      </w:r>
      <w:r w:rsidRPr="00262F3A">
        <w:rPr>
          <w:rFonts w:cstheme="minorHAnsi"/>
          <w:bCs/>
          <w:iCs/>
        </w:rPr>
        <w:t xml:space="preserve"> Utilisation of committed supports by SIL status from 1 October 2019 to 30 June 2020</w:t>
      </w:r>
    </w:p>
    <w:p w14:paraId="04D5E17D" w14:textId="58F064EC" w:rsidR="00D36D6C" w:rsidRPr="00262F3A" w:rsidRDefault="00D36D6C" w:rsidP="00D36D6C">
      <w:pPr>
        <w:ind w:left="1440"/>
        <w:rPr>
          <w:lang w:eastAsia="en-US"/>
        </w:rPr>
      </w:pPr>
      <w:r w:rsidRPr="00262F3A">
        <w:rPr>
          <w:rFonts w:cstheme="minorHAnsi"/>
          <w:bCs/>
          <w:iCs/>
          <w:noProof/>
          <w:lang w:eastAsia="en-AU"/>
        </w:rPr>
        <w:drawing>
          <wp:inline distT="0" distB="0" distL="0" distR="0" wp14:anchorId="39BDB152" wp14:editId="5486ED0F">
            <wp:extent cx="4670250" cy="2146300"/>
            <wp:effectExtent l="0" t="0" r="0" b="6350"/>
            <wp:docPr id="225" name="Picture 225" descr="Figure 2.2.3G is a bar graph. The horizontal axis has national, SIL and non–SIL categories and the vertical axis has numbers from 0 to 100 with increments of 20. The legend, in purple, shows the as at 30 June 2020 category (national). &#10;&#10;The bar graph shows: National, 70 per cent (purple coloured bar); SIL, 85 per cent (first pink coloured bar) and Non-SIL, 62 per cent (second pink coloure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4754"/>
                    <a:stretch/>
                  </pic:blipFill>
                  <pic:spPr bwMode="auto">
                    <a:xfrm>
                      <a:off x="0" y="0"/>
                      <a:ext cx="4673016" cy="2147571"/>
                    </a:xfrm>
                    <a:prstGeom prst="rect">
                      <a:avLst/>
                    </a:prstGeom>
                    <a:noFill/>
                    <a:ln>
                      <a:noFill/>
                    </a:ln>
                    <a:extLst>
                      <a:ext uri="{53640926-AAD7-44D8-BBD7-CCE9431645EC}">
                        <a14:shadowObscured xmlns:a14="http://schemas.microsoft.com/office/drawing/2010/main"/>
                      </a:ext>
                    </a:extLst>
                  </pic:spPr>
                </pic:pic>
              </a:graphicData>
            </a:graphic>
          </wp:inline>
        </w:drawing>
      </w:r>
    </w:p>
    <w:p w14:paraId="195C87FB" w14:textId="18E3310B" w:rsidR="00D36D6C" w:rsidRPr="00262F3A" w:rsidRDefault="00D36D6C" w:rsidP="00D36D6C">
      <w:pPr>
        <w:rPr>
          <w:rFonts w:cstheme="minorHAnsi"/>
          <w:bCs/>
          <w:iCs/>
        </w:rPr>
      </w:pPr>
      <w:r w:rsidRPr="00262F3A">
        <w:rPr>
          <w:rFonts w:cstheme="minorHAnsi"/>
          <w:b/>
          <w:bCs/>
          <w:iCs/>
        </w:rPr>
        <w:t xml:space="preserve">Figure </w:t>
      </w:r>
      <w:r w:rsidR="000E1639" w:rsidRPr="00262F3A">
        <w:rPr>
          <w:rFonts w:cstheme="minorHAnsi"/>
          <w:b/>
          <w:bCs/>
          <w:iCs/>
        </w:rPr>
        <w:t>2.2.3H</w:t>
      </w:r>
      <w:r w:rsidRPr="00262F3A">
        <w:rPr>
          <w:rFonts w:cstheme="minorHAnsi"/>
          <w:b/>
          <w:bCs/>
          <w:iCs/>
        </w:rPr>
        <w:t>:</w:t>
      </w:r>
      <w:r w:rsidRPr="00262F3A">
        <w:rPr>
          <w:rFonts w:cstheme="minorHAnsi"/>
          <w:bCs/>
          <w:iCs/>
        </w:rPr>
        <w:t xml:space="preserve"> Utilisation of committed supports by plan number from 1 October 2019 to 30 June 2020</w:t>
      </w:r>
    </w:p>
    <w:p w14:paraId="3DF63227" w14:textId="418B022A" w:rsidR="00D36D6C" w:rsidRPr="00262F3A" w:rsidRDefault="00D36D6C" w:rsidP="00D36D6C">
      <w:pPr>
        <w:ind w:left="1440"/>
        <w:rPr>
          <w:lang w:eastAsia="en-US"/>
        </w:rPr>
      </w:pPr>
      <w:r w:rsidRPr="00262F3A">
        <w:rPr>
          <w:noProof/>
          <w:lang w:eastAsia="en-AU"/>
        </w:rPr>
        <w:drawing>
          <wp:inline distT="0" distB="0" distL="0" distR="0" wp14:anchorId="0CDEECD0" wp14:editId="7CABCEEA">
            <wp:extent cx="4619426" cy="2120265"/>
            <wp:effectExtent l="0" t="0" r="0" b="0"/>
            <wp:docPr id="226" name="Picture 226" descr="The horizontal axis has six categories: National (cash and in-kind attributable to individual participants), and then 1, 2, 3, 4 and 5+  plan numbers, The vertical axis has numbers from 0 to 100 with increments of 20. The legend, in pink, shows the as at 30 June 2020 categories (1, 2, 3, 4 and 5+). The categories and per cent are: National, 70 per cent; 1, 54 per cent; 2, 65 per cent; 3, 70 per cent; 4, 75 per cent; 5 plus, 79 per cent." title="Figure 2.2.3H shows utilisation of committed supports by plan number from 1 October 2019 and 30 June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2911"/>
                    <a:stretch/>
                  </pic:blipFill>
                  <pic:spPr bwMode="auto">
                    <a:xfrm>
                      <a:off x="0" y="0"/>
                      <a:ext cx="4623099" cy="2121951"/>
                    </a:xfrm>
                    <a:prstGeom prst="rect">
                      <a:avLst/>
                    </a:prstGeom>
                    <a:ln>
                      <a:noFill/>
                    </a:ln>
                    <a:extLst>
                      <a:ext uri="{53640926-AAD7-44D8-BBD7-CCE9431645EC}">
                        <a14:shadowObscured xmlns:a14="http://schemas.microsoft.com/office/drawing/2010/main"/>
                      </a:ext>
                    </a:extLst>
                  </pic:spPr>
                </pic:pic>
              </a:graphicData>
            </a:graphic>
          </wp:inline>
        </w:drawing>
      </w:r>
    </w:p>
    <w:p w14:paraId="6F6F256F" w14:textId="77777777" w:rsidR="00412B4D" w:rsidRDefault="00412B4D" w:rsidP="00D36D6C">
      <w:pPr>
        <w:autoSpaceDE w:val="0"/>
        <w:autoSpaceDN w:val="0"/>
        <w:adjustRightInd w:val="0"/>
        <w:rPr>
          <w:rFonts w:cstheme="minorHAnsi"/>
        </w:rPr>
      </w:pPr>
    </w:p>
    <w:p w14:paraId="77D9BE2B" w14:textId="3A9E8C0A" w:rsidR="00D36D6C" w:rsidRPr="00262F3A" w:rsidRDefault="00D36D6C" w:rsidP="00D36D6C">
      <w:pPr>
        <w:autoSpaceDE w:val="0"/>
        <w:autoSpaceDN w:val="0"/>
        <w:adjustRightInd w:val="0"/>
        <w:rPr>
          <w:rFonts w:cstheme="minorHAnsi"/>
        </w:rPr>
      </w:pPr>
      <w:r w:rsidRPr="00262F3A">
        <w:rPr>
          <w:rFonts w:cstheme="minorHAnsi"/>
        </w:rPr>
        <w:t xml:space="preserve">A detailed analysis of utilisation and market concentration by region is provided in the June 2020 Quarterly Report to Disability Ministers. </w:t>
      </w:r>
    </w:p>
    <w:p w14:paraId="776162FE" w14:textId="77777777" w:rsidR="00D36D6C" w:rsidRPr="00262F3A" w:rsidRDefault="00D36D6C" w:rsidP="00D36D6C">
      <w:pPr>
        <w:pStyle w:val="Heading5"/>
      </w:pPr>
      <w:r w:rsidRPr="00262F3A">
        <w:t xml:space="preserve">Thin markets </w:t>
      </w:r>
    </w:p>
    <w:p w14:paraId="6E1F8F59" w14:textId="77777777" w:rsidR="00D36D6C" w:rsidRPr="00262F3A" w:rsidRDefault="00D36D6C" w:rsidP="00D36D6C">
      <w:pPr>
        <w:rPr>
          <w:rFonts w:cstheme="minorHAnsi"/>
        </w:rPr>
      </w:pPr>
      <w:r w:rsidRPr="00262F3A">
        <w:rPr>
          <w:rFonts w:cstheme="minorHAnsi"/>
        </w:rPr>
        <w:t xml:space="preserve">Supported by the NDIA Board and management, the December 2019 meeting of Disability Ministers agreed to use a more flexible approach to address market challenges in the Scheme, recognising that a one-size-fits-all approach to delivering the NDIS is not suitable to address market gaps faced by certain geographic locations, particular cohorts and disability support types. </w:t>
      </w:r>
    </w:p>
    <w:p w14:paraId="4BCB4AE2" w14:textId="700BA63F" w:rsidR="00D36D6C" w:rsidRPr="00262F3A" w:rsidRDefault="00D36D6C" w:rsidP="00D36D6C">
      <w:pPr>
        <w:rPr>
          <w:rFonts w:cstheme="minorHAnsi"/>
        </w:rPr>
      </w:pPr>
      <w:r w:rsidRPr="00262F3A">
        <w:rPr>
          <w:rFonts w:cstheme="minorHAnsi"/>
        </w:rPr>
        <w:t xml:space="preserve">In collaboration with </w:t>
      </w:r>
      <w:r w:rsidR="00D14F32">
        <w:rPr>
          <w:rFonts w:cstheme="minorHAnsi"/>
        </w:rPr>
        <w:t>the</w:t>
      </w:r>
      <w:r w:rsidR="008E0F15">
        <w:rPr>
          <w:rFonts w:cstheme="minorHAnsi"/>
        </w:rPr>
        <w:t xml:space="preserve"> rollout plan being developed by</w:t>
      </w:r>
      <w:r w:rsidR="00D14F32">
        <w:rPr>
          <w:rFonts w:cstheme="minorHAnsi"/>
        </w:rPr>
        <w:t xml:space="preserve"> </w:t>
      </w:r>
      <w:r w:rsidRPr="00262F3A">
        <w:rPr>
          <w:rFonts w:cstheme="minorHAnsi"/>
        </w:rPr>
        <w:t xml:space="preserve">DSS, the Agency is developing a market commissioning strategy to support a flexible approach to addressing market challenges. The strategy will be refined through a series of trial projects in all jurisdictions. These trials have been agreed with state and territory governments and are on track for delivery in the second half of 2020. They will collect evidential insights and test the Agency’s approach to market challenges. </w:t>
      </w:r>
    </w:p>
    <w:p w14:paraId="2D89DE32" w14:textId="77777777" w:rsidR="00D36D6C" w:rsidRPr="00262F3A" w:rsidRDefault="00D36D6C" w:rsidP="006444C7">
      <w:pPr>
        <w:pStyle w:val="Heading4"/>
      </w:pPr>
      <w:r w:rsidRPr="00262F3A">
        <w:t>A connected and engaged stakeholder sector</w:t>
      </w:r>
    </w:p>
    <w:p w14:paraId="1D1DE893" w14:textId="635E1721" w:rsidR="00D36D6C" w:rsidRPr="00262F3A" w:rsidRDefault="00D36D6C" w:rsidP="00D36D6C">
      <w:r w:rsidRPr="00262F3A">
        <w:t xml:space="preserve">The disability sector and community are integral to the success of the NDIS. The Agency continued to build and maintain collaborative partnerships with the Scheme’s stakeholders, including participants, their families, carers, providers, </w:t>
      </w:r>
      <w:r w:rsidR="00070203">
        <w:t xml:space="preserve">the </w:t>
      </w:r>
      <w:r w:rsidRPr="00262F3A">
        <w:t xml:space="preserve">disability sector, </w:t>
      </w:r>
      <w:r w:rsidR="00070203">
        <w:t xml:space="preserve">the </w:t>
      </w:r>
      <w:r w:rsidRPr="00262F3A">
        <w:t xml:space="preserve">community, </w:t>
      </w:r>
      <w:r w:rsidR="00070203">
        <w:t xml:space="preserve">the </w:t>
      </w:r>
      <w:r w:rsidRPr="00262F3A">
        <w:lastRenderedPageBreak/>
        <w:t xml:space="preserve">Commonwealth and state and territory governments. These partnerships continue to inform the delivery of the Scheme. </w:t>
      </w:r>
    </w:p>
    <w:p w14:paraId="2BFC6BEE" w14:textId="2BAA39DC" w:rsidR="00D36D6C" w:rsidRPr="00262F3A" w:rsidRDefault="00D36D6C" w:rsidP="00D36D6C">
      <w:pPr>
        <w:rPr>
          <w:rFonts w:cstheme="minorHAnsi"/>
          <w:color w:val="000000"/>
        </w:rPr>
      </w:pPr>
      <w:r w:rsidRPr="00262F3A">
        <w:rPr>
          <w:rFonts w:cstheme="minorHAnsi"/>
          <w:color w:val="000000"/>
        </w:rPr>
        <w:t>In 2019–20, the Agency continued to collaborate with state and territory governments to manage Scheme transition and resolve outstanding policy issues. The NDIA worked closely with Victoria</w:t>
      </w:r>
      <w:r w:rsidR="00D14F32">
        <w:rPr>
          <w:rFonts w:cstheme="minorHAnsi"/>
          <w:color w:val="000000"/>
        </w:rPr>
        <w:t xml:space="preserve"> (Vic)</w:t>
      </w:r>
      <w:r w:rsidRPr="00262F3A">
        <w:rPr>
          <w:rFonts w:cstheme="minorHAnsi"/>
          <w:color w:val="000000"/>
        </w:rPr>
        <w:t xml:space="preserve">, Queensland </w:t>
      </w:r>
      <w:r w:rsidR="00D14F32">
        <w:rPr>
          <w:rFonts w:cstheme="minorHAnsi"/>
          <w:color w:val="000000"/>
        </w:rPr>
        <w:t xml:space="preserve">(Qld) </w:t>
      </w:r>
      <w:r w:rsidRPr="00262F3A">
        <w:rPr>
          <w:rFonts w:cstheme="minorHAnsi"/>
          <w:color w:val="000000"/>
        </w:rPr>
        <w:t xml:space="preserve">and Tasmania </w:t>
      </w:r>
      <w:r w:rsidR="00D14F32">
        <w:rPr>
          <w:rFonts w:cstheme="minorHAnsi"/>
          <w:color w:val="000000"/>
        </w:rPr>
        <w:t xml:space="preserve">(Tas) </w:t>
      </w:r>
      <w:r w:rsidRPr="00262F3A">
        <w:rPr>
          <w:rFonts w:cstheme="minorHAnsi"/>
          <w:color w:val="000000"/>
        </w:rPr>
        <w:t>to prepare fo</w:t>
      </w:r>
      <w:r w:rsidR="00070203">
        <w:rPr>
          <w:rFonts w:cstheme="minorHAnsi"/>
          <w:color w:val="000000"/>
        </w:rPr>
        <w:t>r their expected transition to F</w:t>
      </w:r>
      <w:r w:rsidRPr="00262F3A">
        <w:rPr>
          <w:rFonts w:cstheme="minorHAnsi"/>
          <w:color w:val="000000"/>
        </w:rPr>
        <w:t xml:space="preserve">ull Scheme on 1 July 2020, and with Western Australia </w:t>
      </w:r>
      <w:r w:rsidR="00D14F32">
        <w:rPr>
          <w:rFonts w:cstheme="minorHAnsi"/>
          <w:color w:val="000000"/>
        </w:rPr>
        <w:t xml:space="preserve">(WA) </w:t>
      </w:r>
      <w:r w:rsidRPr="00262F3A">
        <w:rPr>
          <w:rFonts w:cstheme="minorHAnsi"/>
          <w:color w:val="000000"/>
        </w:rPr>
        <w:t xml:space="preserve">to ensure the complete transition of </w:t>
      </w:r>
      <w:r w:rsidR="00D14F32">
        <w:rPr>
          <w:rFonts w:cstheme="minorHAnsi"/>
          <w:color w:val="000000"/>
        </w:rPr>
        <w:t xml:space="preserve">WA </w:t>
      </w:r>
      <w:r w:rsidRPr="00262F3A">
        <w:rPr>
          <w:rFonts w:cstheme="minorHAnsi"/>
          <w:color w:val="000000"/>
        </w:rPr>
        <w:t>NDIS clients to the national Scheme. The Minister for the NDIS, the Hon Stuart Robert MP, increased the frequency of Disability Reform Council meetings to quarterly between July 2019 and March 2020, resulting in significant progress on mainstream interface policy issues, including clarifying responsibilities for:</w:t>
      </w:r>
    </w:p>
    <w:p w14:paraId="0DC55FA2" w14:textId="77777777" w:rsidR="00D36D6C" w:rsidRPr="00262F3A" w:rsidRDefault="00D36D6C" w:rsidP="00AF2A24">
      <w:pPr>
        <w:pStyle w:val="ListParagraph"/>
        <w:numPr>
          <w:ilvl w:val="0"/>
          <w:numId w:val="35"/>
        </w:numPr>
        <w:spacing w:before="0" w:after="120" w:line="259" w:lineRule="auto"/>
        <w:rPr>
          <w:rFonts w:cstheme="minorHAnsi"/>
          <w:color w:val="000000"/>
        </w:rPr>
      </w:pPr>
      <w:r w:rsidRPr="00262F3A">
        <w:rPr>
          <w:rFonts w:cstheme="minorHAnsi"/>
          <w:color w:val="000000"/>
        </w:rPr>
        <w:t>disability-related health supports</w:t>
      </w:r>
    </w:p>
    <w:p w14:paraId="67F278FB" w14:textId="77777777" w:rsidR="00D36D6C" w:rsidRPr="00262F3A" w:rsidRDefault="00D36D6C" w:rsidP="00AF2A24">
      <w:pPr>
        <w:pStyle w:val="ListParagraph"/>
        <w:numPr>
          <w:ilvl w:val="0"/>
          <w:numId w:val="35"/>
        </w:numPr>
        <w:spacing w:before="0" w:after="120" w:line="259" w:lineRule="auto"/>
        <w:rPr>
          <w:rFonts w:cstheme="minorHAnsi"/>
          <w:color w:val="000000"/>
        </w:rPr>
      </w:pPr>
      <w:r w:rsidRPr="00262F3A">
        <w:rPr>
          <w:rFonts w:cstheme="minorHAnsi"/>
          <w:color w:val="000000"/>
        </w:rPr>
        <w:t>supports for participants with psychosocial disabilities and those in justice settings</w:t>
      </w:r>
    </w:p>
    <w:p w14:paraId="5C1818B0" w14:textId="77777777" w:rsidR="00D36D6C" w:rsidRPr="00262F3A" w:rsidRDefault="00D36D6C" w:rsidP="00AF2A24">
      <w:pPr>
        <w:pStyle w:val="ListParagraph"/>
        <w:numPr>
          <w:ilvl w:val="0"/>
          <w:numId w:val="35"/>
        </w:numPr>
        <w:spacing w:before="0" w:after="120" w:line="259" w:lineRule="auto"/>
        <w:rPr>
          <w:rFonts w:cstheme="minorHAnsi"/>
          <w:color w:val="000000"/>
        </w:rPr>
      </w:pPr>
      <w:r w:rsidRPr="00262F3A">
        <w:rPr>
          <w:rFonts w:cstheme="minorHAnsi"/>
          <w:color w:val="000000"/>
        </w:rPr>
        <w:t xml:space="preserve">respite supports for children in statutory care and children in voluntary out of home care arrangements.  </w:t>
      </w:r>
    </w:p>
    <w:p w14:paraId="2377FA2C" w14:textId="77777777" w:rsidR="00D36D6C" w:rsidRPr="00262F3A" w:rsidRDefault="00D36D6C" w:rsidP="00D36D6C">
      <w:pPr>
        <w:pStyle w:val="Heading5"/>
      </w:pPr>
      <w:r w:rsidRPr="00262F3A">
        <w:t xml:space="preserve">Independent Advisory Council </w:t>
      </w:r>
    </w:p>
    <w:p w14:paraId="4CC5227B" w14:textId="77777777" w:rsidR="00D36D6C" w:rsidRPr="00262F3A" w:rsidRDefault="00D36D6C" w:rsidP="00D36D6C">
      <w:pPr>
        <w:autoSpaceDE w:val="0"/>
        <w:autoSpaceDN w:val="0"/>
        <w:adjustRightInd w:val="0"/>
        <w:spacing w:after="0"/>
        <w:rPr>
          <w:rFonts w:cstheme="minorHAnsi"/>
          <w:color w:val="000000"/>
        </w:rPr>
      </w:pPr>
      <w:r w:rsidRPr="00262F3A">
        <w:rPr>
          <w:rFonts w:cstheme="minorHAnsi"/>
          <w:color w:val="000000"/>
        </w:rPr>
        <w:t xml:space="preserve">The IAC was established in 2013 through the NDIS Act to bring the views of participants, carers and experts to the heart of the NDIS. The IAC provides the Board with independent advice, which the Board must consider when performing its duties. The IAC met 11 times in the past 12 months. </w:t>
      </w:r>
    </w:p>
    <w:p w14:paraId="48D08332" w14:textId="7970D4BA" w:rsidR="00D36D6C" w:rsidRPr="00262F3A" w:rsidRDefault="00D36D6C" w:rsidP="00D36D6C">
      <w:pPr>
        <w:spacing w:line="256" w:lineRule="auto"/>
        <w:rPr>
          <w:rFonts w:eastAsia="Georgia" w:cstheme="minorHAnsi"/>
        </w:rPr>
      </w:pPr>
      <w:r w:rsidRPr="00262F3A">
        <w:rPr>
          <w:rFonts w:cstheme="minorHAnsi"/>
          <w:color w:val="000000"/>
        </w:rPr>
        <w:t>During 2020, the IAC completed i</w:t>
      </w:r>
      <w:r w:rsidRPr="00262F3A">
        <w:rPr>
          <w:rFonts w:cstheme="minorHAnsi"/>
        </w:rPr>
        <w:t>mportant work. This included the paper on Early Childhood Early Intervention that has been vital in shaping the Agency’s ECEI Strategy Reset Project; the Participants who are Parents paper</w:t>
      </w:r>
      <w:r w:rsidR="00070203">
        <w:rPr>
          <w:rFonts w:cstheme="minorHAnsi"/>
        </w:rPr>
        <w:t xml:space="preserve">; </w:t>
      </w:r>
      <w:r w:rsidRPr="00262F3A">
        <w:rPr>
          <w:rFonts w:cstheme="minorHAnsi"/>
        </w:rPr>
        <w:t xml:space="preserve">and advice on support for decision-making. In addition, the IAC played a critical role in providing timely advice on COVID-19, which helped shape the Agency’s response.  </w:t>
      </w:r>
    </w:p>
    <w:p w14:paraId="0245FC7F" w14:textId="77777777" w:rsidR="00D36D6C" w:rsidRPr="00262F3A" w:rsidRDefault="00D36D6C" w:rsidP="00D36D6C">
      <w:pPr>
        <w:pStyle w:val="Heading5"/>
      </w:pPr>
      <w:r w:rsidRPr="00262F3A">
        <w:t xml:space="preserve">Reference groups </w:t>
      </w:r>
    </w:p>
    <w:p w14:paraId="51F433C1" w14:textId="77777777" w:rsidR="00D36D6C" w:rsidRPr="00262F3A" w:rsidRDefault="00D36D6C" w:rsidP="00D36D6C">
      <w:pPr>
        <w:autoSpaceDE w:val="0"/>
        <w:autoSpaceDN w:val="0"/>
        <w:adjustRightInd w:val="0"/>
        <w:spacing w:after="0"/>
        <w:rPr>
          <w:rFonts w:cstheme="minorHAnsi"/>
          <w:color w:val="000000"/>
        </w:rPr>
      </w:pPr>
      <w:r w:rsidRPr="00262F3A">
        <w:rPr>
          <w:rFonts w:cstheme="minorHAnsi"/>
          <w:color w:val="000000"/>
        </w:rPr>
        <w:t>The NDIA has a number of reference groups, advisory groups and small working groups drawn from stakeholders who provide advice to the Agency on the design, development and implementation of aspects of the Scheme. These groups have clear terms of reference and deliverables linked to the NDIA Corporate Plan. Current reference groups include:</w:t>
      </w:r>
    </w:p>
    <w:p w14:paraId="207265FC" w14:textId="77777777" w:rsidR="00D36D6C" w:rsidRPr="00262F3A" w:rsidRDefault="00D36D6C" w:rsidP="00AF2A24">
      <w:pPr>
        <w:pStyle w:val="ListParagraph"/>
        <w:numPr>
          <w:ilvl w:val="0"/>
          <w:numId w:val="36"/>
        </w:numPr>
      </w:pPr>
      <w:r w:rsidRPr="00262F3A">
        <w:t>Autism Advisory Group (AAG)</w:t>
      </w:r>
    </w:p>
    <w:p w14:paraId="5FBF2A1E" w14:textId="77777777" w:rsidR="00D36D6C" w:rsidRPr="00262F3A" w:rsidRDefault="00D36D6C" w:rsidP="00AF2A24">
      <w:pPr>
        <w:pStyle w:val="ListParagraph"/>
        <w:numPr>
          <w:ilvl w:val="0"/>
          <w:numId w:val="36"/>
        </w:numPr>
      </w:pPr>
      <w:r w:rsidRPr="00262F3A">
        <w:t>CEO Forum</w:t>
      </w:r>
    </w:p>
    <w:p w14:paraId="43BFBC3B" w14:textId="77777777" w:rsidR="00D36D6C" w:rsidRPr="00262F3A" w:rsidRDefault="00D36D6C" w:rsidP="00AF2A24">
      <w:pPr>
        <w:pStyle w:val="ListParagraph"/>
        <w:numPr>
          <w:ilvl w:val="0"/>
          <w:numId w:val="36"/>
        </w:numPr>
      </w:pPr>
      <w:r w:rsidRPr="00262F3A">
        <w:t>Industry Reference Group (IRG)</w:t>
      </w:r>
    </w:p>
    <w:p w14:paraId="2DA4FC86" w14:textId="77777777" w:rsidR="00D36D6C" w:rsidRPr="00262F3A" w:rsidRDefault="00D36D6C" w:rsidP="00AF2A24">
      <w:pPr>
        <w:pStyle w:val="ListParagraph"/>
        <w:numPr>
          <w:ilvl w:val="0"/>
          <w:numId w:val="36"/>
        </w:numPr>
      </w:pPr>
      <w:r w:rsidRPr="00262F3A">
        <w:t>National Mental Health Sector Reference Group (NMHSRG)</w:t>
      </w:r>
    </w:p>
    <w:p w14:paraId="2D787965" w14:textId="77777777" w:rsidR="00D36D6C" w:rsidRPr="00262F3A" w:rsidRDefault="00D36D6C" w:rsidP="00AF2A24">
      <w:pPr>
        <w:pStyle w:val="ListParagraph"/>
        <w:numPr>
          <w:ilvl w:val="0"/>
          <w:numId w:val="36"/>
        </w:numPr>
      </w:pPr>
      <w:r w:rsidRPr="00262F3A">
        <w:t>Participant Reference Group (PRG)</w:t>
      </w:r>
    </w:p>
    <w:p w14:paraId="01D5F3EF" w14:textId="77777777" w:rsidR="00D36D6C" w:rsidRPr="00262F3A" w:rsidRDefault="00D36D6C" w:rsidP="00AF2A24">
      <w:pPr>
        <w:pStyle w:val="ListParagraph"/>
        <w:numPr>
          <w:ilvl w:val="0"/>
          <w:numId w:val="36"/>
        </w:numPr>
      </w:pPr>
      <w:r w:rsidRPr="00262F3A">
        <w:t>Pricing Reference Group</w:t>
      </w:r>
    </w:p>
    <w:p w14:paraId="07FBBBF2" w14:textId="79D57457" w:rsidR="00D36D6C" w:rsidRPr="00262F3A" w:rsidRDefault="00D36D6C" w:rsidP="00AF2A24">
      <w:pPr>
        <w:pStyle w:val="ListParagraph"/>
        <w:numPr>
          <w:ilvl w:val="0"/>
          <w:numId w:val="36"/>
        </w:numPr>
      </w:pPr>
      <w:r w:rsidRPr="00262F3A">
        <w:t>Specialist Disability Accommodation (SDA) Reference Group</w:t>
      </w:r>
      <w:r w:rsidR="00317EA0">
        <w:t>.</w:t>
      </w:r>
    </w:p>
    <w:p w14:paraId="60AF50BD" w14:textId="77777777" w:rsidR="00D36D6C" w:rsidRPr="00262F3A" w:rsidRDefault="00D36D6C" w:rsidP="0049736E">
      <w:pPr>
        <w:pStyle w:val="Heading6"/>
      </w:pPr>
      <w:r w:rsidRPr="00262F3A">
        <w:t xml:space="preserve">Autism Advisory Group </w:t>
      </w:r>
    </w:p>
    <w:p w14:paraId="40B93ED2" w14:textId="43209D8E" w:rsidR="00D36D6C" w:rsidRPr="00262F3A" w:rsidRDefault="00D36D6C" w:rsidP="00D36D6C">
      <w:pPr>
        <w:rPr>
          <w:rFonts w:cstheme="minorHAnsi"/>
        </w:rPr>
      </w:pPr>
      <w:r w:rsidRPr="00262F3A">
        <w:rPr>
          <w:rFonts w:cstheme="minorHAnsi"/>
        </w:rPr>
        <w:t xml:space="preserve">The </w:t>
      </w:r>
      <w:r w:rsidR="00D14F32">
        <w:rPr>
          <w:rFonts w:cstheme="minorHAnsi"/>
        </w:rPr>
        <w:t>AAG</w:t>
      </w:r>
      <w:r w:rsidRPr="00262F3A">
        <w:rPr>
          <w:rFonts w:cstheme="minorHAnsi"/>
        </w:rPr>
        <w:t xml:space="preserve"> was established to provide a strong voice on behalf of people with autism who are participating in the Scheme. It comprises autism experts, service providers and people with lived experience of autism. The AAG met five times during 2019-20.  </w:t>
      </w:r>
    </w:p>
    <w:p w14:paraId="1DABE82A" w14:textId="77777777" w:rsidR="00D36D6C" w:rsidRPr="00262F3A" w:rsidRDefault="00D36D6C" w:rsidP="0049736E">
      <w:pPr>
        <w:pStyle w:val="Heading6"/>
      </w:pPr>
      <w:r w:rsidRPr="00262F3A">
        <w:t xml:space="preserve">CEO Forum </w:t>
      </w:r>
    </w:p>
    <w:p w14:paraId="66F65FFB" w14:textId="77777777" w:rsidR="00D36D6C" w:rsidRPr="00262F3A" w:rsidRDefault="00D36D6C" w:rsidP="00D36D6C">
      <w:pPr>
        <w:rPr>
          <w:b/>
        </w:rPr>
      </w:pPr>
      <w:r w:rsidRPr="00262F3A">
        <w:t>The NDIS CEO Forum continued to be a platform for the disability sector to engage, discuss and collaborate directly with the Agency on important areas of work relating to the operation and implementation of the NDIS. Membership consisted of 24 CEOs from national peak and advocacy organisations. The CEO Forum met five times in the past 12 months.</w:t>
      </w:r>
    </w:p>
    <w:p w14:paraId="34A9119B" w14:textId="77777777" w:rsidR="00D36D6C" w:rsidRPr="00262F3A" w:rsidRDefault="00D36D6C" w:rsidP="0049736E">
      <w:pPr>
        <w:pStyle w:val="Heading6"/>
      </w:pPr>
      <w:r w:rsidRPr="00262F3A">
        <w:lastRenderedPageBreak/>
        <w:t>Industry Reference Group</w:t>
      </w:r>
    </w:p>
    <w:p w14:paraId="55153588" w14:textId="73F2FD7F" w:rsidR="00D36D6C" w:rsidRPr="00262F3A" w:rsidRDefault="00D36D6C" w:rsidP="00D36D6C">
      <w:pPr>
        <w:spacing w:after="113" w:line="260" w:lineRule="atLeast"/>
        <w:rPr>
          <w:rFonts w:eastAsia="Georgia" w:cstheme="minorHAnsi"/>
        </w:rPr>
      </w:pPr>
      <w:r w:rsidRPr="00262F3A">
        <w:rPr>
          <w:rFonts w:eastAsia="Georgia" w:cstheme="minorHAnsi"/>
        </w:rPr>
        <w:t xml:space="preserve">The </w:t>
      </w:r>
      <w:r w:rsidR="00D14F32">
        <w:rPr>
          <w:rFonts w:eastAsia="Georgia" w:cstheme="minorHAnsi"/>
        </w:rPr>
        <w:t xml:space="preserve">IRG </w:t>
      </w:r>
      <w:r w:rsidRPr="00262F3A">
        <w:rPr>
          <w:rFonts w:eastAsia="Georgia" w:cstheme="minorHAnsi"/>
        </w:rPr>
        <w:t xml:space="preserve">advises on improvements to the Scheme that will support development of a competitive market of innovative supports and services and help empower participants to achieve their goals in inclusive communities and workplaces. </w:t>
      </w:r>
    </w:p>
    <w:p w14:paraId="29B39486" w14:textId="4BF3F981" w:rsidR="00D36D6C" w:rsidRPr="00262F3A" w:rsidRDefault="00D36D6C" w:rsidP="00D36D6C">
      <w:pPr>
        <w:spacing w:after="113" w:line="260" w:lineRule="atLeast"/>
        <w:rPr>
          <w:rFonts w:eastAsia="Georgia" w:cstheme="minorHAnsi"/>
        </w:rPr>
      </w:pPr>
      <w:r w:rsidRPr="00262F3A">
        <w:rPr>
          <w:rFonts w:eastAsia="Georgia" w:cstheme="minorHAnsi"/>
        </w:rPr>
        <w:t xml:space="preserve">The </w:t>
      </w:r>
      <w:r w:rsidR="00D14F32">
        <w:rPr>
          <w:rFonts w:eastAsia="Georgia" w:cstheme="minorHAnsi"/>
        </w:rPr>
        <w:t xml:space="preserve">IRG </w:t>
      </w:r>
      <w:r w:rsidRPr="00262F3A">
        <w:rPr>
          <w:rFonts w:eastAsia="Georgia" w:cstheme="minorHAnsi"/>
        </w:rPr>
        <w:t xml:space="preserve">has provided feedback to the Agency on a number of projects, including the NDIA Research and Evaluation Strategy, participant employment strategies, the assistive technology policy, and invaluable insights into the trends and measures taken in the disability sector. The </w:t>
      </w:r>
      <w:r w:rsidR="00070203">
        <w:rPr>
          <w:rFonts w:eastAsia="Georgia" w:cstheme="minorHAnsi"/>
        </w:rPr>
        <w:t>g</w:t>
      </w:r>
      <w:r w:rsidRPr="00262F3A">
        <w:rPr>
          <w:rFonts w:eastAsia="Georgia" w:cstheme="minorHAnsi"/>
        </w:rPr>
        <w:t xml:space="preserve">roup also provided feedback on Agency initiatives during the COVID-19 pandemic. </w:t>
      </w:r>
      <w:r w:rsidRPr="00262F3A">
        <w:rPr>
          <w:rFonts w:cstheme="minorHAnsi"/>
        </w:rPr>
        <w:t>The Industry Reference Group met five times in the past 12 months.</w:t>
      </w:r>
    </w:p>
    <w:p w14:paraId="6955A4A8" w14:textId="53524501" w:rsidR="00D36D6C" w:rsidRPr="00262F3A" w:rsidRDefault="00D14F32" w:rsidP="0049736E">
      <w:pPr>
        <w:pStyle w:val="Heading6"/>
      </w:pPr>
      <w:r>
        <w:t xml:space="preserve">National </w:t>
      </w:r>
      <w:r w:rsidR="00D36D6C" w:rsidRPr="00262F3A">
        <w:t xml:space="preserve">Mental Health Sector Reference Group </w:t>
      </w:r>
    </w:p>
    <w:p w14:paraId="159AA1EB" w14:textId="4CB01067" w:rsidR="00D36D6C" w:rsidRPr="00262F3A" w:rsidRDefault="00D36D6C" w:rsidP="00D36D6C">
      <w:pPr>
        <w:rPr>
          <w:rFonts w:eastAsia="Georgia" w:cstheme="minorHAnsi"/>
        </w:rPr>
      </w:pPr>
      <w:r w:rsidRPr="00262F3A">
        <w:rPr>
          <w:rFonts w:eastAsia="Georgia" w:cstheme="minorHAnsi"/>
        </w:rPr>
        <w:t xml:space="preserve">The </w:t>
      </w:r>
      <w:r w:rsidR="00D14F32">
        <w:rPr>
          <w:rFonts w:eastAsia="Georgia" w:cstheme="minorHAnsi"/>
        </w:rPr>
        <w:t xml:space="preserve">NMHSRG </w:t>
      </w:r>
      <w:r w:rsidRPr="00262F3A">
        <w:rPr>
          <w:rFonts w:eastAsia="Georgia" w:cstheme="minorHAnsi"/>
        </w:rPr>
        <w:t xml:space="preserve">was established to develop a strong working partnership between the mental health sector and the Agency. Its membership consists of consumers, carers, representatives from peak associations, IAC members and key government representatives, including mental health commissioners. </w:t>
      </w:r>
      <w:r w:rsidRPr="00262F3A">
        <w:rPr>
          <w:rFonts w:cstheme="minorHAnsi"/>
        </w:rPr>
        <w:t xml:space="preserve">The </w:t>
      </w:r>
      <w:r w:rsidR="00D14F32">
        <w:rPr>
          <w:rFonts w:cstheme="minorHAnsi"/>
        </w:rPr>
        <w:t xml:space="preserve">NMHSRG </w:t>
      </w:r>
      <w:r w:rsidRPr="00262F3A">
        <w:rPr>
          <w:rFonts w:cstheme="minorHAnsi"/>
        </w:rPr>
        <w:t xml:space="preserve">met </w:t>
      </w:r>
      <w:r w:rsidR="00070203">
        <w:rPr>
          <w:rFonts w:cstheme="minorHAnsi"/>
        </w:rPr>
        <w:t>four</w:t>
      </w:r>
      <w:r w:rsidRPr="00262F3A">
        <w:rPr>
          <w:rFonts w:cstheme="minorHAnsi"/>
        </w:rPr>
        <w:t xml:space="preserve"> times in the past 12 months.</w:t>
      </w:r>
    </w:p>
    <w:p w14:paraId="68426286" w14:textId="77777777" w:rsidR="00D36D6C" w:rsidRPr="00262F3A" w:rsidRDefault="00D36D6C" w:rsidP="0049736E">
      <w:pPr>
        <w:pStyle w:val="Heading6"/>
      </w:pPr>
      <w:r w:rsidRPr="00262F3A">
        <w:t xml:space="preserve">Participant Reference Group </w:t>
      </w:r>
    </w:p>
    <w:p w14:paraId="55CAAAAF" w14:textId="471AC359" w:rsidR="00D36D6C" w:rsidRPr="00262F3A" w:rsidRDefault="00D36D6C" w:rsidP="00D36D6C">
      <w:pPr>
        <w:rPr>
          <w:rFonts w:eastAsia="Georgia" w:cstheme="minorHAnsi"/>
        </w:rPr>
      </w:pPr>
      <w:r w:rsidRPr="00262F3A">
        <w:rPr>
          <w:rFonts w:eastAsia="Georgia" w:cstheme="minorHAnsi"/>
        </w:rPr>
        <w:t xml:space="preserve">The </w:t>
      </w:r>
      <w:r w:rsidR="00D14F32">
        <w:rPr>
          <w:rFonts w:eastAsia="Georgia" w:cstheme="minorHAnsi"/>
        </w:rPr>
        <w:t xml:space="preserve">PRG </w:t>
      </w:r>
      <w:r w:rsidRPr="00262F3A">
        <w:rPr>
          <w:rFonts w:eastAsia="Georgia" w:cstheme="minorHAnsi"/>
        </w:rPr>
        <w:t>provides feedback on the Agency’s work on NDIS pathways and input to the continuous improvement of participant pathways</w:t>
      </w:r>
      <w:r w:rsidR="00070203">
        <w:rPr>
          <w:rFonts w:eastAsia="Georgia" w:cstheme="minorHAnsi"/>
        </w:rPr>
        <w:t xml:space="preserve"> - </w:t>
      </w:r>
      <w:r w:rsidRPr="00262F3A">
        <w:rPr>
          <w:rFonts w:eastAsia="Georgia" w:cstheme="minorHAnsi"/>
        </w:rPr>
        <w:t>the</w:t>
      </w:r>
      <w:r w:rsidRPr="00262F3A">
        <w:rPr>
          <w:rFonts w:cstheme="minorHAnsi"/>
        </w:rPr>
        <w:t xml:space="preserve"> </w:t>
      </w:r>
      <w:r w:rsidRPr="00262F3A">
        <w:rPr>
          <w:rFonts w:eastAsia="Georgia" w:cstheme="minorHAnsi"/>
        </w:rPr>
        <w:t xml:space="preserve">processes by which participants, their families and carers interact with the Scheme. The group comprises participants and carers from around Australia who have lived experience with disability. </w:t>
      </w:r>
      <w:r w:rsidRPr="00262F3A">
        <w:rPr>
          <w:rFonts w:cstheme="minorHAnsi"/>
        </w:rPr>
        <w:t xml:space="preserve"> The </w:t>
      </w:r>
      <w:r w:rsidR="00D14F32">
        <w:rPr>
          <w:rFonts w:cstheme="minorHAnsi"/>
        </w:rPr>
        <w:t xml:space="preserve">PRG </w:t>
      </w:r>
      <w:r w:rsidRPr="00262F3A">
        <w:rPr>
          <w:rFonts w:cstheme="minorHAnsi"/>
        </w:rPr>
        <w:t xml:space="preserve">met </w:t>
      </w:r>
      <w:r w:rsidR="00070203">
        <w:rPr>
          <w:rFonts w:cstheme="minorHAnsi"/>
        </w:rPr>
        <w:t>seven</w:t>
      </w:r>
      <w:r w:rsidRPr="00262F3A">
        <w:rPr>
          <w:rFonts w:cstheme="minorHAnsi"/>
        </w:rPr>
        <w:t xml:space="preserve"> times in the past 12 months.</w:t>
      </w:r>
    </w:p>
    <w:p w14:paraId="5B02ED04" w14:textId="77777777" w:rsidR="00D36D6C" w:rsidRPr="00262F3A" w:rsidRDefault="00D36D6C" w:rsidP="0049736E">
      <w:pPr>
        <w:pStyle w:val="Heading6"/>
      </w:pPr>
      <w:r w:rsidRPr="00262F3A">
        <w:t xml:space="preserve">Pricing Reference Group </w:t>
      </w:r>
    </w:p>
    <w:p w14:paraId="1A4B8C72" w14:textId="77777777" w:rsidR="00D36D6C" w:rsidRPr="00262F3A" w:rsidRDefault="00D36D6C" w:rsidP="00D36D6C">
      <w:pPr>
        <w:rPr>
          <w:rFonts w:cstheme="minorHAnsi"/>
        </w:rPr>
      </w:pPr>
      <w:r w:rsidRPr="00262F3A">
        <w:rPr>
          <w:rFonts w:cstheme="minorHAnsi"/>
        </w:rPr>
        <w:t xml:space="preserve">The Pricing Reference Group was established in 2018 in response to the Independent Pricing Review. It provides advice to the Board through the CEO. Through the Pricing Reference Group, the Agency has a formal process to review NDIS pricing arrangements, conduct robust market reviews and determine how to consult and engage with sector stakeholders. This process includes evaluation and endorsement of the Annual Price Review outcomes.  </w:t>
      </w:r>
    </w:p>
    <w:p w14:paraId="5F57AAA8" w14:textId="77777777" w:rsidR="00D36D6C" w:rsidRPr="00262F3A" w:rsidRDefault="00D36D6C" w:rsidP="00D36D6C">
      <w:pPr>
        <w:rPr>
          <w:color w:val="1F497D"/>
        </w:rPr>
      </w:pPr>
      <w:r w:rsidRPr="00262F3A">
        <w:rPr>
          <w:rFonts w:cstheme="minorHAnsi"/>
        </w:rPr>
        <w:t>During 2019–20, the Pricing Reference Group provided advice on the pricing arrangements for supports in employment, individualised living options, hearing supports, psychosocial recovery coaches, supported independent living and specialist disability accommodation.</w:t>
      </w:r>
      <w:r w:rsidRPr="00262F3A">
        <w:t xml:space="preserve"> The Pricing Reference Group met eight times in the past 12 months. </w:t>
      </w:r>
    </w:p>
    <w:p w14:paraId="413AE68B" w14:textId="77777777" w:rsidR="00D36D6C" w:rsidRPr="00262F3A" w:rsidRDefault="00D36D6C" w:rsidP="0049736E">
      <w:pPr>
        <w:pStyle w:val="Heading6"/>
      </w:pPr>
      <w:r w:rsidRPr="00262F3A">
        <w:t xml:space="preserve">Specialist Disability Accommodation Reference Group </w:t>
      </w:r>
    </w:p>
    <w:p w14:paraId="0BAB3179" w14:textId="68C51A93" w:rsidR="00D36D6C" w:rsidRPr="00262F3A" w:rsidRDefault="00D36D6C" w:rsidP="00D36D6C">
      <w:pPr>
        <w:spacing w:after="113" w:line="260" w:lineRule="atLeast"/>
        <w:rPr>
          <w:rFonts w:eastAsia="Georgia" w:cstheme="minorHAnsi"/>
        </w:rPr>
      </w:pPr>
      <w:r w:rsidRPr="00262F3A">
        <w:rPr>
          <w:rFonts w:eastAsia="Georgia" w:cstheme="minorHAnsi"/>
        </w:rPr>
        <w:t xml:space="preserve">The </w:t>
      </w:r>
      <w:r w:rsidR="00D14F32">
        <w:rPr>
          <w:rFonts w:eastAsia="Georgia" w:cstheme="minorHAnsi"/>
        </w:rPr>
        <w:t>SDA</w:t>
      </w:r>
      <w:r w:rsidRPr="00262F3A">
        <w:rPr>
          <w:rFonts w:eastAsia="Georgia" w:cstheme="minorHAnsi"/>
        </w:rPr>
        <w:t xml:space="preserve"> Reference Group was established in March 2019 to support the development of the </w:t>
      </w:r>
      <w:r w:rsidR="00070203">
        <w:rPr>
          <w:rFonts w:eastAsia="Georgia" w:cstheme="minorHAnsi"/>
        </w:rPr>
        <w:t>SDA</w:t>
      </w:r>
      <w:r w:rsidRPr="00262F3A">
        <w:rPr>
          <w:rFonts w:eastAsia="Georgia" w:cstheme="minorHAnsi"/>
        </w:rPr>
        <w:t xml:space="preserve"> market, increase choice and control for participants, and ensure the long-term viability of </w:t>
      </w:r>
      <w:r w:rsidR="00070203">
        <w:rPr>
          <w:rFonts w:eastAsia="Georgia" w:cstheme="minorHAnsi"/>
        </w:rPr>
        <w:t>SDA</w:t>
      </w:r>
      <w:r w:rsidRPr="00262F3A">
        <w:rPr>
          <w:rFonts w:eastAsia="Georgia" w:cstheme="minorHAnsi"/>
        </w:rPr>
        <w:t xml:space="preserve"> investments under the Scheme. The creation of this group demonstrates the Agency’s commitment to the sustainability of the </w:t>
      </w:r>
      <w:r w:rsidR="00070203">
        <w:rPr>
          <w:rFonts w:eastAsia="Georgia" w:cstheme="minorHAnsi"/>
        </w:rPr>
        <w:t>SDA</w:t>
      </w:r>
      <w:r w:rsidRPr="00262F3A">
        <w:rPr>
          <w:rFonts w:eastAsia="Georgia" w:cstheme="minorHAnsi"/>
        </w:rPr>
        <w:t xml:space="preserve"> market and improving the participant experience. </w:t>
      </w:r>
    </w:p>
    <w:p w14:paraId="4195B3AB" w14:textId="3F4BC231" w:rsidR="00D36D6C" w:rsidRPr="00262F3A" w:rsidRDefault="00D36D6C" w:rsidP="00D36D6C">
      <w:pPr>
        <w:spacing w:after="113" w:line="260" w:lineRule="atLeast"/>
        <w:rPr>
          <w:rFonts w:eastAsia="Georgia" w:cstheme="minorHAnsi"/>
        </w:rPr>
      </w:pPr>
      <w:r w:rsidRPr="00262F3A">
        <w:rPr>
          <w:rFonts w:eastAsia="Georgia" w:cstheme="minorHAnsi"/>
        </w:rPr>
        <w:t xml:space="preserve">Throughout 2019–20 the </w:t>
      </w:r>
      <w:r w:rsidR="00D14F32">
        <w:rPr>
          <w:rFonts w:eastAsia="Georgia" w:cstheme="minorHAnsi"/>
        </w:rPr>
        <w:t xml:space="preserve">SDA </w:t>
      </w:r>
      <w:r w:rsidRPr="00262F3A">
        <w:rPr>
          <w:rFonts w:eastAsia="Georgia" w:cstheme="minorHAnsi"/>
        </w:rPr>
        <w:t xml:space="preserve">Reference Group provided advice on key programs and improvements such as design standards, operational guidelines, the </w:t>
      </w:r>
      <w:r w:rsidR="00D14F32">
        <w:rPr>
          <w:rFonts w:eastAsia="Georgia" w:cstheme="minorHAnsi"/>
        </w:rPr>
        <w:t>SDA</w:t>
      </w:r>
      <w:r w:rsidRPr="00262F3A">
        <w:rPr>
          <w:rFonts w:eastAsia="Georgia" w:cstheme="minorHAnsi"/>
        </w:rPr>
        <w:t xml:space="preserve"> Innovation Plan, medium-term accommodation and amendments to the </w:t>
      </w:r>
      <w:r w:rsidR="00D14F32">
        <w:rPr>
          <w:rFonts w:eastAsia="Georgia" w:cstheme="minorHAnsi"/>
        </w:rPr>
        <w:t>SDA</w:t>
      </w:r>
      <w:r w:rsidRPr="00262F3A">
        <w:rPr>
          <w:rFonts w:eastAsia="Georgia" w:cstheme="minorHAnsi"/>
        </w:rPr>
        <w:t xml:space="preserve"> Rules and Pricing released in July 2020. The </w:t>
      </w:r>
      <w:r w:rsidR="00D14F32">
        <w:rPr>
          <w:rFonts w:eastAsia="Georgia" w:cstheme="minorHAnsi"/>
        </w:rPr>
        <w:t>SDA</w:t>
      </w:r>
      <w:r w:rsidRPr="00262F3A">
        <w:rPr>
          <w:rFonts w:eastAsia="Georgia" w:cstheme="minorHAnsi"/>
        </w:rPr>
        <w:t xml:space="preserve"> Reference Group met six times in the past 12 months.</w:t>
      </w:r>
    </w:p>
    <w:p w14:paraId="271A7041" w14:textId="77777777" w:rsidR="00D36D6C" w:rsidRPr="00262F3A" w:rsidRDefault="00D36D6C" w:rsidP="00D36D6C">
      <w:pPr>
        <w:pStyle w:val="Heading5"/>
      </w:pPr>
      <w:r w:rsidRPr="00262F3A">
        <w:t xml:space="preserve">Sector sentiment and satisfaction </w:t>
      </w:r>
    </w:p>
    <w:p w14:paraId="3C512BE1" w14:textId="748C1A33" w:rsidR="00D36D6C" w:rsidRPr="00262F3A" w:rsidRDefault="00D36D6C" w:rsidP="00D36D6C">
      <w:pPr>
        <w:rPr>
          <w:rFonts w:cstheme="minorHAnsi"/>
          <w:b/>
        </w:rPr>
      </w:pPr>
      <w:r w:rsidRPr="00262F3A">
        <w:rPr>
          <w:rFonts w:cstheme="minorHAnsi"/>
        </w:rPr>
        <w:t xml:space="preserve">The Agency continued to closely monitor sector sentiment and satisfaction to inform our partnerships </w:t>
      </w:r>
      <w:r w:rsidR="00070203">
        <w:rPr>
          <w:rFonts w:cstheme="minorHAnsi"/>
        </w:rPr>
        <w:t xml:space="preserve">and </w:t>
      </w:r>
      <w:r w:rsidRPr="00262F3A">
        <w:rPr>
          <w:rFonts w:cstheme="minorHAnsi"/>
        </w:rPr>
        <w:t>to help inform our approach going forward. The NDIA stakeholder sentiment survey of leaders from key stakeholder organisations was conducted in February 2020. The average rating of the experience of interacting with the Agency has increased to 5.89 out of 10, compared to 5.28 in November 2018 and 5.23 in July 2019, exceeding the 2019–20 target of 5.5.</w:t>
      </w:r>
    </w:p>
    <w:p w14:paraId="110D2E68" w14:textId="77777777" w:rsidR="00D36D6C" w:rsidRPr="00262F3A" w:rsidRDefault="00D36D6C" w:rsidP="003F018E">
      <w:pPr>
        <w:pStyle w:val="Heading5"/>
      </w:pPr>
      <w:r w:rsidRPr="00262F3A">
        <w:lastRenderedPageBreak/>
        <w:t xml:space="preserve">Participant engagement model </w:t>
      </w:r>
    </w:p>
    <w:p w14:paraId="41BA1330" w14:textId="252F6DE9" w:rsidR="00D36D6C" w:rsidRPr="00262F3A" w:rsidRDefault="00D36D6C" w:rsidP="00D36D6C">
      <w:pPr>
        <w:rPr>
          <w:rFonts w:cstheme="minorHAnsi"/>
        </w:rPr>
      </w:pPr>
      <w:r w:rsidRPr="00262F3A">
        <w:rPr>
          <w:rFonts w:cstheme="minorHAnsi"/>
        </w:rPr>
        <w:t xml:space="preserve">The Agency </w:t>
      </w:r>
      <w:r w:rsidR="00494E4A">
        <w:rPr>
          <w:rFonts w:cstheme="minorHAnsi"/>
        </w:rPr>
        <w:t xml:space="preserve">recognises the important role </w:t>
      </w:r>
      <w:r w:rsidRPr="00262F3A">
        <w:rPr>
          <w:rFonts w:cstheme="minorHAnsi"/>
        </w:rPr>
        <w:t xml:space="preserve">participants, their families and carers play in identifying opportunities for service improvement and working collaboratively with the Agency on the design and implementation of policy and service improvement projects. </w:t>
      </w:r>
    </w:p>
    <w:p w14:paraId="1A7EF640" w14:textId="27984103" w:rsidR="00D36D6C" w:rsidRPr="00262F3A" w:rsidRDefault="00D36D6C" w:rsidP="00D36D6C">
      <w:pPr>
        <w:rPr>
          <w:rFonts w:cstheme="minorHAnsi"/>
        </w:rPr>
      </w:pPr>
      <w:r w:rsidRPr="00262F3A">
        <w:rPr>
          <w:rFonts w:cstheme="minorHAnsi"/>
        </w:rPr>
        <w:t xml:space="preserve">The new Participant First Engagement Model was launched in May 2020. Using this model, Agency business teams engage directly with participants, drawing on their experiences and expertise to support a range of policy and service improvements. </w:t>
      </w:r>
    </w:p>
    <w:p w14:paraId="5F62F998" w14:textId="522C4B19" w:rsidR="00D36D6C" w:rsidRPr="00262F3A" w:rsidRDefault="00D36D6C" w:rsidP="00D36D6C">
      <w:pPr>
        <w:rPr>
          <w:rFonts w:cstheme="minorHAnsi"/>
        </w:rPr>
      </w:pPr>
      <w:r w:rsidRPr="00262F3A">
        <w:rPr>
          <w:rFonts w:cstheme="minorHAnsi"/>
        </w:rPr>
        <w:t xml:space="preserve">In 2019–20, participants collaborated with the Agency to ensure that the design and outcomes </w:t>
      </w:r>
      <w:r w:rsidR="00070203">
        <w:rPr>
          <w:rFonts w:cstheme="minorHAnsi"/>
        </w:rPr>
        <w:t>of</w:t>
      </w:r>
      <w:r w:rsidRPr="00262F3A">
        <w:rPr>
          <w:rFonts w:cstheme="minorHAnsi"/>
        </w:rPr>
        <w:t xml:space="preserve"> a number of initiatives met the expectations of participants, the Agency and government. These included the future role of </w:t>
      </w:r>
      <w:r w:rsidR="00070203">
        <w:rPr>
          <w:rFonts w:cstheme="minorHAnsi"/>
        </w:rPr>
        <w:t>LACs</w:t>
      </w:r>
      <w:r w:rsidRPr="00262F3A">
        <w:rPr>
          <w:rFonts w:cstheme="minorHAnsi"/>
        </w:rPr>
        <w:t xml:space="preserve">, self-management resources, </w:t>
      </w:r>
      <w:r w:rsidR="00070203">
        <w:rPr>
          <w:rFonts w:cstheme="minorHAnsi"/>
        </w:rPr>
        <w:t xml:space="preserve">the </w:t>
      </w:r>
      <w:r w:rsidRPr="00262F3A">
        <w:rPr>
          <w:rFonts w:cstheme="minorHAnsi"/>
        </w:rPr>
        <w:t>NDIS portal refresh, assistive technology and home modification, and plan goals and attainment.</w:t>
      </w:r>
    </w:p>
    <w:p w14:paraId="25F4393B" w14:textId="4940F57E" w:rsidR="003F018E" w:rsidRPr="00262F3A" w:rsidRDefault="003F018E" w:rsidP="003F018E">
      <w:pPr>
        <w:pStyle w:val="Heading4"/>
      </w:pPr>
      <w:r w:rsidRPr="00262F3A">
        <w:t xml:space="preserve">A financially sustainable </w:t>
      </w:r>
      <w:r w:rsidR="00070203">
        <w:t>s</w:t>
      </w:r>
      <w:r w:rsidRPr="00262F3A">
        <w:t>cheme</w:t>
      </w:r>
    </w:p>
    <w:p w14:paraId="28239675" w14:textId="584E0388" w:rsidR="003F018E" w:rsidRPr="00262F3A" w:rsidRDefault="003F018E" w:rsidP="003F018E">
      <w:pPr>
        <w:pStyle w:val="Heading5"/>
      </w:pPr>
      <w:r w:rsidRPr="00262F3A">
        <w:t xml:space="preserve">Scheme </w:t>
      </w:r>
      <w:r w:rsidR="00070203">
        <w:t>c</w:t>
      </w:r>
      <w:r w:rsidRPr="00262F3A">
        <w:t xml:space="preserve">osts </w:t>
      </w:r>
    </w:p>
    <w:p w14:paraId="784FDF97" w14:textId="43EA686D" w:rsidR="003F018E" w:rsidRPr="00262F3A" w:rsidRDefault="003F018E" w:rsidP="003F018E">
      <w:pPr>
        <w:autoSpaceDE w:val="0"/>
        <w:autoSpaceDN w:val="0"/>
        <w:adjustRightInd w:val="0"/>
      </w:pPr>
      <w:r w:rsidRPr="00262F3A">
        <w:t>Scheme projections are in line with the estimates shown in the 2017 Productivity Commission report on NDIS costs at 202</w:t>
      </w:r>
      <w:r w:rsidR="00FE23EA">
        <w:t>1-22</w:t>
      </w:r>
      <w:r w:rsidRPr="00262F3A">
        <w:t>, after allowing for costs not included in the Productivity Commission estimate, such as the introduction of school transport, personal care in schools, developmental delay and the incomplete implementation of the National Injury Insurance Scheme.</w:t>
      </w:r>
    </w:p>
    <w:p w14:paraId="2B41A2EF" w14:textId="0A2F2D1E" w:rsidR="003F018E" w:rsidRPr="00262F3A" w:rsidRDefault="003F018E" w:rsidP="003F018E">
      <w:pPr>
        <w:rPr>
          <w:b/>
          <w:i/>
        </w:rPr>
      </w:pPr>
      <w:r w:rsidRPr="00262F3A">
        <w:rPr>
          <w:b/>
        </w:rPr>
        <w:t xml:space="preserve">Table </w:t>
      </w:r>
      <w:r w:rsidR="000E1639" w:rsidRPr="00262F3A">
        <w:rPr>
          <w:b/>
        </w:rPr>
        <w:t>2.2.3A</w:t>
      </w:r>
      <w:r w:rsidRPr="00262F3A">
        <w:rPr>
          <w:b/>
        </w:rPr>
        <w:t xml:space="preserve">: </w:t>
      </w:r>
      <w:r w:rsidRPr="00262F3A">
        <w:t>Committed supports ($m) and payments</w:t>
      </w:r>
    </w:p>
    <w:tbl>
      <w:tblPr>
        <w:tblStyle w:val="TableGrid"/>
        <w:tblW w:w="0" w:type="auto"/>
        <w:tblInd w:w="562" w:type="dxa"/>
        <w:tblLook w:val="0420" w:firstRow="1" w:lastRow="0" w:firstColumn="0" w:lastColumn="0" w:noHBand="0" w:noVBand="1"/>
        <w:tblDescription w:val="Committed supports ($m) and payments"/>
      </w:tblPr>
      <w:tblGrid>
        <w:gridCol w:w="1239"/>
        <w:gridCol w:w="1145"/>
        <w:gridCol w:w="1159"/>
        <w:gridCol w:w="1159"/>
        <w:gridCol w:w="1171"/>
        <w:gridCol w:w="1183"/>
        <w:gridCol w:w="1196"/>
        <w:gridCol w:w="1211"/>
      </w:tblGrid>
      <w:tr w:rsidR="003F018E" w:rsidRPr="00262F3A" w14:paraId="14307D31" w14:textId="77777777" w:rsidTr="00A9769D">
        <w:trPr>
          <w:tblHeader/>
        </w:trPr>
        <w:tc>
          <w:tcPr>
            <w:tcW w:w="789" w:type="dxa"/>
            <w:shd w:val="clear" w:color="auto" w:fill="7030A0"/>
          </w:tcPr>
          <w:p w14:paraId="0556011F" w14:textId="77777777" w:rsidR="003F018E" w:rsidRPr="00262F3A" w:rsidRDefault="003F018E" w:rsidP="003F018E">
            <w:pPr>
              <w:pStyle w:val="Tableformat"/>
              <w:rPr>
                <w:rFonts w:eastAsiaTheme="minorHAnsi"/>
                <w:color w:val="FFFFFF" w:themeColor="background1"/>
              </w:rPr>
            </w:pPr>
          </w:p>
        </w:tc>
        <w:tc>
          <w:tcPr>
            <w:tcW w:w="1233" w:type="dxa"/>
            <w:shd w:val="clear" w:color="auto" w:fill="7030A0"/>
          </w:tcPr>
          <w:p w14:paraId="4F75B91C"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2013–14</w:t>
            </w:r>
          </w:p>
        </w:tc>
        <w:tc>
          <w:tcPr>
            <w:tcW w:w="1237" w:type="dxa"/>
            <w:shd w:val="clear" w:color="auto" w:fill="7030A0"/>
          </w:tcPr>
          <w:p w14:paraId="724B3F82"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2014–15</w:t>
            </w:r>
          </w:p>
        </w:tc>
        <w:tc>
          <w:tcPr>
            <w:tcW w:w="1237" w:type="dxa"/>
            <w:shd w:val="clear" w:color="auto" w:fill="7030A0"/>
          </w:tcPr>
          <w:p w14:paraId="4BD06459"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2015–16</w:t>
            </w:r>
          </w:p>
        </w:tc>
        <w:tc>
          <w:tcPr>
            <w:tcW w:w="1239" w:type="dxa"/>
            <w:shd w:val="clear" w:color="auto" w:fill="7030A0"/>
          </w:tcPr>
          <w:p w14:paraId="14A68992"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2016–17</w:t>
            </w:r>
          </w:p>
        </w:tc>
        <w:tc>
          <w:tcPr>
            <w:tcW w:w="1241" w:type="dxa"/>
            <w:shd w:val="clear" w:color="auto" w:fill="7030A0"/>
          </w:tcPr>
          <w:p w14:paraId="53F85458"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2017–18</w:t>
            </w:r>
          </w:p>
        </w:tc>
        <w:tc>
          <w:tcPr>
            <w:tcW w:w="1243" w:type="dxa"/>
            <w:shd w:val="clear" w:color="auto" w:fill="7030A0"/>
          </w:tcPr>
          <w:p w14:paraId="78C8978C" w14:textId="77777777" w:rsidR="003F018E" w:rsidRPr="00262F3A" w:rsidRDefault="003F018E" w:rsidP="003F018E">
            <w:pPr>
              <w:pStyle w:val="Tableformat"/>
              <w:rPr>
                <w:rFonts w:eastAsiaTheme="minorHAnsi"/>
                <w:color w:val="FFFFFF" w:themeColor="background1"/>
              </w:rPr>
            </w:pPr>
            <w:r w:rsidRPr="00262F3A">
              <w:rPr>
                <w:rFonts w:eastAsiaTheme="minorHAnsi"/>
                <w:b/>
                <w:color w:val="FFFFFF" w:themeColor="background1"/>
              </w:rPr>
              <w:t>2018–19</w:t>
            </w:r>
          </w:p>
        </w:tc>
        <w:tc>
          <w:tcPr>
            <w:tcW w:w="1244" w:type="dxa"/>
            <w:shd w:val="clear" w:color="auto" w:fill="7030A0"/>
          </w:tcPr>
          <w:p w14:paraId="426ABF0F" w14:textId="1702E0DE" w:rsidR="003F018E" w:rsidRPr="00262F3A" w:rsidRDefault="003F018E" w:rsidP="0066774C">
            <w:pPr>
              <w:pStyle w:val="Tableformat"/>
              <w:rPr>
                <w:rFonts w:eastAsiaTheme="minorHAnsi"/>
                <w:color w:val="FFFFFF" w:themeColor="background1"/>
              </w:rPr>
            </w:pPr>
            <w:r w:rsidRPr="00262F3A">
              <w:rPr>
                <w:rFonts w:eastAsiaTheme="minorHAnsi"/>
                <w:b/>
                <w:color w:val="FFFFFF" w:themeColor="background1"/>
              </w:rPr>
              <w:t>2019–20</w:t>
            </w:r>
          </w:p>
        </w:tc>
      </w:tr>
      <w:tr w:rsidR="003F018E" w:rsidRPr="00262F3A" w14:paraId="32DB8F22" w14:textId="77777777" w:rsidTr="00A9769D">
        <w:trPr>
          <w:tblHeader/>
        </w:trPr>
        <w:tc>
          <w:tcPr>
            <w:tcW w:w="789" w:type="dxa"/>
          </w:tcPr>
          <w:p w14:paraId="233F7301" w14:textId="77777777" w:rsidR="003F018E" w:rsidRPr="00262F3A" w:rsidRDefault="003F018E" w:rsidP="003F018E">
            <w:pPr>
              <w:pStyle w:val="Tableformat"/>
              <w:rPr>
                <w:rFonts w:eastAsiaTheme="minorHAnsi"/>
              </w:rPr>
            </w:pPr>
            <w:r w:rsidRPr="00262F3A">
              <w:rPr>
                <w:rFonts w:eastAsiaTheme="minorHAnsi"/>
              </w:rPr>
              <w:t>Active</w:t>
            </w:r>
          </w:p>
          <w:p w14:paraId="542BBBAA" w14:textId="77777777" w:rsidR="003F018E" w:rsidRPr="00262F3A" w:rsidRDefault="003F018E" w:rsidP="003F018E">
            <w:pPr>
              <w:pStyle w:val="Tableformat"/>
              <w:rPr>
                <w:rFonts w:eastAsiaTheme="minorHAnsi"/>
              </w:rPr>
            </w:pPr>
            <w:r w:rsidRPr="00262F3A">
              <w:rPr>
                <w:rFonts w:eastAsiaTheme="minorHAnsi"/>
              </w:rPr>
              <w:t>participants</w:t>
            </w:r>
          </w:p>
        </w:tc>
        <w:tc>
          <w:tcPr>
            <w:tcW w:w="1233" w:type="dxa"/>
          </w:tcPr>
          <w:p w14:paraId="2CCB3B7B" w14:textId="77777777" w:rsidR="003F018E" w:rsidRPr="00262F3A" w:rsidRDefault="003F018E" w:rsidP="003F018E">
            <w:pPr>
              <w:pStyle w:val="Tableformat"/>
              <w:rPr>
                <w:rFonts w:eastAsiaTheme="minorHAnsi"/>
              </w:rPr>
            </w:pPr>
            <w:r w:rsidRPr="00262F3A">
              <w:rPr>
                <w:rFonts w:eastAsiaTheme="minorHAnsi"/>
              </w:rPr>
              <w:t>7,285</w:t>
            </w:r>
          </w:p>
        </w:tc>
        <w:tc>
          <w:tcPr>
            <w:tcW w:w="1237" w:type="dxa"/>
          </w:tcPr>
          <w:p w14:paraId="0BB5A58B" w14:textId="77777777" w:rsidR="003F018E" w:rsidRPr="00262F3A" w:rsidRDefault="003F018E" w:rsidP="003F018E">
            <w:pPr>
              <w:pStyle w:val="Tableformat"/>
              <w:rPr>
                <w:rFonts w:eastAsiaTheme="minorHAnsi"/>
              </w:rPr>
            </w:pPr>
            <w:r w:rsidRPr="00262F3A">
              <w:rPr>
                <w:rFonts w:eastAsiaTheme="minorHAnsi"/>
              </w:rPr>
              <w:t>17,155</w:t>
            </w:r>
          </w:p>
        </w:tc>
        <w:tc>
          <w:tcPr>
            <w:tcW w:w="1237" w:type="dxa"/>
          </w:tcPr>
          <w:p w14:paraId="529C8064" w14:textId="77777777" w:rsidR="003F018E" w:rsidRPr="00262F3A" w:rsidRDefault="003F018E" w:rsidP="003F018E">
            <w:pPr>
              <w:pStyle w:val="Tableformat"/>
              <w:rPr>
                <w:rFonts w:eastAsiaTheme="minorHAnsi"/>
              </w:rPr>
            </w:pPr>
            <w:r w:rsidRPr="00262F3A">
              <w:rPr>
                <w:rFonts w:eastAsiaTheme="minorHAnsi"/>
              </w:rPr>
              <w:t>29,719</w:t>
            </w:r>
          </w:p>
        </w:tc>
        <w:tc>
          <w:tcPr>
            <w:tcW w:w="1239" w:type="dxa"/>
          </w:tcPr>
          <w:p w14:paraId="58F64D53" w14:textId="77777777" w:rsidR="003F018E" w:rsidRPr="00262F3A" w:rsidRDefault="003F018E" w:rsidP="003F018E">
            <w:pPr>
              <w:pStyle w:val="Tableformat"/>
              <w:rPr>
                <w:rFonts w:eastAsiaTheme="minorHAnsi"/>
              </w:rPr>
            </w:pPr>
            <w:r w:rsidRPr="00262F3A">
              <w:rPr>
                <w:rFonts w:eastAsiaTheme="minorHAnsi"/>
              </w:rPr>
              <w:t>89,610</w:t>
            </w:r>
          </w:p>
        </w:tc>
        <w:tc>
          <w:tcPr>
            <w:tcW w:w="1241" w:type="dxa"/>
          </w:tcPr>
          <w:p w14:paraId="7C01508D" w14:textId="77777777" w:rsidR="003F018E" w:rsidRPr="00262F3A" w:rsidRDefault="003F018E" w:rsidP="003F018E">
            <w:pPr>
              <w:pStyle w:val="Tableformat"/>
              <w:rPr>
                <w:rFonts w:eastAsiaTheme="minorHAnsi"/>
              </w:rPr>
            </w:pPr>
            <w:r w:rsidRPr="00262F3A">
              <w:rPr>
                <w:rFonts w:eastAsiaTheme="minorHAnsi"/>
              </w:rPr>
              <w:t>172,333</w:t>
            </w:r>
          </w:p>
        </w:tc>
        <w:tc>
          <w:tcPr>
            <w:tcW w:w="1243" w:type="dxa"/>
          </w:tcPr>
          <w:p w14:paraId="597C2489" w14:textId="77777777" w:rsidR="003F018E" w:rsidRPr="00262F3A" w:rsidRDefault="003F018E" w:rsidP="003F018E">
            <w:pPr>
              <w:pStyle w:val="Tableformat"/>
              <w:rPr>
                <w:rFonts w:eastAsiaTheme="minorHAnsi"/>
              </w:rPr>
            </w:pPr>
            <w:r w:rsidRPr="00262F3A">
              <w:rPr>
                <w:rFonts w:eastAsiaTheme="minorHAnsi"/>
              </w:rPr>
              <w:t>286,015</w:t>
            </w:r>
          </w:p>
        </w:tc>
        <w:tc>
          <w:tcPr>
            <w:tcW w:w="1244" w:type="dxa"/>
          </w:tcPr>
          <w:p w14:paraId="0A928A98" w14:textId="77777777" w:rsidR="003F018E" w:rsidRPr="00262F3A" w:rsidRDefault="003F018E" w:rsidP="003F018E">
            <w:pPr>
              <w:pStyle w:val="Tableformat"/>
              <w:rPr>
                <w:rFonts w:eastAsiaTheme="minorHAnsi"/>
              </w:rPr>
            </w:pPr>
            <w:r w:rsidRPr="00262F3A">
              <w:rPr>
                <w:rFonts w:eastAsiaTheme="minorHAnsi"/>
              </w:rPr>
              <w:t>391,999</w:t>
            </w:r>
          </w:p>
        </w:tc>
      </w:tr>
      <w:tr w:rsidR="003F018E" w:rsidRPr="00262F3A" w14:paraId="45766F40" w14:textId="77777777" w:rsidTr="00A9769D">
        <w:trPr>
          <w:tblHeader/>
        </w:trPr>
        <w:tc>
          <w:tcPr>
            <w:tcW w:w="789" w:type="dxa"/>
          </w:tcPr>
          <w:p w14:paraId="2C0EE1BF" w14:textId="77777777" w:rsidR="003F018E" w:rsidRPr="00262F3A" w:rsidRDefault="003F018E" w:rsidP="003F018E">
            <w:pPr>
              <w:pStyle w:val="Tableformat"/>
              <w:rPr>
                <w:rFonts w:eastAsiaTheme="minorHAnsi"/>
              </w:rPr>
            </w:pPr>
            <w:r w:rsidRPr="00262F3A">
              <w:rPr>
                <w:rFonts w:eastAsiaTheme="minorHAnsi"/>
              </w:rPr>
              <w:t>Total</w:t>
            </w:r>
          </w:p>
          <w:p w14:paraId="51F7206C" w14:textId="77777777" w:rsidR="003F018E" w:rsidRPr="00262F3A" w:rsidRDefault="003F018E" w:rsidP="003F018E">
            <w:pPr>
              <w:pStyle w:val="Tableformat"/>
              <w:rPr>
                <w:rFonts w:eastAsiaTheme="minorHAnsi"/>
              </w:rPr>
            </w:pPr>
            <w:r w:rsidRPr="00262F3A">
              <w:rPr>
                <w:rFonts w:eastAsiaTheme="minorHAnsi"/>
              </w:rPr>
              <w:t>committed ($m)</w:t>
            </w:r>
          </w:p>
        </w:tc>
        <w:tc>
          <w:tcPr>
            <w:tcW w:w="1233" w:type="dxa"/>
          </w:tcPr>
          <w:p w14:paraId="10A3A661" w14:textId="77777777" w:rsidR="003F018E" w:rsidRPr="00262F3A" w:rsidRDefault="003F018E" w:rsidP="003F018E">
            <w:pPr>
              <w:pStyle w:val="Tableformat"/>
              <w:rPr>
                <w:rFonts w:eastAsiaTheme="minorHAnsi"/>
              </w:rPr>
            </w:pPr>
            <w:r w:rsidRPr="00262F3A">
              <w:rPr>
                <w:rFonts w:eastAsiaTheme="minorHAnsi"/>
              </w:rPr>
              <w:t>132.7</w:t>
            </w:r>
          </w:p>
        </w:tc>
        <w:tc>
          <w:tcPr>
            <w:tcW w:w="1237" w:type="dxa"/>
          </w:tcPr>
          <w:p w14:paraId="7132943A" w14:textId="77777777" w:rsidR="003F018E" w:rsidRPr="00262F3A" w:rsidRDefault="003F018E" w:rsidP="003F018E">
            <w:pPr>
              <w:pStyle w:val="Tableformat"/>
              <w:rPr>
                <w:rFonts w:eastAsiaTheme="minorHAnsi"/>
              </w:rPr>
            </w:pPr>
            <w:r w:rsidRPr="00262F3A">
              <w:rPr>
                <w:rFonts w:eastAsiaTheme="minorHAnsi"/>
              </w:rPr>
              <w:t>496.7</w:t>
            </w:r>
          </w:p>
        </w:tc>
        <w:tc>
          <w:tcPr>
            <w:tcW w:w="1237" w:type="dxa"/>
          </w:tcPr>
          <w:p w14:paraId="3C6D6FBA" w14:textId="77777777" w:rsidR="003F018E" w:rsidRPr="00262F3A" w:rsidRDefault="003F018E" w:rsidP="003F018E">
            <w:pPr>
              <w:pStyle w:val="Tableformat"/>
              <w:rPr>
                <w:rFonts w:eastAsiaTheme="minorHAnsi"/>
              </w:rPr>
            </w:pPr>
            <w:r w:rsidRPr="00262F3A">
              <w:rPr>
                <w:rFonts w:eastAsiaTheme="minorHAnsi"/>
              </w:rPr>
              <w:t>939.1</w:t>
            </w:r>
          </w:p>
        </w:tc>
        <w:tc>
          <w:tcPr>
            <w:tcW w:w="1239" w:type="dxa"/>
          </w:tcPr>
          <w:p w14:paraId="4D6419BF" w14:textId="77777777" w:rsidR="003F018E" w:rsidRPr="00262F3A" w:rsidRDefault="003F018E" w:rsidP="003F018E">
            <w:pPr>
              <w:pStyle w:val="Tableformat"/>
              <w:rPr>
                <w:rFonts w:eastAsiaTheme="minorHAnsi"/>
              </w:rPr>
            </w:pPr>
            <w:r w:rsidRPr="00262F3A">
              <w:rPr>
                <w:rFonts w:eastAsiaTheme="minorHAnsi"/>
              </w:rPr>
              <w:t>3,234.4</w:t>
            </w:r>
          </w:p>
        </w:tc>
        <w:tc>
          <w:tcPr>
            <w:tcW w:w="1241" w:type="dxa"/>
          </w:tcPr>
          <w:p w14:paraId="143C92CD" w14:textId="77777777" w:rsidR="003F018E" w:rsidRPr="00262F3A" w:rsidRDefault="003F018E" w:rsidP="003F018E">
            <w:pPr>
              <w:pStyle w:val="Tableformat"/>
              <w:rPr>
                <w:rFonts w:eastAsiaTheme="minorHAnsi"/>
              </w:rPr>
            </w:pPr>
            <w:r w:rsidRPr="00262F3A">
              <w:rPr>
                <w:rFonts w:eastAsiaTheme="minorHAnsi"/>
              </w:rPr>
              <w:t>7,741.0</w:t>
            </w:r>
          </w:p>
        </w:tc>
        <w:tc>
          <w:tcPr>
            <w:tcW w:w="1243" w:type="dxa"/>
          </w:tcPr>
          <w:p w14:paraId="72D870DA" w14:textId="77777777" w:rsidR="003F018E" w:rsidRPr="00262F3A" w:rsidRDefault="003F018E" w:rsidP="003F018E">
            <w:pPr>
              <w:pStyle w:val="Tableformat"/>
              <w:rPr>
                <w:rFonts w:eastAsiaTheme="minorHAnsi"/>
              </w:rPr>
            </w:pPr>
            <w:r w:rsidRPr="00262F3A">
              <w:rPr>
                <w:rFonts w:eastAsiaTheme="minorHAnsi"/>
              </w:rPr>
              <w:t>14,567.7</w:t>
            </w:r>
          </w:p>
        </w:tc>
        <w:tc>
          <w:tcPr>
            <w:tcW w:w="1244" w:type="dxa"/>
          </w:tcPr>
          <w:p w14:paraId="746E45BE" w14:textId="77777777" w:rsidR="003F018E" w:rsidRPr="00262F3A" w:rsidRDefault="003F018E" w:rsidP="003F018E">
            <w:pPr>
              <w:pStyle w:val="Tableformat"/>
              <w:rPr>
                <w:rFonts w:eastAsiaTheme="minorHAnsi"/>
              </w:rPr>
            </w:pPr>
            <w:r w:rsidRPr="00262F3A">
              <w:rPr>
                <w:rFonts w:eastAsiaTheme="minorHAnsi"/>
              </w:rPr>
              <w:t>24,163.9</w:t>
            </w:r>
          </w:p>
        </w:tc>
      </w:tr>
      <w:tr w:rsidR="003F018E" w:rsidRPr="00262F3A" w14:paraId="227F1DF6" w14:textId="77777777" w:rsidTr="00A9769D">
        <w:trPr>
          <w:tblHeader/>
        </w:trPr>
        <w:tc>
          <w:tcPr>
            <w:tcW w:w="789" w:type="dxa"/>
          </w:tcPr>
          <w:p w14:paraId="6B96D35F" w14:textId="77777777" w:rsidR="003F018E" w:rsidRPr="00262F3A" w:rsidRDefault="003F018E" w:rsidP="003F018E">
            <w:pPr>
              <w:pStyle w:val="Tableformat"/>
              <w:rPr>
                <w:rFonts w:eastAsiaTheme="minorHAnsi"/>
              </w:rPr>
            </w:pPr>
            <w:r w:rsidRPr="00262F3A">
              <w:rPr>
                <w:rFonts w:eastAsiaTheme="minorHAnsi"/>
              </w:rPr>
              <w:t>Total paid ($m)</w:t>
            </w:r>
          </w:p>
        </w:tc>
        <w:tc>
          <w:tcPr>
            <w:tcW w:w="1233" w:type="dxa"/>
          </w:tcPr>
          <w:p w14:paraId="1437DDA6" w14:textId="77777777" w:rsidR="003F018E" w:rsidRPr="00262F3A" w:rsidRDefault="003F018E" w:rsidP="003F018E">
            <w:pPr>
              <w:pStyle w:val="Tableformat"/>
              <w:rPr>
                <w:rFonts w:eastAsiaTheme="minorHAnsi"/>
              </w:rPr>
            </w:pPr>
            <w:r w:rsidRPr="00262F3A">
              <w:rPr>
                <w:rFonts w:eastAsiaTheme="minorHAnsi"/>
              </w:rPr>
              <w:t>85.8</w:t>
            </w:r>
          </w:p>
        </w:tc>
        <w:tc>
          <w:tcPr>
            <w:tcW w:w="1237" w:type="dxa"/>
          </w:tcPr>
          <w:p w14:paraId="3E3EDFC7" w14:textId="77777777" w:rsidR="003F018E" w:rsidRPr="00262F3A" w:rsidRDefault="003F018E" w:rsidP="003F018E">
            <w:pPr>
              <w:pStyle w:val="Tableformat"/>
              <w:rPr>
                <w:rFonts w:eastAsiaTheme="minorHAnsi"/>
              </w:rPr>
            </w:pPr>
            <w:r w:rsidRPr="00262F3A">
              <w:rPr>
                <w:rFonts w:eastAsiaTheme="minorHAnsi"/>
              </w:rPr>
              <w:t>370.9</w:t>
            </w:r>
          </w:p>
        </w:tc>
        <w:tc>
          <w:tcPr>
            <w:tcW w:w="1237" w:type="dxa"/>
          </w:tcPr>
          <w:p w14:paraId="0D1BB129" w14:textId="77777777" w:rsidR="003F018E" w:rsidRPr="00262F3A" w:rsidRDefault="003F018E" w:rsidP="003F018E">
            <w:pPr>
              <w:pStyle w:val="Tableformat"/>
              <w:rPr>
                <w:rFonts w:eastAsiaTheme="minorHAnsi"/>
              </w:rPr>
            </w:pPr>
            <w:r w:rsidRPr="00262F3A">
              <w:rPr>
                <w:rFonts w:eastAsiaTheme="minorHAnsi"/>
              </w:rPr>
              <w:t>704.3</w:t>
            </w:r>
          </w:p>
        </w:tc>
        <w:tc>
          <w:tcPr>
            <w:tcW w:w="1239" w:type="dxa"/>
          </w:tcPr>
          <w:p w14:paraId="7A681987" w14:textId="77777777" w:rsidR="003F018E" w:rsidRPr="00262F3A" w:rsidRDefault="003F018E" w:rsidP="003F018E">
            <w:pPr>
              <w:pStyle w:val="Tableformat"/>
              <w:rPr>
                <w:rFonts w:eastAsiaTheme="minorHAnsi"/>
              </w:rPr>
            </w:pPr>
            <w:r w:rsidRPr="00262F3A">
              <w:rPr>
                <w:rFonts w:eastAsiaTheme="minorHAnsi"/>
              </w:rPr>
              <w:t>2,184.5</w:t>
            </w:r>
          </w:p>
        </w:tc>
        <w:tc>
          <w:tcPr>
            <w:tcW w:w="1241" w:type="dxa"/>
          </w:tcPr>
          <w:p w14:paraId="06A8539F" w14:textId="77777777" w:rsidR="003F018E" w:rsidRPr="00262F3A" w:rsidRDefault="003F018E" w:rsidP="003F018E">
            <w:pPr>
              <w:pStyle w:val="Tableformat"/>
              <w:rPr>
                <w:rFonts w:eastAsiaTheme="minorHAnsi"/>
              </w:rPr>
            </w:pPr>
            <w:r w:rsidRPr="00262F3A">
              <w:rPr>
                <w:rFonts w:eastAsiaTheme="minorHAnsi"/>
              </w:rPr>
              <w:t>5,423.7</w:t>
            </w:r>
          </w:p>
        </w:tc>
        <w:tc>
          <w:tcPr>
            <w:tcW w:w="1243" w:type="dxa"/>
          </w:tcPr>
          <w:p w14:paraId="029CACBE" w14:textId="77777777" w:rsidR="003F018E" w:rsidRPr="00262F3A" w:rsidRDefault="003F018E" w:rsidP="003F018E">
            <w:pPr>
              <w:pStyle w:val="Tableformat"/>
              <w:rPr>
                <w:rFonts w:eastAsiaTheme="minorHAnsi"/>
              </w:rPr>
            </w:pPr>
            <w:r w:rsidRPr="00262F3A">
              <w:rPr>
                <w:rFonts w:eastAsiaTheme="minorHAnsi"/>
              </w:rPr>
              <w:t>10,247.4</w:t>
            </w:r>
          </w:p>
        </w:tc>
        <w:tc>
          <w:tcPr>
            <w:tcW w:w="1244" w:type="dxa"/>
          </w:tcPr>
          <w:p w14:paraId="4F9BAE6B" w14:textId="2DFFC2A1" w:rsidR="003F018E" w:rsidRPr="00262F3A" w:rsidRDefault="003F018E" w:rsidP="003F018E">
            <w:pPr>
              <w:pStyle w:val="Tableformat"/>
              <w:rPr>
                <w:rFonts w:eastAsiaTheme="minorHAnsi"/>
              </w:rPr>
            </w:pPr>
            <w:r w:rsidRPr="00262F3A">
              <w:rPr>
                <w:rFonts w:eastAsiaTheme="minorHAnsi"/>
              </w:rPr>
              <w:t>16,114.9</w:t>
            </w:r>
            <w:r w:rsidR="0066774C" w:rsidRPr="00262F3A">
              <w:rPr>
                <w:rFonts w:eastAsiaTheme="minorHAnsi"/>
                <w:b/>
              </w:rPr>
              <w:t>*</w:t>
            </w:r>
          </w:p>
        </w:tc>
      </w:tr>
      <w:tr w:rsidR="003F018E" w:rsidRPr="00262F3A" w14:paraId="3FCF0B28" w14:textId="77777777" w:rsidTr="00A9769D">
        <w:trPr>
          <w:tblHeader/>
        </w:trPr>
        <w:tc>
          <w:tcPr>
            <w:tcW w:w="789" w:type="dxa"/>
          </w:tcPr>
          <w:p w14:paraId="01AD1DBE" w14:textId="77777777" w:rsidR="003F018E" w:rsidRPr="00262F3A" w:rsidRDefault="003F018E" w:rsidP="003F018E">
            <w:pPr>
              <w:pStyle w:val="Tableformat"/>
              <w:rPr>
                <w:rFonts w:eastAsiaTheme="minorHAnsi"/>
              </w:rPr>
            </w:pPr>
            <w:r w:rsidRPr="00262F3A">
              <w:rPr>
                <w:rFonts w:eastAsiaTheme="minorHAnsi"/>
              </w:rPr>
              <w:t>% utilised</w:t>
            </w:r>
          </w:p>
          <w:p w14:paraId="695ABE6A" w14:textId="77777777" w:rsidR="003F018E" w:rsidRPr="00262F3A" w:rsidRDefault="003F018E" w:rsidP="003F018E">
            <w:pPr>
              <w:pStyle w:val="Tableformat"/>
              <w:rPr>
                <w:rFonts w:eastAsiaTheme="minorHAnsi"/>
              </w:rPr>
            </w:pPr>
            <w:r w:rsidRPr="00262F3A">
              <w:rPr>
                <w:rFonts w:eastAsiaTheme="minorHAnsi"/>
              </w:rPr>
              <w:t>to date</w:t>
            </w:r>
          </w:p>
        </w:tc>
        <w:tc>
          <w:tcPr>
            <w:tcW w:w="1233" w:type="dxa"/>
          </w:tcPr>
          <w:p w14:paraId="5947D1C8" w14:textId="77777777" w:rsidR="003F018E" w:rsidRPr="00262F3A" w:rsidRDefault="003F018E" w:rsidP="003F018E">
            <w:pPr>
              <w:pStyle w:val="Tableformat"/>
              <w:rPr>
                <w:rFonts w:eastAsiaTheme="minorHAnsi"/>
              </w:rPr>
            </w:pPr>
            <w:r w:rsidRPr="00262F3A">
              <w:rPr>
                <w:rFonts w:eastAsiaTheme="minorHAnsi"/>
              </w:rPr>
              <w:t>65%</w:t>
            </w:r>
          </w:p>
        </w:tc>
        <w:tc>
          <w:tcPr>
            <w:tcW w:w="1237" w:type="dxa"/>
          </w:tcPr>
          <w:p w14:paraId="3347DE5E" w14:textId="77777777" w:rsidR="003F018E" w:rsidRPr="00262F3A" w:rsidRDefault="003F018E" w:rsidP="003F018E">
            <w:pPr>
              <w:pStyle w:val="Tableformat"/>
              <w:rPr>
                <w:rFonts w:eastAsiaTheme="minorHAnsi"/>
              </w:rPr>
            </w:pPr>
            <w:r w:rsidRPr="00262F3A">
              <w:rPr>
                <w:rFonts w:eastAsiaTheme="minorHAnsi"/>
              </w:rPr>
              <w:t>75%</w:t>
            </w:r>
          </w:p>
        </w:tc>
        <w:tc>
          <w:tcPr>
            <w:tcW w:w="1237" w:type="dxa"/>
          </w:tcPr>
          <w:p w14:paraId="672A8786" w14:textId="77777777" w:rsidR="003F018E" w:rsidRPr="00262F3A" w:rsidRDefault="003F018E" w:rsidP="003F018E">
            <w:pPr>
              <w:pStyle w:val="Tableformat"/>
              <w:rPr>
                <w:rFonts w:eastAsiaTheme="minorHAnsi"/>
              </w:rPr>
            </w:pPr>
            <w:r w:rsidRPr="00262F3A">
              <w:rPr>
                <w:rFonts w:eastAsiaTheme="minorHAnsi"/>
              </w:rPr>
              <w:t>75%</w:t>
            </w:r>
          </w:p>
        </w:tc>
        <w:tc>
          <w:tcPr>
            <w:tcW w:w="1239" w:type="dxa"/>
          </w:tcPr>
          <w:p w14:paraId="659E158A" w14:textId="77777777" w:rsidR="003F018E" w:rsidRPr="00262F3A" w:rsidRDefault="003F018E" w:rsidP="003F018E">
            <w:pPr>
              <w:pStyle w:val="Tableformat"/>
              <w:rPr>
                <w:rFonts w:eastAsiaTheme="minorHAnsi"/>
              </w:rPr>
            </w:pPr>
            <w:r w:rsidRPr="00262F3A">
              <w:rPr>
                <w:rFonts w:eastAsiaTheme="minorHAnsi"/>
              </w:rPr>
              <w:t>68%</w:t>
            </w:r>
          </w:p>
        </w:tc>
        <w:tc>
          <w:tcPr>
            <w:tcW w:w="1241" w:type="dxa"/>
          </w:tcPr>
          <w:p w14:paraId="7CAD449E" w14:textId="77777777" w:rsidR="003F018E" w:rsidRPr="00262F3A" w:rsidRDefault="003F018E" w:rsidP="003F018E">
            <w:pPr>
              <w:pStyle w:val="Tableformat"/>
              <w:rPr>
                <w:rFonts w:eastAsiaTheme="minorHAnsi"/>
              </w:rPr>
            </w:pPr>
            <w:r w:rsidRPr="00262F3A">
              <w:rPr>
                <w:rFonts w:eastAsiaTheme="minorHAnsi"/>
              </w:rPr>
              <w:t>70%</w:t>
            </w:r>
          </w:p>
        </w:tc>
        <w:tc>
          <w:tcPr>
            <w:tcW w:w="1243" w:type="dxa"/>
          </w:tcPr>
          <w:p w14:paraId="1E2E5A69" w14:textId="12B4E648" w:rsidR="003F018E" w:rsidRPr="00262F3A" w:rsidRDefault="003F018E" w:rsidP="003F018E">
            <w:pPr>
              <w:pStyle w:val="Tableformat"/>
              <w:rPr>
                <w:rFonts w:eastAsiaTheme="minorHAnsi"/>
              </w:rPr>
            </w:pPr>
            <w:r w:rsidRPr="00262F3A">
              <w:rPr>
                <w:rFonts w:eastAsiaTheme="minorHAnsi"/>
              </w:rPr>
              <w:t>7</w:t>
            </w:r>
            <w:r w:rsidR="003B23EF">
              <w:rPr>
                <w:rFonts w:eastAsiaTheme="minorHAnsi"/>
              </w:rPr>
              <w:t>1</w:t>
            </w:r>
            <w:r w:rsidRPr="00262F3A">
              <w:rPr>
                <w:rFonts w:eastAsiaTheme="minorHAnsi"/>
              </w:rPr>
              <w:t>%</w:t>
            </w:r>
          </w:p>
        </w:tc>
        <w:tc>
          <w:tcPr>
            <w:tcW w:w="1244" w:type="dxa"/>
          </w:tcPr>
          <w:p w14:paraId="734F2F1B" w14:textId="77777777" w:rsidR="003F018E" w:rsidRPr="00262F3A" w:rsidRDefault="003F018E" w:rsidP="003F018E">
            <w:pPr>
              <w:pStyle w:val="Tableformat"/>
              <w:rPr>
                <w:rFonts w:eastAsiaTheme="minorHAnsi"/>
              </w:rPr>
            </w:pPr>
          </w:p>
        </w:tc>
      </w:tr>
    </w:tbl>
    <w:p w14:paraId="6CCDF59C" w14:textId="3E14EBA4" w:rsidR="003F018E" w:rsidRPr="00262F3A" w:rsidRDefault="003F018E" w:rsidP="003F018E">
      <w:r w:rsidRPr="00262F3A">
        <w:t xml:space="preserve">*This number reflects payments made during the 2019-20 year for support provided in the 2019-20 year and differs from the amount in the annual </w:t>
      </w:r>
      <w:r w:rsidR="0066774C" w:rsidRPr="00262F3A">
        <w:t>financial statements</w:t>
      </w:r>
      <w:r w:rsidRPr="00262F3A">
        <w:t>. This number w</w:t>
      </w:r>
      <w:r w:rsidR="00070203">
        <w:t>ill progressively increase</w:t>
      </w:r>
      <w:r w:rsidRPr="00262F3A">
        <w:t xml:space="preserve"> and will be re-stated in subsequent quarterly reports to reflect payments made for supports provided in 2019-20 post 30 June 2020.</w:t>
      </w:r>
    </w:p>
    <w:p w14:paraId="34544D6B" w14:textId="09C70BF5" w:rsidR="003F018E" w:rsidRPr="00262F3A" w:rsidRDefault="003F018E" w:rsidP="003F018E">
      <w:pPr>
        <w:pStyle w:val="Heading5"/>
        <w:rPr>
          <w:szCs w:val="21"/>
        </w:rPr>
      </w:pPr>
      <w:r w:rsidRPr="00262F3A">
        <w:t xml:space="preserve">Addressing Scheme </w:t>
      </w:r>
      <w:r w:rsidR="00070203">
        <w:t>p</w:t>
      </w:r>
      <w:r w:rsidRPr="00262F3A">
        <w:t>ressures</w:t>
      </w:r>
    </w:p>
    <w:p w14:paraId="212AE381" w14:textId="77777777" w:rsidR="003F018E" w:rsidRPr="00262F3A" w:rsidRDefault="003F018E" w:rsidP="003F018E">
      <w:r w:rsidRPr="00262F3A">
        <w:t xml:space="preserve">Pressures on the Scheme have been identified and are being responsibly managed. The drivers of costs to the NDIS include the number of participants, the amount of support allocated to each plan, how that allocated amount will change over time, the utilisation of individual supports, and the rate at which participants exit the Scheme. </w:t>
      </w:r>
    </w:p>
    <w:p w14:paraId="4C157167" w14:textId="77777777" w:rsidR="003F018E" w:rsidRPr="00262F3A" w:rsidRDefault="003F018E" w:rsidP="003F018E">
      <w:r w:rsidRPr="00262F3A">
        <w:t xml:space="preserve">It is the responsibility of the NDIA to monitor primary pressures, detect any associated risks and manage them appropriately, using the insurance-based structure as a means of evaluating emerging experience against expectations. </w:t>
      </w:r>
    </w:p>
    <w:p w14:paraId="79666134" w14:textId="5B8EBC2D" w:rsidR="003F018E" w:rsidRPr="00262F3A" w:rsidRDefault="003F018E" w:rsidP="003F018E">
      <w:pPr>
        <w:rPr>
          <w:rFonts w:cstheme="minorHAnsi"/>
        </w:rPr>
      </w:pPr>
      <w:r w:rsidRPr="00262F3A">
        <w:rPr>
          <w:rFonts w:cstheme="minorHAnsi"/>
        </w:rPr>
        <w:lastRenderedPageBreak/>
        <w:t>The current primary financial pressures relate to the average cost of supports for participants in SIL, increasing support costs for participants not in SIL, and the interfaces and boundaries with mainstream services and community and informal supports.</w:t>
      </w:r>
    </w:p>
    <w:p w14:paraId="42E1BBE5" w14:textId="45628512" w:rsidR="003F018E" w:rsidRPr="00262F3A" w:rsidRDefault="003F018E" w:rsidP="003F018E">
      <w:pPr>
        <w:keepNext/>
        <w:rPr>
          <w:lang w:eastAsia="en-US"/>
        </w:rPr>
      </w:pPr>
      <w:r w:rsidRPr="00262F3A">
        <w:rPr>
          <w:rFonts w:cstheme="minorHAnsi"/>
          <w:b/>
        </w:rPr>
        <w:t xml:space="preserve">Figure </w:t>
      </w:r>
      <w:r w:rsidR="000E1639" w:rsidRPr="00262F3A">
        <w:rPr>
          <w:rFonts w:cstheme="minorHAnsi"/>
          <w:b/>
        </w:rPr>
        <w:t>2.2.3I</w:t>
      </w:r>
      <w:r w:rsidRPr="00262F3A">
        <w:rPr>
          <w:rFonts w:cstheme="minorHAnsi"/>
          <w:b/>
        </w:rPr>
        <w:t>:</w:t>
      </w:r>
      <w:r w:rsidRPr="00262F3A">
        <w:rPr>
          <w:rFonts w:cstheme="minorHAnsi"/>
        </w:rPr>
        <w:t xml:space="preserve"> Average annualised payments per participant by quarter – SIL participants</w:t>
      </w:r>
    </w:p>
    <w:p w14:paraId="05A7DF36" w14:textId="2200F751" w:rsidR="003F018E" w:rsidRPr="00262F3A" w:rsidRDefault="003F018E" w:rsidP="003F018E">
      <w:pPr>
        <w:ind w:left="1440"/>
      </w:pPr>
      <w:r w:rsidRPr="00262F3A">
        <w:rPr>
          <w:noProof/>
          <w:lang w:eastAsia="en-AU"/>
        </w:rPr>
        <w:drawing>
          <wp:inline distT="0" distB="0" distL="0" distR="0" wp14:anchorId="40220271" wp14:editId="1C2671D7">
            <wp:extent cx="4138613" cy="2574024"/>
            <wp:effectExtent l="0" t="0" r="0" b="0"/>
            <wp:docPr id="228" name="Picture 228" descr="Figure 2.2.3I is a bar graph. The horizontal axis has quarter and year values and the vertical axis has average annualised payments in dollars from 0 to 350 thousand dollars. The bar graph shows: Quarter 1 (Q1) 2018–19, dollars 233,000; Quarter 2 (Q2) 2018–19, dollars 236,000; Quarter 3 (Q3) 2018–19, dollars 247,000; Quarter 4 (Q4) 2018–19, dollars 258,000; Q1 2019–20, dollars 278,000; Q2 2019–20, dollars 287,000; Q3 2019¬–20, dollars 305,000; and Q4 2019–20, dollars 325,000. The bar graph also shows there was a 39 point 5 per cent increase in seven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4965"/>
                    <a:stretch/>
                  </pic:blipFill>
                  <pic:spPr bwMode="auto">
                    <a:xfrm>
                      <a:off x="0" y="0"/>
                      <a:ext cx="4145771" cy="2578476"/>
                    </a:xfrm>
                    <a:prstGeom prst="rect">
                      <a:avLst/>
                    </a:prstGeom>
                    <a:ln>
                      <a:noFill/>
                    </a:ln>
                    <a:extLst>
                      <a:ext uri="{53640926-AAD7-44D8-BBD7-CCE9431645EC}">
                        <a14:shadowObscured xmlns:a14="http://schemas.microsoft.com/office/drawing/2010/main"/>
                      </a:ext>
                    </a:extLst>
                  </pic:spPr>
                </pic:pic>
              </a:graphicData>
            </a:graphic>
          </wp:inline>
        </w:drawing>
      </w:r>
    </w:p>
    <w:p w14:paraId="2B3CE385" w14:textId="32F2B6F3" w:rsidR="00412B4D" w:rsidRPr="00AD7BDA" w:rsidRDefault="00412B4D" w:rsidP="00AD7BDA">
      <w:pPr>
        <w:keepNext/>
        <w:ind w:left="1440"/>
        <w:rPr>
          <w:rFonts w:cstheme="minorHAnsi"/>
          <w:b/>
          <w:sz w:val="16"/>
          <w:szCs w:val="16"/>
        </w:rPr>
      </w:pPr>
      <w:r w:rsidRPr="00AD7BDA">
        <w:rPr>
          <w:sz w:val="16"/>
          <w:szCs w:val="16"/>
        </w:rPr>
        <w:t>The payments are for all supports provided to participants in SIL (and not just the SIL daily activity payments).</w:t>
      </w:r>
    </w:p>
    <w:p w14:paraId="1A1CB1C0" w14:textId="012CB588" w:rsidR="003F018E" w:rsidRPr="00262F3A" w:rsidRDefault="003F018E" w:rsidP="003F018E">
      <w:pPr>
        <w:keepNext/>
        <w:rPr>
          <w:rFonts w:cstheme="minorHAnsi"/>
        </w:rPr>
      </w:pPr>
      <w:r w:rsidRPr="00262F3A">
        <w:rPr>
          <w:rFonts w:cstheme="minorHAnsi"/>
          <w:b/>
        </w:rPr>
        <w:t xml:space="preserve">Figure </w:t>
      </w:r>
      <w:r w:rsidR="000E1639" w:rsidRPr="00262F3A">
        <w:rPr>
          <w:rFonts w:cstheme="minorHAnsi"/>
          <w:b/>
        </w:rPr>
        <w:t>2.2.3J</w:t>
      </w:r>
      <w:r w:rsidRPr="00262F3A">
        <w:rPr>
          <w:rFonts w:cstheme="minorHAnsi"/>
          <w:b/>
        </w:rPr>
        <w:t xml:space="preserve">: </w:t>
      </w:r>
      <w:r w:rsidRPr="00262F3A">
        <w:rPr>
          <w:rFonts w:cstheme="minorHAnsi"/>
        </w:rPr>
        <w:t>Average annualised payments per participant by quarter – non-SIL participants</w:t>
      </w:r>
    </w:p>
    <w:p w14:paraId="46247500" w14:textId="1CEB2B9B" w:rsidR="003F018E" w:rsidRPr="00262F3A" w:rsidRDefault="003F018E" w:rsidP="003F018E">
      <w:pPr>
        <w:ind w:left="1440"/>
      </w:pPr>
      <w:r w:rsidRPr="00262F3A">
        <w:rPr>
          <w:noProof/>
          <w:lang w:eastAsia="en-AU"/>
        </w:rPr>
        <w:drawing>
          <wp:inline distT="0" distB="0" distL="0" distR="0" wp14:anchorId="04F492EF" wp14:editId="6BE3BBD6">
            <wp:extent cx="4151218" cy="2514600"/>
            <wp:effectExtent l="0" t="0" r="1905" b="0"/>
            <wp:docPr id="32" name="Picture 32" descr="The bar graph shows average annualised payments per participant by quarter – non-Supported Independent Living participants. The horizontal axis has quarter and year values and the vertical axis has average annualised payments in dollars from 0 to 40 thousand dollars. The bar graph shows: Quarter 1 (Q1) 2018–19, dollars 25,000; Quarter 2 (Q2) 2018–19, dollars 26,000; Quarter 3 (Q3) 2018–19, dollars 25,900; Quarter 4 (Q4) 2018–19, dollars 28,600; Q1 2019–20, dollars 33,000; Q2 2019–20, dollars 32,700; Q3 2019–20, dollars 32,000; Q4 2019–20, dollars 34,900. The graph also shows there was a 39 point 6 per cent increase in seven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7252"/>
                    <a:stretch/>
                  </pic:blipFill>
                  <pic:spPr bwMode="auto">
                    <a:xfrm>
                      <a:off x="0" y="0"/>
                      <a:ext cx="4157132" cy="2518183"/>
                    </a:xfrm>
                    <a:prstGeom prst="rect">
                      <a:avLst/>
                    </a:prstGeom>
                    <a:ln>
                      <a:noFill/>
                    </a:ln>
                    <a:extLst>
                      <a:ext uri="{53640926-AAD7-44D8-BBD7-CCE9431645EC}">
                        <a14:shadowObscured xmlns:a14="http://schemas.microsoft.com/office/drawing/2010/main"/>
                      </a:ext>
                    </a:extLst>
                  </pic:spPr>
                </pic:pic>
              </a:graphicData>
            </a:graphic>
          </wp:inline>
        </w:drawing>
      </w:r>
    </w:p>
    <w:p w14:paraId="70B99ED1" w14:textId="787EFD68" w:rsidR="00412B4D" w:rsidRPr="00AD7BDA" w:rsidRDefault="00412B4D" w:rsidP="00AD7BDA">
      <w:pPr>
        <w:autoSpaceDE w:val="0"/>
        <w:autoSpaceDN w:val="0"/>
        <w:adjustRightInd w:val="0"/>
        <w:spacing w:after="0"/>
        <w:ind w:left="1440"/>
        <w:rPr>
          <w:rFonts w:cstheme="minorHAnsi"/>
          <w:sz w:val="16"/>
          <w:szCs w:val="16"/>
        </w:rPr>
      </w:pPr>
      <w:r w:rsidRPr="00AD7BDA">
        <w:rPr>
          <w:sz w:val="16"/>
          <w:szCs w:val="16"/>
        </w:rPr>
        <w:t>The payments are for all supports provided to non–SIL participants.</w:t>
      </w:r>
    </w:p>
    <w:p w14:paraId="07C14139" w14:textId="77777777" w:rsidR="002E779B" w:rsidRPr="00084A73" w:rsidRDefault="002E779B" w:rsidP="002E779B">
      <w:pPr>
        <w:rPr>
          <w:rFonts w:ascii="Calibri" w:eastAsiaTheme="minorHAnsi" w:hAnsi="Calibri" w:cs="Calibri"/>
          <w:lang w:eastAsia="en-US"/>
        </w:rPr>
      </w:pPr>
      <w:r w:rsidRPr="00084A73">
        <w:t>Specific and appropriate management responses are being developed to address the primary sustainability and equity pressures. The NDIA is also working on improving consistency and equity in both access and planning decisions across all participants.</w:t>
      </w:r>
    </w:p>
    <w:p w14:paraId="6DAAF6B7" w14:textId="3C9BD6C4" w:rsidR="003F018E" w:rsidRPr="00084A73" w:rsidRDefault="002E779B" w:rsidP="003F018E">
      <w:pPr>
        <w:autoSpaceDE w:val="0"/>
        <w:autoSpaceDN w:val="0"/>
        <w:adjustRightInd w:val="0"/>
        <w:spacing w:after="0"/>
        <w:rPr>
          <w:rFonts w:cstheme="minorHAnsi"/>
        </w:rPr>
      </w:pPr>
      <w:r w:rsidRPr="00084A73">
        <w:t>The NDIA is implementing a package of NDIS reforms, including the implementation of the Government’s Response to the 2019 Review of the NDIS Act (Tune Review) and the new NDIS Participant Service Guarantee. As part of this work the NDIA will introduce independent assessments to help better align a participant’s support package with their circumstances. Independent assessments will ensure participants receive the right funding, as their plan budget will be matched to their level of functional capacity and environmental context.</w:t>
      </w:r>
      <w:r w:rsidR="00441166" w:rsidRPr="00084A73">
        <w:rPr>
          <w:rFonts w:cstheme="minorHAnsi"/>
        </w:rPr>
        <w:t xml:space="preserve"> </w:t>
      </w:r>
      <w:r w:rsidR="003F018E" w:rsidRPr="00084A73">
        <w:rPr>
          <w:rFonts w:cstheme="minorHAnsi"/>
        </w:rPr>
        <w:t xml:space="preserve"> </w:t>
      </w:r>
    </w:p>
    <w:p w14:paraId="53CEC34E" w14:textId="2A0A5B48" w:rsidR="003F018E" w:rsidRPr="00262F3A" w:rsidRDefault="003F018E" w:rsidP="003F018E">
      <w:pPr>
        <w:autoSpaceDE w:val="0"/>
        <w:autoSpaceDN w:val="0"/>
        <w:adjustRightInd w:val="0"/>
        <w:spacing w:after="0"/>
        <w:rPr>
          <w:rFonts w:cstheme="minorHAnsi"/>
          <w:color w:val="000000"/>
        </w:rPr>
      </w:pPr>
      <w:r w:rsidRPr="00084A73">
        <w:rPr>
          <w:rFonts w:cstheme="minorHAnsi"/>
        </w:rPr>
        <w:t xml:space="preserve">The NDIA has been working on a policy to reform SIL. The NDIA is conducting a </w:t>
      </w:r>
      <w:r w:rsidRPr="00262F3A">
        <w:rPr>
          <w:rFonts w:cstheme="minorHAnsi"/>
          <w:color w:val="000000"/>
        </w:rPr>
        <w:t>review of SIL price controls</w:t>
      </w:r>
      <w:r w:rsidR="00070203">
        <w:rPr>
          <w:rFonts w:cstheme="minorHAnsi"/>
          <w:color w:val="000000"/>
        </w:rPr>
        <w:t>,</w:t>
      </w:r>
      <w:r w:rsidRPr="00262F3A">
        <w:rPr>
          <w:rFonts w:cstheme="minorHAnsi"/>
          <w:color w:val="000000"/>
        </w:rPr>
        <w:t xml:space="preserve"> and new SIL-specific price limits will be included in an updated </w:t>
      </w:r>
      <w:r w:rsidR="00070203">
        <w:rPr>
          <w:rFonts w:cstheme="minorHAnsi"/>
          <w:color w:val="000000"/>
        </w:rPr>
        <w:t xml:space="preserve">NDIS </w:t>
      </w:r>
      <w:r w:rsidRPr="00262F3A">
        <w:rPr>
          <w:rFonts w:cstheme="minorHAnsi"/>
          <w:color w:val="000000"/>
        </w:rPr>
        <w:t>Price Guide released later in 2020. Until this review is</w:t>
      </w:r>
      <w:r w:rsidR="00070203">
        <w:rPr>
          <w:rFonts w:cstheme="minorHAnsi"/>
          <w:color w:val="000000"/>
        </w:rPr>
        <w:t xml:space="preserve"> complete the price limits for a</w:t>
      </w:r>
      <w:r w:rsidRPr="00262F3A">
        <w:rPr>
          <w:rFonts w:cstheme="minorHAnsi"/>
          <w:color w:val="000000"/>
        </w:rPr>
        <w:t xml:space="preserve">ssistance with </w:t>
      </w:r>
      <w:r w:rsidR="00070203">
        <w:rPr>
          <w:rFonts w:cstheme="minorHAnsi"/>
          <w:color w:val="000000"/>
        </w:rPr>
        <w:t>d</w:t>
      </w:r>
      <w:r w:rsidRPr="00262F3A">
        <w:rPr>
          <w:rFonts w:cstheme="minorHAnsi"/>
          <w:color w:val="000000"/>
        </w:rPr>
        <w:t xml:space="preserve">aily </w:t>
      </w:r>
      <w:r w:rsidR="00070203">
        <w:rPr>
          <w:rFonts w:cstheme="minorHAnsi"/>
          <w:color w:val="000000"/>
        </w:rPr>
        <w:t>l</w:t>
      </w:r>
      <w:r w:rsidRPr="00262F3A">
        <w:rPr>
          <w:rFonts w:cstheme="minorHAnsi"/>
          <w:color w:val="000000"/>
        </w:rPr>
        <w:t xml:space="preserve">iving will apply to SIL supports. The </w:t>
      </w:r>
      <w:r w:rsidR="00070203">
        <w:rPr>
          <w:rFonts w:cstheme="minorHAnsi"/>
          <w:color w:val="000000"/>
        </w:rPr>
        <w:t>a</w:t>
      </w:r>
      <w:r w:rsidRPr="00262F3A">
        <w:rPr>
          <w:rFonts w:cstheme="minorHAnsi"/>
          <w:color w:val="000000"/>
        </w:rPr>
        <w:t xml:space="preserve">ssistance with </w:t>
      </w:r>
      <w:r w:rsidR="00070203">
        <w:rPr>
          <w:rFonts w:cstheme="minorHAnsi"/>
          <w:color w:val="000000"/>
        </w:rPr>
        <w:t>d</w:t>
      </w:r>
      <w:r w:rsidRPr="00262F3A">
        <w:rPr>
          <w:rFonts w:cstheme="minorHAnsi"/>
          <w:color w:val="000000"/>
        </w:rPr>
        <w:t xml:space="preserve">aily </w:t>
      </w:r>
      <w:r w:rsidR="00070203">
        <w:rPr>
          <w:rFonts w:cstheme="minorHAnsi"/>
          <w:color w:val="000000"/>
        </w:rPr>
        <w:t>l</w:t>
      </w:r>
      <w:r w:rsidRPr="00262F3A">
        <w:rPr>
          <w:rFonts w:cstheme="minorHAnsi"/>
          <w:color w:val="000000"/>
        </w:rPr>
        <w:t xml:space="preserve">iving price limits have been in effect from 1 July 2020 for SIL supports, and these will also be applied to any open SIL quotes awaiting </w:t>
      </w:r>
      <w:r w:rsidRPr="00262F3A">
        <w:rPr>
          <w:rFonts w:cstheme="minorHAnsi"/>
          <w:color w:val="000000"/>
        </w:rPr>
        <w:lastRenderedPageBreak/>
        <w:t xml:space="preserve">approval. </w:t>
      </w:r>
      <w:r w:rsidRPr="00262F3A">
        <w:rPr>
          <w:color w:val="000000"/>
        </w:rPr>
        <w:t xml:space="preserve">Changes will be made incrementally to SIL to give participants and their families greater input, as well as more choice and control </w:t>
      </w:r>
      <w:r w:rsidR="00070203">
        <w:rPr>
          <w:color w:val="000000"/>
        </w:rPr>
        <w:t>as to</w:t>
      </w:r>
      <w:r w:rsidRPr="00262F3A">
        <w:rPr>
          <w:color w:val="000000"/>
        </w:rPr>
        <w:t xml:space="preserve"> how their SIL supports are provided, and greater oversight of their roster of care. Changes will also be made to simplify plans and budgets</w:t>
      </w:r>
      <w:r w:rsidRPr="00262F3A">
        <w:rPr>
          <w:rFonts w:cstheme="minorHAnsi"/>
          <w:color w:val="000000"/>
        </w:rPr>
        <w:t>.</w:t>
      </w:r>
    </w:p>
    <w:p w14:paraId="44744C9F" w14:textId="511CE68D" w:rsidR="003F018E" w:rsidRPr="00262F3A" w:rsidRDefault="003F018E" w:rsidP="003F018E">
      <w:pPr>
        <w:rPr>
          <w:rFonts w:cstheme="minorHAnsi"/>
          <w:color w:val="000000"/>
        </w:rPr>
      </w:pPr>
      <w:r w:rsidRPr="00262F3A">
        <w:rPr>
          <w:rFonts w:cstheme="minorHAnsi"/>
          <w:color w:val="000000"/>
        </w:rPr>
        <w:t xml:space="preserve">In addition, the NDIA is looking at more contemporary options for people who require a high level of support. Traditionally, group homes, congregate living </w:t>
      </w:r>
      <w:r w:rsidR="00070203">
        <w:rPr>
          <w:rFonts w:cstheme="minorHAnsi"/>
          <w:color w:val="000000"/>
        </w:rPr>
        <w:t>and</w:t>
      </w:r>
      <w:r w:rsidRPr="00262F3A">
        <w:rPr>
          <w:rFonts w:cstheme="minorHAnsi"/>
          <w:color w:val="000000"/>
        </w:rPr>
        <w:t xml:space="preserve"> SIL are commonly seen as living arrangement solution</w:t>
      </w:r>
      <w:r w:rsidR="00070203">
        <w:rPr>
          <w:rFonts w:cstheme="minorHAnsi"/>
          <w:color w:val="000000"/>
        </w:rPr>
        <w:t>s</w:t>
      </w:r>
      <w:r w:rsidRPr="00262F3A">
        <w:rPr>
          <w:rFonts w:cstheme="minorHAnsi"/>
          <w:color w:val="000000"/>
        </w:rPr>
        <w:t xml:space="preserve"> for people with a disability who have a high need for ongoing care. However, a number of alternative accommodation options have emerged, termed </w:t>
      </w:r>
      <w:r w:rsidR="00BC004F">
        <w:rPr>
          <w:rFonts w:cstheme="minorHAnsi"/>
          <w:color w:val="000000"/>
        </w:rPr>
        <w:t>c</w:t>
      </w:r>
      <w:r w:rsidRPr="00262F3A">
        <w:rPr>
          <w:rFonts w:cstheme="minorHAnsi"/>
          <w:color w:val="000000"/>
        </w:rPr>
        <w:t xml:space="preserve">ontemporary </w:t>
      </w:r>
      <w:r w:rsidR="00BC004F">
        <w:rPr>
          <w:rFonts w:cstheme="minorHAnsi"/>
          <w:color w:val="000000"/>
        </w:rPr>
        <w:t>i</w:t>
      </w:r>
      <w:r w:rsidRPr="00262F3A">
        <w:rPr>
          <w:rFonts w:cstheme="minorHAnsi"/>
          <w:color w:val="000000"/>
        </w:rPr>
        <w:t xml:space="preserve">ndividual </w:t>
      </w:r>
      <w:r w:rsidR="00BC004F">
        <w:rPr>
          <w:rFonts w:cstheme="minorHAnsi"/>
          <w:color w:val="000000"/>
        </w:rPr>
        <w:t>l</w:t>
      </w:r>
      <w:r w:rsidRPr="00262F3A">
        <w:rPr>
          <w:rFonts w:cstheme="minorHAnsi"/>
          <w:color w:val="000000"/>
        </w:rPr>
        <w:t xml:space="preserve">iving </w:t>
      </w:r>
      <w:r w:rsidR="00BC004F">
        <w:rPr>
          <w:rFonts w:cstheme="minorHAnsi"/>
          <w:color w:val="000000"/>
        </w:rPr>
        <w:t>o</w:t>
      </w:r>
      <w:r w:rsidRPr="00262F3A">
        <w:rPr>
          <w:rFonts w:cstheme="minorHAnsi"/>
          <w:color w:val="000000"/>
        </w:rPr>
        <w:t>ptions (ILOs). These ILOs have the potential to create a more tailored solution to care and support needs for the subset of Scheme participants with higher needs. Further, ILOs help to increase choice and control for participants and improve outcomes.</w:t>
      </w:r>
    </w:p>
    <w:p w14:paraId="22CA68F0" w14:textId="76FBD691" w:rsidR="003F018E" w:rsidRPr="00262F3A" w:rsidRDefault="00BC004F" w:rsidP="003F018E">
      <w:pPr>
        <w:pStyle w:val="Heading4"/>
      </w:pPr>
      <w:r>
        <w:t>A high-</w:t>
      </w:r>
      <w:r w:rsidR="003F018E" w:rsidRPr="00262F3A">
        <w:t>performing NDIA</w:t>
      </w:r>
    </w:p>
    <w:p w14:paraId="11FF392B" w14:textId="77777777" w:rsidR="003F018E" w:rsidRPr="00262F3A" w:rsidRDefault="003F018E" w:rsidP="003F018E">
      <w:pPr>
        <w:autoSpaceDE w:val="0"/>
        <w:autoSpaceDN w:val="0"/>
        <w:adjustRightInd w:val="0"/>
        <w:spacing w:after="0"/>
        <w:rPr>
          <w:rFonts w:cstheme="minorHAnsi"/>
        </w:rPr>
      </w:pPr>
      <w:r w:rsidRPr="00262F3A">
        <w:rPr>
          <w:rFonts w:cstheme="minorHAnsi"/>
        </w:rPr>
        <w:t>The NDIA aspires to be a high-performing service delivery organisation with the people, capabilities and systems to deliver operational goals, in a participant-centric way.</w:t>
      </w:r>
    </w:p>
    <w:p w14:paraId="5D944768" w14:textId="77777777" w:rsidR="003F018E" w:rsidRPr="00262F3A" w:rsidRDefault="003F018E" w:rsidP="003F018E">
      <w:pPr>
        <w:pStyle w:val="Heading5"/>
      </w:pPr>
      <w:r w:rsidRPr="00262F3A">
        <w:t xml:space="preserve">Workforce </w:t>
      </w:r>
    </w:p>
    <w:p w14:paraId="1CB4BECB" w14:textId="4E84AF8D" w:rsidR="003F018E" w:rsidRPr="00262F3A" w:rsidRDefault="003F018E" w:rsidP="003F018E">
      <w:pPr>
        <w:autoSpaceDE w:val="0"/>
        <w:autoSpaceDN w:val="0"/>
        <w:adjustRightInd w:val="0"/>
        <w:spacing w:after="0"/>
      </w:pPr>
      <w:r w:rsidRPr="00262F3A">
        <w:rPr>
          <w:rFonts w:cstheme="minorHAnsi"/>
        </w:rPr>
        <w:t>The NDIA has continued to grow its workforce to meet the needs of participants, their families and carers.</w:t>
      </w:r>
      <w:r w:rsidRPr="00262F3A">
        <w:t xml:space="preserve"> At 30 June 2020, the total NDIS workforce was 11,550, including 4,396 </w:t>
      </w:r>
      <w:r w:rsidR="00BC004F">
        <w:t xml:space="preserve">APS </w:t>
      </w:r>
      <w:r w:rsidRPr="00262F3A">
        <w:t>employees, 1,692 labour hire contractors and consultants, and 5</w:t>
      </w:r>
      <w:r w:rsidR="00BC004F">
        <w:t>,462 people employed by NDIA’s p</w:t>
      </w:r>
      <w:r w:rsidRPr="00262F3A">
        <w:t xml:space="preserve">artners. This is an increase of </w:t>
      </w:r>
      <w:r w:rsidR="005F3A7A" w:rsidRPr="00262F3A">
        <w:t>4.4</w:t>
      </w:r>
      <w:r w:rsidRPr="00262F3A">
        <w:t xml:space="preserve"> per cent of the t</w:t>
      </w:r>
      <w:r w:rsidR="00BC004F">
        <w:t>otal workforce (including NDIA p</w:t>
      </w:r>
      <w:r w:rsidRPr="00262F3A">
        <w:t xml:space="preserve">artners) since the end of </w:t>
      </w:r>
      <w:r w:rsidR="00BC004F">
        <w:t xml:space="preserve">the </w:t>
      </w:r>
      <w:r w:rsidRPr="00262F3A">
        <w:t xml:space="preserve">2018–19 financial year (total workforce increase of </w:t>
      </w:r>
      <w:r w:rsidR="005F3A7A" w:rsidRPr="00262F3A">
        <w:t>489</w:t>
      </w:r>
      <w:r w:rsidRPr="00262F3A">
        <w:t xml:space="preserve">). </w:t>
      </w:r>
    </w:p>
    <w:p w14:paraId="74DB7739" w14:textId="62DB40D8" w:rsidR="003F018E" w:rsidRPr="00262F3A" w:rsidRDefault="003F018E" w:rsidP="003F018E">
      <w:pPr>
        <w:autoSpaceDE w:val="0"/>
        <w:autoSpaceDN w:val="0"/>
        <w:adjustRightInd w:val="0"/>
        <w:spacing w:after="0"/>
        <w:rPr>
          <w:rFonts w:cstheme="minorHAnsi"/>
        </w:rPr>
      </w:pPr>
      <w:r w:rsidRPr="00262F3A">
        <w:rPr>
          <w:lang w:eastAsia="en-AU"/>
        </w:rPr>
        <w:t xml:space="preserve">The NDIA is committed to its goal to be an employer of choice, especially for people with disability, and to create a safe and inclusive environment that keeps its people engaged and committed. The percentage of employees identifying as having a disability was 11.1 per cent in 2019-20, well above the 2019 </w:t>
      </w:r>
      <w:r w:rsidR="00BC004F">
        <w:rPr>
          <w:lang w:eastAsia="en-AU"/>
        </w:rPr>
        <w:t>APS</w:t>
      </w:r>
      <w:r w:rsidRPr="00262F3A">
        <w:rPr>
          <w:lang w:eastAsia="en-AU"/>
        </w:rPr>
        <w:t xml:space="preserve"> average of 3.7 per cent, but below the Agency’s target of 15 per cent. In addition, t</w:t>
      </w:r>
      <w:r w:rsidRPr="00262F3A">
        <w:rPr>
          <w:rFonts w:cstheme="minorHAnsi"/>
        </w:rPr>
        <w:t xml:space="preserve">he Agency recognises the importance of supporting woman in leadership positions. </w:t>
      </w:r>
      <w:r w:rsidR="00BC004F">
        <w:rPr>
          <w:rFonts w:cstheme="minorHAnsi"/>
        </w:rPr>
        <w:t xml:space="preserve">Women hold 51 </w:t>
      </w:r>
      <w:r w:rsidRPr="00262F3A">
        <w:rPr>
          <w:rFonts w:cstheme="minorHAnsi"/>
        </w:rPr>
        <w:t>per cent of senior leadership role</w:t>
      </w:r>
      <w:r w:rsidR="00BC004F">
        <w:rPr>
          <w:rFonts w:cstheme="minorHAnsi"/>
        </w:rPr>
        <w:t>s</w:t>
      </w:r>
      <w:r w:rsidRPr="00262F3A">
        <w:rPr>
          <w:rFonts w:cstheme="minorHAnsi"/>
        </w:rPr>
        <w:t xml:space="preserve"> in the Agency, representing a one per cent increase on last year. </w:t>
      </w:r>
    </w:p>
    <w:p w14:paraId="3231E9D8" w14:textId="77777777" w:rsidR="003F018E" w:rsidRPr="00262F3A" w:rsidRDefault="003F018E" w:rsidP="003F018E">
      <w:pPr>
        <w:pStyle w:val="Heading5"/>
      </w:pPr>
      <w:r w:rsidRPr="00262F3A">
        <w:t xml:space="preserve">Engaged and capable NDIA </w:t>
      </w:r>
    </w:p>
    <w:p w14:paraId="48E89E6F" w14:textId="212CE9BC" w:rsidR="003F018E" w:rsidRPr="00262F3A" w:rsidRDefault="003F018E" w:rsidP="003F018E">
      <w:pPr>
        <w:autoSpaceDE w:val="0"/>
        <w:autoSpaceDN w:val="0"/>
        <w:adjustRightInd w:val="0"/>
        <w:spacing w:after="0"/>
        <w:rPr>
          <w:lang w:eastAsia="en-AU"/>
        </w:rPr>
      </w:pPr>
      <w:r w:rsidRPr="00262F3A">
        <w:rPr>
          <w:rFonts w:cstheme="minorHAnsi"/>
        </w:rPr>
        <w:t>The Agency continued to build the capability of staff to support high</w:t>
      </w:r>
      <w:r w:rsidR="00BC004F">
        <w:rPr>
          <w:rFonts w:cstheme="minorHAnsi"/>
        </w:rPr>
        <w:t>-</w:t>
      </w:r>
      <w:r w:rsidRPr="00262F3A">
        <w:rPr>
          <w:rFonts w:cstheme="minorHAnsi"/>
        </w:rPr>
        <w:t>quality service delivery to participants, their families and carers through improved training. The Ag</w:t>
      </w:r>
      <w:r w:rsidR="00BC004F">
        <w:rPr>
          <w:rFonts w:cstheme="minorHAnsi"/>
        </w:rPr>
        <w:t>ency implemented the following l</w:t>
      </w:r>
      <w:r w:rsidRPr="00262F3A">
        <w:rPr>
          <w:lang w:eastAsia="en-AU"/>
        </w:rPr>
        <w:t xml:space="preserve">earning and </w:t>
      </w:r>
      <w:r w:rsidR="00BC004F">
        <w:rPr>
          <w:lang w:eastAsia="en-AU"/>
        </w:rPr>
        <w:t>d</w:t>
      </w:r>
      <w:r w:rsidRPr="00262F3A">
        <w:rPr>
          <w:lang w:eastAsia="en-AU"/>
        </w:rPr>
        <w:t xml:space="preserve">evelopment initiatives to increase the capability of its workforce: </w:t>
      </w:r>
    </w:p>
    <w:p w14:paraId="1F12DBF2" w14:textId="71614262" w:rsidR="003F018E" w:rsidRPr="00262F3A" w:rsidRDefault="002B5A4C" w:rsidP="00AF2A24">
      <w:pPr>
        <w:pStyle w:val="ListParagraph"/>
        <w:numPr>
          <w:ilvl w:val="0"/>
          <w:numId w:val="37"/>
        </w:numPr>
        <w:autoSpaceDE w:val="0"/>
        <w:autoSpaceDN w:val="0"/>
        <w:adjustRightInd w:val="0"/>
        <w:spacing w:before="0"/>
        <w:ind w:left="993"/>
        <w:rPr>
          <w:rFonts w:cstheme="minorHAnsi"/>
        </w:rPr>
      </w:pPr>
      <w:r>
        <w:rPr>
          <w:lang w:eastAsia="en-AU"/>
        </w:rPr>
        <w:t>f</w:t>
      </w:r>
      <w:r w:rsidRPr="00262F3A">
        <w:rPr>
          <w:lang w:eastAsia="en-AU"/>
        </w:rPr>
        <w:t xml:space="preserve">oundational </w:t>
      </w:r>
      <w:r w:rsidR="003F018E" w:rsidRPr="00262F3A">
        <w:rPr>
          <w:lang w:eastAsia="en-AU"/>
        </w:rPr>
        <w:t xml:space="preserve">skills development </w:t>
      </w:r>
    </w:p>
    <w:p w14:paraId="318CA1AA" w14:textId="77777777" w:rsidR="003F018E" w:rsidRPr="00262F3A" w:rsidRDefault="003F018E" w:rsidP="00AF2A24">
      <w:pPr>
        <w:pStyle w:val="ListParagraph"/>
        <w:numPr>
          <w:ilvl w:val="0"/>
          <w:numId w:val="37"/>
        </w:numPr>
        <w:autoSpaceDE w:val="0"/>
        <w:autoSpaceDN w:val="0"/>
        <w:adjustRightInd w:val="0"/>
        <w:spacing w:before="0"/>
        <w:ind w:left="993"/>
        <w:rPr>
          <w:rFonts w:cstheme="minorHAnsi"/>
        </w:rPr>
      </w:pPr>
      <w:r w:rsidRPr="00262F3A">
        <w:rPr>
          <w:lang w:eastAsia="en-AU"/>
        </w:rPr>
        <w:t>Graduate Development Program</w:t>
      </w:r>
    </w:p>
    <w:p w14:paraId="7B22CCEC" w14:textId="3B3CAE3A" w:rsidR="003F018E" w:rsidRPr="00262F3A" w:rsidRDefault="002B5A4C" w:rsidP="00AF2A24">
      <w:pPr>
        <w:pStyle w:val="ListParagraph"/>
        <w:numPr>
          <w:ilvl w:val="0"/>
          <w:numId w:val="37"/>
        </w:numPr>
        <w:autoSpaceDE w:val="0"/>
        <w:autoSpaceDN w:val="0"/>
        <w:adjustRightInd w:val="0"/>
        <w:spacing w:before="0"/>
        <w:ind w:left="993"/>
        <w:rPr>
          <w:rFonts w:cstheme="minorHAnsi"/>
        </w:rPr>
      </w:pPr>
      <w:r>
        <w:rPr>
          <w:lang w:eastAsia="en-AU"/>
        </w:rPr>
        <w:t>s</w:t>
      </w:r>
      <w:r w:rsidRPr="00262F3A">
        <w:rPr>
          <w:lang w:eastAsia="en-AU"/>
        </w:rPr>
        <w:t xml:space="preserve">ervice </w:t>
      </w:r>
      <w:r w:rsidR="003F018E" w:rsidRPr="00262F3A">
        <w:rPr>
          <w:lang w:eastAsia="en-AU"/>
        </w:rPr>
        <w:t>delivery training</w:t>
      </w:r>
    </w:p>
    <w:p w14:paraId="011C7598" w14:textId="21F4AE08" w:rsidR="003F018E" w:rsidRPr="00262F3A" w:rsidRDefault="002B5A4C" w:rsidP="00AF2A24">
      <w:pPr>
        <w:pStyle w:val="ListParagraph"/>
        <w:numPr>
          <w:ilvl w:val="0"/>
          <w:numId w:val="37"/>
        </w:numPr>
        <w:autoSpaceDE w:val="0"/>
        <w:autoSpaceDN w:val="0"/>
        <w:adjustRightInd w:val="0"/>
        <w:spacing w:before="0"/>
        <w:ind w:left="993"/>
        <w:rPr>
          <w:rFonts w:cstheme="minorHAnsi"/>
        </w:rPr>
      </w:pPr>
      <w:r>
        <w:rPr>
          <w:lang w:eastAsia="en-AU"/>
        </w:rPr>
        <w:t>l</w:t>
      </w:r>
      <w:r w:rsidRPr="00262F3A">
        <w:rPr>
          <w:lang w:eastAsia="en-AU"/>
        </w:rPr>
        <w:t xml:space="preserve">eadership </w:t>
      </w:r>
      <w:r w:rsidR="003F018E" w:rsidRPr="00262F3A">
        <w:rPr>
          <w:lang w:eastAsia="en-AU"/>
        </w:rPr>
        <w:t xml:space="preserve">and management development </w:t>
      </w:r>
    </w:p>
    <w:p w14:paraId="3BD80570" w14:textId="42C51CE8" w:rsidR="003F018E" w:rsidRPr="00262F3A" w:rsidRDefault="002B5A4C" w:rsidP="00AF2A24">
      <w:pPr>
        <w:pStyle w:val="ListParagraph"/>
        <w:numPr>
          <w:ilvl w:val="0"/>
          <w:numId w:val="37"/>
        </w:numPr>
        <w:autoSpaceDE w:val="0"/>
        <w:autoSpaceDN w:val="0"/>
        <w:adjustRightInd w:val="0"/>
        <w:spacing w:before="0"/>
        <w:ind w:left="993"/>
        <w:rPr>
          <w:rFonts w:cstheme="minorHAnsi"/>
        </w:rPr>
      </w:pPr>
      <w:r>
        <w:rPr>
          <w:lang w:eastAsia="en-AU"/>
        </w:rPr>
        <w:t>j</w:t>
      </w:r>
      <w:r w:rsidRPr="00262F3A">
        <w:rPr>
          <w:lang w:eastAsia="en-AU"/>
        </w:rPr>
        <w:t xml:space="preserve">oint </w:t>
      </w:r>
      <w:r w:rsidR="00BC004F">
        <w:rPr>
          <w:lang w:eastAsia="en-AU"/>
        </w:rPr>
        <w:t>p</w:t>
      </w:r>
      <w:r w:rsidR="003F018E" w:rsidRPr="00262F3A">
        <w:rPr>
          <w:lang w:eastAsia="en-AU"/>
        </w:rPr>
        <w:t xml:space="preserve">lanning </w:t>
      </w:r>
      <w:r w:rsidR="00BC004F">
        <w:rPr>
          <w:lang w:eastAsia="en-AU"/>
        </w:rPr>
        <w:t>m</w:t>
      </w:r>
      <w:r w:rsidR="003F018E" w:rsidRPr="00262F3A">
        <w:rPr>
          <w:lang w:eastAsia="en-AU"/>
        </w:rPr>
        <w:t xml:space="preserve">eeting </w:t>
      </w:r>
      <w:r w:rsidR="00BC004F">
        <w:rPr>
          <w:lang w:eastAsia="en-AU"/>
        </w:rPr>
        <w:t>w</w:t>
      </w:r>
      <w:r w:rsidR="003F018E" w:rsidRPr="00262F3A">
        <w:rPr>
          <w:lang w:eastAsia="en-AU"/>
        </w:rPr>
        <w:t xml:space="preserve">orkshops for </w:t>
      </w:r>
      <w:r w:rsidR="00BC004F">
        <w:rPr>
          <w:lang w:eastAsia="en-AU"/>
        </w:rPr>
        <w:t>p</w:t>
      </w:r>
      <w:r w:rsidR="003F018E" w:rsidRPr="00262F3A">
        <w:rPr>
          <w:lang w:eastAsia="en-AU"/>
        </w:rPr>
        <w:t xml:space="preserve">lanners and </w:t>
      </w:r>
      <w:r w:rsidR="00BC004F">
        <w:rPr>
          <w:lang w:eastAsia="en-AU"/>
        </w:rPr>
        <w:t>p</w:t>
      </w:r>
      <w:r w:rsidR="003F018E" w:rsidRPr="00262F3A">
        <w:rPr>
          <w:lang w:eastAsia="en-AU"/>
        </w:rPr>
        <w:t xml:space="preserve">artners. </w:t>
      </w:r>
    </w:p>
    <w:p w14:paraId="0ACB66E3" w14:textId="510F3628" w:rsidR="003F018E" w:rsidRPr="00262F3A" w:rsidRDefault="003F018E" w:rsidP="003F018E">
      <w:pPr>
        <w:autoSpaceDE w:val="0"/>
        <w:autoSpaceDN w:val="0"/>
        <w:adjustRightInd w:val="0"/>
        <w:spacing w:after="0"/>
        <w:rPr>
          <w:rFonts w:cstheme="minorHAnsi"/>
        </w:rPr>
      </w:pPr>
      <w:r w:rsidRPr="00262F3A">
        <w:rPr>
          <w:rFonts w:cstheme="minorHAnsi"/>
        </w:rPr>
        <w:t xml:space="preserve">Approximately 1,100 planners and </w:t>
      </w:r>
      <w:r w:rsidR="00BC004F">
        <w:rPr>
          <w:rFonts w:cstheme="minorHAnsi"/>
        </w:rPr>
        <w:t>LACs</w:t>
      </w:r>
      <w:r w:rsidRPr="00262F3A">
        <w:rPr>
          <w:rFonts w:cstheme="minorHAnsi"/>
        </w:rPr>
        <w:t xml:space="preserve"> participated in the New Starter Induction program </w:t>
      </w:r>
      <w:r w:rsidR="00BC004F">
        <w:rPr>
          <w:rFonts w:cstheme="minorHAnsi"/>
        </w:rPr>
        <w:t xml:space="preserve">during </w:t>
      </w:r>
      <w:r w:rsidRPr="00262F3A">
        <w:rPr>
          <w:rFonts w:cstheme="minorHAnsi"/>
        </w:rPr>
        <w:t xml:space="preserve">the year. </w:t>
      </w:r>
    </w:p>
    <w:p w14:paraId="3836BCA6" w14:textId="7B74CBCE" w:rsidR="003F018E" w:rsidRPr="00262F3A" w:rsidRDefault="003F018E" w:rsidP="003F018E">
      <w:pPr>
        <w:spacing w:before="100"/>
        <w:textAlignment w:val="center"/>
        <w:rPr>
          <w:lang w:eastAsia="en-AU"/>
        </w:rPr>
      </w:pPr>
      <w:r w:rsidRPr="00262F3A">
        <w:rPr>
          <w:lang w:eastAsia="en-AU"/>
        </w:rPr>
        <w:t>There was high engagement with the NDIA Just Brilliant Leadership Series, which has helped increase frontline leadership capability. In 2019–20, 5</w:t>
      </w:r>
      <w:r w:rsidR="002B5A4C">
        <w:rPr>
          <w:lang w:eastAsia="en-AU"/>
        </w:rPr>
        <w:t>,</w:t>
      </w:r>
      <w:r w:rsidRPr="00262F3A">
        <w:rPr>
          <w:lang w:eastAsia="en-AU"/>
        </w:rPr>
        <w:t>0</w:t>
      </w:r>
      <w:r w:rsidR="00BC004F">
        <w:rPr>
          <w:lang w:eastAsia="en-AU"/>
        </w:rPr>
        <w:t>3</w:t>
      </w:r>
      <w:r w:rsidRPr="00262F3A">
        <w:rPr>
          <w:lang w:eastAsia="en-AU"/>
        </w:rPr>
        <w:t>4 staff commenced the Learning to Lead program (aimed at entry</w:t>
      </w:r>
      <w:r w:rsidR="00BC004F">
        <w:rPr>
          <w:lang w:eastAsia="en-AU"/>
        </w:rPr>
        <w:t>-</w:t>
      </w:r>
      <w:r w:rsidRPr="00262F3A">
        <w:rPr>
          <w:lang w:eastAsia="en-AU"/>
        </w:rPr>
        <w:t xml:space="preserve">level team leaders), and </w:t>
      </w:r>
      <w:r w:rsidR="00BC004F">
        <w:rPr>
          <w:lang w:eastAsia="en-AU"/>
        </w:rPr>
        <w:t>289</w:t>
      </w:r>
      <w:r w:rsidRPr="00262F3A">
        <w:rPr>
          <w:lang w:eastAsia="en-AU"/>
        </w:rPr>
        <w:t xml:space="preserve"> commenced the Leadership Excellence program (aimed at senior</w:t>
      </w:r>
      <w:r w:rsidR="00BC004F">
        <w:rPr>
          <w:lang w:eastAsia="en-AU"/>
        </w:rPr>
        <w:t>-</w:t>
      </w:r>
      <w:r w:rsidRPr="00262F3A">
        <w:rPr>
          <w:lang w:eastAsia="en-AU"/>
        </w:rPr>
        <w:t>level leaders). The satisfaction rating for the leadership programs was 96 per cent.</w:t>
      </w:r>
    </w:p>
    <w:p w14:paraId="26F01043" w14:textId="1EEC5634" w:rsidR="003F018E" w:rsidRPr="00262F3A" w:rsidRDefault="003F018E" w:rsidP="003F018E">
      <w:pPr>
        <w:autoSpaceDE w:val="0"/>
        <w:autoSpaceDN w:val="0"/>
        <w:adjustRightInd w:val="0"/>
        <w:spacing w:after="0"/>
      </w:pPr>
      <w:r w:rsidRPr="00262F3A">
        <w:rPr>
          <w:lang w:eastAsia="en-AU"/>
        </w:rPr>
        <w:t xml:space="preserve">In addition, the NDIA collaborated </w:t>
      </w:r>
      <w:r w:rsidRPr="00262F3A">
        <w:t>with the Disability Advocacy Network of Australia, and disability peak bodies to r</w:t>
      </w:r>
      <w:r w:rsidR="00BC004F">
        <w:t>aise disability awareness among</w:t>
      </w:r>
      <w:r w:rsidRPr="00262F3A">
        <w:t xml:space="preserve"> staff and help improve the participant experience. A suite of learning resources, including a disability navigator containing 12 participant videos</w:t>
      </w:r>
      <w:r w:rsidR="00445C23">
        <w:t>,</w:t>
      </w:r>
      <w:r w:rsidRPr="00262F3A">
        <w:t xml:space="preserve"> were developed for staff. These modules included a focus on </w:t>
      </w:r>
      <w:r w:rsidR="00BC004F">
        <w:t>c</w:t>
      </w:r>
      <w:r w:rsidRPr="00262F3A">
        <w:t xml:space="preserve">ontemporary </w:t>
      </w:r>
      <w:r w:rsidR="00BC004F">
        <w:t>d</w:t>
      </w:r>
      <w:r w:rsidRPr="00262F3A">
        <w:t xml:space="preserve">isability </w:t>
      </w:r>
      <w:r w:rsidR="00BC004F">
        <w:t>r</w:t>
      </w:r>
      <w:r w:rsidRPr="00262F3A">
        <w:t>ights</w:t>
      </w:r>
      <w:r w:rsidR="00BC004F">
        <w:t>;</w:t>
      </w:r>
      <w:r w:rsidRPr="00262F3A">
        <w:t xml:space="preserve"> </w:t>
      </w:r>
      <w:r w:rsidR="00BC004F">
        <w:t>f</w:t>
      </w:r>
      <w:r w:rsidRPr="00262F3A">
        <w:t xml:space="preserve">amily and </w:t>
      </w:r>
      <w:r w:rsidR="00BC004F">
        <w:t>g</w:t>
      </w:r>
      <w:r w:rsidRPr="00262F3A">
        <w:t xml:space="preserve">ender-based </w:t>
      </w:r>
      <w:r w:rsidR="00BC004F">
        <w:t>v</w:t>
      </w:r>
      <w:r w:rsidRPr="00262F3A">
        <w:t xml:space="preserve">iolence </w:t>
      </w:r>
      <w:r w:rsidR="00BC004F">
        <w:t>p</w:t>
      </w:r>
      <w:r w:rsidRPr="00262F3A">
        <w:t>revention</w:t>
      </w:r>
      <w:r w:rsidR="00BC004F">
        <w:t>;</w:t>
      </w:r>
      <w:r w:rsidRPr="00262F3A">
        <w:t xml:space="preserve"> </w:t>
      </w:r>
      <w:r w:rsidR="00BC004F">
        <w:t>m</w:t>
      </w:r>
      <w:r w:rsidRPr="00262F3A">
        <w:t xml:space="preserve">ental </w:t>
      </w:r>
      <w:r w:rsidR="00BC004F">
        <w:t>h</w:t>
      </w:r>
      <w:r w:rsidRPr="00262F3A">
        <w:t xml:space="preserve">ealth </w:t>
      </w:r>
      <w:r w:rsidR="00BC004F">
        <w:t>r</w:t>
      </w:r>
      <w:r w:rsidRPr="00262F3A">
        <w:t xml:space="preserve">ecovery and Aboriginal and Torres Strait Islander </w:t>
      </w:r>
      <w:r w:rsidR="00BC004F">
        <w:t>c</w:t>
      </w:r>
      <w:r w:rsidRPr="00262F3A">
        <w:t xml:space="preserve">ultural </w:t>
      </w:r>
      <w:r w:rsidR="00BC004F">
        <w:t>a</w:t>
      </w:r>
      <w:r w:rsidRPr="00262F3A">
        <w:t>wareness</w:t>
      </w:r>
      <w:r w:rsidR="00BC004F">
        <w:t>;</w:t>
      </w:r>
      <w:r w:rsidRPr="00262F3A">
        <w:t xml:space="preserve"> LGBTIQA+ and </w:t>
      </w:r>
      <w:r w:rsidR="00BC004F">
        <w:t>CALD c</w:t>
      </w:r>
      <w:r w:rsidRPr="00262F3A">
        <w:t xml:space="preserve">ommunities. </w:t>
      </w:r>
    </w:p>
    <w:p w14:paraId="62AC99A7" w14:textId="2FA04D3A" w:rsidR="003F018E" w:rsidRPr="00262F3A" w:rsidRDefault="003F018E" w:rsidP="003F018E">
      <w:pPr>
        <w:spacing w:before="100"/>
        <w:textAlignment w:val="center"/>
        <w:rPr>
          <w:rFonts w:cstheme="minorHAnsi"/>
        </w:rPr>
      </w:pPr>
      <w:r w:rsidRPr="00262F3A">
        <w:lastRenderedPageBreak/>
        <w:t xml:space="preserve">Results from the Agency’s Pulse survey showed the </w:t>
      </w:r>
      <w:r w:rsidRPr="00262F3A">
        <w:rPr>
          <w:lang w:eastAsia="en-AU"/>
        </w:rPr>
        <w:t xml:space="preserve">Agency Engagement Index increased by four per cent to 80 per cent, from the 2019 </w:t>
      </w:r>
      <w:r w:rsidR="00BC004F">
        <w:rPr>
          <w:lang w:eastAsia="en-AU"/>
        </w:rPr>
        <w:t xml:space="preserve">APS </w:t>
      </w:r>
      <w:r w:rsidRPr="00262F3A">
        <w:rPr>
          <w:lang w:eastAsia="en-AU"/>
        </w:rPr>
        <w:t xml:space="preserve">Census result of 76 per cent, illustrating that the workforce is engaged and committed. On </w:t>
      </w:r>
      <w:r w:rsidRPr="00262F3A">
        <w:rPr>
          <w:rFonts w:cstheme="minorHAnsi"/>
        </w:rPr>
        <w:t>2 March 2020, the NDIA implemented a new organisational structure to reduce internal complexity and to allow the Agency to increase the speed of response for participants.</w:t>
      </w:r>
    </w:p>
    <w:p w14:paraId="128F882B" w14:textId="14DE42C6" w:rsidR="003F018E" w:rsidRPr="00262F3A" w:rsidRDefault="003F018E" w:rsidP="003F018E">
      <w:r w:rsidRPr="00262F3A">
        <w:t>The NDIA’s Enterprise Agreement 2016–2019 nominally expired on 28 February 2020. Prior to this, bargaining with nominated representatives had commenced. Through extensive consultation a new NDIA Enterprise Agreement with supporting policies and procedures was developed and presented to staff for their consideration. A resounding ‘yes’ vote was recorded and the new NDIA Enterprise Agreement 2020–2023 was certified by the Fair Work Commission on 17 April 2020.</w:t>
      </w:r>
    </w:p>
    <w:p w14:paraId="27678DB3" w14:textId="77777777" w:rsidR="003F018E" w:rsidRPr="00262F3A" w:rsidRDefault="003F018E" w:rsidP="003F018E">
      <w:pPr>
        <w:pStyle w:val="Heading5"/>
      </w:pPr>
      <w:r w:rsidRPr="00262F3A">
        <w:t>Work health and safety</w:t>
      </w:r>
    </w:p>
    <w:p w14:paraId="4AB3C8B8" w14:textId="77777777" w:rsidR="003F018E" w:rsidRPr="00262F3A" w:rsidRDefault="003F018E" w:rsidP="003F018E">
      <w:pPr>
        <w:rPr>
          <w:color w:val="000000"/>
        </w:rPr>
      </w:pPr>
      <w:r w:rsidRPr="00262F3A">
        <w:rPr>
          <w:color w:val="000000"/>
        </w:rPr>
        <w:t xml:space="preserve">The Agency’s work health and safety management system saw significant improvements, indicating a maturing organisation. </w:t>
      </w:r>
      <w:r w:rsidRPr="00262F3A">
        <w:t>As at 30 June 2020, the ‘lost time injury frequency rate’ (the number of lost time injuries that occurred during 2019–20, relative to the total number of hours worked in that period), was 2.11, which is the lowest in the Agency’s history.</w:t>
      </w:r>
      <w:r w:rsidRPr="00262F3A">
        <w:rPr>
          <w:color w:val="000000"/>
        </w:rPr>
        <w:t xml:space="preserve"> There were improved safety communications, capability, leadership and compliance across the system, with positive results across performance metrics.</w:t>
      </w:r>
    </w:p>
    <w:p w14:paraId="6E2819A0" w14:textId="77777777" w:rsidR="003F018E" w:rsidRPr="00262F3A" w:rsidRDefault="003F018E" w:rsidP="003F018E">
      <w:pPr>
        <w:rPr>
          <w:color w:val="000000"/>
        </w:rPr>
      </w:pPr>
      <w:r w:rsidRPr="00262F3A">
        <w:rPr>
          <w:color w:val="000000"/>
        </w:rPr>
        <w:t xml:space="preserve">The Agency’s National Health and Safety Committee refreshed its membership and increased the frequency of meetings to reflect the fast pace of change and safety improvements requiring consultation and endorsement. The Agency implemented new Local Safety and Consultation Committees in every state and territory, providing a robust governance framework for work health and safety consultation and communication. In addition, a work health and safety assurance program was developed to support assessment of compliance with the system. </w:t>
      </w:r>
    </w:p>
    <w:p w14:paraId="136C06B7" w14:textId="1EF2CC5F" w:rsidR="003F018E" w:rsidRPr="00262F3A" w:rsidRDefault="003F018E" w:rsidP="003F018E">
      <w:pPr>
        <w:rPr>
          <w:color w:val="000000"/>
        </w:rPr>
      </w:pPr>
      <w:r w:rsidRPr="00262F3A">
        <w:rPr>
          <w:color w:val="000000"/>
        </w:rPr>
        <w:t>Supporting mental health and wellbeing at work is a strong focus of the Agency. In 2019–20, the Agency implemented a new 12</w:t>
      </w:r>
      <w:r w:rsidR="005F5F26">
        <w:rPr>
          <w:color w:val="000000"/>
        </w:rPr>
        <w:t xml:space="preserve"> </w:t>
      </w:r>
      <w:r w:rsidRPr="00262F3A">
        <w:rPr>
          <w:color w:val="000000"/>
        </w:rPr>
        <w:t>month Mental Health and Wellbeing Action Plan to ensure that effective education, supports, pathways to care, risk management and controls are implemented in promoting health and wellbeing.</w:t>
      </w:r>
    </w:p>
    <w:p w14:paraId="324A4A10" w14:textId="77777777" w:rsidR="003F018E" w:rsidRPr="00262F3A" w:rsidRDefault="003F018E" w:rsidP="003F018E">
      <w:pPr>
        <w:rPr>
          <w:color w:val="000000"/>
        </w:rPr>
      </w:pPr>
      <w:r w:rsidRPr="00262F3A">
        <w:rPr>
          <w:color w:val="000000"/>
        </w:rPr>
        <w:t>In response to the COVID-19 pandemic, the Agency stood up the Emergency Response and Recovery Committee. The Agency developed information, guidelines and toolkits to ensure the safety of its workers, and mobilised a contingency workforce to support safe and effective service delivery. As at 30 June 2020, there was no workplace transmission of COVID-19 in the Agency. The Agency was able to quickly and safely transition over 4,000 members of the workforce to working from home arrangements. Flexible working arrangements continue to be supported, where possible.</w:t>
      </w:r>
    </w:p>
    <w:p w14:paraId="67080866" w14:textId="77777777" w:rsidR="003F018E" w:rsidRPr="00262F3A" w:rsidRDefault="003F018E" w:rsidP="003F018E">
      <w:pPr>
        <w:pStyle w:val="Heading5"/>
      </w:pPr>
      <w:r w:rsidRPr="00262F3A">
        <w:t xml:space="preserve">NDIS website </w:t>
      </w:r>
    </w:p>
    <w:p w14:paraId="3A3720EC" w14:textId="77777777" w:rsidR="003F018E" w:rsidRPr="00262F3A" w:rsidRDefault="003F018E" w:rsidP="003F018E">
      <w:pPr>
        <w:rPr>
          <w:color w:val="000000"/>
        </w:rPr>
      </w:pPr>
      <w:r w:rsidRPr="00262F3A">
        <w:rPr>
          <w:color w:val="000000"/>
        </w:rPr>
        <w:t>The NDIS website is one of the Agency’s key communication channels, with an average of over 1.5 million page views per month. The website was a vital communication tool during the January 2020 bushfires and COVID-19 pandemic, enabling the Agency to communicate quickly and effectively with participants, their families and carers. In April 2020, the website had almost 500,000 visitors and more than 2 million page views.</w:t>
      </w:r>
    </w:p>
    <w:p w14:paraId="6FF6DED7" w14:textId="77777777" w:rsidR="003F018E" w:rsidRPr="00262F3A" w:rsidRDefault="003F018E" w:rsidP="003F018E">
      <w:pPr>
        <w:rPr>
          <w:color w:val="000000"/>
        </w:rPr>
      </w:pPr>
      <w:r w:rsidRPr="00262F3A">
        <w:rPr>
          <w:color w:val="000000"/>
        </w:rPr>
        <w:t>The website continues to evolve. In 2019-20, a live webchat function was introduced to provide an additional way to contact the Agency, and a new Easy Read section about finding, keeping and changing jobs provided information to participants in a simplified and easy to understand format.</w:t>
      </w:r>
    </w:p>
    <w:p w14:paraId="6CCFC787" w14:textId="77777777" w:rsidR="003F018E" w:rsidRPr="00262F3A" w:rsidRDefault="003F018E" w:rsidP="003F018E">
      <w:pPr>
        <w:pStyle w:val="Heading5"/>
      </w:pPr>
      <w:r w:rsidRPr="00262F3A">
        <w:t>Video</w:t>
      </w:r>
    </w:p>
    <w:p w14:paraId="7A2675C2" w14:textId="77777777" w:rsidR="003F018E" w:rsidRPr="00262F3A" w:rsidRDefault="003F018E" w:rsidP="003F018E">
      <w:r w:rsidRPr="00262F3A">
        <w:rPr>
          <w:color w:val="000000"/>
        </w:rPr>
        <w:t xml:space="preserve">NDIS video content continues to play an important role in supporting participants, families, carers and providers through their NDIS journey and in educating the Australian community about the Scheme. In the past 12 months, the Agency produced 38 animated videos, playing a </w:t>
      </w:r>
      <w:r w:rsidRPr="00262F3A">
        <w:rPr>
          <w:color w:val="000000"/>
        </w:rPr>
        <w:lastRenderedPageBreak/>
        <w:t>key role in assisting participants to navigate the Scheme. In addition, the Agency released 44 videos, highlighting the stories of participants and providers, and the positive impact the Scheme has had on their lives. As part of the Agency’s COVID-19 response, 17 animations and seven Auslan videos were released to help participants navigate the complex pandemic environment, and the Agency’s response.</w:t>
      </w:r>
    </w:p>
    <w:p w14:paraId="30808D16" w14:textId="77777777" w:rsidR="003F018E" w:rsidRPr="00262F3A" w:rsidRDefault="003F018E" w:rsidP="003F018E">
      <w:pPr>
        <w:pStyle w:val="Heading5"/>
      </w:pPr>
      <w:r w:rsidRPr="00262F3A">
        <w:t xml:space="preserve">Webinars </w:t>
      </w:r>
    </w:p>
    <w:p w14:paraId="4EB15756" w14:textId="1D1CE1F9" w:rsidR="003F018E" w:rsidRPr="00262F3A" w:rsidRDefault="003F018E" w:rsidP="003F018E">
      <w:pPr>
        <w:rPr>
          <w:rFonts w:cstheme="minorHAnsi"/>
          <w:color w:val="000000"/>
        </w:rPr>
      </w:pPr>
      <w:r w:rsidRPr="00262F3A">
        <w:rPr>
          <w:rFonts w:cstheme="minorHAnsi"/>
          <w:color w:val="000000"/>
        </w:rPr>
        <w:t xml:space="preserve">NDIS webinars on employment (‘Let’s talk about work’, February 2019), assistive technology (‘Wheelchairs, aids and devices’, June 2019), Information, Linkages and Capacity Building (‘Getting your ILC grant </w:t>
      </w:r>
      <w:r w:rsidR="0050536B">
        <w:rPr>
          <w:rFonts w:cstheme="minorHAnsi"/>
          <w:color w:val="000000"/>
        </w:rPr>
        <w:t>PiTC</w:t>
      </w:r>
      <w:r w:rsidRPr="00262F3A">
        <w:rPr>
          <w:rFonts w:cstheme="minorHAnsi"/>
          <w:color w:val="000000"/>
        </w:rPr>
        <w:t xml:space="preserve">h right’, August 2019) and planning (‘How to get the most out of your NDIS plan’, November 2019) each had over 2,000 people register to watch live, with thousands more viewing the recorded versions published on the NDIS website. Viewers were able to ask questions in real time and hear responses from experts. </w:t>
      </w:r>
    </w:p>
    <w:p w14:paraId="04706FFD" w14:textId="77777777" w:rsidR="003F018E" w:rsidRPr="00262F3A" w:rsidRDefault="003F018E" w:rsidP="003F018E">
      <w:pPr>
        <w:pStyle w:val="Heading5"/>
      </w:pPr>
      <w:r w:rsidRPr="00262F3A">
        <w:t>Campaigns</w:t>
      </w:r>
    </w:p>
    <w:p w14:paraId="6884E60B" w14:textId="77777777" w:rsidR="003F018E" w:rsidRPr="00262F3A" w:rsidRDefault="003F018E" w:rsidP="003F018E">
      <w:pPr>
        <w:autoSpaceDE w:val="0"/>
        <w:autoSpaceDN w:val="0"/>
        <w:rPr>
          <w:rFonts w:cstheme="minorHAnsi"/>
          <w:color w:val="000000"/>
        </w:rPr>
      </w:pPr>
      <w:r w:rsidRPr="00262F3A">
        <w:rPr>
          <w:rFonts w:cstheme="minorHAnsi"/>
          <w:color w:val="000000"/>
        </w:rPr>
        <w:t>The NDIS rolled out a campaign in Queensland in November 2019 to encourage new participants to join the Scheme, with a focus on people with disability from CALD backgrounds, Aboriginal and Torres Strait Islander and rural and remote communities. It used in-language radio, Radio Print Handicapped, social media and closed-circuit television advisements in doctors’ waiting rooms. The campaign contributed to an increased number of access requests from Queensland in mid-January 2020.</w:t>
      </w:r>
    </w:p>
    <w:p w14:paraId="4D7A297C" w14:textId="77777777" w:rsidR="003F018E" w:rsidRPr="00262F3A" w:rsidRDefault="003F018E" w:rsidP="003F018E">
      <w:pPr>
        <w:autoSpaceDE w:val="0"/>
        <w:autoSpaceDN w:val="0"/>
        <w:rPr>
          <w:rFonts w:cstheme="minorHAnsi"/>
          <w:color w:val="000000"/>
        </w:rPr>
      </w:pPr>
      <w:r w:rsidRPr="00262F3A">
        <w:rPr>
          <w:rFonts w:cstheme="minorHAnsi"/>
          <w:color w:val="000000"/>
        </w:rPr>
        <w:t xml:space="preserve">Recognising the importance of leading the way with accessible communications, the NDIS activated an internal Agency campaign from November 2019 to March 2020 to give staff and partners a better understanding of what accessibility is, why it is important and how to make communications accessible. </w:t>
      </w:r>
    </w:p>
    <w:p w14:paraId="62964CB1" w14:textId="77777777" w:rsidR="003F018E" w:rsidRPr="00262F3A" w:rsidRDefault="003F018E" w:rsidP="003F018E">
      <w:pPr>
        <w:pStyle w:val="Heading5"/>
        <w:rPr>
          <w:color w:val="000000"/>
        </w:rPr>
      </w:pPr>
      <w:r w:rsidRPr="00262F3A">
        <w:t>Efficient and effective processes and systems</w:t>
      </w:r>
    </w:p>
    <w:p w14:paraId="3B09098D" w14:textId="77777777" w:rsidR="003F018E" w:rsidRPr="00262F3A" w:rsidRDefault="003F018E" w:rsidP="003F018E">
      <w:pPr>
        <w:rPr>
          <w:rFonts w:cstheme="minorHAnsi"/>
        </w:rPr>
      </w:pPr>
      <w:r w:rsidRPr="00262F3A">
        <w:rPr>
          <w:rFonts w:cstheme="minorHAnsi"/>
        </w:rPr>
        <w:t xml:space="preserve">In 2019–20 the Agency continued working to improve its systems, processes, data management and people capabilities to deliver the Scheme effectively. </w:t>
      </w:r>
    </w:p>
    <w:p w14:paraId="64C04B99" w14:textId="77777777" w:rsidR="003F018E" w:rsidRPr="00262F3A" w:rsidRDefault="003F018E" w:rsidP="003F018E">
      <w:pPr>
        <w:pStyle w:val="Heading5"/>
      </w:pPr>
      <w:r w:rsidRPr="00262F3A">
        <w:t xml:space="preserve">NDIA National Contact Centre </w:t>
      </w:r>
    </w:p>
    <w:p w14:paraId="40212392" w14:textId="77777777" w:rsidR="003F018E" w:rsidRPr="00262F3A" w:rsidRDefault="003F018E" w:rsidP="003F018E">
      <w:pPr>
        <w:rPr>
          <w:rFonts w:cstheme="minorHAnsi"/>
        </w:rPr>
      </w:pPr>
      <w:r w:rsidRPr="00262F3A">
        <w:rPr>
          <w:rFonts w:cstheme="minorHAnsi"/>
        </w:rPr>
        <w:t>The NDIA National Contact Centre (NCC) delivers personal and high-quality contact services about the NDIS for people with disability, their family and carers, service providers and organisations.</w:t>
      </w:r>
    </w:p>
    <w:p w14:paraId="525E5C99" w14:textId="77777777" w:rsidR="003F018E" w:rsidRPr="00262F3A" w:rsidRDefault="003F018E" w:rsidP="003F018E">
      <w:r w:rsidRPr="00262F3A">
        <w:t>The NCC service has been delivered since June 2018 by Serco Citizen Services Pty Ltd (Serco), who operate from Dandenong and Newborough in Victoria.</w:t>
      </w:r>
    </w:p>
    <w:p w14:paraId="09133B24" w14:textId="7815D4B6" w:rsidR="003F018E" w:rsidRPr="00262F3A" w:rsidRDefault="003F018E" w:rsidP="003F018E">
      <w:pPr>
        <w:rPr>
          <w:rFonts w:cstheme="minorHAnsi"/>
        </w:rPr>
      </w:pPr>
      <w:r w:rsidRPr="00262F3A">
        <w:rPr>
          <w:rFonts w:cstheme="minorHAnsi"/>
        </w:rPr>
        <w:t xml:space="preserve">Under the contract with Serco, services are delivered for the NDIA according to an agreed performance framework. The performance framework includes a grade of service of 80 per cent of inbound calls answered within 60 seconds and email enquiries progressed within two business days. Over the past </w:t>
      </w:r>
      <w:r w:rsidR="00BC004F">
        <w:rPr>
          <w:rFonts w:cstheme="minorHAnsi"/>
        </w:rPr>
        <w:t>12</w:t>
      </w:r>
      <w:r w:rsidRPr="00262F3A">
        <w:rPr>
          <w:rFonts w:cstheme="minorHAnsi"/>
        </w:rPr>
        <w:t xml:space="preserve"> months, Serco ha</w:t>
      </w:r>
      <w:r w:rsidR="00BC004F">
        <w:rPr>
          <w:rFonts w:cstheme="minorHAnsi"/>
        </w:rPr>
        <w:t>s</w:t>
      </w:r>
      <w:r w:rsidRPr="00262F3A">
        <w:rPr>
          <w:rFonts w:cstheme="minorHAnsi"/>
        </w:rPr>
        <w:t xml:space="preserve"> provided a consistently high level of service, with </w:t>
      </w:r>
      <w:r w:rsidR="00BC004F">
        <w:rPr>
          <w:rFonts w:cstheme="minorHAnsi"/>
        </w:rPr>
        <w:t>an</w:t>
      </w:r>
      <w:r w:rsidRPr="00262F3A">
        <w:rPr>
          <w:rFonts w:cstheme="minorHAnsi"/>
        </w:rPr>
        <w:t xml:space="preserve"> inbound call average speed of answer of 27 seconds. Figure </w:t>
      </w:r>
      <w:r w:rsidR="004F419C" w:rsidRPr="00262F3A">
        <w:rPr>
          <w:rFonts w:cstheme="minorHAnsi"/>
        </w:rPr>
        <w:t>2.2.3K</w:t>
      </w:r>
      <w:r w:rsidRPr="00262F3A">
        <w:rPr>
          <w:rFonts w:cstheme="minorHAnsi"/>
        </w:rPr>
        <w:t xml:space="preserve"> shows the sustained telephony performanc</w:t>
      </w:r>
      <w:r w:rsidR="00BC004F">
        <w:rPr>
          <w:rFonts w:cstheme="minorHAnsi"/>
        </w:rPr>
        <w:t>e since transition to Serco as C</w:t>
      </w:r>
      <w:r w:rsidRPr="00262F3A">
        <w:rPr>
          <w:rFonts w:cstheme="minorHAnsi"/>
        </w:rPr>
        <w:t xml:space="preserve">ontact </w:t>
      </w:r>
      <w:r w:rsidR="00BC004F">
        <w:rPr>
          <w:rFonts w:cstheme="minorHAnsi"/>
        </w:rPr>
        <w:t>C</w:t>
      </w:r>
      <w:r w:rsidRPr="00262F3A">
        <w:rPr>
          <w:rFonts w:cstheme="minorHAnsi"/>
        </w:rPr>
        <w:t>entre service provider</w:t>
      </w:r>
      <w:r w:rsidR="00BC004F">
        <w:rPr>
          <w:rFonts w:cstheme="minorHAnsi"/>
        </w:rPr>
        <w:t>.</w:t>
      </w:r>
    </w:p>
    <w:p w14:paraId="41D09A96" w14:textId="5DA1C68D" w:rsidR="003F018E" w:rsidRPr="00262F3A" w:rsidRDefault="003F018E" w:rsidP="003F018E">
      <w:pPr>
        <w:rPr>
          <w:rFonts w:cstheme="minorHAnsi"/>
        </w:rPr>
      </w:pPr>
      <w:r w:rsidRPr="00262F3A">
        <w:rPr>
          <w:rFonts w:cstheme="minorHAnsi"/>
        </w:rPr>
        <w:t xml:space="preserve">In addition to answering phones, the NCC has increased the amount of processing work it now does on behalf of the NDIA.  Over the past 12 months, NCC has responded to an average of </w:t>
      </w:r>
      <w:r w:rsidR="00BC004F">
        <w:rPr>
          <w:rFonts w:cstheme="minorHAnsi"/>
        </w:rPr>
        <w:t>70,000</w:t>
      </w:r>
      <w:r w:rsidRPr="00262F3A">
        <w:rPr>
          <w:rFonts w:cstheme="minorHAnsi"/>
        </w:rPr>
        <w:t xml:space="preserve"> emails per month, with 99.5 per cent of these progressed within the two business day key performance indicator. </w:t>
      </w:r>
    </w:p>
    <w:p w14:paraId="56922B4A" w14:textId="15892E17" w:rsidR="003F018E" w:rsidRPr="00262F3A" w:rsidRDefault="003F018E" w:rsidP="003F018E">
      <w:pPr>
        <w:rPr>
          <w:rFonts w:cstheme="minorHAnsi"/>
        </w:rPr>
      </w:pPr>
      <w:r w:rsidRPr="00262F3A">
        <w:rPr>
          <w:rFonts w:cstheme="minorHAnsi"/>
        </w:rPr>
        <w:t xml:space="preserve">The </w:t>
      </w:r>
      <w:r w:rsidR="00BC004F">
        <w:rPr>
          <w:rFonts w:cstheme="minorHAnsi"/>
        </w:rPr>
        <w:t>NCC</w:t>
      </w:r>
      <w:r w:rsidRPr="00262F3A">
        <w:rPr>
          <w:rFonts w:cstheme="minorHAnsi"/>
        </w:rPr>
        <w:t xml:space="preserve"> commenced a live </w:t>
      </w:r>
      <w:r w:rsidR="00BC004F">
        <w:rPr>
          <w:rFonts w:cstheme="minorHAnsi"/>
        </w:rPr>
        <w:t>w</w:t>
      </w:r>
      <w:r w:rsidRPr="00262F3A">
        <w:rPr>
          <w:rFonts w:cstheme="minorHAnsi"/>
        </w:rPr>
        <w:t>ebchat service in December 2019, provi</w:t>
      </w:r>
      <w:r w:rsidR="00BC004F">
        <w:rPr>
          <w:rFonts w:cstheme="minorHAnsi"/>
        </w:rPr>
        <w:t>di</w:t>
      </w:r>
      <w:r w:rsidRPr="00262F3A">
        <w:rPr>
          <w:rFonts w:cstheme="minorHAnsi"/>
        </w:rPr>
        <w:t xml:space="preserve">ng a new communication channel option for participants, carers, providers and the public.  In March 2020, the </w:t>
      </w:r>
      <w:r w:rsidR="00BC004F">
        <w:rPr>
          <w:rFonts w:cstheme="minorHAnsi"/>
        </w:rPr>
        <w:t>w</w:t>
      </w:r>
      <w:r w:rsidRPr="00262F3A">
        <w:rPr>
          <w:rFonts w:cstheme="minorHAnsi"/>
        </w:rPr>
        <w:t xml:space="preserve">ebchat service was further enhanced to allow NCC staff to answer more individualised enquiries.  The NCC averages over 2,700 </w:t>
      </w:r>
      <w:r w:rsidR="00BC004F">
        <w:rPr>
          <w:rFonts w:cstheme="minorHAnsi"/>
        </w:rPr>
        <w:t>w</w:t>
      </w:r>
      <w:r w:rsidRPr="00262F3A">
        <w:rPr>
          <w:rFonts w:cstheme="minorHAnsi"/>
        </w:rPr>
        <w:t>ebchat requests per month with 98 per cent of chats responded to within 10 seconds</w:t>
      </w:r>
      <w:r w:rsidR="008620A8" w:rsidRPr="00262F3A">
        <w:rPr>
          <w:rFonts w:cstheme="minorHAnsi"/>
        </w:rPr>
        <w:t>.</w:t>
      </w:r>
    </w:p>
    <w:p w14:paraId="2711DB5E" w14:textId="52C9671D" w:rsidR="008620A8" w:rsidRPr="00262F3A" w:rsidRDefault="008620A8" w:rsidP="003F018E">
      <w:r w:rsidRPr="00262F3A">
        <w:rPr>
          <w:b/>
        </w:rPr>
        <w:lastRenderedPageBreak/>
        <w:t xml:space="preserve">Figure </w:t>
      </w:r>
      <w:r w:rsidR="000E1639" w:rsidRPr="00262F3A">
        <w:rPr>
          <w:b/>
        </w:rPr>
        <w:t>2.2.3K</w:t>
      </w:r>
      <w:r w:rsidRPr="00262F3A">
        <w:rPr>
          <w:b/>
        </w:rPr>
        <w:t>:</w:t>
      </w:r>
      <w:r w:rsidRPr="00262F3A">
        <w:t xml:space="preserve"> National Contact Centre telephony performance July 2018 to June 2020</w:t>
      </w:r>
    </w:p>
    <w:p w14:paraId="35E18B6F" w14:textId="73EA8107" w:rsidR="008620A8" w:rsidRPr="00262F3A" w:rsidRDefault="008620A8" w:rsidP="003F018E">
      <w:r w:rsidRPr="00262F3A">
        <w:rPr>
          <w:noProof/>
          <w:lang w:eastAsia="en-AU"/>
        </w:rPr>
        <w:drawing>
          <wp:inline distT="0" distB="0" distL="0" distR="0" wp14:anchorId="00075192" wp14:editId="7DA5D736">
            <wp:extent cx="5731510" cy="2009821"/>
            <wp:effectExtent l="0" t="0" r="2540" b="9525"/>
            <wp:docPr id="44" name="Picture 44" descr="Figure 2.2.3K is a bar and line graph. The legend shows the abandon call percentage, as solid blue/green bars, and has a line graph, in orange, showing the average speed of answer across the top of the bars. The horizontal axis has month and year from July 2018 to June 2020. The vertical axis, on the left, shows percentage of abandon calls and goes from, from 0.0 per cent to 2.5 percent with increments of 0.5. The vertical axis, on the right, shows Average Speed of Answer, time in seconds, and goes from 0:00 seconds to 1:00 minute, with increments of 0:15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009821"/>
                    </a:xfrm>
                    <a:prstGeom prst="rect">
                      <a:avLst/>
                    </a:prstGeom>
                  </pic:spPr>
                </pic:pic>
              </a:graphicData>
            </a:graphic>
          </wp:inline>
        </w:drawing>
      </w:r>
    </w:p>
    <w:p w14:paraId="262A4705" w14:textId="234759F4" w:rsidR="008620A8" w:rsidRPr="00262F3A" w:rsidRDefault="008620A8" w:rsidP="008620A8">
      <w:pPr>
        <w:pStyle w:val="Heading5"/>
      </w:pPr>
      <w:r w:rsidRPr="00262F3A">
        <w:t>I</w:t>
      </w:r>
      <w:r w:rsidR="00E06C48">
        <w:t>nformation and communications technology (ICT)</w:t>
      </w:r>
      <w:r w:rsidRPr="00262F3A">
        <w:t xml:space="preserve"> systems</w:t>
      </w:r>
    </w:p>
    <w:p w14:paraId="3EF346FC" w14:textId="0D51CC4B" w:rsidR="008620A8" w:rsidRPr="00262F3A" w:rsidRDefault="008620A8" w:rsidP="008620A8">
      <w:pPr>
        <w:rPr>
          <w:rFonts w:cstheme="minorHAnsi"/>
        </w:rPr>
      </w:pPr>
      <w:r w:rsidRPr="00262F3A">
        <w:rPr>
          <w:rFonts w:cstheme="minorHAnsi"/>
        </w:rPr>
        <w:t xml:space="preserve">The August 2018 Board meeting endorsed the ICT Strategy, recommending that the Agency retain both the SAP CRM platform and Services Australia as the Agency’s ICT delivery partner. This recommendation was modified at the June 2019 ICT Committee, with the decision being taken to adopt a parallel multi-vendor delivery approach for ‘non-core’ business functions. The strategy will assist the Agency to meet its Corporate Plan </w:t>
      </w:r>
      <w:r w:rsidR="00441166">
        <w:rPr>
          <w:rFonts w:cstheme="minorHAnsi"/>
        </w:rPr>
        <w:t>2020</w:t>
      </w:r>
      <w:r w:rsidRPr="00262F3A">
        <w:rPr>
          <w:rFonts w:cstheme="minorHAnsi"/>
        </w:rPr>
        <w:t>–</w:t>
      </w:r>
      <w:r w:rsidR="00441166">
        <w:rPr>
          <w:rFonts w:cstheme="minorHAnsi"/>
        </w:rPr>
        <w:t>20</w:t>
      </w:r>
      <w:r w:rsidR="00441166" w:rsidRPr="00262F3A">
        <w:rPr>
          <w:rFonts w:cstheme="minorHAnsi"/>
        </w:rPr>
        <w:t>2</w:t>
      </w:r>
      <w:r w:rsidR="00441166">
        <w:rPr>
          <w:rFonts w:cstheme="minorHAnsi"/>
        </w:rPr>
        <w:t>4</w:t>
      </w:r>
      <w:r w:rsidR="00441166" w:rsidRPr="00262F3A">
        <w:rPr>
          <w:rFonts w:cstheme="minorHAnsi"/>
        </w:rPr>
        <w:t xml:space="preserve"> </w:t>
      </w:r>
      <w:r w:rsidRPr="00262F3A">
        <w:rPr>
          <w:rFonts w:cstheme="minorHAnsi"/>
        </w:rPr>
        <w:t>objectives and continue the underlying business strategies t</w:t>
      </w:r>
      <w:r w:rsidR="00E06C48">
        <w:rPr>
          <w:rFonts w:cstheme="minorHAnsi"/>
        </w:rPr>
        <w:t>hat have helped to deliver high-</w:t>
      </w:r>
      <w:r w:rsidRPr="00262F3A">
        <w:rPr>
          <w:rFonts w:cstheme="minorHAnsi"/>
        </w:rPr>
        <w:t xml:space="preserve">quality outcomes for participants. </w:t>
      </w:r>
    </w:p>
    <w:p w14:paraId="15F705EB" w14:textId="77777777" w:rsidR="008620A8" w:rsidRPr="00262F3A" w:rsidRDefault="008620A8" w:rsidP="008620A8">
      <w:pPr>
        <w:rPr>
          <w:rFonts w:cstheme="minorHAnsi"/>
        </w:rPr>
      </w:pPr>
      <w:r w:rsidRPr="00262F3A">
        <w:rPr>
          <w:rFonts w:cstheme="minorHAnsi"/>
        </w:rPr>
        <w:t xml:space="preserve">This has resulted in what has become the Alternative Cloud Environment strategy. The Alternative Cloud Environment platform and associated multi-vendor delivery strategy will provide more accessible, functional technology to support participants. The first cloud-based service supporting joint planning went live in May. This has allowed participant appointments to be coordinated across the Agency and partner organisations. </w:t>
      </w:r>
    </w:p>
    <w:p w14:paraId="40AAD014" w14:textId="77777777" w:rsidR="008620A8" w:rsidRPr="00262F3A" w:rsidRDefault="008620A8" w:rsidP="008620A8">
      <w:pPr>
        <w:rPr>
          <w:rFonts w:cstheme="minorHAnsi"/>
        </w:rPr>
      </w:pPr>
      <w:r w:rsidRPr="00262F3A">
        <w:rPr>
          <w:rFonts w:cstheme="minorHAnsi"/>
        </w:rPr>
        <w:t xml:space="preserve">Participant research identified that mobile capability was the priority for participants. A participant mobile app is under development with a controlled pilot (250 participants). The app will enable participants to easily review their available budget, make claims and store receipts if required. </w:t>
      </w:r>
    </w:p>
    <w:p w14:paraId="73FD6295" w14:textId="77777777" w:rsidR="008620A8" w:rsidRPr="00262F3A" w:rsidRDefault="008620A8" w:rsidP="008620A8">
      <w:pPr>
        <w:rPr>
          <w:rFonts w:cstheme="minorHAnsi"/>
        </w:rPr>
      </w:pPr>
      <w:r w:rsidRPr="00262F3A">
        <w:rPr>
          <w:rFonts w:cstheme="minorHAnsi"/>
        </w:rPr>
        <w:t xml:space="preserve">A project to refresh the NDIS participant web portal solution was progressed in 2019–20, with initial design concepts being tested by participant volunteers. The objective of this activity is to agree on a firm starting point for broader testing with participants and advocacy groups following availability of the Alternative Cloud Environment platform. </w:t>
      </w:r>
    </w:p>
    <w:p w14:paraId="5ABBEDBB" w14:textId="77777777" w:rsidR="008620A8" w:rsidRPr="00262F3A" w:rsidRDefault="008620A8" w:rsidP="008620A8">
      <w:pPr>
        <w:rPr>
          <w:rFonts w:cstheme="minorHAnsi"/>
        </w:rPr>
      </w:pPr>
      <w:r w:rsidRPr="00262F3A">
        <w:rPr>
          <w:rFonts w:cstheme="minorHAnsi"/>
        </w:rPr>
        <w:t xml:space="preserve">The Agency has continued to keep existing ICT systems fully functional, as well as deploying new capability to support the Agency’s COVID-19 pandemic response. Both the external-facing systems and the internal staff system are achieving their performance targets and have been consistently meeting these targets since November 2018. Staff, partners, participants and providers are experiencing faster system response times than ever. This is despite introducing more functionality to the systems, as well as the significant increase in numbers of participants, providers and staff using them over the period. </w:t>
      </w:r>
    </w:p>
    <w:p w14:paraId="769C05A8" w14:textId="77777777" w:rsidR="008620A8" w:rsidRPr="00262F3A" w:rsidRDefault="008620A8" w:rsidP="008620A8">
      <w:pPr>
        <w:rPr>
          <w:rFonts w:cstheme="minorHAnsi"/>
        </w:rPr>
      </w:pPr>
      <w:r w:rsidRPr="00262F3A">
        <w:rPr>
          <w:rFonts w:cstheme="minorHAnsi"/>
        </w:rPr>
        <w:t>We continue to closely monitor performance and develop improvements to ensure that the Agency’s ICT systems maintain their effectiveness as the Scheme continues to scale up during rollout.</w:t>
      </w:r>
    </w:p>
    <w:p w14:paraId="5A91FF5B" w14:textId="77777777" w:rsidR="008620A8" w:rsidRPr="00262F3A" w:rsidRDefault="008620A8" w:rsidP="008620A8">
      <w:pPr>
        <w:pStyle w:val="Heading5"/>
      </w:pPr>
      <w:r w:rsidRPr="00262F3A">
        <w:t>Protective security</w:t>
      </w:r>
    </w:p>
    <w:p w14:paraId="2DFE33AE" w14:textId="77777777" w:rsidR="008620A8" w:rsidRPr="00262F3A" w:rsidRDefault="008620A8" w:rsidP="008620A8">
      <w:pPr>
        <w:rPr>
          <w:rFonts w:cstheme="minorHAnsi"/>
        </w:rPr>
      </w:pPr>
      <w:r w:rsidRPr="00262F3A">
        <w:rPr>
          <w:rFonts w:cstheme="minorHAnsi"/>
        </w:rPr>
        <w:t xml:space="preserve">The Australian Government provides mandated requirements and advice for corporate Commonwealth entities about their security requirements via the Protective Security Policy Framework (PSPF) and Information Security Manual. New PSPF arrangements came into effect on 1 July 2018. </w:t>
      </w:r>
    </w:p>
    <w:p w14:paraId="0C116A17" w14:textId="77777777" w:rsidR="008620A8" w:rsidRPr="00262F3A" w:rsidRDefault="008620A8" w:rsidP="008620A8">
      <w:pPr>
        <w:rPr>
          <w:rFonts w:cstheme="minorHAnsi"/>
        </w:rPr>
      </w:pPr>
      <w:r w:rsidRPr="00262F3A">
        <w:rPr>
          <w:rFonts w:cstheme="minorHAnsi"/>
        </w:rPr>
        <w:lastRenderedPageBreak/>
        <w:t>The Agency has established close working relationships with Services Australia, the Department of the Prime Minister and Cabinet and the Australian Taxation Office regarding the safety and security of our staff around Australia. The Agency is currently finalising a project to enhance the physical and electronic security of 51 service delivery sites.</w:t>
      </w:r>
    </w:p>
    <w:p w14:paraId="131F9999" w14:textId="77777777" w:rsidR="008620A8" w:rsidRPr="00262F3A" w:rsidRDefault="008620A8" w:rsidP="008620A8">
      <w:pPr>
        <w:rPr>
          <w:rFonts w:cstheme="minorHAnsi"/>
        </w:rPr>
      </w:pPr>
      <w:r w:rsidRPr="00262F3A">
        <w:rPr>
          <w:rFonts w:cstheme="minorHAnsi"/>
        </w:rPr>
        <w:t xml:space="preserve">The Agency uses Services Australia as its ICT shared service provider. Services Australia has established an ‘Essential Eight’ uplift program designed to reduce cyber risk. </w:t>
      </w:r>
      <w:r w:rsidRPr="00262F3A">
        <w:rPr>
          <w:rFonts w:cstheme="minorHAnsi"/>
          <w:shd w:val="clear" w:color="auto" w:fill="FFFFFF"/>
        </w:rPr>
        <w:t>The Essential Eight is a set of proven mitigation strategies for reducing cyber risk across many enterprises.</w:t>
      </w:r>
      <w:r w:rsidRPr="00262F3A">
        <w:rPr>
          <w:rFonts w:cstheme="minorHAnsi"/>
        </w:rPr>
        <w:t xml:space="preserve"> The Agency is represented on the program’s steering committee. Our cybersecurity specialists are working with Services Australia to ensure that the Agency’s maturity targets are achieved as agreed.</w:t>
      </w:r>
    </w:p>
    <w:p w14:paraId="0664E7CD" w14:textId="3E5440A0" w:rsidR="008620A8" w:rsidRPr="00262F3A" w:rsidRDefault="008620A8" w:rsidP="008620A8">
      <w:r w:rsidRPr="00262F3A">
        <w:rPr>
          <w:rFonts w:cstheme="minorHAnsi"/>
        </w:rPr>
        <w:t>The Agency’s cybersecurity team notes that we are operating at an increased level of cyber risk due to the COVID-19 pandemic. Work to support the Agency’s response to the COVID-19 pandemic includes intelligence reporting to the Executive Leadership Team to ensure we continue to provide up-to-date security advice regarding risks, trends and threats, to inform decision-making and mitigate risk.</w:t>
      </w:r>
    </w:p>
    <w:p w14:paraId="5FBFAED3" w14:textId="2AB2416B" w:rsidR="00C70983" w:rsidRPr="00262F3A" w:rsidRDefault="008620A8" w:rsidP="008F00D1">
      <w:pPr>
        <w:pStyle w:val="Heading2"/>
      </w:pPr>
      <w:bookmarkStart w:id="14" w:name="_Toc51067968"/>
      <w:r w:rsidRPr="00262F3A">
        <w:t>How we intend to move forward</w:t>
      </w:r>
      <w:bookmarkEnd w:id="14"/>
    </w:p>
    <w:p w14:paraId="14DA0389" w14:textId="6C38CC3A" w:rsidR="008620A8" w:rsidRPr="00262F3A" w:rsidRDefault="008620A8" w:rsidP="008620A8">
      <w:pPr>
        <w:rPr>
          <w:rFonts w:cstheme="minorHAnsi"/>
        </w:rPr>
      </w:pPr>
      <w:r w:rsidRPr="00262F3A">
        <w:rPr>
          <w:rFonts w:cstheme="minorHAnsi"/>
        </w:rPr>
        <w:t xml:space="preserve">Having reached the significant milestone of transition to Full Scheme, our core focus over the coming year is to </w:t>
      </w:r>
      <w:r w:rsidR="000C1BFD">
        <w:rPr>
          <w:rFonts w:cstheme="minorHAnsi"/>
        </w:rPr>
        <w:t xml:space="preserve">both </w:t>
      </w:r>
      <w:r w:rsidRPr="00262F3A">
        <w:rPr>
          <w:rFonts w:cstheme="minorHAnsi"/>
        </w:rPr>
        <w:t xml:space="preserve">improve the participant experience and to provide participants with even greater opportunities for improved outcomes. This includes helping participants build their independence by facilitating access to greater employment opportunities and social inclusion and engagement. </w:t>
      </w:r>
    </w:p>
    <w:p w14:paraId="0AC65758" w14:textId="08C7F1B0" w:rsidR="008620A8" w:rsidRPr="00262F3A" w:rsidRDefault="008620A8" w:rsidP="008620A8">
      <w:pPr>
        <w:autoSpaceDE w:val="0"/>
        <w:autoSpaceDN w:val="0"/>
        <w:adjustRightInd w:val="0"/>
        <w:spacing w:after="0"/>
        <w:rPr>
          <w:rFonts w:cstheme="minorHAnsi"/>
        </w:rPr>
      </w:pPr>
      <w:r w:rsidRPr="00262F3A">
        <w:rPr>
          <w:rFonts w:cstheme="minorHAnsi"/>
        </w:rPr>
        <w:t xml:space="preserve">First and foremost, the safety of participants is paramount. The NDIA will continue to work across </w:t>
      </w:r>
      <w:r w:rsidR="000C1BFD">
        <w:rPr>
          <w:rFonts w:cstheme="minorHAnsi"/>
        </w:rPr>
        <w:t>g</w:t>
      </w:r>
      <w:r w:rsidRPr="00262F3A">
        <w:rPr>
          <w:rFonts w:cstheme="minorHAnsi"/>
        </w:rPr>
        <w:t xml:space="preserve">overnment to ensure continuity of essential supports for NDIS participants during the COVID-19 pandemic, including a focus on supporting those in ‘hot-spots’. </w:t>
      </w:r>
    </w:p>
    <w:p w14:paraId="18F8C3E8" w14:textId="6AB6D850" w:rsidR="008620A8" w:rsidRPr="00262F3A" w:rsidRDefault="008620A8" w:rsidP="008620A8">
      <w:pPr>
        <w:autoSpaceDE w:val="0"/>
        <w:autoSpaceDN w:val="0"/>
        <w:adjustRightInd w:val="0"/>
        <w:spacing w:after="0"/>
        <w:rPr>
          <w:rFonts w:cstheme="minorHAnsi"/>
        </w:rPr>
      </w:pPr>
      <w:r w:rsidRPr="00262F3A">
        <w:rPr>
          <w:rFonts w:cstheme="minorHAnsi"/>
        </w:rPr>
        <w:t xml:space="preserve">The Agency will continue to enhance the way we work with participants, their families and carers. The NDIA will simplify its processes to support people to gain access to the Scheme; provide more clarity and transparency around decisions; ensure plans include the supports required to achieve participant goals; and improve the timeframes in which we make decisions. The Participant Service Charter and the Participant Service Improvement Plan work together to outline how the Agency will deliver these enhancements. We aim not just to deliver on the benchmarks set but </w:t>
      </w:r>
      <w:r w:rsidR="000C1BFD">
        <w:rPr>
          <w:rFonts w:cstheme="minorHAnsi"/>
        </w:rPr>
        <w:t>to</w:t>
      </w:r>
      <w:r w:rsidRPr="00262F3A">
        <w:rPr>
          <w:rFonts w:cstheme="minorHAnsi"/>
        </w:rPr>
        <w:t xml:space="preserve"> strive to outperform them.</w:t>
      </w:r>
    </w:p>
    <w:p w14:paraId="4970E218" w14:textId="77777777" w:rsidR="008620A8" w:rsidRPr="00262F3A" w:rsidRDefault="008620A8" w:rsidP="008620A8">
      <w:pPr>
        <w:rPr>
          <w:rFonts w:cstheme="minorHAnsi"/>
        </w:rPr>
      </w:pPr>
      <w:r w:rsidRPr="00262F3A">
        <w:rPr>
          <w:rFonts w:cstheme="minorHAnsi"/>
        </w:rPr>
        <w:t>We will endeavour to deliver a Scheme that is fairer and more equitable. In part, that will be done by implementing independent functional assessments that will provide greater consistency not just in access decisions, but also in the level of supports provided to participants.  To ensure greater access, those assessments will be paid for by the Scheme.</w:t>
      </w:r>
    </w:p>
    <w:p w14:paraId="7F8E9B1A" w14:textId="2FC2E0A9" w:rsidR="008620A8" w:rsidRPr="00262F3A" w:rsidRDefault="008620A8" w:rsidP="008620A8">
      <w:pPr>
        <w:autoSpaceDE w:val="0"/>
        <w:autoSpaceDN w:val="0"/>
        <w:adjustRightInd w:val="0"/>
        <w:spacing w:after="0"/>
        <w:rPr>
          <w:rFonts w:cstheme="minorHAnsi"/>
        </w:rPr>
      </w:pPr>
      <w:r w:rsidRPr="00262F3A">
        <w:rPr>
          <w:rFonts w:cstheme="minorHAnsi"/>
        </w:rPr>
        <w:t>We will strengthen engagement with participants, their families and carers by providing them with more opportunities to provide feedback through a variety of channels, and by improving the way we communicate with participants and the way they get information from us.</w:t>
      </w:r>
    </w:p>
    <w:p w14:paraId="0423F348" w14:textId="77777777" w:rsidR="008620A8" w:rsidRPr="00262F3A" w:rsidRDefault="008620A8" w:rsidP="008620A8">
      <w:pPr>
        <w:autoSpaceDE w:val="0"/>
        <w:autoSpaceDN w:val="0"/>
        <w:adjustRightInd w:val="0"/>
        <w:spacing w:after="0"/>
        <w:rPr>
          <w:rFonts w:cstheme="minorHAnsi"/>
        </w:rPr>
      </w:pPr>
      <w:r w:rsidRPr="00262F3A">
        <w:rPr>
          <w:rFonts w:cstheme="minorHAnsi"/>
        </w:rPr>
        <w:t>Additionally, we will work with providers to continue to grow a market that reliably supplies quality and innovative supports to meet participant needs and goals. In partnership with our stakeholders, we are working to develop and shape the market as it matures. We will continue to refine our approach in response to emerging market issues such as inefficient service delivery, limited variety, inaccessible services, and lack of consumer choice.</w:t>
      </w:r>
    </w:p>
    <w:p w14:paraId="096E8EE9" w14:textId="77777777" w:rsidR="008620A8" w:rsidRPr="00262F3A" w:rsidRDefault="008620A8" w:rsidP="008620A8">
      <w:pPr>
        <w:autoSpaceDE w:val="0"/>
        <w:autoSpaceDN w:val="0"/>
        <w:adjustRightInd w:val="0"/>
        <w:spacing w:after="0"/>
        <w:rPr>
          <w:rFonts w:cstheme="minorHAnsi"/>
        </w:rPr>
      </w:pPr>
      <w:r w:rsidRPr="00262F3A">
        <w:rPr>
          <w:rFonts w:cstheme="minorHAnsi"/>
        </w:rPr>
        <w:t>We will continue to improve the digital experience for participants and providers. Work is progressing on a digital partnership strategy to transform the participant and provider experience through increased use of technology. This will encourage the Agency as well as participants and providers to become more open to innovation and change.</w:t>
      </w:r>
    </w:p>
    <w:p w14:paraId="07B44112" w14:textId="497BB290" w:rsidR="008620A8" w:rsidRPr="00262F3A" w:rsidRDefault="008620A8" w:rsidP="008620A8">
      <w:pPr>
        <w:autoSpaceDE w:val="0"/>
        <w:autoSpaceDN w:val="0"/>
        <w:adjustRightInd w:val="0"/>
        <w:spacing w:after="0"/>
        <w:rPr>
          <w:rFonts w:cstheme="minorHAnsi"/>
        </w:rPr>
      </w:pPr>
      <w:r w:rsidRPr="00262F3A">
        <w:rPr>
          <w:rFonts w:cstheme="minorHAnsi"/>
        </w:rPr>
        <w:t xml:space="preserve">We will continue to build the Agency’s reputation as an employer of choice by developing a capable and engaged workforce. Achieving the commitments outlined in the Participant Service Charter and the Participant Service Improvement Plan will require a continued capability uplift. </w:t>
      </w:r>
      <w:r w:rsidRPr="00262F3A">
        <w:rPr>
          <w:rFonts w:cstheme="minorHAnsi"/>
        </w:rPr>
        <w:lastRenderedPageBreak/>
        <w:t>This includes supporting front line staff to implement these changes, along with reinvigorating current systems and processes. This work has already commenced with the national rollout of joint planning, customer service skills, rapport building and disability awareness delivered to planners and LACs.</w:t>
      </w:r>
    </w:p>
    <w:p w14:paraId="30096A97" w14:textId="7E45BED0" w:rsidR="008620A8" w:rsidRPr="00262F3A" w:rsidRDefault="008620A8" w:rsidP="008620A8">
      <w:pPr>
        <w:autoSpaceDE w:val="0"/>
        <w:autoSpaceDN w:val="0"/>
        <w:adjustRightInd w:val="0"/>
        <w:spacing w:after="0"/>
        <w:rPr>
          <w:rFonts w:cstheme="minorHAnsi"/>
        </w:rPr>
      </w:pPr>
      <w:r w:rsidRPr="00262F3A">
        <w:rPr>
          <w:rFonts w:cstheme="minorHAnsi"/>
        </w:rPr>
        <w:t xml:space="preserve">The realisation of our capability uplift requires continued enhancement of systems and technology. The Agency has commenced a range of </w:t>
      </w:r>
      <w:r w:rsidR="000C1BFD">
        <w:rPr>
          <w:rFonts w:cstheme="minorHAnsi"/>
        </w:rPr>
        <w:t xml:space="preserve">ICT </w:t>
      </w:r>
      <w:r w:rsidRPr="00262F3A">
        <w:rPr>
          <w:rFonts w:cstheme="minorHAnsi"/>
        </w:rPr>
        <w:t>initiatives to enhance our core systems, provide greater accessibility and visibility for people with disability and improve the efficiency and effectiveness of the way staff and partner staff perform their roles.</w:t>
      </w:r>
    </w:p>
    <w:p w14:paraId="77691CE6" w14:textId="77777777" w:rsidR="008620A8" w:rsidRPr="00262F3A" w:rsidRDefault="008620A8" w:rsidP="008620A8">
      <w:pPr>
        <w:autoSpaceDE w:val="0"/>
        <w:autoSpaceDN w:val="0"/>
        <w:adjustRightInd w:val="0"/>
        <w:spacing w:after="0"/>
        <w:rPr>
          <w:rFonts w:ascii="FSMePro-Light" w:hAnsi="FSMePro-Light" w:cs="FSMePro-Light"/>
        </w:rPr>
      </w:pPr>
      <w:r w:rsidRPr="00262F3A">
        <w:rPr>
          <w:rFonts w:cstheme="minorHAnsi"/>
        </w:rPr>
        <w:t xml:space="preserve">At the same time, we know that the Scheme must continue to be financially sustainable. This is critical to ensuring ongoing public confidence in the Scheme and that it remains in place for the benefit of future generations of participants. The insurance-based nature of the Scheme ensures any adverse trends are identified early and are acted upon. We are proactively addressing pressures. </w:t>
      </w:r>
    </w:p>
    <w:p w14:paraId="2AF2C4D7" w14:textId="77777777" w:rsidR="00D00F31" w:rsidRDefault="008620A8" w:rsidP="008620A8">
      <w:pPr>
        <w:autoSpaceDE w:val="0"/>
        <w:autoSpaceDN w:val="0"/>
        <w:adjustRightInd w:val="0"/>
        <w:spacing w:after="0"/>
        <w:rPr>
          <w:rFonts w:cstheme="minorHAnsi"/>
        </w:rPr>
      </w:pPr>
      <w:r w:rsidRPr="00262F3A">
        <w:rPr>
          <w:rFonts w:cstheme="minorHAnsi"/>
        </w:rPr>
        <w:t>Our priorities over the coming year will help ensure we deliver the Scheme that was originally envisaged, and a Scheme of which all Australians can be proud.</w:t>
      </w:r>
      <w:r w:rsidR="00EB7A97">
        <w:rPr>
          <w:rFonts w:cstheme="minorHAnsi"/>
        </w:rPr>
        <w:t xml:space="preserve"> </w:t>
      </w:r>
    </w:p>
    <w:p w14:paraId="46399BBE" w14:textId="62B99B4F" w:rsidR="008620A8" w:rsidRPr="00262F3A" w:rsidRDefault="00D00F31" w:rsidP="00084A73">
      <w:pPr>
        <w:autoSpaceDE w:val="0"/>
        <w:autoSpaceDN w:val="0"/>
        <w:adjustRightInd w:val="0"/>
        <w:spacing w:after="0"/>
        <w:ind w:left="0"/>
        <w:rPr>
          <w:rFonts w:cstheme="minorHAnsi"/>
        </w:rPr>
      </w:pPr>
      <w:r>
        <w:rPr>
          <w:rFonts w:cstheme="minorHAnsi"/>
        </w:rPr>
        <w:br/>
      </w:r>
      <w:r>
        <w:rPr>
          <w:rFonts w:cstheme="minorHAnsi"/>
          <w:noProof/>
          <w:lang w:eastAsia="en-AU"/>
        </w:rPr>
        <w:drawing>
          <wp:inline distT="0" distB="0" distL="0" distR="0" wp14:anchorId="280D0CFA" wp14:editId="32E9ACD1">
            <wp:extent cx="6372225" cy="4291330"/>
            <wp:effectExtent l="0" t="0" r="9525" b="0"/>
            <wp:docPr id="238" name="Picture 238" descr="This image shows the front covers of the National Disability Insurance Scheme Participant Service Charter and the NDIS Participant Service Improvement Plan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Covers.jpg"/>
                    <pic:cNvPicPr/>
                  </pic:nvPicPr>
                  <pic:blipFill>
                    <a:blip r:embed="rId35">
                      <a:extLst>
                        <a:ext uri="{28A0092B-C50C-407E-A947-70E740481C1C}">
                          <a14:useLocalDpi xmlns:a14="http://schemas.microsoft.com/office/drawing/2010/main" val="0"/>
                        </a:ext>
                      </a:extLst>
                    </a:blip>
                    <a:stretch>
                      <a:fillRect/>
                    </a:stretch>
                  </pic:blipFill>
                  <pic:spPr>
                    <a:xfrm>
                      <a:off x="0" y="0"/>
                      <a:ext cx="6385733" cy="4300427"/>
                    </a:xfrm>
                    <a:prstGeom prst="rect">
                      <a:avLst/>
                    </a:prstGeom>
                  </pic:spPr>
                </pic:pic>
              </a:graphicData>
            </a:graphic>
          </wp:inline>
        </w:drawing>
      </w:r>
    </w:p>
    <w:p w14:paraId="2B189281" w14:textId="77777777" w:rsidR="008620A8" w:rsidRPr="00262F3A" w:rsidRDefault="008620A8" w:rsidP="008620A8">
      <w:pPr>
        <w:rPr>
          <w:sz w:val="24"/>
          <w:szCs w:val="24"/>
        </w:rPr>
      </w:pPr>
    </w:p>
    <w:p w14:paraId="1AFDDC0E" w14:textId="77777777" w:rsidR="00C70983" w:rsidRPr="00262F3A" w:rsidRDefault="00EC35FC" w:rsidP="00561B3B">
      <w:pPr>
        <w:pStyle w:val="Heading1"/>
      </w:pPr>
      <w:bookmarkStart w:id="15" w:name="_Toc51067969"/>
      <w:r w:rsidRPr="00262F3A">
        <w:lastRenderedPageBreak/>
        <w:t>Financials</w:t>
      </w:r>
      <w:bookmarkEnd w:id="15"/>
    </w:p>
    <w:p w14:paraId="711F1ECC" w14:textId="77777777" w:rsidR="00815D62" w:rsidRPr="00262F3A" w:rsidRDefault="00815D62" w:rsidP="00815D62">
      <w:pPr>
        <w:pStyle w:val="Heading2"/>
      </w:pPr>
      <w:bookmarkStart w:id="16" w:name="_Toc51067970"/>
      <w:r w:rsidRPr="00262F3A">
        <w:t>Financial statements</w:t>
      </w:r>
      <w:bookmarkEnd w:id="16"/>
    </w:p>
    <w:p w14:paraId="6F8C597C" w14:textId="6FCF4C79" w:rsidR="00D00F31" w:rsidRDefault="00D00F31">
      <w:pPr>
        <w:spacing w:before="0" w:after="160" w:line="259" w:lineRule="auto"/>
        <w:ind w:left="0"/>
        <w:rPr>
          <w:highlight w:val="yellow"/>
          <w:lang w:eastAsia="en-US"/>
        </w:rPr>
      </w:pPr>
      <w:r>
        <w:rPr>
          <w:noProof/>
          <w:lang w:eastAsia="en-AU"/>
        </w:rPr>
        <w:drawing>
          <wp:inline distT="0" distB="0" distL="0" distR="0" wp14:anchorId="79EF863A" wp14:editId="5FD74212">
            <wp:extent cx="5454686" cy="8146477"/>
            <wp:effectExtent l="0" t="0" r="0" b="6985"/>
            <wp:docPr id="241" name="Picture 241" descr="Independent Auditor’s Report to the Minister for the National Disability Insurance Scheme (NDIS). This is a four page letter from the Australian National Audit Office to the Minister for the NDIS. It states the opinion of the auditor, Ms Rebecca Reilly, that the financial statements of the NDIS Launch Transition Agency for the year ended 30 June 2020: (a) comply with Australian Accounting Standards – Reduced Disclosure Requirements and the Public Governance, Performance and Accountability (Financial Reporting) Rule 2015; and (b) present fairly the financial position of the Entity as at 30 June 2019 and its financial performance and cash flows for the year then ended. The letter provides the basis for this opinion, the key audit matters, and the responsibilities of the Agency and the Au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Audit report 1.JPG"/>
                    <pic:cNvPicPr/>
                  </pic:nvPicPr>
                  <pic:blipFill rotWithShape="1">
                    <a:blip r:embed="rId36">
                      <a:extLst>
                        <a:ext uri="{28A0092B-C50C-407E-A947-70E740481C1C}">
                          <a14:useLocalDpi xmlns:a14="http://schemas.microsoft.com/office/drawing/2010/main" val="0"/>
                        </a:ext>
                      </a:extLst>
                    </a:blip>
                    <a:srcRect l="7526" t="3320" r="3510" b="3091"/>
                    <a:stretch/>
                  </pic:blipFill>
                  <pic:spPr bwMode="auto">
                    <a:xfrm>
                      <a:off x="0" y="0"/>
                      <a:ext cx="5470625" cy="8170281"/>
                    </a:xfrm>
                    <a:prstGeom prst="rect">
                      <a:avLst/>
                    </a:prstGeom>
                    <a:ln>
                      <a:noFill/>
                    </a:ln>
                    <a:extLst>
                      <a:ext uri="{53640926-AAD7-44D8-BBD7-CCE9431645EC}">
                        <a14:shadowObscured xmlns:a14="http://schemas.microsoft.com/office/drawing/2010/main"/>
                      </a:ext>
                    </a:extLst>
                  </pic:spPr>
                </pic:pic>
              </a:graphicData>
            </a:graphic>
          </wp:inline>
        </w:drawing>
      </w:r>
    </w:p>
    <w:p w14:paraId="3CA90C9F" w14:textId="515F15EC" w:rsidR="00D00F31" w:rsidRDefault="00CF142E">
      <w:pPr>
        <w:spacing w:before="0" w:after="160" w:line="259" w:lineRule="auto"/>
        <w:ind w:left="0"/>
        <w:rPr>
          <w:highlight w:val="yellow"/>
          <w:lang w:eastAsia="en-US"/>
        </w:rPr>
      </w:pPr>
      <w:r>
        <w:rPr>
          <w:noProof/>
          <w:lang w:eastAsia="en-AU"/>
        </w:rPr>
        <w:lastRenderedPageBreak/>
        <w:drawing>
          <wp:inline distT="0" distB="0" distL="0" distR="0" wp14:anchorId="26BEFF9E" wp14:editId="6ED68CAB">
            <wp:extent cx="6239168" cy="9191569"/>
            <wp:effectExtent l="0" t="0" r="0" b="0"/>
            <wp:docPr id="3" name="Picture 3" descr="Page two of the Independent Auditor’s Report to the Minister for the National Disability Insurance Schem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48465" cy="9205265"/>
                    </a:xfrm>
                    <a:prstGeom prst="rect">
                      <a:avLst/>
                    </a:prstGeom>
                  </pic:spPr>
                </pic:pic>
              </a:graphicData>
            </a:graphic>
          </wp:inline>
        </w:drawing>
      </w:r>
      <w:r w:rsidR="00D00F31">
        <w:rPr>
          <w:highlight w:val="yellow"/>
          <w:lang w:eastAsia="en-US"/>
        </w:rPr>
        <w:br w:type="page"/>
      </w:r>
    </w:p>
    <w:p w14:paraId="6D4CAC57" w14:textId="2D43A323" w:rsidR="00C152FA" w:rsidRDefault="00C152FA">
      <w:pPr>
        <w:spacing w:before="0" w:after="160" w:line="259" w:lineRule="auto"/>
        <w:ind w:left="0"/>
        <w:rPr>
          <w:highlight w:val="yellow"/>
          <w:lang w:eastAsia="en-US"/>
        </w:rPr>
      </w:pPr>
      <w:r>
        <w:rPr>
          <w:noProof/>
          <w:lang w:eastAsia="en-AU"/>
        </w:rPr>
        <w:lastRenderedPageBreak/>
        <w:drawing>
          <wp:inline distT="0" distB="0" distL="0" distR="0" wp14:anchorId="2F44A330" wp14:editId="59F408A8">
            <wp:extent cx="6078381" cy="9130649"/>
            <wp:effectExtent l="0" t="0" r="0" b="0"/>
            <wp:docPr id="243" name="Picture 243" descr="Page three of the Independent Auditor’s Report to the Minister for the National Disability Insurance Scheme (ND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Audit report 3.JPG"/>
                    <pic:cNvPicPr/>
                  </pic:nvPicPr>
                  <pic:blipFill rotWithShape="1">
                    <a:blip r:embed="rId38">
                      <a:extLst>
                        <a:ext uri="{28A0092B-C50C-407E-A947-70E740481C1C}">
                          <a14:useLocalDpi xmlns:a14="http://schemas.microsoft.com/office/drawing/2010/main" val="0"/>
                        </a:ext>
                      </a:extLst>
                    </a:blip>
                    <a:srcRect l="10122" t="7298" r="9395" b="6928"/>
                    <a:stretch/>
                  </pic:blipFill>
                  <pic:spPr bwMode="auto">
                    <a:xfrm>
                      <a:off x="0" y="0"/>
                      <a:ext cx="6089176" cy="9146864"/>
                    </a:xfrm>
                    <a:prstGeom prst="rect">
                      <a:avLst/>
                    </a:prstGeom>
                    <a:ln>
                      <a:noFill/>
                    </a:ln>
                    <a:extLst>
                      <a:ext uri="{53640926-AAD7-44D8-BBD7-CCE9431645EC}">
                        <a14:shadowObscured xmlns:a14="http://schemas.microsoft.com/office/drawing/2010/main"/>
                      </a:ext>
                    </a:extLst>
                  </pic:spPr>
                </pic:pic>
              </a:graphicData>
            </a:graphic>
          </wp:inline>
        </w:drawing>
      </w:r>
    </w:p>
    <w:p w14:paraId="0E184B20" w14:textId="523EAFA4" w:rsidR="00C152FA" w:rsidRDefault="00C152FA">
      <w:pPr>
        <w:spacing w:before="0" w:after="160" w:line="259" w:lineRule="auto"/>
        <w:ind w:left="0"/>
        <w:rPr>
          <w:highlight w:val="yellow"/>
          <w:lang w:eastAsia="en-US"/>
        </w:rPr>
      </w:pPr>
      <w:r>
        <w:rPr>
          <w:noProof/>
          <w:lang w:eastAsia="en-AU"/>
        </w:rPr>
        <w:lastRenderedPageBreak/>
        <w:drawing>
          <wp:inline distT="0" distB="0" distL="0" distR="0" wp14:anchorId="713D6B0F" wp14:editId="40A588BA">
            <wp:extent cx="6046668" cy="9834359"/>
            <wp:effectExtent l="0" t="0" r="0" b="0"/>
            <wp:docPr id="244" name="Picture 244" descr="Page four of the Independent Auditor’s Report to the Minister for the National Disability Insurance Scheme (ND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Audit report 4.JPG"/>
                    <pic:cNvPicPr/>
                  </pic:nvPicPr>
                  <pic:blipFill rotWithShape="1">
                    <a:blip r:embed="rId39">
                      <a:extLst>
                        <a:ext uri="{28A0092B-C50C-407E-A947-70E740481C1C}">
                          <a14:useLocalDpi xmlns:a14="http://schemas.microsoft.com/office/drawing/2010/main" val="0"/>
                        </a:ext>
                      </a:extLst>
                    </a:blip>
                    <a:srcRect l="9228" t="7361" r="10382"/>
                    <a:stretch/>
                  </pic:blipFill>
                  <pic:spPr bwMode="auto">
                    <a:xfrm>
                      <a:off x="0" y="0"/>
                      <a:ext cx="6057291" cy="9851637"/>
                    </a:xfrm>
                    <a:prstGeom prst="rect">
                      <a:avLst/>
                    </a:prstGeom>
                    <a:ln>
                      <a:noFill/>
                    </a:ln>
                    <a:extLst>
                      <a:ext uri="{53640926-AAD7-44D8-BBD7-CCE9431645EC}">
                        <a14:shadowObscured xmlns:a14="http://schemas.microsoft.com/office/drawing/2010/main"/>
                      </a:ext>
                    </a:extLst>
                  </pic:spPr>
                </pic:pic>
              </a:graphicData>
            </a:graphic>
          </wp:inline>
        </w:drawing>
      </w:r>
      <w:r>
        <w:rPr>
          <w:highlight w:val="yellow"/>
          <w:lang w:eastAsia="en-US"/>
        </w:rPr>
        <w:br w:type="page"/>
      </w:r>
    </w:p>
    <w:p w14:paraId="082B4D1A" w14:textId="4C7744DE" w:rsidR="00125069" w:rsidRDefault="00CF142E">
      <w:pPr>
        <w:spacing w:before="0" w:after="160" w:line="259" w:lineRule="auto"/>
        <w:ind w:left="0"/>
        <w:rPr>
          <w:highlight w:val="yellow"/>
          <w:lang w:eastAsia="en-US"/>
        </w:rPr>
        <w:sectPr w:rsidR="00125069" w:rsidSect="00211048">
          <w:footerReference w:type="default" r:id="rId40"/>
          <w:footerReference w:type="first" r:id="rId41"/>
          <w:pgSz w:w="11906" w:h="16838"/>
          <w:pgMar w:top="1021" w:right="907" w:bottom="1440" w:left="964" w:header="708" w:footer="708" w:gutter="0"/>
          <w:cols w:space="708"/>
          <w:titlePg/>
          <w:docGrid w:linePitch="360"/>
        </w:sectPr>
      </w:pPr>
      <w:r>
        <w:rPr>
          <w:noProof/>
          <w:lang w:eastAsia="en-AU"/>
        </w:rPr>
        <w:lastRenderedPageBreak/>
        <w:drawing>
          <wp:inline distT="0" distB="0" distL="0" distR="0" wp14:anchorId="645D32A7" wp14:editId="59C96F8F">
            <wp:extent cx="6372225" cy="4462780"/>
            <wp:effectExtent l="0" t="0" r="9525" b="0"/>
            <wp:docPr id="250" name="Picture 250" descr="A statement from the Chairman of the Board, CEO, CFO and Chair of the Audit Committee that the attached financial statements for the year ended 30 June 2020 comply with subsection 42(2) of the Public Governance, Performance and Accountability Act 2013 (PGPA Act), and are based on properly maintained financial records as per subsection 41(2) of the PGPA Act. &#10;The statement says that “In our opinion, at the date of this statement, there are reasonable grounds to believe that the National Disability Insurance Scheme Launch Transition Agency will be able to pay its debts as and when they fall due. This statement is made in accordance with a resolution of the directors. &#10;The statement is signed on 15 September 2020 by: by Dr Helen Nugent AO, Chairman; Mr Martin Hoffman, NDIA CEO; Mr Victor Walter, CFO; and Ms Sandra Birkensleigh, Chair, Audit Committ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72225" cy="4462780"/>
                    </a:xfrm>
                    <a:prstGeom prst="rect">
                      <a:avLst/>
                    </a:prstGeom>
                  </pic:spPr>
                </pic:pic>
              </a:graphicData>
            </a:graphic>
          </wp:inline>
        </w:drawing>
      </w:r>
    </w:p>
    <w:tbl>
      <w:tblPr>
        <w:tblW w:w="10037" w:type="dxa"/>
        <w:tblLayout w:type="fixed"/>
        <w:tblCellMar>
          <w:left w:w="57" w:type="dxa"/>
          <w:right w:w="57" w:type="dxa"/>
        </w:tblCellMar>
        <w:tblLook w:val="04A0" w:firstRow="1" w:lastRow="0" w:firstColumn="1" w:lastColumn="0" w:noHBand="0" w:noVBand="1"/>
      </w:tblPr>
      <w:tblGrid>
        <w:gridCol w:w="5103"/>
        <w:gridCol w:w="959"/>
        <w:gridCol w:w="1144"/>
        <w:gridCol w:w="236"/>
        <w:gridCol w:w="1128"/>
        <w:gridCol w:w="236"/>
        <w:gridCol w:w="1231"/>
      </w:tblGrid>
      <w:tr w:rsidR="00125069" w:rsidRPr="00125069" w14:paraId="13C8DD26" w14:textId="77777777" w:rsidTr="00084A73">
        <w:trPr>
          <w:trHeight w:val="465"/>
        </w:trPr>
        <w:tc>
          <w:tcPr>
            <w:tcW w:w="5103" w:type="dxa"/>
            <w:tcBorders>
              <w:top w:val="single" w:sz="8" w:space="0" w:color="800080"/>
              <w:left w:val="nil"/>
              <w:bottom w:val="nil"/>
              <w:right w:val="nil"/>
            </w:tcBorders>
            <w:shd w:val="clear" w:color="FFFFFF" w:fill="FFFFFF"/>
            <w:noWrap/>
            <w:vAlign w:val="bottom"/>
            <w:hideMark/>
          </w:tcPr>
          <w:p w14:paraId="194FF702" w14:textId="77777777" w:rsidR="00125069" w:rsidRPr="00125069" w:rsidRDefault="00125069" w:rsidP="00125069">
            <w:pPr>
              <w:spacing w:before="0" w:after="0" w:line="260" w:lineRule="atLeast"/>
              <w:ind w:left="0"/>
              <w:rPr>
                <w:rFonts w:eastAsia="Times New Roman"/>
                <w:sz w:val="18"/>
                <w:szCs w:val="18"/>
                <w:lang w:eastAsia="en-US"/>
              </w:rPr>
            </w:pPr>
            <w:bookmarkStart w:id="17" w:name="Note_DPLTABLE1" w:colFirst="0" w:colLast="0"/>
            <w:r w:rsidRPr="00125069">
              <w:rPr>
                <w:rFonts w:eastAsia="Times New Roman"/>
                <w:sz w:val="18"/>
                <w:szCs w:val="18"/>
                <w:lang w:eastAsia="en-US"/>
              </w:rPr>
              <w:lastRenderedPageBreak/>
              <w:t> </w:t>
            </w:r>
          </w:p>
        </w:tc>
        <w:tc>
          <w:tcPr>
            <w:tcW w:w="959" w:type="dxa"/>
            <w:tcBorders>
              <w:top w:val="single" w:sz="8" w:space="0" w:color="800080"/>
              <w:left w:val="nil"/>
              <w:bottom w:val="nil"/>
              <w:right w:val="nil"/>
            </w:tcBorders>
            <w:shd w:val="clear" w:color="FFFFFF" w:fill="FFFFFF"/>
            <w:noWrap/>
            <w:vAlign w:val="bottom"/>
            <w:hideMark/>
          </w:tcPr>
          <w:p w14:paraId="2BC3C16C"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44" w:type="dxa"/>
            <w:tcBorders>
              <w:top w:val="single" w:sz="8" w:space="0" w:color="800080"/>
              <w:left w:val="nil"/>
              <w:bottom w:val="nil"/>
              <w:right w:val="nil"/>
            </w:tcBorders>
            <w:shd w:val="clear" w:color="FFFFFF" w:fill="FFFFFF"/>
            <w:noWrap/>
            <w:vAlign w:val="bottom"/>
            <w:hideMark/>
          </w:tcPr>
          <w:p w14:paraId="0FE020D5"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245841A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8" w:space="0" w:color="800080"/>
              <w:left w:val="nil"/>
              <w:bottom w:val="nil"/>
              <w:right w:val="nil"/>
            </w:tcBorders>
            <w:shd w:val="clear" w:color="FFFFFF" w:fill="FFFFFF"/>
            <w:noWrap/>
            <w:vAlign w:val="bottom"/>
            <w:hideMark/>
          </w:tcPr>
          <w:p w14:paraId="68DA8471"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2217E3C8"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8" w:space="0" w:color="800080"/>
              <w:left w:val="nil"/>
              <w:bottom w:val="nil"/>
              <w:right w:val="nil"/>
            </w:tcBorders>
            <w:shd w:val="clear" w:color="FFFFFF" w:fill="FFFFFF"/>
            <w:vAlign w:val="bottom"/>
            <w:hideMark/>
          </w:tcPr>
          <w:p w14:paraId="098A2562" w14:textId="77777777" w:rsidR="00125069" w:rsidRPr="00125069" w:rsidRDefault="00125069" w:rsidP="00125069">
            <w:pPr>
              <w:spacing w:before="0" w:after="0" w:line="260" w:lineRule="atLeast"/>
              <w:ind w:left="0"/>
              <w:jc w:val="right"/>
              <w:rPr>
                <w:rFonts w:eastAsia="Times New Roman"/>
                <w:color w:val="800080"/>
                <w:sz w:val="18"/>
                <w:szCs w:val="18"/>
                <w:lang w:eastAsia="en-US"/>
              </w:rPr>
            </w:pPr>
            <w:r w:rsidRPr="00125069">
              <w:rPr>
                <w:rFonts w:eastAsia="Times New Roman"/>
                <w:color w:val="800080"/>
                <w:sz w:val="18"/>
                <w:szCs w:val="18"/>
                <w:lang w:eastAsia="en-US"/>
              </w:rPr>
              <w:t>Original</w:t>
            </w:r>
            <w:r w:rsidRPr="00125069">
              <w:rPr>
                <w:rFonts w:eastAsia="Times New Roman"/>
                <w:color w:val="800080"/>
                <w:sz w:val="18"/>
                <w:szCs w:val="18"/>
                <w:lang w:eastAsia="en-US"/>
              </w:rPr>
              <w:br/>
              <w:t>Budget</w:t>
            </w:r>
            <w:r w:rsidRPr="00125069">
              <w:rPr>
                <w:rFonts w:eastAsia="Times New Roman"/>
                <w:color w:val="800080"/>
                <w:sz w:val="18"/>
                <w:szCs w:val="18"/>
                <w:vertAlign w:val="superscript"/>
                <w:lang w:eastAsia="en-US"/>
              </w:rPr>
              <w:t>1</w:t>
            </w:r>
          </w:p>
        </w:tc>
      </w:tr>
      <w:bookmarkEnd w:id="17"/>
      <w:tr w:rsidR="00125069" w:rsidRPr="00125069" w14:paraId="7D25A289" w14:textId="77777777" w:rsidTr="00084A73">
        <w:trPr>
          <w:trHeight w:val="263"/>
        </w:trPr>
        <w:tc>
          <w:tcPr>
            <w:tcW w:w="5103" w:type="dxa"/>
            <w:tcBorders>
              <w:top w:val="nil"/>
              <w:left w:val="nil"/>
              <w:bottom w:val="nil"/>
              <w:right w:val="nil"/>
            </w:tcBorders>
            <w:shd w:val="clear" w:color="FFFFFF" w:fill="FFFFFF"/>
            <w:noWrap/>
            <w:vAlign w:val="bottom"/>
            <w:hideMark/>
          </w:tcPr>
          <w:p w14:paraId="1BD8A54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6149E158"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FFFFFF" w:fill="FFFFFF"/>
            <w:noWrap/>
            <w:vAlign w:val="bottom"/>
            <w:hideMark/>
          </w:tcPr>
          <w:p w14:paraId="6A56E886"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23234AAD"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1BF49B3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2019</w:t>
            </w:r>
          </w:p>
        </w:tc>
        <w:tc>
          <w:tcPr>
            <w:tcW w:w="236" w:type="dxa"/>
            <w:tcBorders>
              <w:top w:val="nil"/>
              <w:left w:val="nil"/>
              <w:bottom w:val="nil"/>
              <w:right w:val="nil"/>
            </w:tcBorders>
            <w:shd w:val="clear" w:color="FFFFFF" w:fill="FFFFFF"/>
            <w:noWrap/>
            <w:vAlign w:val="bottom"/>
            <w:hideMark/>
          </w:tcPr>
          <w:p w14:paraId="11F2D0E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2B447ABE" w14:textId="77777777" w:rsidR="00125069" w:rsidRPr="00125069" w:rsidRDefault="00125069" w:rsidP="00125069">
            <w:pPr>
              <w:spacing w:before="0" w:after="0" w:line="260" w:lineRule="atLeast"/>
              <w:ind w:left="0"/>
              <w:jc w:val="right"/>
              <w:rPr>
                <w:rFonts w:eastAsia="Times New Roman"/>
                <w:color w:val="800080"/>
                <w:sz w:val="18"/>
                <w:szCs w:val="18"/>
                <w:lang w:eastAsia="en-US"/>
              </w:rPr>
            </w:pPr>
            <w:r w:rsidRPr="00125069">
              <w:rPr>
                <w:rFonts w:eastAsia="Times New Roman"/>
                <w:color w:val="800080"/>
                <w:sz w:val="18"/>
                <w:szCs w:val="18"/>
                <w:lang w:eastAsia="en-US"/>
              </w:rPr>
              <w:t>2020</w:t>
            </w:r>
          </w:p>
        </w:tc>
      </w:tr>
      <w:tr w:rsidR="00125069" w:rsidRPr="00125069" w14:paraId="017BD7D7" w14:textId="77777777" w:rsidTr="00084A73">
        <w:trPr>
          <w:trHeight w:val="270"/>
        </w:trPr>
        <w:tc>
          <w:tcPr>
            <w:tcW w:w="5103" w:type="dxa"/>
            <w:tcBorders>
              <w:top w:val="nil"/>
              <w:left w:val="nil"/>
              <w:bottom w:val="single" w:sz="8" w:space="0" w:color="800080"/>
              <w:right w:val="nil"/>
            </w:tcBorders>
            <w:shd w:val="clear" w:color="FFFFFF" w:fill="FFFFFF"/>
            <w:noWrap/>
            <w:vAlign w:val="bottom"/>
            <w:hideMark/>
          </w:tcPr>
          <w:p w14:paraId="27D967F8"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single" w:sz="8" w:space="0" w:color="800080"/>
              <w:right w:val="nil"/>
            </w:tcBorders>
            <w:shd w:val="clear" w:color="FFFFFF" w:fill="FFFFFF"/>
            <w:noWrap/>
            <w:vAlign w:val="bottom"/>
            <w:hideMark/>
          </w:tcPr>
          <w:p w14:paraId="5A7654DB" w14:textId="77777777" w:rsidR="00125069" w:rsidRPr="00125069" w:rsidRDefault="00125069" w:rsidP="00125069">
            <w:pPr>
              <w:spacing w:before="0" w:after="0" w:line="260" w:lineRule="atLeast"/>
              <w:ind w:left="0"/>
              <w:jc w:val="center"/>
              <w:rPr>
                <w:rFonts w:eastAsia="Times New Roman"/>
                <w:b/>
                <w:bCs/>
                <w:sz w:val="18"/>
                <w:szCs w:val="18"/>
                <w:lang w:eastAsia="en-US"/>
              </w:rPr>
            </w:pPr>
            <w:r w:rsidRPr="00125069">
              <w:rPr>
                <w:rFonts w:eastAsia="Times New Roman"/>
                <w:b/>
                <w:bCs/>
                <w:sz w:val="18"/>
                <w:szCs w:val="18"/>
                <w:lang w:eastAsia="en-US"/>
              </w:rPr>
              <w:t>Notes</w:t>
            </w:r>
          </w:p>
        </w:tc>
        <w:tc>
          <w:tcPr>
            <w:tcW w:w="1144" w:type="dxa"/>
            <w:tcBorders>
              <w:top w:val="nil"/>
              <w:left w:val="nil"/>
              <w:bottom w:val="single" w:sz="8" w:space="0" w:color="800080"/>
              <w:right w:val="nil"/>
            </w:tcBorders>
            <w:shd w:val="clear" w:color="FFFFFF" w:fill="FFFFFF"/>
            <w:noWrap/>
            <w:vAlign w:val="bottom"/>
            <w:hideMark/>
          </w:tcPr>
          <w:p w14:paraId="08A24581"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54512793"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single" w:sz="8" w:space="0" w:color="800080"/>
              <w:right w:val="nil"/>
            </w:tcBorders>
            <w:shd w:val="clear" w:color="FFFFFF" w:fill="FFFFFF"/>
            <w:noWrap/>
            <w:vAlign w:val="bottom"/>
            <w:hideMark/>
          </w:tcPr>
          <w:p w14:paraId="486817B5"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5C624468"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single" w:sz="8" w:space="0" w:color="800080"/>
              <w:right w:val="nil"/>
            </w:tcBorders>
            <w:shd w:val="clear" w:color="FFFFFF" w:fill="FFFFFF"/>
            <w:noWrap/>
            <w:vAlign w:val="bottom"/>
            <w:hideMark/>
          </w:tcPr>
          <w:p w14:paraId="40E738D3" w14:textId="77777777" w:rsidR="00125069" w:rsidRPr="00125069" w:rsidRDefault="00125069" w:rsidP="00125069">
            <w:pPr>
              <w:spacing w:before="0" w:after="0" w:line="260" w:lineRule="atLeast"/>
              <w:ind w:left="0"/>
              <w:jc w:val="right"/>
              <w:rPr>
                <w:rFonts w:eastAsia="Times New Roman"/>
                <w:color w:val="800080"/>
                <w:sz w:val="18"/>
                <w:szCs w:val="18"/>
                <w:lang w:eastAsia="en-US"/>
              </w:rPr>
            </w:pPr>
            <w:r w:rsidRPr="00125069">
              <w:rPr>
                <w:rFonts w:eastAsia="Times New Roman"/>
                <w:color w:val="800080"/>
                <w:sz w:val="18"/>
                <w:szCs w:val="18"/>
                <w:lang w:eastAsia="en-US"/>
              </w:rPr>
              <w:t>$'000</w:t>
            </w:r>
          </w:p>
        </w:tc>
      </w:tr>
      <w:tr w:rsidR="00125069" w:rsidRPr="00125069" w14:paraId="185F1520" w14:textId="77777777" w:rsidTr="00084A73">
        <w:trPr>
          <w:trHeight w:val="255"/>
        </w:trPr>
        <w:tc>
          <w:tcPr>
            <w:tcW w:w="5103" w:type="dxa"/>
            <w:tcBorders>
              <w:top w:val="nil"/>
              <w:left w:val="nil"/>
              <w:bottom w:val="nil"/>
              <w:right w:val="nil"/>
            </w:tcBorders>
            <w:shd w:val="clear" w:color="FFFFFF" w:fill="FFFFFF"/>
            <w:noWrap/>
            <w:vAlign w:val="bottom"/>
            <w:hideMark/>
          </w:tcPr>
          <w:p w14:paraId="0713F6C6"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NET COST OF SERVICES</w:t>
            </w:r>
          </w:p>
        </w:tc>
        <w:tc>
          <w:tcPr>
            <w:tcW w:w="959" w:type="dxa"/>
            <w:tcBorders>
              <w:top w:val="nil"/>
              <w:left w:val="nil"/>
              <w:bottom w:val="nil"/>
              <w:right w:val="nil"/>
            </w:tcBorders>
            <w:shd w:val="clear" w:color="FFFFFF" w:fill="FFFFFF"/>
            <w:noWrap/>
            <w:vAlign w:val="bottom"/>
            <w:hideMark/>
          </w:tcPr>
          <w:p w14:paraId="23EECF17" w14:textId="77777777" w:rsidR="00125069" w:rsidRPr="00125069" w:rsidRDefault="00125069" w:rsidP="00125069">
            <w:pPr>
              <w:spacing w:before="0" w:after="0" w:line="260" w:lineRule="atLeast"/>
              <w:ind w:left="0"/>
              <w:jc w:val="center"/>
              <w:rPr>
                <w:rFonts w:eastAsia="Times New Roman"/>
                <w:b/>
                <w:bCs/>
                <w:sz w:val="18"/>
                <w:szCs w:val="18"/>
                <w:lang w:eastAsia="en-US"/>
              </w:rPr>
            </w:pPr>
            <w:r w:rsidRPr="00125069">
              <w:rPr>
                <w:rFonts w:eastAsia="Times New Roman"/>
                <w:b/>
                <w:bCs/>
                <w:sz w:val="18"/>
                <w:szCs w:val="18"/>
                <w:lang w:eastAsia="en-US"/>
              </w:rPr>
              <w:t> </w:t>
            </w:r>
          </w:p>
        </w:tc>
        <w:tc>
          <w:tcPr>
            <w:tcW w:w="1144" w:type="dxa"/>
            <w:tcBorders>
              <w:top w:val="nil"/>
              <w:left w:val="nil"/>
              <w:bottom w:val="nil"/>
              <w:right w:val="nil"/>
            </w:tcBorders>
            <w:shd w:val="clear" w:color="FFFFFF" w:fill="FFFFFF"/>
            <w:noWrap/>
            <w:vAlign w:val="bottom"/>
            <w:hideMark/>
          </w:tcPr>
          <w:p w14:paraId="1B8B7D7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157E5E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341A9CB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BFA6AC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0DF0F6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7FC97627" w14:textId="77777777" w:rsidTr="00084A73">
        <w:trPr>
          <w:trHeight w:val="255"/>
        </w:trPr>
        <w:tc>
          <w:tcPr>
            <w:tcW w:w="5103" w:type="dxa"/>
            <w:tcBorders>
              <w:top w:val="nil"/>
              <w:left w:val="nil"/>
              <w:bottom w:val="nil"/>
              <w:right w:val="nil"/>
            </w:tcBorders>
            <w:shd w:val="clear" w:color="FFFFFF" w:fill="FFFFFF"/>
            <w:vAlign w:val="bottom"/>
            <w:hideMark/>
          </w:tcPr>
          <w:p w14:paraId="12BA2845"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Expenses</w:t>
            </w:r>
          </w:p>
        </w:tc>
        <w:tc>
          <w:tcPr>
            <w:tcW w:w="959" w:type="dxa"/>
            <w:tcBorders>
              <w:top w:val="nil"/>
              <w:left w:val="nil"/>
              <w:bottom w:val="nil"/>
              <w:right w:val="nil"/>
            </w:tcBorders>
            <w:shd w:val="clear" w:color="FFFFFF" w:fill="FFFFFF"/>
            <w:noWrap/>
            <w:vAlign w:val="bottom"/>
            <w:hideMark/>
          </w:tcPr>
          <w:p w14:paraId="0AA7A906"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FFFFFF" w:fill="FFFFFF"/>
            <w:noWrap/>
            <w:vAlign w:val="bottom"/>
            <w:hideMark/>
          </w:tcPr>
          <w:p w14:paraId="5D0C095E"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1D0523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1FEEAD26"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27541E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076D1BA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5D9F21A4" w14:textId="77777777" w:rsidTr="00084A73">
        <w:trPr>
          <w:trHeight w:val="255"/>
        </w:trPr>
        <w:tc>
          <w:tcPr>
            <w:tcW w:w="5103" w:type="dxa"/>
            <w:tcBorders>
              <w:top w:val="nil"/>
              <w:left w:val="nil"/>
              <w:bottom w:val="nil"/>
              <w:right w:val="nil"/>
            </w:tcBorders>
            <w:shd w:val="clear" w:color="FFFFFF" w:fill="FFFFFF"/>
            <w:vAlign w:val="bottom"/>
            <w:hideMark/>
          </w:tcPr>
          <w:p w14:paraId="6EC6BCBD"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Employee benefits</w:t>
            </w:r>
          </w:p>
        </w:tc>
        <w:tc>
          <w:tcPr>
            <w:tcW w:w="959" w:type="dxa"/>
            <w:tcBorders>
              <w:top w:val="nil"/>
              <w:left w:val="nil"/>
              <w:bottom w:val="nil"/>
              <w:right w:val="nil"/>
            </w:tcBorders>
            <w:shd w:val="clear" w:color="FFFFFF" w:fill="FFFFFF"/>
            <w:noWrap/>
            <w:vAlign w:val="bottom"/>
            <w:hideMark/>
          </w:tcPr>
          <w:p w14:paraId="59438131"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1.1A</w:t>
            </w:r>
          </w:p>
        </w:tc>
        <w:tc>
          <w:tcPr>
            <w:tcW w:w="1144" w:type="dxa"/>
            <w:tcBorders>
              <w:top w:val="nil"/>
              <w:left w:val="nil"/>
              <w:bottom w:val="nil"/>
              <w:right w:val="nil"/>
            </w:tcBorders>
            <w:shd w:val="clear" w:color="FFFFFF" w:fill="FFFFFF"/>
            <w:noWrap/>
            <w:vAlign w:val="bottom"/>
            <w:hideMark/>
          </w:tcPr>
          <w:p w14:paraId="0DC0094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404,962</w:t>
            </w:r>
          </w:p>
        </w:tc>
        <w:tc>
          <w:tcPr>
            <w:tcW w:w="236" w:type="dxa"/>
            <w:tcBorders>
              <w:top w:val="nil"/>
              <w:left w:val="nil"/>
              <w:bottom w:val="nil"/>
              <w:right w:val="nil"/>
            </w:tcBorders>
            <w:shd w:val="clear" w:color="FFFFFF" w:fill="FFFFFF"/>
            <w:noWrap/>
            <w:vAlign w:val="bottom"/>
            <w:hideMark/>
          </w:tcPr>
          <w:p w14:paraId="1B2F849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8FD578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312,082</w:t>
            </w:r>
          </w:p>
        </w:tc>
        <w:tc>
          <w:tcPr>
            <w:tcW w:w="236" w:type="dxa"/>
            <w:tcBorders>
              <w:top w:val="nil"/>
              <w:left w:val="nil"/>
              <w:bottom w:val="nil"/>
              <w:right w:val="nil"/>
            </w:tcBorders>
            <w:shd w:val="clear" w:color="FFFFFF" w:fill="FFFFFF"/>
            <w:noWrap/>
            <w:vAlign w:val="bottom"/>
            <w:hideMark/>
          </w:tcPr>
          <w:p w14:paraId="7A131633"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4947AC05"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319,645</w:t>
            </w:r>
          </w:p>
        </w:tc>
      </w:tr>
      <w:tr w:rsidR="00125069" w:rsidRPr="00125069" w14:paraId="7F647662" w14:textId="77777777" w:rsidTr="00084A73">
        <w:trPr>
          <w:trHeight w:val="255"/>
        </w:trPr>
        <w:tc>
          <w:tcPr>
            <w:tcW w:w="5103" w:type="dxa"/>
            <w:tcBorders>
              <w:top w:val="nil"/>
              <w:left w:val="nil"/>
              <w:bottom w:val="nil"/>
              <w:right w:val="nil"/>
            </w:tcBorders>
            <w:shd w:val="clear" w:color="FFFFFF" w:fill="FFFFFF"/>
            <w:vAlign w:val="bottom"/>
            <w:hideMark/>
          </w:tcPr>
          <w:p w14:paraId="3CDA8B03"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Suppliers</w:t>
            </w:r>
          </w:p>
        </w:tc>
        <w:tc>
          <w:tcPr>
            <w:tcW w:w="959" w:type="dxa"/>
            <w:tcBorders>
              <w:top w:val="nil"/>
              <w:left w:val="nil"/>
              <w:bottom w:val="nil"/>
              <w:right w:val="nil"/>
            </w:tcBorders>
            <w:shd w:val="clear" w:color="FFFFFF" w:fill="FFFFFF"/>
            <w:noWrap/>
            <w:vAlign w:val="bottom"/>
            <w:hideMark/>
          </w:tcPr>
          <w:p w14:paraId="2713C44A"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1.1B</w:t>
            </w:r>
          </w:p>
        </w:tc>
        <w:tc>
          <w:tcPr>
            <w:tcW w:w="1144" w:type="dxa"/>
            <w:tcBorders>
              <w:top w:val="nil"/>
              <w:left w:val="nil"/>
              <w:bottom w:val="nil"/>
              <w:right w:val="nil"/>
            </w:tcBorders>
            <w:shd w:val="clear" w:color="FFFFFF" w:fill="FFFFFF"/>
            <w:noWrap/>
            <w:vAlign w:val="bottom"/>
            <w:hideMark/>
          </w:tcPr>
          <w:p w14:paraId="3C5E0853"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516,514</w:t>
            </w:r>
          </w:p>
        </w:tc>
        <w:tc>
          <w:tcPr>
            <w:tcW w:w="236" w:type="dxa"/>
            <w:tcBorders>
              <w:top w:val="nil"/>
              <w:left w:val="nil"/>
              <w:bottom w:val="nil"/>
              <w:right w:val="nil"/>
            </w:tcBorders>
            <w:shd w:val="clear" w:color="FFFFFF" w:fill="FFFFFF"/>
            <w:noWrap/>
            <w:vAlign w:val="bottom"/>
            <w:hideMark/>
          </w:tcPr>
          <w:p w14:paraId="7E722FE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7DA4329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528,402</w:t>
            </w:r>
          </w:p>
        </w:tc>
        <w:tc>
          <w:tcPr>
            <w:tcW w:w="236" w:type="dxa"/>
            <w:tcBorders>
              <w:top w:val="nil"/>
              <w:left w:val="nil"/>
              <w:bottom w:val="nil"/>
              <w:right w:val="nil"/>
            </w:tcBorders>
            <w:shd w:val="clear" w:color="FFFFFF" w:fill="FFFFFF"/>
            <w:noWrap/>
            <w:vAlign w:val="bottom"/>
            <w:hideMark/>
          </w:tcPr>
          <w:p w14:paraId="1F34BE8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457D9FB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1,115,771</w:t>
            </w:r>
          </w:p>
        </w:tc>
      </w:tr>
      <w:tr w:rsidR="00125069" w:rsidRPr="00125069" w14:paraId="2FFA1B64" w14:textId="77777777" w:rsidTr="00084A73">
        <w:trPr>
          <w:trHeight w:val="255"/>
        </w:trPr>
        <w:tc>
          <w:tcPr>
            <w:tcW w:w="5103" w:type="dxa"/>
            <w:tcBorders>
              <w:top w:val="nil"/>
              <w:left w:val="nil"/>
              <w:bottom w:val="nil"/>
              <w:right w:val="nil"/>
            </w:tcBorders>
            <w:shd w:val="clear" w:color="FFFFFF" w:fill="FFFFFF"/>
            <w:vAlign w:val="bottom"/>
            <w:hideMark/>
          </w:tcPr>
          <w:p w14:paraId="4C1E7E12"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Community partnership costs</w:t>
            </w:r>
          </w:p>
        </w:tc>
        <w:tc>
          <w:tcPr>
            <w:tcW w:w="959" w:type="dxa"/>
            <w:tcBorders>
              <w:top w:val="nil"/>
              <w:left w:val="nil"/>
              <w:bottom w:val="nil"/>
              <w:right w:val="nil"/>
            </w:tcBorders>
            <w:shd w:val="clear" w:color="FFFFFF" w:fill="FFFFFF"/>
            <w:noWrap/>
            <w:vAlign w:val="bottom"/>
            <w:hideMark/>
          </w:tcPr>
          <w:p w14:paraId="48D744BE"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1.1G</w:t>
            </w:r>
          </w:p>
        </w:tc>
        <w:tc>
          <w:tcPr>
            <w:tcW w:w="1144" w:type="dxa"/>
            <w:tcBorders>
              <w:top w:val="nil"/>
              <w:left w:val="nil"/>
              <w:bottom w:val="nil"/>
              <w:right w:val="nil"/>
            </w:tcBorders>
            <w:shd w:val="clear" w:color="FFFFFF" w:fill="FFFFFF"/>
            <w:noWrap/>
            <w:vAlign w:val="bottom"/>
            <w:hideMark/>
          </w:tcPr>
          <w:p w14:paraId="0574FC74"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524,619</w:t>
            </w:r>
          </w:p>
        </w:tc>
        <w:tc>
          <w:tcPr>
            <w:tcW w:w="236" w:type="dxa"/>
            <w:tcBorders>
              <w:top w:val="nil"/>
              <w:left w:val="nil"/>
              <w:bottom w:val="nil"/>
              <w:right w:val="nil"/>
            </w:tcBorders>
            <w:shd w:val="clear" w:color="FFFFFF" w:fill="FFFFFF"/>
            <w:noWrap/>
            <w:vAlign w:val="bottom"/>
            <w:hideMark/>
          </w:tcPr>
          <w:p w14:paraId="74058FE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146F9A9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451,786</w:t>
            </w:r>
          </w:p>
        </w:tc>
        <w:tc>
          <w:tcPr>
            <w:tcW w:w="236" w:type="dxa"/>
            <w:tcBorders>
              <w:top w:val="nil"/>
              <w:left w:val="nil"/>
              <w:bottom w:val="nil"/>
              <w:right w:val="nil"/>
            </w:tcBorders>
            <w:shd w:val="clear" w:color="FFFFFF" w:fill="FFFFFF"/>
            <w:noWrap/>
            <w:vAlign w:val="bottom"/>
            <w:hideMark/>
          </w:tcPr>
          <w:p w14:paraId="188A79E2"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1372A39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0D9406EE" w14:textId="77777777" w:rsidTr="00084A73">
        <w:trPr>
          <w:trHeight w:val="255"/>
        </w:trPr>
        <w:tc>
          <w:tcPr>
            <w:tcW w:w="5103" w:type="dxa"/>
            <w:tcBorders>
              <w:top w:val="nil"/>
              <w:left w:val="nil"/>
              <w:bottom w:val="nil"/>
              <w:right w:val="nil"/>
            </w:tcBorders>
            <w:shd w:val="clear" w:color="FFFFFF" w:fill="FFFFFF"/>
            <w:vAlign w:val="bottom"/>
            <w:hideMark/>
          </w:tcPr>
          <w:p w14:paraId="28F98EC4"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Grants</w:t>
            </w:r>
          </w:p>
        </w:tc>
        <w:tc>
          <w:tcPr>
            <w:tcW w:w="959" w:type="dxa"/>
            <w:tcBorders>
              <w:top w:val="nil"/>
              <w:left w:val="nil"/>
              <w:bottom w:val="nil"/>
              <w:right w:val="nil"/>
            </w:tcBorders>
            <w:shd w:val="clear" w:color="FFFFFF" w:fill="FFFFFF"/>
            <w:noWrap/>
            <w:vAlign w:val="bottom"/>
            <w:hideMark/>
          </w:tcPr>
          <w:p w14:paraId="08E6BAF7"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1.1C</w:t>
            </w:r>
          </w:p>
        </w:tc>
        <w:tc>
          <w:tcPr>
            <w:tcW w:w="1144" w:type="dxa"/>
            <w:tcBorders>
              <w:top w:val="nil"/>
              <w:left w:val="nil"/>
              <w:bottom w:val="nil"/>
              <w:right w:val="nil"/>
            </w:tcBorders>
            <w:shd w:val="clear" w:color="FFFFFF" w:fill="FFFFFF"/>
            <w:noWrap/>
            <w:vAlign w:val="bottom"/>
            <w:hideMark/>
          </w:tcPr>
          <w:p w14:paraId="169F4D55"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134,679</w:t>
            </w:r>
          </w:p>
        </w:tc>
        <w:tc>
          <w:tcPr>
            <w:tcW w:w="236" w:type="dxa"/>
            <w:tcBorders>
              <w:top w:val="nil"/>
              <w:left w:val="nil"/>
              <w:bottom w:val="nil"/>
              <w:right w:val="nil"/>
            </w:tcBorders>
            <w:shd w:val="clear" w:color="FFFFFF" w:fill="FFFFFF"/>
            <w:noWrap/>
            <w:vAlign w:val="bottom"/>
            <w:hideMark/>
          </w:tcPr>
          <w:p w14:paraId="786660C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A9CE87A"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111,218</w:t>
            </w:r>
          </w:p>
        </w:tc>
        <w:tc>
          <w:tcPr>
            <w:tcW w:w="236" w:type="dxa"/>
            <w:tcBorders>
              <w:top w:val="nil"/>
              <w:left w:val="nil"/>
              <w:bottom w:val="nil"/>
              <w:right w:val="nil"/>
            </w:tcBorders>
            <w:shd w:val="clear" w:color="FFFFFF" w:fill="FFFFFF"/>
            <w:noWrap/>
            <w:vAlign w:val="bottom"/>
            <w:hideMark/>
          </w:tcPr>
          <w:p w14:paraId="408F4CC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481AB4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131,615</w:t>
            </w:r>
          </w:p>
        </w:tc>
      </w:tr>
      <w:tr w:rsidR="00125069" w:rsidRPr="00125069" w14:paraId="3CD4BC87" w14:textId="77777777" w:rsidTr="00084A73">
        <w:trPr>
          <w:trHeight w:val="255"/>
        </w:trPr>
        <w:tc>
          <w:tcPr>
            <w:tcW w:w="5103" w:type="dxa"/>
            <w:tcBorders>
              <w:top w:val="nil"/>
              <w:left w:val="nil"/>
              <w:bottom w:val="nil"/>
              <w:right w:val="nil"/>
            </w:tcBorders>
            <w:shd w:val="clear" w:color="FFFFFF" w:fill="FFFFFF"/>
            <w:vAlign w:val="bottom"/>
            <w:hideMark/>
          </w:tcPr>
          <w:p w14:paraId="02DA86EC"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Participant plan expenses</w:t>
            </w:r>
          </w:p>
        </w:tc>
        <w:tc>
          <w:tcPr>
            <w:tcW w:w="959" w:type="dxa"/>
            <w:tcBorders>
              <w:top w:val="nil"/>
              <w:left w:val="nil"/>
              <w:bottom w:val="nil"/>
              <w:right w:val="nil"/>
            </w:tcBorders>
            <w:shd w:val="clear" w:color="FFFFFF" w:fill="FFFFFF"/>
            <w:noWrap/>
            <w:vAlign w:val="bottom"/>
            <w:hideMark/>
          </w:tcPr>
          <w:p w14:paraId="1476B087"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1.1H</w:t>
            </w:r>
          </w:p>
        </w:tc>
        <w:tc>
          <w:tcPr>
            <w:tcW w:w="1144" w:type="dxa"/>
            <w:tcBorders>
              <w:top w:val="nil"/>
              <w:left w:val="nil"/>
              <w:bottom w:val="nil"/>
              <w:right w:val="nil"/>
            </w:tcBorders>
            <w:shd w:val="clear" w:color="FFFFFF" w:fill="FFFFFF"/>
            <w:noWrap/>
            <w:vAlign w:val="bottom"/>
            <w:hideMark/>
          </w:tcPr>
          <w:p w14:paraId="285EE5A4"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17,589,484</w:t>
            </w:r>
          </w:p>
        </w:tc>
        <w:tc>
          <w:tcPr>
            <w:tcW w:w="236" w:type="dxa"/>
            <w:tcBorders>
              <w:top w:val="nil"/>
              <w:left w:val="nil"/>
              <w:bottom w:val="nil"/>
              <w:right w:val="nil"/>
            </w:tcBorders>
            <w:shd w:val="clear" w:color="FFFFFF" w:fill="FFFFFF"/>
            <w:noWrap/>
            <w:vAlign w:val="bottom"/>
            <w:hideMark/>
          </w:tcPr>
          <w:p w14:paraId="5B9C90B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0683836"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10,459,927</w:t>
            </w:r>
          </w:p>
        </w:tc>
        <w:tc>
          <w:tcPr>
            <w:tcW w:w="236" w:type="dxa"/>
            <w:tcBorders>
              <w:top w:val="nil"/>
              <w:left w:val="nil"/>
              <w:bottom w:val="nil"/>
              <w:right w:val="nil"/>
            </w:tcBorders>
            <w:shd w:val="clear" w:color="FFFFFF" w:fill="FFFFFF"/>
            <w:noWrap/>
            <w:vAlign w:val="bottom"/>
            <w:hideMark/>
          </w:tcPr>
          <w:p w14:paraId="59413BE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6A39696"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16,262,459</w:t>
            </w:r>
          </w:p>
        </w:tc>
      </w:tr>
      <w:tr w:rsidR="00125069" w:rsidRPr="00125069" w14:paraId="00EF6416" w14:textId="77777777" w:rsidTr="00084A73">
        <w:trPr>
          <w:trHeight w:val="255"/>
        </w:trPr>
        <w:tc>
          <w:tcPr>
            <w:tcW w:w="5103" w:type="dxa"/>
            <w:tcBorders>
              <w:top w:val="nil"/>
              <w:left w:val="nil"/>
              <w:bottom w:val="nil"/>
              <w:right w:val="nil"/>
            </w:tcBorders>
            <w:shd w:val="clear" w:color="FFFFFF" w:fill="FFFFFF"/>
            <w:vAlign w:val="bottom"/>
            <w:hideMark/>
          </w:tcPr>
          <w:p w14:paraId="48515E2F"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Depreciation and amortisation</w:t>
            </w:r>
          </w:p>
        </w:tc>
        <w:tc>
          <w:tcPr>
            <w:tcW w:w="959" w:type="dxa"/>
            <w:tcBorders>
              <w:top w:val="nil"/>
              <w:left w:val="nil"/>
              <w:bottom w:val="nil"/>
              <w:right w:val="nil"/>
            </w:tcBorders>
            <w:shd w:val="clear" w:color="FFFFFF" w:fill="FFFFFF"/>
            <w:noWrap/>
            <w:vAlign w:val="bottom"/>
            <w:hideMark/>
          </w:tcPr>
          <w:p w14:paraId="7497146D"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2.2A</w:t>
            </w:r>
          </w:p>
        </w:tc>
        <w:tc>
          <w:tcPr>
            <w:tcW w:w="1144" w:type="dxa"/>
            <w:tcBorders>
              <w:top w:val="nil"/>
              <w:left w:val="nil"/>
              <w:bottom w:val="nil"/>
              <w:right w:val="nil"/>
            </w:tcBorders>
            <w:shd w:val="clear" w:color="FFFFFF" w:fill="FFFFFF"/>
            <w:noWrap/>
            <w:vAlign w:val="bottom"/>
            <w:hideMark/>
          </w:tcPr>
          <w:p w14:paraId="62F79441"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61,906</w:t>
            </w:r>
          </w:p>
        </w:tc>
        <w:tc>
          <w:tcPr>
            <w:tcW w:w="236" w:type="dxa"/>
            <w:tcBorders>
              <w:top w:val="nil"/>
              <w:left w:val="nil"/>
              <w:bottom w:val="nil"/>
              <w:right w:val="nil"/>
            </w:tcBorders>
            <w:shd w:val="clear" w:color="FFFFFF" w:fill="FFFFFF"/>
            <w:noWrap/>
            <w:vAlign w:val="bottom"/>
            <w:hideMark/>
          </w:tcPr>
          <w:p w14:paraId="4EFF68C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3763EBC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16,556</w:t>
            </w:r>
          </w:p>
        </w:tc>
        <w:tc>
          <w:tcPr>
            <w:tcW w:w="236" w:type="dxa"/>
            <w:tcBorders>
              <w:top w:val="nil"/>
              <w:left w:val="nil"/>
              <w:bottom w:val="nil"/>
              <w:right w:val="nil"/>
            </w:tcBorders>
            <w:shd w:val="clear" w:color="FFFFFF" w:fill="FFFFFF"/>
            <w:noWrap/>
            <w:vAlign w:val="bottom"/>
            <w:hideMark/>
          </w:tcPr>
          <w:p w14:paraId="0F599F7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7C4868F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20,774</w:t>
            </w:r>
          </w:p>
        </w:tc>
      </w:tr>
      <w:tr w:rsidR="00125069" w:rsidRPr="00125069" w14:paraId="21A27676" w14:textId="77777777" w:rsidTr="00084A73">
        <w:trPr>
          <w:trHeight w:val="255"/>
        </w:trPr>
        <w:tc>
          <w:tcPr>
            <w:tcW w:w="5103" w:type="dxa"/>
            <w:tcBorders>
              <w:top w:val="nil"/>
              <w:left w:val="nil"/>
              <w:bottom w:val="nil"/>
              <w:right w:val="nil"/>
            </w:tcBorders>
            <w:shd w:val="clear" w:color="FFFFFF" w:fill="FFFFFF"/>
            <w:vAlign w:val="bottom"/>
            <w:hideMark/>
          </w:tcPr>
          <w:p w14:paraId="7ADF54D0"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Finance costs</w:t>
            </w:r>
          </w:p>
        </w:tc>
        <w:tc>
          <w:tcPr>
            <w:tcW w:w="959" w:type="dxa"/>
            <w:tcBorders>
              <w:top w:val="nil"/>
              <w:left w:val="nil"/>
              <w:bottom w:val="nil"/>
              <w:right w:val="nil"/>
            </w:tcBorders>
            <w:shd w:val="clear" w:color="FFFFFF" w:fill="FFFFFF"/>
            <w:noWrap/>
            <w:vAlign w:val="bottom"/>
            <w:hideMark/>
          </w:tcPr>
          <w:p w14:paraId="64C5B1F0"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1.1D</w:t>
            </w:r>
          </w:p>
        </w:tc>
        <w:tc>
          <w:tcPr>
            <w:tcW w:w="1144" w:type="dxa"/>
            <w:tcBorders>
              <w:top w:val="nil"/>
              <w:left w:val="nil"/>
              <w:bottom w:val="nil"/>
              <w:right w:val="nil"/>
            </w:tcBorders>
            <w:shd w:val="clear" w:color="FFFFFF" w:fill="FFFFFF"/>
            <w:noWrap/>
            <w:vAlign w:val="bottom"/>
            <w:hideMark/>
          </w:tcPr>
          <w:p w14:paraId="0F482BA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2,205</w:t>
            </w:r>
          </w:p>
        </w:tc>
        <w:tc>
          <w:tcPr>
            <w:tcW w:w="236" w:type="dxa"/>
            <w:tcBorders>
              <w:top w:val="nil"/>
              <w:left w:val="nil"/>
              <w:bottom w:val="nil"/>
              <w:right w:val="nil"/>
            </w:tcBorders>
            <w:shd w:val="clear" w:color="FFFFFF" w:fill="FFFFFF"/>
            <w:noWrap/>
            <w:vAlign w:val="bottom"/>
            <w:hideMark/>
          </w:tcPr>
          <w:p w14:paraId="5EBFECAD"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3E7937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1,308</w:t>
            </w:r>
          </w:p>
        </w:tc>
        <w:tc>
          <w:tcPr>
            <w:tcW w:w="236" w:type="dxa"/>
            <w:tcBorders>
              <w:top w:val="nil"/>
              <w:left w:val="nil"/>
              <w:bottom w:val="nil"/>
              <w:right w:val="nil"/>
            </w:tcBorders>
            <w:shd w:val="clear" w:color="FFFFFF" w:fill="FFFFFF"/>
            <w:noWrap/>
            <w:vAlign w:val="bottom"/>
            <w:hideMark/>
          </w:tcPr>
          <w:p w14:paraId="66114EA3"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4102C092"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1E1D1414" w14:textId="77777777" w:rsidTr="00084A73">
        <w:trPr>
          <w:trHeight w:val="255"/>
        </w:trPr>
        <w:tc>
          <w:tcPr>
            <w:tcW w:w="5103" w:type="dxa"/>
            <w:tcBorders>
              <w:top w:val="nil"/>
              <w:left w:val="nil"/>
              <w:bottom w:val="nil"/>
              <w:right w:val="nil"/>
            </w:tcBorders>
            <w:shd w:val="clear" w:color="FFFFFF" w:fill="FFFFFF"/>
            <w:vAlign w:val="bottom"/>
            <w:hideMark/>
          </w:tcPr>
          <w:p w14:paraId="70A7430A"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Impairment loss on financial instruments</w:t>
            </w:r>
          </w:p>
        </w:tc>
        <w:tc>
          <w:tcPr>
            <w:tcW w:w="959" w:type="dxa"/>
            <w:tcBorders>
              <w:top w:val="nil"/>
              <w:left w:val="nil"/>
              <w:bottom w:val="nil"/>
              <w:right w:val="nil"/>
            </w:tcBorders>
            <w:shd w:val="clear" w:color="FFFFFF" w:fill="FFFFFF"/>
            <w:noWrap/>
            <w:vAlign w:val="bottom"/>
            <w:hideMark/>
          </w:tcPr>
          <w:p w14:paraId="5BC3BCFC"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1.1E</w:t>
            </w:r>
          </w:p>
        </w:tc>
        <w:tc>
          <w:tcPr>
            <w:tcW w:w="1144" w:type="dxa"/>
            <w:tcBorders>
              <w:top w:val="nil"/>
              <w:left w:val="nil"/>
              <w:bottom w:val="nil"/>
              <w:right w:val="nil"/>
            </w:tcBorders>
            <w:shd w:val="clear" w:color="FFFFFF" w:fill="FFFFFF"/>
            <w:noWrap/>
            <w:vAlign w:val="bottom"/>
            <w:hideMark/>
          </w:tcPr>
          <w:p w14:paraId="7F35EE2E"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52FF445C"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5EE5BC2"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13</w:t>
            </w:r>
          </w:p>
        </w:tc>
        <w:tc>
          <w:tcPr>
            <w:tcW w:w="236" w:type="dxa"/>
            <w:tcBorders>
              <w:top w:val="nil"/>
              <w:left w:val="nil"/>
              <w:bottom w:val="nil"/>
              <w:right w:val="nil"/>
            </w:tcBorders>
            <w:shd w:val="clear" w:color="FFFFFF" w:fill="FFFFFF"/>
            <w:noWrap/>
            <w:vAlign w:val="bottom"/>
            <w:hideMark/>
          </w:tcPr>
          <w:p w14:paraId="4442EF4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6E158E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56BDB1F6" w14:textId="77777777" w:rsidTr="00084A73">
        <w:trPr>
          <w:trHeight w:val="255"/>
        </w:trPr>
        <w:tc>
          <w:tcPr>
            <w:tcW w:w="5103" w:type="dxa"/>
            <w:tcBorders>
              <w:top w:val="nil"/>
              <w:left w:val="nil"/>
              <w:bottom w:val="nil"/>
              <w:right w:val="nil"/>
            </w:tcBorders>
            <w:shd w:val="clear" w:color="FFFFFF" w:fill="FFFFFF"/>
            <w:vAlign w:val="bottom"/>
            <w:hideMark/>
          </w:tcPr>
          <w:p w14:paraId="5C97FB89"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Write-down and impairment of other assets</w:t>
            </w:r>
          </w:p>
        </w:tc>
        <w:tc>
          <w:tcPr>
            <w:tcW w:w="959" w:type="dxa"/>
            <w:tcBorders>
              <w:top w:val="nil"/>
              <w:left w:val="nil"/>
              <w:bottom w:val="nil"/>
              <w:right w:val="nil"/>
            </w:tcBorders>
            <w:shd w:val="clear" w:color="FFFFFF" w:fill="FFFFFF"/>
            <w:noWrap/>
            <w:vAlign w:val="bottom"/>
            <w:hideMark/>
          </w:tcPr>
          <w:p w14:paraId="4D99A06B"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1.1F</w:t>
            </w:r>
          </w:p>
        </w:tc>
        <w:tc>
          <w:tcPr>
            <w:tcW w:w="1144" w:type="dxa"/>
            <w:tcBorders>
              <w:top w:val="nil"/>
              <w:left w:val="nil"/>
              <w:bottom w:val="nil"/>
              <w:right w:val="nil"/>
            </w:tcBorders>
            <w:shd w:val="clear" w:color="FFFFFF" w:fill="FFFFFF"/>
            <w:noWrap/>
            <w:vAlign w:val="bottom"/>
            <w:hideMark/>
          </w:tcPr>
          <w:p w14:paraId="19AC070F"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31,494</w:t>
            </w:r>
          </w:p>
        </w:tc>
        <w:tc>
          <w:tcPr>
            <w:tcW w:w="236" w:type="dxa"/>
            <w:tcBorders>
              <w:top w:val="nil"/>
              <w:left w:val="nil"/>
              <w:bottom w:val="nil"/>
              <w:right w:val="nil"/>
            </w:tcBorders>
            <w:shd w:val="clear" w:color="FFFFFF" w:fill="FFFFFF"/>
            <w:noWrap/>
            <w:vAlign w:val="bottom"/>
            <w:hideMark/>
          </w:tcPr>
          <w:p w14:paraId="77978A49"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BA1096F"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3BF3A4F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0D0D6A8F"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7AC9F8F4" w14:textId="77777777" w:rsidTr="00084A73">
        <w:trPr>
          <w:trHeight w:val="255"/>
        </w:trPr>
        <w:tc>
          <w:tcPr>
            <w:tcW w:w="5103" w:type="dxa"/>
            <w:tcBorders>
              <w:top w:val="nil"/>
              <w:left w:val="nil"/>
              <w:bottom w:val="nil"/>
              <w:right w:val="nil"/>
            </w:tcBorders>
            <w:shd w:val="clear" w:color="FFFFFF" w:fill="FFFFFF"/>
            <w:vAlign w:val="bottom"/>
            <w:hideMark/>
          </w:tcPr>
          <w:p w14:paraId="4661052E"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expenses</w:t>
            </w:r>
          </w:p>
        </w:tc>
        <w:tc>
          <w:tcPr>
            <w:tcW w:w="959" w:type="dxa"/>
            <w:tcBorders>
              <w:top w:val="nil"/>
              <w:left w:val="nil"/>
              <w:bottom w:val="nil"/>
              <w:right w:val="nil"/>
            </w:tcBorders>
            <w:shd w:val="clear" w:color="FFFFFF" w:fill="FFFFFF"/>
            <w:noWrap/>
            <w:vAlign w:val="bottom"/>
            <w:hideMark/>
          </w:tcPr>
          <w:p w14:paraId="1310953F"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FFFFFF" w:fill="FFFFFF"/>
            <w:noWrap/>
            <w:vAlign w:val="bottom"/>
            <w:hideMark/>
          </w:tcPr>
          <w:p w14:paraId="7E3A5C1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19,265,863</w:t>
            </w:r>
          </w:p>
        </w:tc>
        <w:tc>
          <w:tcPr>
            <w:tcW w:w="236" w:type="dxa"/>
            <w:tcBorders>
              <w:top w:val="nil"/>
              <w:left w:val="nil"/>
              <w:bottom w:val="nil"/>
              <w:right w:val="nil"/>
            </w:tcBorders>
            <w:shd w:val="clear" w:color="FFFFFF" w:fill="FFFFFF"/>
            <w:noWrap/>
            <w:vAlign w:val="bottom"/>
            <w:hideMark/>
          </w:tcPr>
          <w:p w14:paraId="1FEACB4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0D8500D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11,881,292</w:t>
            </w:r>
          </w:p>
        </w:tc>
        <w:tc>
          <w:tcPr>
            <w:tcW w:w="236" w:type="dxa"/>
            <w:tcBorders>
              <w:top w:val="nil"/>
              <w:left w:val="nil"/>
              <w:bottom w:val="nil"/>
              <w:right w:val="nil"/>
            </w:tcBorders>
            <w:shd w:val="clear" w:color="FFFFFF" w:fill="FFFFFF"/>
            <w:noWrap/>
            <w:vAlign w:val="bottom"/>
            <w:hideMark/>
          </w:tcPr>
          <w:p w14:paraId="427E0BB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7894AD51"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17,850,264</w:t>
            </w:r>
          </w:p>
        </w:tc>
      </w:tr>
      <w:tr w:rsidR="00125069" w:rsidRPr="00125069" w14:paraId="4E9F9B96" w14:textId="77777777" w:rsidTr="00084A73">
        <w:trPr>
          <w:trHeight w:val="255"/>
        </w:trPr>
        <w:tc>
          <w:tcPr>
            <w:tcW w:w="5103" w:type="dxa"/>
            <w:tcBorders>
              <w:top w:val="nil"/>
              <w:left w:val="nil"/>
              <w:bottom w:val="nil"/>
              <w:right w:val="nil"/>
            </w:tcBorders>
            <w:shd w:val="clear" w:color="FFFFFF" w:fill="FFFFFF"/>
            <w:vAlign w:val="bottom"/>
            <w:hideMark/>
          </w:tcPr>
          <w:p w14:paraId="3160A4A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63993F75"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FFFFFF" w:fill="FFFFFF"/>
            <w:noWrap/>
            <w:vAlign w:val="bottom"/>
            <w:hideMark/>
          </w:tcPr>
          <w:p w14:paraId="09244C77"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096265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B4A4295"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AE9199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B873F9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13F25687" w14:textId="77777777" w:rsidTr="00084A73">
        <w:trPr>
          <w:trHeight w:val="255"/>
        </w:trPr>
        <w:tc>
          <w:tcPr>
            <w:tcW w:w="5103" w:type="dxa"/>
            <w:tcBorders>
              <w:top w:val="nil"/>
              <w:left w:val="nil"/>
              <w:bottom w:val="nil"/>
              <w:right w:val="nil"/>
            </w:tcBorders>
            <w:shd w:val="clear" w:color="FFFFFF" w:fill="FFFFFF"/>
            <w:noWrap/>
            <w:vAlign w:val="bottom"/>
            <w:hideMark/>
          </w:tcPr>
          <w:p w14:paraId="5C209C83"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OWN-SOURCE INCOME</w:t>
            </w:r>
          </w:p>
        </w:tc>
        <w:tc>
          <w:tcPr>
            <w:tcW w:w="959" w:type="dxa"/>
            <w:tcBorders>
              <w:top w:val="nil"/>
              <w:left w:val="nil"/>
              <w:bottom w:val="nil"/>
              <w:right w:val="nil"/>
            </w:tcBorders>
            <w:shd w:val="clear" w:color="FFFFFF" w:fill="FFFFFF"/>
            <w:noWrap/>
            <w:vAlign w:val="bottom"/>
            <w:hideMark/>
          </w:tcPr>
          <w:p w14:paraId="6A213151"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FFFFFF" w:fill="FFFFFF"/>
            <w:noWrap/>
            <w:vAlign w:val="bottom"/>
            <w:hideMark/>
          </w:tcPr>
          <w:p w14:paraId="166DE791"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15951D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AA44B8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BF1CE3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0680BD7F"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1B0ED11E" w14:textId="77777777" w:rsidTr="00084A73">
        <w:trPr>
          <w:trHeight w:val="255"/>
        </w:trPr>
        <w:tc>
          <w:tcPr>
            <w:tcW w:w="5103" w:type="dxa"/>
            <w:tcBorders>
              <w:top w:val="nil"/>
              <w:left w:val="nil"/>
              <w:bottom w:val="nil"/>
              <w:right w:val="nil"/>
            </w:tcBorders>
            <w:shd w:val="clear" w:color="FFFFFF" w:fill="FFFFFF"/>
            <w:vAlign w:val="bottom"/>
            <w:hideMark/>
          </w:tcPr>
          <w:p w14:paraId="52EE4505"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Own-source revenue</w:t>
            </w:r>
          </w:p>
        </w:tc>
        <w:tc>
          <w:tcPr>
            <w:tcW w:w="959" w:type="dxa"/>
            <w:tcBorders>
              <w:top w:val="nil"/>
              <w:left w:val="nil"/>
              <w:bottom w:val="nil"/>
              <w:right w:val="nil"/>
            </w:tcBorders>
            <w:shd w:val="clear" w:color="FFFFFF" w:fill="FFFFFF"/>
            <w:noWrap/>
            <w:vAlign w:val="bottom"/>
            <w:hideMark/>
          </w:tcPr>
          <w:p w14:paraId="19DAB1B4"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FFFFFF" w:fill="FFFFFF"/>
            <w:noWrap/>
            <w:vAlign w:val="bottom"/>
            <w:hideMark/>
          </w:tcPr>
          <w:p w14:paraId="75DFF48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BB5748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6B43440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E952E6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0C224DC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316A3A22" w14:textId="77777777" w:rsidTr="00084A73">
        <w:trPr>
          <w:trHeight w:val="255"/>
        </w:trPr>
        <w:tc>
          <w:tcPr>
            <w:tcW w:w="5103" w:type="dxa"/>
            <w:tcBorders>
              <w:top w:val="nil"/>
              <w:left w:val="nil"/>
              <w:bottom w:val="nil"/>
              <w:right w:val="nil"/>
            </w:tcBorders>
            <w:shd w:val="clear" w:color="FFFFFF" w:fill="FFFFFF"/>
            <w:vAlign w:val="bottom"/>
            <w:hideMark/>
          </w:tcPr>
          <w:p w14:paraId="22792F1C"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Rendering of services</w:t>
            </w:r>
          </w:p>
        </w:tc>
        <w:tc>
          <w:tcPr>
            <w:tcW w:w="959" w:type="dxa"/>
            <w:tcBorders>
              <w:top w:val="nil"/>
              <w:left w:val="nil"/>
              <w:bottom w:val="nil"/>
              <w:right w:val="nil"/>
            </w:tcBorders>
            <w:shd w:val="clear" w:color="FFFFFF" w:fill="FFFFFF"/>
            <w:noWrap/>
            <w:vAlign w:val="bottom"/>
            <w:hideMark/>
          </w:tcPr>
          <w:p w14:paraId="1E111C64"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1.2A</w:t>
            </w:r>
          </w:p>
        </w:tc>
        <w:tc>
          <w:tcPr>
            <w:tcW w:w="1144" w:type="dxa"/>
            <w:tcBorders>
              <w:top w:val="nil"/>
              <w:left w:val="nil"/>
              <w:bottom w:val="nil"/>
              <w:right w:val="nil"/>
            </w:tcBorders>
            <w:shd w:val="clear" w:color="auto" w:fill="auto"/>
            <w:noWrap/>
            <w:vAlign w:val="bottom"/>
            <w:hideMark/>
          </w:tcPr>
          <w:p w14:paraId="117AEC4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14,895,148</w:t>
            </w:r>
          </w:p>
        </w:tc>
        <w:tc>
          <w:tcPr>
            <w:tcW w:w="236" w:type="dxa"/>
            <w:tcBorders>
              <w:top w:val="nil"/>
              <w:left w:val="nil"/>
              <w:bottom w:val="nil"/>
              <w:right w:val="nil"/>
            </w:tcBorders>
            <w:shd w:val="clear" w:color="FFFFFF" w:fill="FFFFFF"/>
            <w:noWrap/>
            <w:vAlign w:val="bottom"/>
            <w:hideMark/>
          </w:tcPr>
          <w:p w14:paraId="33C7A30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CC73791"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9,776,306</w:t>
            </w:r>
          </w:p>
        </w:tc>
        <w:tc>
          <w:tcPr>
            <w:tcW w:w="236" w:type="dxa"/>
            <w:tcBorders>
              <w:top w:val="nil"/>
              <w:left w:val="nil"/>
              <w:bottom w:val="nil"/>
              <w:right w:val="nil"/>
            </w:tcBorders>
            <w:shd w:val="clear" w:color="FFFFFF" w:fill="FFFFFF"/>
            <w:noWrap/>
            <w:vAlign w:val="bottom"/>
            <w:hideMark/>
          </w:tcPr>
          <w:p w14:paraId="51AB633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70AB90F"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14,736,125</w:t>
            </w:r>
          </w:p>
        </w:tc>
      </w:tr>
      <w:tr w:rsidR="00125069" w:rsidRPr="00125069" w14:paraId="4810F959" w14:textId="77777777" w:rsidTr="00084A73">
        <w:trPr>
          <w:trHeight w:val="255"/>
        </w:trPr>
        <w:tc>
          <w:tcPr>
            <w:tcW w:w="5103" w:type="dxa"/>
            <w:tcBorders>
              <w:top w:val="nil"/>
              <w:left w:val="nil"/>
              <w:bottom w:val="nil"/>
              <w:right w:val="nil"/>
            </w:tcBorders>
            <w:shd w:val="clear" w:color="FFFFFF" w:fill="FFFFFF"/>
            <w:vAlign w:val="bottom"/>
            <w:hideMark/>
          </w:tcPr>
          <w:p w14:paraId="53450158"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Interest</w:t>
            </w:r>
          </w:p>
        </w:tc>
        <w:tc>
          <w:tcPr>
            <w:tcW w:w="959" w:type="dxa"/>
            <w:tcBorders>
              <w:top w:val="nil"/>
              <w:left w:val="nil"/>
              <w:bottom w:val="nil"/>
              <w:right w:val="nil"/>
            </w:tcBorders>
            <w:shd w:val="clear" w:color="FFFFFF" w:fill="FFFFFF"/>
            <w:noWrap/>
            <w:vAlign w:val="bottom"/>
            <w:hideMark/>
          </w:tcPr>
          <w:p w14:paraId="19516264"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62384C8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49,721</w:t>
            </w:r>
          </w:p>
        </w:tc>
        <w:tc>
          <w:tcPr>
            <w:tcW w:w="236" w:type="dxa"/>
            <w:tcBorders>
              <w:top w:val="nil"/>
              <w:left w:val="nil"/>
              <w:bottom w:val="nil"/>
              <w:right w:val="nil"/>
            </w:tcBorders>
            <w:shd w:val="clear" w:color="FFFFFF" w:fill="FFFFFF"/>
            <w:noWrap/>
            <w:vAlign w:val="bottom"/>
            <w:hideMark/>
          </w:tcPr>
          <w:p w14:paraId="24DBB0D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1B1C79AF"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58,682</w:t>
            </w:r>
          </w:p>
        </w:tc>
        <w:tc>
          <w:tcPr>
            <w:tcW w:w="236" w:type="dxa"/>
            <w:tcBorders>
              <w:top w:val="nil"/>
              <w:left w:val="nil"/>
              <w:bottom w:val="nil"/>
              <w:right w:val="nil"/>
            </w:tcBorders>
            <w:shd w:val="clear" w:color="FFFFFF" w:fill="FFFFFF"/>
            <w:noWrap/>
            <w:vAlign w:val="bottom"/>
            <w:hideMark/>
          </w:tcPr>
          <w:p w14:paraId="2E74E3ED"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558BB2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22287437" w14:textId="77777777" w:rsidTr="00084A73">
        <w:trPr>
          <w:trHeight w:val="255"/>
        </w:trPr>
        <w:tc>
          <w:tcPr>
            <w:tcW w:w="5103" w:type="dxa"/>
            <w:tcBorders>
              <w:top w:val="nil"/>
              <w:left w:val="nil"/>
              <w:bottom w:val="nil"/>
              <w:right w:val="nil"/>
            </w:tcBorders>
            <w:shd w:val="clear" w:color="FFFFFF" w:fill="FFFFFF"/>
            <w:vAlign w:val="bottom"/>
            <w:hideMark/>
          </w:tcPr>
          <w:p w14:paraId="4E3AA2EC"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Rental income</w:t>
            </w:r>
          </w:p>
        </w:tc>
        <w:tc>
          <w:tcPr>
            <w:tcW w:w="959" w:type="dxa"/>
            <w:tcBorders>
              <w:top w:val="nil"/>
              <w:left w:val="nil"/>
              <w:bottom w:val="nil"/>
              <w:right w:val="nil"/>
            </w:tcBorders>
            <w:shd w:val="clear" w:color="FFFFFF" w:fill="FFFFFF"/>
            <w:noWrap/>
            <w:vAlign w:val="bottom"/>
            <w:hideMark/>
          </w:tcPr>
          <w:p w14:paraId="3A891E89"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1.2B</w:t>
            </w:r>
          </w:p>
        </w:tc>
        <w:tc>
          <w:tcPr>
            <w:tcW w:w="1144" w:type="dxa"/>
            <w:tcBorders>
              <w:top w:val="nil"/>
              <w:left w:val="nil"/>
              <w:bottom w:val="nil"/>
              <w:right w:val="nil"/>
            </w:tcBorders>
            <w:shd w:val="clear" w:color="auto" w:fill="auto"/>
            <w:noWrap/>
            <w:vAlign w:val="bottom"/>
            <w:hideMark/>
          </w:tcPr>
          <w:p w14:paraId="39654FB4"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638</w:t>
            </w:r>
          </w:p>
        </w:tc>
        <w:tc>
          <w:tcPr>
            <w:tcW w:w="236" w:type="dxa"/>
            <w:tcBorders>
              <w:top w:val="nil"/>
              <w:left w:val="nil"/>
              <w:bottom w:val="nil"/>
              <w:right w:val="nil"/>
            </w:tcBorders>
            <w:shd w:val="clear" w:color="FFFFFF" w:fill="FFFFFF"/>
            <w:noWrap/>
            <w:vAlign w:val="bottom"/>
            <w:hideMark/>
          </w:tcPr>
          <w:p w14:paraId="7EAF6F5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B509E8D"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108</w:t>
            </w:r>
          </w:p>
        </w:tc>
        <w:tc>
          <w:tcPr>
            <w:tcW w:w="236" w:type="dxa"/>
            <w:tcBorders>
              <w:top w:val="nil"/>
              <w:left w:val="nil"/>
              <w:bottom w:val="nil"/>
              <w:right w:val="nil"/>
            </w:tcBorders>
            <w:shd w:val="clear" w:color="FFFFFF" w:fill="FFFFFF"/>
            <w:noWrap/>
            <w:vAlign w:val="bottom"/>
            <w:hideMark/>
          </w:tcPr>
          <w:p w14:paraId="4EDF579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693144C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622B4F68" w14:textId="77777777" w:rsidTr="00084A73">
        <w:trPr>
          <w:trHeight w:val="255"/>
        </w:trPr>
        <w:tc>
          <w:tcPr>
            <w:tcW w:w="5103" w:type="dxa"/>
            <w:tcBorders>
              <w:top w:val="nil"/>
              <w:left w:val="nil"/>
              <w:bottom w:val="nil"/>
              <w:right w:val="nil"/>
            </w:tcBorders>
            <w:shd w:val="clear" w:color="FFFFFF" w:fill="FFFFFF"/>
            <w:vAlign w:val="bottom"/>
            <w:hideMark/>
          </w:tcPr>
          <w:p w14:paraId="04FF275E"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Other revenue</w:t>
            </w:r>
          </w:p>
        </w:tc>
        <w:tc>
          <w:tcPr>
            <w:tcW w:w="959" w:type="dxa"/>
            <w:tcBorders>
              <w:top w:val="nil"/>
              <w:left w:val="nil"/>
              <w:bottom w:val="nil"/>
              <w:right w:val="nil"/>
            </w:tcBorders>
            <w:shd w:val="clear" w:color="FFFFFF" w:fill="FFFFFF"/>
            <w:noWrap/>
            <w:vAlign w:val="bottom"/>
            <w:hideMark/>
          </w:tcPr>
          <w:p w14:paraId="4B95FC44"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1.2C</w:t>
            </w:r>
          </w:p>
        </w:tc>
        <w:tc>
          <w:tcPr>
            <w:tcW w:w="1144" w:type="dxa"/>
            <w:tcBorders>
              <w:top w:val="nil"/>
              <w:left w:val="nil"/>
              <w:bottom w:val="nil"/>
              <w:right w:val="nil"/>
            </w:tcBorders>
            <w:shd w:val="clear" w:color="auto" w:fill="auto"/>
            <w:noWrap/>
            <w:vAlign w:val="bottom"/>
            <w:hideMark/>
          </w:tcPr>
          <w:p w14:paraId="53FBA29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7,235</w:t>
            </w:r>
          </w:p>
        </w:tc>
        <w:tc>
          <w:tcPr>
            <w:tcW w:w="236" w:type="dxa"/>
            <w:tcBorders>
              <w:top w:val="nil"/>
              <w:left w:val="nil"/>
              <w:bottom w:val="nil"/>
              <w:right w:val="nil"/>
            </w:tcBorders>
            <w:shd w:val="clear" w:color="FFFFFF" w:fill="FFFFFF"/>
            <w:noWrap/>
            <w:vAlign w:val="bottom"/>
            <w:hideMark/>
          </w:tcPr>
          <w:p w14:paraId="7799EF58"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677FF76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4,088</w:t>
            </w:r>
          </w:p>
        </w:tc>
        <w:tc>
          <w:tcPr>
            <w:tcW w:w="236" w:type="dxa"/>
            <w:tcBorders>
              <w:top w:val="nil"/>
              <w:left w:val="nil"/>
              <w:bottom w:val="nil"/>
              <w:right w:val="nil"/>
            </w:tcBorders>
            <w:shd w:val="clear" w:color="FFFFFF" w:fill="FFFFFF"/>
            <w:noWrap/>
            <w:vAlign w:val="bottom"/>
            <w:hideMark/>
          </w:tcPr>
          <w:p w14:paraId="3343351D"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459555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47,935</w:t>
            </w:r>
          </w:p>
        </w:tc>
      </w:tr>
      <w:tr w:rsidR="00125069" w:rsidRPr="00125069" w14:paraId="0C215FEA" w14:textId="77777777" w:rsidTr="00084A73">
        <w:trPr>
          <w:trHeight w:val="255"/>
        </w:trPr>
        <w:tc>
          <w:tcPr>
            <w:tcW w:w="5103" w:type="dxa"/>
            <w:tcBorders>
              <w:top w:val="nil"/>
              <w:left w:val="nil"/>
              <w:bottom w:val="nil"/>
              <w:right w:val="nil"/>
            </w:tcBorders>
            <w:shd w:val="clear" w:color="FFFFFF" w:fill="FFFFFF"/>
            <w:vAlign w:val="bottom"/>
            <w:hideMark/>
          </w:tcPr>
          <w:p w14:paraId="32922518"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own-source revenue</w:t>
            </w:r>
          </w:p>
        </w:tc>
        <w:tc>
          <w:tcPr>
            <w:tcW w:w="959" w:type="dxa"/>
            <w:tcBorders>
              <w:top w:val="nil"/>
              <w:left w:val="nil"/>
              <w:bottom w:val="nil"/>
              <w:right w:val="nil"/>
            </w:tcBorders>
            <w:shd w:val="clear" w:color="FFFFFF" w:fill="FFFFFF"/>
            <w:noWrap/>
            <w:vAlign w:val="bottom"/>
            <w:hideMark/>
          </w:tcPr>
          <w:p w14:paraId="2BA5DB2B"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14D5C51C"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14,952,742</w:t>
            </w:r>
          </w:p>
        </w:tc>
        <w:tc>
          <w:tcPr>
            <w:tcW w:w="236" w:type="dxa"/>
            <w:tcBorders>
              <w:top w:val="nil"/>
              <w:left w:val="nil"/>
              <w:bottom w:val="nil"/>
              <w:right w:val="nil"/>
            </w:tcBorders>
            <w:shd w:val="clear" w:color="FFFFFF" w:fill="FFFFFF"/>
            <w:noWrap/>
            <w:vAlign w:val="bottom"/>
            <w:hideMark/>
          </w:tcPr>
          <w:p w14:paraId="67F7776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1BAC4EB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9,839,184</w:t>
            </w:r>
          </w:p>
        </w:tc>
        <w:tc>
          <w:tcPr>
            <w:tcW w:w="236" w:type="dxa"/>
            <w:tcBorders>
              <w:top w:val="nil"/>
              <w:left w:val="nil"/>
              <w:bottom w:val="nil"/>
              <w:right w:val="nil"/>
            </w:tcBorders>
            <w:shd w:val="clear" w:color="FFFFFF" w:fill="FFFFFF"/>
            <w:noWrap/>
            <w:vAlign w:val="bottom"/>
            <w:hideMark/>
          </w:tcPr>
          <w:p w14:paraId="3C53661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66815EDE"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14,784,060</w:t>
            </w:r>
          </w:p>
        </w:tc>
      </w:tr>
      <w:tr w:rsidR="00125069" w:rsidRPr="00125069" w14:paraId="306C1BF3" w14:textId="77777777" w:rsidTr="00084A73">
        <w:trPr>
          <w:trHeight w:val="255"/>
        </w:trPr>
        <w:tc>
          <w:tcPr>
            <w:tcW w:w="5103" w:type="dxa"/>
            <w:tcBorders>
              <w:top w:val="nil"/>
              <w:left w:val="nil"/>
              <w:bottom w:val="nil"/>
              <w:right w:val="nil"/>
            </w:tcBorders>
            <w:shd w:val="clear" w:color="FFFFFF" w:fill="FFFFFF"/>
            <w:vAlign w:val="bottom"/>
            <w:hideMark/>
          </w:tcPr>
          <w:p w14:paraId="776951B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1E720001"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1676E455"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A224CA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40E43A6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EA0513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7576FE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1740CC66" w14:textId="77777777" w:rsidTr="00084A73">
        <w:trPr>
          <w:trHeight w:val="255"/>
        </w:trPr>
        <w:tc>
          <w:tcPr>
            <w:tcW w:w="5103" w:type="dxa"/>
            <w:tcBorders>
              <w:top w:val="nil"/>
              <w:left w:val="nil"/>
              <w:bottom w:val="nil"/>
              <w:right w:val="nil"/>
            </w:tcBorders>
            <w:shd w:val="clear" w:color="FFFFFF" w:fill="FFFFFF"/>
            <w:vAlign w:val="bottom"/>
            <w:hideMark/>
          </w:tcPr>
          <w:p w14:paraId="3E7913DE"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Gains</w:t>
            </w:r>
          </w:p>
        </w:tc>
        <w:tc>
          <w:tcPr>
            <w:tcW w:w="959" w:type="dxa"/>
            <w:tcBorders>
              <w:top w:val="nil"/>
              <w:left w:val="nil"/>
              <w:bottom w:val="nil"/>
              <w:right w:val="nil"/>
            </w:tcBorders>
            <w:shd w:val="clear" w:color="FFFFFF" w:fill="FFFFFF"/>
            <w:noWrap/>
            <w:vAlign w:val="bottom"/>
            <w:hideMark/>
          </w:tcPr>
          <w:p w14:paraId="45FBF647"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6E23D855"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02F2D3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5CE6660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DE50CA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27237B6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2BFD833A" w14:textId="77777777" w:rsidTr="00084A73">
        <w:trPr>
          <w:trHeight w:val="255"/>
        </w:trPr>
        <w:tc>
          <w:tcPr>
            <w:tcW w:w="5103" w:type="dxa"/>
            <w:tcBorders>
              <w:top w:val="nil"/>
              <w:left w:val="nil"/>
              <w:bottom w:val="nil"/>
              <w:right w:val="nil"/>
            </w:tcBorders>
            <w:shd w:val="clear" w:color="FFFFFF" w:fill="FFFFFF"/>
            <w:vAlign w:val="bottom"/>
            <w:hideMark/>
          </w:tcPr>
          <w:p w14:paraId="2BEE1336"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Other gains</w:t>
            </w:r>
          </w:p>
        </w:tc>
        <w:tc>
          <w:tcPr>
            <w:tcW w:w="959" w:type="dxa"/>
            <w:tcBorders>
              <w:top w:val="nil"/>
              <w:left w:val="nil"/>
              <w:bottom w:val="nil"/>
              <w:right w:val="nil"/>
            </w:tcBorders>
            <w:shd w:val="clear" w:color="FFFFFF" w:fill="FFFFFF"/>
            <w:noWrap/>
            <w:vAlign w:val="bottom"/>
            <w:hideMark/>
          </w:tcPr>
          <w:p w14:paraId="6763D442"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1.2D</w:t>
            </w:r>
          </w:p>
        </w:tc>
        <w:tc>
          <w:tcPr>
            <w:tcW w:w="1144" w:type="dxa"/>
            <w:tcBorders>
              <w:top w:val="nil"/>
              <w:left w:val="nil"/>
              <w:bottom w:val="nil"/>
              <w:right w:val="nil"/>
            </w:tcBorders>
            <w:shd w:val="clear" w:color="auto" w:fill="auto"/>
            <w:noWrap/>
            <w:vAlign w:val="bottom"/>
            <w:hideMark/>
          </w:tcPr>
          <w:p w14:paraId="7BD2D96A"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1,524,039</w:t>
            </w:r>
          </w:p>
        </w:tc>
        <w:tc>
          <w:tcPr>
            <w:tcW w:w="236" w:type="dxa"/>
            <w:tcBorders>
              <w:top w:val="nil"/>
              <w:left w:val="nil"/>
              <w:bottom w:val="nil"/>
              <w:right w:val="nil"/>
            </w:tcBorders>
            <w:shd w:val="clear" w:color="FFFFFF" w:fill="FFFFFF"/>
            <w:noWrap/>
            <w:vAlign w:val="bottom"/>
            <w:hideMark/>
          </w:tcPr>
          <w:p w14:paraId="62EBB7DC"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7F9529C"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1,258,834</w:t>
            </w:r>
          </w:p>
        </w:tc>
        <w:tc>
          <w:tcPr>
            <w:tcW w:w="236" w:type="dxa"/>
            <w:tcBorders>
              <w:top w:val="nil"/>
              <w:left w:val="nil"/>
              <w:bottom w:val="nil"/>
              <w:right w:val="nil"/>
            </w:tcBorders>
            <w:shd w:val="clear" w:color="FFFFFF" w:fill="FFFFFF"/>
            <w:noWrap/>
            <w:vAlign w:val="bottom"/>
            <w:hideMark/>
          </w:tcPr>
          <w:p w14:paraId="02E2DC6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42F0C7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1,657,949</w:t>
            </w:r>
          </w:p>
        </w:tc>
      </w:tr>
      <w:tr w:rsidR="00125069" w:rsidRPr="00125069" w14:paraId="7350BA8B" w14:textId="77777777" w:rsidTr="00084A73">
        <w:trPr>
          <w:trHeight w:val="255"/>
        </w:trPr>
        <w:tc>
          <w:tcPr>
            <w:tcW w:w="5103" w:type="dxa"/>
            <w:tcBorders>
              <w:top w:val="nil"/>
              <w:left w:val="nil"/>
              <w:bottom w:val="nil"/>
              <w:right w:val="nil"/>
            </w:tcBorders>
            <w:shd w:val="clear" w:color="FFFFFF" w:fill="FFFFFF"/>
            <w:vAlign w:val="bottom"/>
            <w:hideMark/>
          </w:tcPr>
          <w:p w14:paraId="37A024AF"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gains</w:t>
            </w:r>
          </w:p>
        </w:tc>
        <w:tc>
          <w:tcPr>
            <w:tcW w:w="959" w:type="dxa"/>
            <w:tcBorders>
              <w:top w:val="nil"/>
              <w:left w:val="nil"/>
              <w:bottom w:val="nil"/>
              <w:right w:val="nil"/>
            </w:tcBorders>
            <w:shd w:val="clear" w:color="FFFFFF" w:fill="FFFFFF"/>
            <w:noWrap/>
            <w:vAlign w:val="bottom"/>
            <w:hideMark/>
          </w:tcPr>
          <w:p w14:paraId="15AC1489"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059C7FC6"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1,524,039</w:t>
            </w:r>
          </w:p>
        </w:tc>
        <w:tc>
          <w:tcPr>
            <w:tcW w:w="236" w:type="dxa"/>
            <w:tcBorders>
              <w:top w:val="nil"/>
              <w:left w:val="nil"/>
              <w:bottom w:val="nil"/>
              <w:right w:val="nil"/>
            </w:tcBorders>
            <w:shd w:val="clear" w:color="FFFFFF" w:fill="FFFFFF"/>
            <w:noWrap/>
            <w:vAlign w:val="bottom"/>
            <w:hideMark/>
          </w:tcPr>
          <w:p w14:paraId="5FDE84A7"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7693DD92"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1,258,834</w:t>
            </w:r>
          </w:p>
        </w:tc>
        <w:tc>
          <w:tcPr>
            <w:tcW w:w="236" w:type="dxa"/>
            <w:tcBorders>
              <w:top w:val="nil"/>
              <w:left w:val="nil"/>
              <w:bottom w:val="nil"/>
              <w:right w:val="nil"/>
            </w:tcBorders>
            <w:shd w:val="clear" w:color="FFFFFF" w:fill="FFFFFF"/>
            <w:noWrap/>
            <w:vAlign w:val="bottom"/>
            <w:hideMark/>
          </w:tcPr>
          <w:p w14:paraId="21A8214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4A106DCA"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1,657,949</w:t>
            </w:r>
          </w:p>
        </w:tc>
      </w:tr>
      <w:tr w:rsidR="00125069" w:rsidRPr="00125069" w14:paraId="2710F8F5" w14:textId="77777777" w:rsidTr="00084A73">
        <w:trPr>
          <w:trHeight w:val="255"/>
        </w:trPr>
        <w:tc>
          <w:tcPr>
            <w:tcW w:w="5103" w:type="dxa"/>
            <w:tcBorders>
              <w:top w:val="nil"/>
              <w:left w:val="nil"/>
              <w:bottom w:val="nil"/>
              <w:right w:val="nil"/>
            </w:tcBorders>
            <w:shd w:val="clear" w:color="FFFFFF" w:fill="FFFFFF"/>
            <w:vAlign w:val="bottom"/>
            <w:hideMark/>
          </w:tcPr>
          <w:p w14:paraId="7B11505E"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62451950"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0FE8F2F3"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6BD026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4C1331F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770C24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5BD8CBD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73D3B4A8" w14:textId="77777777" w:rsidTr="00084A73">
        <w:trPr>
          <w:trHeight w:val="255"/>
        </w:trPr>
        <w:tc>
          <w:tcPr>
            <w:tcW w:w="5103" w:type="dxa"/>
            <w:tcBorders>
              <w:top w:val="nil"/>
              <w:left w:val="nil"/>
              <w:bottom w:val="nil"/>
              <w:right w:val="nil"/>
            </w:tcBorders>
            <w:shd w:val="clear" w:color="FFFFFF" w:fill="FFFFFF"/>
            <w:vAlign w:val="bottom"/>
            <w:hideMark/>
          </w:tcPr>
          <w:p w14:paraId="512BA086"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own-source income</w:t>
            </w:r>
          </w:p>
        </w:tc>
        <w:tc>
          <w:tcPr>
            <w:tcW w:w="959" w:type="dxa"/>
            <w:tcBorders>
              <w:top w:val="nil"/>
              <w:left w:val="nil"/>
              <w:bottom w:val="nil"/>
              <w:right w:val="nil"/>
            </w:tcBorders>
            <w:shd w:val="clear" w:color="FFFFFF" w:fill="FFFFFF"/>
            <w:noWrap/>
            <w:vAlign w:val="bottom"/>
            <w:hideMark/>
          </w:tcPr>
          <w:p w14:paraId="11BA2680"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2D63AC9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16,476,781</w:t>
            </w:r>
          </w:p>
        </w:tc>
        <w:tc>
          <w:tcPr>
            <w:tcW w:w="236" w:type="dxa"/>
            <w:tcBorders>
              <w:top w:val="nil"/>
              <w:left w:val="nil"/>
              <w:bottom w:val="nil"/>
              <w:right w:val="nil"/>
            </w:tcBorders>
            <w:shd w:val="clear" w:color="FFFFFF" w:fill="FFFFFF"/>
            <w:noWrap/>
            <w:vAlign w:val="bottom"/>
            <w:hideMark/>
          </w:tcPr>
          <w:p w14:paraId="63E1814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5D2AAD15"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11,098,018</w:t>
            </w:r>
          </w:p>
        </w:tc>
        <w:tc>
          <w:tcPr>
            <w:tcW w:w="236" w:type="dxa"/>
            <w:tcBorders>
              <w:top w:val="nil"/>
              <w:left w:val="nil"/>
              <w:bottom w:val="nil"/>
              <w:right w:val="nil"/>
            </w:tcBorders>
            <w:shd w:val="clear" w:color="FFFFFF" w:fill="FFFFFF"/>
            <w:noWrap/>
            <w:vAlign w:val="bottom"/>
            <w:hideMark/>
          </w:tcPr>
          <w:p w14:paraId="493EE25C"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0C7EB43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16,442,009</w:t>
            </w:r>
          </w:p>
        </w:tc>
      </w:tr>
      <w:tr w:rsidR="00125069" w:rsidRPr="00125069" w14:paraId="149DE0DE" w14:textId="77777777" w:rsidTr="00084A73">
        <w:trPr>
          <w:trHeight w:val="255"/>
        </w:trPr>
        <w:tc>
          <w:tcPr>
            <w:tcW w:w="5103" w:type="dxa"/>
            <w:tcBorders>
              <w:top w:val="nil"/>
              <w:left w:val="nil"/>
              <w:bottom w:val="nil"/>
              <w:right w:val="nil"/>
            </w:tcBorders>
            <w:shd w:val="clear" w:color="FFFFFF" w:fill="FFFFFF"/>
            <w:vAlign w:val="bottom"/>
            <w:hideMark/>
          </w:tcPr>
          <w:p w14:paraId="1BC690B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2BAA5D60"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41CCFBC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FE2C05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68FA211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ED4A53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1ED2B60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012EB9E4" w14:textId="77777777" w:rsidTr="00084A73">
        <w:trPr>
          <w:trHeight w:val="255"/>
        </w:trPr>
        <w:tc>
          <w:tcPr>
            <w:tcW w:w="5103" w:type="dxa"/>
            <w:tcBorders>
              <w:top w:val="nil"/>
              <w:left w:val="nil"/>
              <w:bottom w:val="nil"/>
              <w:right w:val="nil"/>
            </w:tcBorders>
            <w:shd w:val="clear" w:color="FFFFFF" w:fill="FFFFFF"/>
            <w:vAlign w:val="bottom"/>
            <w:hideMark/>
          </w:tcPr>
          <w:p w14:paraId="07C87294"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Net (cost of)/contribution by services</w:t>
            </w:r>
          </w:p>
        </w:tc>
        <w:tc>
          <w:tcPr>
            <w:tcW w:w="959" w:type="dxa"/>
            <w:tcBorders>
              <w:top w:val="nil"/>
              <w:left w:val="nil"/>
              <w:bottom w:val="nil"/>
              <w:right w:val="nil"/>
            </w:tcBorders>
            <w:shd w:val="clear" w:color="FFFFFF" w:fill="FFFFFF"/>
            <w:noWrap/>
            <w:vAlign w:val="bottom"/>
            <w:hideMark/>
          </w:tcPr>
          <w:p w14:paraId="2FE047A5"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4A296167"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(2,789,082)</w:t>
            </w:r>
          </w:p>
        </w:tc>
        <w:tc>
          <w:tcPr>
            <w:tcW w:w="236" w:type="dxa"/>
            <w:tcBorders>
              <w:top w:val="nil"/>
              <w:left w:val="nil"/>
              <w:bottom w:val="nil"/>
              <w:right w:val="nil"/>
            </w:tcBorders>
            <w:shd w:val="clear" w:color="FFFFFF" w:fill="FFFFFF"/>
            <w:noWrap/>
            <w:vAlign w:val="bottom"/>
            <w:hideMark/>
          </w:tcPr>
          <w:p w14:paraId="308A8BC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4E221A1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(783,274)</w:t>
            </w:r>
          </w:p>
        </w:tc>
        <w:tc>
          <w:tcPr>
            <w:tcW w:w="236" w:type="dxa"/>
            <w:tcBorders>
              <w:top w:val="nil"/>
              <w:left w:val="nil"/>
              <w:bottom w:val="nil"/>
              <w:right w:val="nil"/>
            </w:tcBorders>
            <w:shd w:val="clear" w:color="FFFFFF" w:fill="FFFFFF"/>
            <w:noWrap/>
            <w:vAlign w:val="bottom"/>
            <w:hideMark/>
          </w:tcPr>
          <w:p w14:paraId="0D4F4C9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363A99E5"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(1,408,255)</w:t>
            </w:r>
          </w:p>
        </w:tc>
      </w:tr>
      <w:tr w:rsidR="00125069" w:rsidRPr="00125069" w14:paraId="616EF059" w14:textId="77777777" w:rsidTr="00084A73">
        <w:trPr>
          <w:trHeight w:val="255"/>
        </w:trPr>
        <w:tc>
          <w:tcPr>
            <w:tcW w:w="5103" w:type="dxa"/>
            <w:tcBorders>
              <w:top w:val="nil"/>
              <w:left w:val="nil"/>
              <w:bottom w:val="nil"/>
              <w:right w:val="nil"/>
            </w:tcBorders>
            <w:shd w:val="clear" w:color="FFFFFF" w:fill="FFFFFF"/>
            <w:vAlign w:val="bottom"/>
            <w:hideMark/>
          </w:tcPr>
          <w:p w14:paraId="789E0F2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62B9501F"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7A4396BD"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DFADCE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6BFA4B22"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C214BC9"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246568B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08BEE984" w14:textId="77777777" w:rsidTr="00084A73">
        <w:trPr>
          <w:trHeight w:val="255"/>
        </w:trPr>
        <w:tc>
          <w:tcPr>
            <w:tcW w:w="5103" w:type="dxa"/>
            <w:tcBorders>
              <w:top w:val="nil"/>
              <w:left w:val="nil"/>
              <w:bottom w:val="nil"/>
              <w:right w:val="nil"/>
            </w:tcBorders>
            <w:shd w:val="clear" w:color="FFFFFF" w:fill="FFFFFF"/>
            <w:vAlign w:val="bottom"/>
            <w:hideMark/>
          </w:tcPr>
          <w:p w14:paraId="7807653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Revenue from Government</w:t>
            </w:r>
          </w:p>
        </w:tc>
        <w:tc>
          <w:tcPr>
            <w:tcW w:w="959" w:type="dxa"/>
            <w:tcBorders>
              <w:top w:val="nil"/>
              <w:left w:val="nil"/>
              <w:bottom w:val="nil"/>
              <w:right w:val="nil"/>
            </w:tcBorders>
            <w:shd w:val="clear" w:color="FFFFFF" w:fill="FFFFFF"/>
            <w:noWrap/>
            <w:vAlign w:val="bottom"/>
            <w:hideMark/>
          </w:tcPr>
          <w:p w14:paraId="4EC1E0FE"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7EE1422B"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1,413,257</w:t>
            </w:r>
          </w:p>
        </w:tc>
        <w:tc>
          <w:tcPr>
            <w:tcW w:w="236" w:type="dxa"/>
            <w:tcBorders>
              <w:top w:val="nil"/>
              <w:left w:val="nil"/>
              <w:bottom w:val="nil"/>
              <w:right w:val="nil"/>
            </w:tcBorders>
            <w:shd w:val="clear" w:color="FFFFFF" w:fill="FFFFFF"/>
            <w:noWrap/>
            <w:vAlign w:val="bottom"/>
            <w:hideMark/>
          </w:tcPr>
          <w:p w14:paraId="22B459E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7BEA4E3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1,477,674</w:t>
            </w:r>
          </w:p>
        </w:tc>
        <w:tc>
          <w:tcPr>
            <w:tcW w:w="236" w:type="dxa"/>
            <w:tcBorders>
              <w:top w:val="nil"/>
              <w:left w:val="nil"/>
              <w:bottom w:val="nil"/>
              <w:right w:val="nil"/>
            </w:tcBorders>
            <w:shd w:val="clear" w:color="FFFFFF" w:fill="FFFFFF"/>
            <w:noWrap/>
            <w:vAlign w:val="bottom"/>
            <w:hideMark/>
          </w:tcPr>
          <w:p w14:paraId="66C820AC"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269A4E69"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1,408,255</w:t>
            </w:r>
          </w:p>
        </w:tc>
      </w:tr>
      <w:tr w:rsidR="00125069" w:rsidRPr="00125069" w14:paraId="767D05F2" w14:textId="77777777" w:rsidTr="00084A73">
        <w:trPr>
          <w:trHeight w:val="255"/>
        </w:trPr>
        <w:tc>
          <w:tcPr>
            <w:tcW w:w="5103" w:type="dxa"/>
            <w:tcBorders>
              <w:top w:val="nil"/>
              <w:left w:val="nil"/>
              <w:bottom w:val="nil"/>
              <w:right w:val="nil"/>
            </w:tcBorders>
            <w:shd w:val="clear" w:color="FFFFFF" w:fill="FFFFFF"/>
            <w:vAlign w:val="bottom"/>
            <w:hideMark/>
          </w:tcPr>
          <w:p w14:paraId="1F11187D"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 xml:space="preserve">Surplus/(Deficit) </w:t>
            </w:r>
          </w:p>
        </w:tc>
        <w:tc>
          <w:tcPr>
            <w:tcW w:w="959" w:type="dxa"/>
            <w:tcBorders>
              <w:top w:val="nil"/>
              <w:left w:val="nil"/>
              <w:bottom w:val="nil"/>
              <w:right w:val="nil"/>
            </w:tcBorders>
            <w:shd w:val="clear" w:color="FFFFFF" w:fill="FFFFFF"/>
            <w:noWrap/>
            <w:vAlign w:val="bottom"/>
            <w:hideMark/>
          </w:tcPr>
          <w:p w14:paraId="6DE53B57"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0E2260D6"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(1,375,825)</w:t>
            </w:r>
          </w:p>
        </w:tc>
        <w:tc>
          <w:tcPr>
            <w:tcW w:w="236" w:type="dxa"/>
            <w:tcBorders>
              <w:top w:val="nil"/>
              <w:left w:val="nil"/>
              <w:bottom w:val="nil"/>
              <w:right w:val="nil"/>
            </w:tcBorders>
            <w:shd w:val="clear" w:color="FFFFFF" w:fill="FFFFFF"/>
            <w:noWrap/>
            <w:vAlign w:val="bottom"/>
            <w:hideMark/>
          </w:tcPr>
          <w:p w14:paraId="57E99854"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3785BD4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694,400</w:t>
            </w:r>
          </w:p>
        </w:tc>
        <w:tc>
          <w:tcPr>
            <w:tcW w:w="236" w:type="dxa"/>
            <w:tcBorders>
              <w:top w:val="nil"/>
              <w:left w:val="nil"/>
              <w:bottom w:val="nil"/>
              <w:right w:val="nil"/>
            </w:tcBorders>
            <w:shd w:val="clear" w:color="FFFFFF" w:fill="FFFFFF"/>
            <w:noWrap/>
            <w:vAlign w:val="bottom"/>
            <w:hideMark/>
          </w:tcPr>
          <w:p w14:paraId="20BA78A7"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2CB352D2"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w:t>
            </w:r>
          </w:p>
        </w:tc>
      </w:tr>
      <w:tr w:rsidR="00125069" w:rsidRPr="00125069" w14:paraId="13AE1955" w14:textId="77777777" w:rsidTr="00084A73">
        <w:trPr>
          <w:trHeight w:val="255"/>
        </w:trPr>
        <w:tc>
          <w:tcPr>
            <w:tcW w:w="5103" w:type="dxa"/>
            <w:tcBorders>
              <w:top w:val="nil"/>
              <w:left w:val="nil"/>
              <w:bottom w:val="nil"/>
              <w:right w:val="nil"/>
            </w:tcBorders>
            <w:shd w:val="clear" w:color="FFFFFF" w:fill="FFFFFF"/>
            <w:vAlign w:val="bottom"/>
            <w:hideMark/>
          </w:tcPr>
          <w:p w14:paraId="355A15F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5C08904C"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4F9493F7"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1FD5B33"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3FA07FA8"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B4E187E"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4E0E3FB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70507B06" w14:textId="77777777" w:rsidTr="00084A73">
        <w:trPr>
          <w:trHeight w:val="255"/>
        </w:trPr>
        <w:tc>
          <w:tcPr>
            <w:tcW w:w="5103" w:type="dxa"/>
            <w:tcBorders>
              <w:top w:val="nil"/>
              <w:left w:val="nil"/>
              <w:bottom w:val="nil"/>
              <w:right w:val="nil"/>
            </w:tcBorders>
            <w:shd w:val="clear" w:color="FFFFFF" w:fill="FFFFFF"/>
            <w:vAlign w:val="bottom"/>
            <w:hideMark/>
          </w:tcPr>
          <w:p w14:paraId="190E95EB"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OTHER COMPREHENSIVE INCOME</w:t>
            </w:r>
          </w:p>
        </w:tc>
        <w:tc>
          <w:tcPr>
            <w:tcW w:w="959" w:type="dxa"/>
            <w:tcBorders>
              <w:top w:val="nil"/>
              <w:left w:val="nil"/>
              <w:bottom w:val="nil"/>
              <w:right w:val="nil"/>
            </w:tcBorders>
            <w:shd w:val="clear" w:color="FFFFFF" w:fill="FFFFFF"/>
            <w:noWrap/>
            <w:vAlign w:val="bottom"/>
            <w:hideMark/>
          </w:tcPr>
          <w:p w14:paraId="5F9A0926"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335DDA29"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2872B3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0690B78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8DE0092"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77C8E044"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7162B088" w14:textId="77777777" w:rsidTr="00084A73">
        <w:trPr>
          <w:trHeight w:val="465"/>
        </w:trPr>
        <w:tc>
          <w:tcPr>
            <w:tcW w:w="5103" w:type="dxa"/>
            <w:tcBorders>
              <w:top w:val="nil"/>
              <w:left w:val="nil"/>
              <w:bottom w:val="nil"/>
              <w:right w:val="nil"/>
            </w:tcBorders>
            <w:shd w:val="clear" w:color="FFFFFF" w:fill="FFFFFF"/>
            <w:vAlign w:val="bottom"/>
            <w:hideMark/>
          </w:tcPr>
          <w:p w14:paraId="5A8C8BCA"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Items not subject to subsequent reclassification to net cost of services</w:t>
            </w:r>
          </w:p>
        </w:tc>
        <w:tc>
          <w:tcPr>
            <w:tcW w:w="959" w:type="dxa"/>
            <w:tcBorders>
              <w:top w:val="nil"/>
              <w:left w:val="nil"/>
              <w:bottom w:val="nil"/>
              <w:right w:val="nil"/>
            </w:tcBorders>
            <w:shd w:val="clear" w:color="FFFFFF" w:fill="FFFFFF"/>
            <w:noWrap/>
            <w:vAlign w:val="bottom"/>
            <w:hideMark/>
          </w:tcPr>
          <w:p w14:paraId="5CDBB2E7"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736B1EAF"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F850673"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5D5552C0"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D547C0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1D26B7B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295E160D" w14:textId="77777777" w:rsidTr="00084A73">
        <w:trPr>
          <w:trHeight w:val="255"/>
        </w:trPr>
        <w:tc>
          <w:tcPr>
            <w:tcW w:w="5103" w:type="dxa"/>
            <w:tcBorders>
              <w:top w:val="nil"/>
              <w:left w:val="nil"/>
              <w:bottom w:val="nil"/>
              <w:right w:val="nil"/>
            </w:tcBorders>
            <w:shd w:val="clear" w:color="FFFFFF" w:fill="FFFFFF"/>
            <w:vAlign w:val="bottom"/>
            <w:hideMark/>
          </w:tcPr>
          <w:p w14:paraId="721B556D" w14:textId="77777777" w:rsidR="00125069" w:rsidRPr="00125069" w:rsidRDefault="00125069" w:rsidP="00125069">
            <w:pPr>
              <w:spacing w:before="0" w:after="0" w:line="260" w:lineRule="atLeast"/>
              <w:ind w:leftChars="100" w:left="220"/>
              <w:rPr>
                <w:rFonts w:eastAsia="Times New Roman"/>
                <w:sz w:val="18"/>
                <w:szCs w:val="18"/>
                <w:lang w:eastAsia="en-US"/>
              </w:rPr>
            </w:pPr>
            <w:r w:rsidRPr="00125069">
              <w:rPr>
                <w:rFonts w:eastAsia="Times New Roman"/>
                <w:sz w:val="18"/>
                <w:szCs w:val="18"/>
                <w:lang w:eastAsia="en-US"/>
              </w:rPr>
              <w:t>Changes in asset revaluation reserve</w:t>
            </w:r>
          </w:p>
        </w:tc>
        <w:tc>
          <w:tcPr>
            <w:tcW w:w="959" w:type="dxa"/>
            <w:tcBorders>
              <w:top w:val="nil"/>
              <w:left w:val="nil"/>
              <w:bottom w:val="nil"/>
              <w:right w:val="nil"/>
            </w:tcBorders>
            <w:shd w:val="clear" w:color="FFFFFF" w:fill="FFFFFF"/>
            <w:noWrap/>
            <w:vAlign w:val="bottom"/>
            <w:hideMark/>
          </w:tcPr>
          <w:p w14:paraId="1DA938E6"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7FF8A498"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00CF61A5"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EE1A55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11,145</w:t>
            </w:r>
          </w:p>
        </w:tc>
        <w:tc>
          <w:tcPr>
            <w:tcW w:w="236" w:type="dxa"/>
            <w:tcBorders>
              <w:top w:val="nil"/>
              <w:left w:val="nil"/>
              <w:bottom w:val="nil"/>
              <w:right w:val="nil"/>
            </w:tcBorders>
            <w:shd w:val="clear" w:color="FFFFFF" w:fill="FFFFFF"/>
            <w:noWrap/>
            <w:vAlign w:val="bottom"/>
            <w:hideMark/>
          </w:tcPr>
          <w:p w14:paraId="21902557"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31F544D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xml:space="preserve"> -</w:t>
            </w:r>
          </w:p>
        </w:tc>
      </w:tr>
      <w:tr w:rsidR="00125069" w:rsidRPr="00125069" w14:paraId="2ADF7A46" w14:textId="77777777" w:rsidTr="00084A73">
        <w:trPr>
          <w:trHeight w:val="255"/>
        </w:trPr>
        <w:tc>
          <w:tcPr>
            <w:tcW w:w="5103" w:type="dxa"/>
            <w:tcBorders>
              <w:top w:val="nil"/>
              <w:left w:val="nil"/>
              <w:bottom w:val="nil"/>
              <w:right w:val="nil"/>
            </w:tcBorders>
            <w:shd w:val="clear" w:color="FFFFFF" w:fill="FFFFFF"/>
            <w:vAlign w:val="bottom"/>
            <w:hideMark/>
          </w:tcPr>
          <w:p w14:paraId="1980C62E"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other comprehensive income</w:t>
            </w:r>
          </w:p>
        </w:tc>
        <w:tc>
          <w:tcPr>
            <w:tcW w:w="959" w:type="dxa"/>
            <w:tcBorders>
              <w:top w:val="nil"/>
              <w:left w:val="nil"/>
              <w:bottom w:val="nil"/>
              <w:right w:val="nil"/>
            </w:tcBorders>
            <w:shd w:val="clear" w:color="FFFFFF" w:fill="FFFFFF"/>
            <w:noWrap/>
            <w:vAlign w:val="bottom"/>
            <w:hideMark/>
          </w:tcPr>
          <w:p w14:paraId="7C3F9F8C"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2FD8B555"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27B15CAA"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5A3CB6F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11,145</w:t>
            </w:r>
          </w:p>
        </w:tc>
        <w:tc>
          <w:tcPr>
            <w:tcW w:w="236" w:type="dxa"/>
            <w:tcBorders>
              <w:top w:val="nil"/>
              <w:left w:val="nil"/>
              <w:bottom w:val="nil"/>
              <w:right w:val="nil"/>
            </w:tcBorders>
            <w:shd w:val="clear" w:color="FFFFFF" w:fill="FFFFFF"/>
            <w:noWrap/>
            <w:vAlign w:val="bottom"/>
            <w:hideMark/>
          </w:tcPr>
          <w:p w14:paraId="66449120"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6F805F93"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w:t>
            </w:r>
          </w:p>
        </w:tc>
      </w:tr>
      <w:tr w:rsidR="00125069" w:rsidRPr="00125069" w14:paraId="09035563" w14:textId="77777777" w:rsidTr="00084A73">
        <w:trPr>
          <w:trHeight w:val="255"/>
        </w:trPr>
        <w:tc>
          <w:tcPr>
            <w:tcW w:w="5103" w:type="dxa"/>
            <w:tcBorders>
              <w:top w:val="nil"/>
              <w:left w:val="nil"/>
              <w:bottom w:val="nil"/>
              <w:right w:val="nil"/>
            </w:tcBorders>
            <w:shd w:val="clear" w:color="FFFFFF" w:fill="FFFFFF"/>
            <w:vAlign w:val="bottom"/>
            <w:hideMark/>
          </w:tcPr>
          <w:p w14:paraId="5A628A3F"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959" w:type="dxa"/>
            <w:tcBorders>
              <w:top w:val="nil"/>
              <w:left w:val="nil"/>
              <w:bottom w:val="nil"/>
              <w:right w:val="nil"/>
            </w:tcBorders>
            <w:shd w:val="clear" w:color="FFFFFF" w:fill="FFFFFF"/>
            <w:noWrap/>
            <w:vAlign w:val="bottom"/>
            <w:hideMark/>
          </w:tcPr>
          <w:p w14:paraId="115E8348"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nil"/>
              <w:left w:val="nil"/>
              <w:bottom w:val="nil"/>
              <w:right w:val="nil"/>
            </w:tcBorders>
            <w:shd w:val="clear" w:color="auto" w:fill="auto"/>
            <w:noWrap/>
            <w:vAlign w:val="bottom"/>
            <w:hideMark/>
          </w:tcPr>
          <w:p w14:paraId="71DF2650"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8CDBE01"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nil"/>
              <w:left w:val="nil"/>
              <w:bottom w:val="nil"/>
              <w:right w:val="nil"/>
            </w:tcBorders>
            <w:shd w:val="clear" w:color="FFFFFF" w:fill="FFFFFF"/>
            <w:noWrap/>
            <w:vAlign w:val="bottom"/>
            <w:hideMark/>
          </w:tcPr>
          <w:p w14:paraId="27FEF86B"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B8CE25B"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nil"/>
              <w:left w:val="nil"/>
              <w:bottom w:val="nil"/>
              <w:right w:val="nil"/>
            </w:tcBorders>
            <w:shd w:val="clear" w:color="FFFFFF" w:fill="FFFFFF"/>
            <w:noWrap/>
            <w:vAlign w:val="bottom"/>
            <w:hideMark/>
          </w:tcPr>
          <w:p w14:paraId="66D4B3D1"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 </w:t>
            </w:r>
          </w:p>
        </w:tc>
      </w:tr>
      <w:tr w:rsidR="00125069" w:rsidRPr="00125069" w14:paraId="364186F8" w14:textId="77777777" w:rsidTr="00084A73">
        <w:trPr>
          <w:trHeight w:val="255"/>
        </w:trPr>
        <w:tc>
          <w:tcPr>
            <w:tcW w:w="5103" w:type="dxa"/>
            <w:tcBorders>
              <w:top w:val="nil"/>
              <w:left w:val="nil"/>
              <w:bottom w:val="nil"/>
              <w:right w:val="nil"/>
            </w:tcBorders>
            <w:shd w:val="clear" w:color="FFFFFF" w:fill="FFFFFF"/>
            <w:vAlign w:val="bottom"/>
            <w:hideMark/>
          </w:tcPr>
          <w:p w14:paraId="5FEF5F20" w14:textId="77777777" w:rsidR="00125069" w:rsidRPr="00125069" w:rsidRDefault="00125069" w:rsidP="00125069">
            <w:pPr>
              <w:spacing w:before="0" w:after="0" w:line="260" w:lineRule="atLeast"/>
              <w:ind w:left="0"/>
              <w:rPr>
                <w:rFonts w:eastAsia="Times New Roman"/>
                <w:b/>
                <w:bCs/>
                <w:sz w:val="18"/>
                <w:szCs w:val="18"/>
                <w:lang w:eastAsia="en-US"/>
              </w:rPr>
            </w:pPr>
            <w:r w:rsidRPr="00125069">
              <w:rPr>
                <w:rFonts w:eastAsia="Times New Roman"/>
                <w:b/>
                <w:bCs/>
                <w:sz w:val="18"/>
                <w:szCs w:val="18"/>
                <w:lang w:eastAsia="en-US"/>
              </w:rPr>
              <w:t>Total comprehensive income/(loss)</w:t>
            </w:r>
          </w:p>
        </w:tc>
        <w:tc>
          <w:tcPr>
            <w:tcW w:w="959" w:type="dxa"/>
            <w:tcBorders>
              <w:top w:val="nil"/>
              <w:left w:val="nil"/>
              <w:bottom w:val="nil"/>
              <w:right w:val="nil"/>
            </w:tcBorders>
            <w:shd w:val="clear" w:color="FFFFFF" w:fill="FFFFFF"/>
            <w:noWrap/>
            <w:vAlign w:val="bottom"/>
            <w:hideMark/>
          </w:tcPr>
          <w:p w14:paraId="7D21363F" w14:textId="77777777" w:rsidR="00125069" w:rsidRPr="00125069" w:rsidRDefault="00125069" w:rsidP="00125069">
            <w:pPr>
              <w:spacing w:before="0" w:after="0" w:line="260" w:lineRule="atLeast"/>
              <w:ind w:left="0"/>
              <w:jc w:val="center"/>
              <w:rPr>
                <w:rFonts w:eastAsia="Times New Roman"/>
                <w:sz w:val="18"/>
                <w:szCs w:val="18"/>
                <w:lang w:eastAsia="en-US"/>
              </w:rPr>
            </w:pPr>
            <w:r w:rsidRPr="00125069">
              <w:rPr>
                <w:rFonts w:eastAsia="Times New Roman"/>
                <w:sz w:val="18"/>
                <w:szCs w:val="18"/>
                <w:lang w:eastAsia="en-US"/>
              </w:rPr>
              <w:t> </w:t>
            </w:r>
          </w:p>
        </w:tc>
        <w:tc>
          <w:tcPr>
            <w:tcW w:w="1144" w:type="dxa"/>
            <w:tcBorders>
              <w:top w:val="single" w:sz="4" w:space="0" w:color="auto"/>
              <w:left w:val="nil"/>
              <w:bottom w:val="single" w:sz="4" w:space="0" w:color="auto"/>
              <w:right w:val="nil"/>
            </w:tcBorders>
            <w:shd w:val="clear" w:color="auto" w:fill="auto"/>
            <w:noWrap/>
            <w:vAlign w:val="bottom"/>
            <w:hideMark/>
          </w:tcPr>
          <w:p w14:paraId="7E2B171A" w14:textId="77777777" w:rsidR="00125069" w:rsidRPr="00125069" w:rsidRDefault="00125069" w:rsidP="00125069">
            <w:pPr>
              <w:spacing w:before="0" w:after="0" w:line="260" w:lineRule="atLeast"/>
              <w:ind w:left="0"/>
              <w:jc w:val="right"/>
              <w:rPr>
                <w:rFonts w:eastAsia="Times New Roman"/>
                <w:b/>
                <w:bCs/>
                <w:sz w:val="18"/>
                <w:szCs w:val="18"/>
                <w:lang w:eastAsia="en-US"/>
              </w:rPr>
            </w:pPr>
            <w:r w:rsidRPr="00125069">
              <w:rPr>
                <w:rFonts w:eastAsia="Times New Roman"/>
                <w:b/>
                <w:bCs/>
                <w:sz w:val="18"/>
                <w:szCs w:val="18"/>
                <w:lang w:eastAsia="en-US"/>
              </w:rPr>
              <w:t>(1,375,825)</w:t>
            </w:r>
          </w:p>
        </w:tc>
        <w:tc>
          <w:tcPr>
            <w:tcW w:w="236" w:type="dxa"/>
            <w:tcBorders>
              <w:top w:val="nil"/>
              <w:left w:val="nil"/>
              <w:bottom w:val="nil"/>
              <w:right w:val="nil"/>
            </w:tcBorders>
            <w:shd w:val="clear" w:color="FFFFFF" w:fill="FFFFFF"/>
            <w:noWrap/>
            <w:vAlign w:val="bottom"/>
            <w:hideMark/>
          </w:tcPr>
          <w:p w14:paraId="56224957"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128" w:type="dxa"/>
            <w:tcBorders>
              <w:top w:val="single" w:sz="4" w:space="0" w:color="auto"/>
              <w:left w:val="nil"/>
              <w:bottom w:val="single" w:sz="4" w:space="0" w:color="auto"/>
              <w:right w:val="nil"/>
            </w:tcBorders>
            <w:shd w:val="clear" w:color="FFFFFF" w:fill="FFFFFF"/>
            <w:noWrap/>
            <w:vAlign w:val="bottom"/>
            <w:hideMark/>
          </w:tcPr>
          <w:p w14:paraId="7C64630C"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705,545</w:t>
            </w:r>
          </w:p>
        </w:tc>
        <w:tc>
          <w:tcPr>
            <w:tcW w:w="236" w:type="dxa"/>
            <w:tcBorders>
              <w:top w:val="nil"/>
              <w:left w:val="nil"/>
              <w:bottom w:val="nil"/>
              <w:right w:val="nil"/>
            </w:tcBorders>
            <w:shd w:val="clear" w:color="FFFFFF" w:fill="FFFFFF"/>
            <w:noWrap/>
            <w:vAlign w:val="bottom"/>
            <w:hideMark/>
          </w:tcPr>
          <w:p w14:paraId="3238B866" w14:textId="77777777" w:rsidR="00125069" w:rsidRPr="00125069" w:rsidRDefault="00125069" w:rsidP="00125069">
            <w:pPr>
              <w:spacing w:before="0" w:after="0" w:line="260" w:lineRule="atLeast"/>
              <w:ind w:left="0"/>
              <w:rPr>
                <w:rFonts w:eastAsia="Times New Roman"/>
                <w:sz w:val="18"/>
                <w:szCs w:val="18"/>
                <w:lang w:eastAsia="en-US"/>
              </w:rPr>
            </w:pPr>
            <w:r w:rsidRPr="00125069">
              <w:rPr>
                <w:rFonts w:eastAsia="Times New Roman"/>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4506F067" w14:textId="77777777" w:rsidR="00125069" w:rsidRPr="00125069" w:rsidRDefault="00125069" w:rsidP="00125069">
            <w:pPr>
              <w:spacing w:before="0" w:after="0" w:line="260" w:lineRule="atLeast"/>
              <w:ind w:left="0"/>
              <w:jc w:val="right"/>
              <w:rPr>
                <w:rFonts w:eastAsia="Times New Roman"/>
                <w:sz w:val="18"/>
                <w:szCs w:val="18"/>
                <w:lang w:eastAsia="en-US"/>
              </w:rPr>
            </w:pPr>
            <w:r w:rsidRPr="00125069">
              <w:rPr>
                <w:rFonts w:eastAsia="Times New Roman"/>
                <w:sz w:val="18"/>
                <w:szCs w:val="18"/>
                <w:lang w:eastAsia="en-US"/>
              </w:rPr>
              <w:t>-</w:t>
            </w:r>
          </w:p>
        </w:tc>
      </w:tr>
    </w:tbl>
    <w:p w14:paraId="6AD35F16" w14:textId="309CBDD4" w:rsidR="00F75697" w:rsidRDefault="00F75697">
      <w:pPr>
        <w:spacing w:before="0" w:after="160" w:line="259" w:lineRule="auto"/>
        <w:ind w:left="0"/>
        <w:rPr>
          <w:highlight w:val="yellow"/>
          <w:lang w:eastAsia="en-US"/>
        </w:rPr>
        <w:sectPr w:rsidR="00F75697" w:rsidSect="00211048">
          <w:headerReference w:type="first" r:id="rId43"/>
          <w:pgSz w:w="11906" w:h="16838"/>
          <w:pgMar w:top="1021" w:right="907" w:bottom="1440" w:left="964" w:header="708" w:footer="708" w:gutter="0"/>
          <w:cols w:space="708"/>
          <w:titlePg/>
          <w:docGrid w:linePitch="360"/>
        </w:sectPr>
      </w:pPr>
    </w:p>
    <w:p w14:paraId="48B313B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The above statement should be read in conjunction with the accompanying notes.</w:t>
      </w:r>
    </w:p>
    <w:p w14:paraId="620FE022" w14:textId="77777777" w:rsidR="00125069" w:rsidRDefault="00125069" w:rsidP="00125069">
      <w:pPr>
        <w:spacing w:before="0" w:after="80"/>
        <w:ind w:left="0"/>
        <w:rPr>
          <w:rFonts w:eastAsia="Times New Roman" w:cs="Times New Roman"/>
          <w:sz w:val="18"/>
          <w:szCs w:val="20"/>
          <w:lang w:eastAsia="en-AU"/>
        </w:rPr>
        <w:sectPr w:rsidR="00125069" w:rsidSect="00F75697">
          <w:type w:val="continuous"/>
          <w:pgSz w:w="11906" w:h="16838"/>
          <w:pgMar w:top="1021" w:right="907" w:bottom="1440" w:left="964" w:header="708" w:footer="708" w:gutter="0"/>
          <w:cols w:space="708"/>
          <w:titlePg/>
          <w:docGrid w:linePitch="360"/>
        </w:sectPr>
      </w:pPr>
      <w:r w:rsidRPr="00125069">
        <w:rPr>
          <w:rFonts w:eastAsia="Times New Roman" w:cs="Times New Roman"/>
          <w:sz w:val="18"/>
          <w:szCs w:val="20"/>
          <w:vertAlign w:val="superscript"/>
          <w:lang w:eastAsia="en-AU"/>
        </w:rPr>
        <w:t>1</w:t>
      </w:r>
      <w:r w:rsidRPr="00125069">
        <w:rPr>
          <w:rFonts w:eastAsia="Times New Roman" w:cs="Times New Roman"/>
          <w:sz w:val="18"/>
          <w:szCs w:val="20"/>
          <w:lang w:eastAsia="en-AU"/>
        </w:rPr>
        <w:t xml:space="preserve"> Original Budget refers to the figures published in the Portfolio Budget Statements 2019–20.</w:t>
      </w:r>
    </w:p>
    <w:p w14:paraId="6610EDE3"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lastRenderedPageBreak/>
        <w:t xml:space="preserve">Budget Variances Commentary </w:t>
      </w:r>
    </w:p>
    <w:p w14:paraId="32830970"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Statement of Comprehensive Income</w:t>
      </w:r>
    </w:p>
    <w:tbl>
      <w:tblPr>
        <w:tblW w:w="10070"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4"/>
        <w:gridCol w:w="7376"/>
      </w:tblGrid>
      <w:tr w:rsidR="00125069" w:rsidRPr="00125069" w14:paraId="3F5ED132" w14:textId="77777777" w:rsidTr="00084A73">
        <w:trPr>
          <w:cantSplit/>
          <w:trHeight w:val="255"/>
          <w:tblHeader/>
        </w:trPr>
        <w:tc>
          <w:tcPr>
            <w:tcW w:w="2694" w:type="dxa"/>
            <w:shd w:val="clear" w:color="FFFFFF" w:fill="FFFFFF"/>
            <w:noWrap/>
            <w:vAlign w:val="center"/>
          </w:tcPr>
          <w:p w14:paraId="680DDDB5" w14:textId="77777777" w:rsidR="00125069" w:rsidRPr="00125069" w:rsidRDefault="00125069" w:rsidP="00125069">
            <w:pPr>
              <w:spacing w:before="0" w:after="80"/>
              <w:ind w:left="0"/>
              <w:rPr>
                <w:rFonts w:eastAsia="Times New Roman" w:cs="Times New Roman"/>
                <w:b/>
                <w:sz w:val="18"/>
                <w:szCs w:val="20"/>
                <w:lang w:eastAsia="en-AU"/>
              </w:rPr>
            </w:pPr>
            <w:r w:rsidRPr="00125069">
              <w:rPr>
                <w:rFonts w:eastAsia="Times New Roman" w:cs="Times New Roman"/>
                <w:b/>
                <w:sz w:val="18"/>
                <w:szCs w:val="20"/>
                <w:lang w:eastAsia="en-AU"/>
              </w:rPr>
              <w:t>Affected line items</w:t>
            </w:r>
          </w:p>
        </w:tc>
        <w:tc>
          <w:tcPr>
            <w:tcW w:w="7376" w:type="dxa"/>
            <w:shd w:val="clear" w:color="FFFFFF" w:fill="FFFFFF"/>
            <w:vAlign w:val="center"/>
          </w:tcPr>
          <w:p w14:paraId="76FF68A7" w14:textId="77777777" w:rsidR="00125069" w:rsidRPr="00125069" w:rsidRDefault="00125069" w:rsidP="00125069">
            <w:pPr>
              <w:spacing w:before="0" w:after="80"/>
              <w:ind w:left="0"/>
              <w:rPr>
                <w:rFonts w:eastAsia="Times New Roman" w:cs="Times New Roman"/>
                <w:b/>
                <w:sz w:val="18"/>
                <w:szCs w:val="20"/>
                <w:lang w:eastAsia="en-AU"/>
              </w:rPr>
            </w:pPr>
            <w:r w:rsidRPr="00125069">
              <w:rPr>
                <w:rFonts w:eastAsia="Times New Roman" w:cs="Times New Roman"/>
                <w:b/>
                <w:sz w:val="18"/>
                <w:szCs w:val="20"/>
                <w:lang w:eastAsia="en-AU"/>
              </w:rPr>
              <w:t>Explanations of major variances</w:t>
            </w:r>
          </w:p>
        </w:tc>
      </w:tr>
      <w:tr w:rsidR="00125069" w:rsidRPr="00125069" w14:paraId="3443064B" w14:textId="77777777" w:rsidTr="00084A73">
        <w:trPr>
          <w:cantSplit/>
          <w:trHeight w:val="255"/>
        </w:trPr>
        <w:tc>
          <w:tcPr>
            <w:tcW w:w="2694" w:type="dxa"/>
            <w:shd w:val="clear" w:color="FFFFFF" w:fill="FFFFFF"/>
            <w:noWrap/>
          </w:tcPr>
          <w:p w14:paraId="338C2ED3"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Expenses</w:t>
            </w:r>
          </w:p>
          <w:p w14:paraId="23ED2F51" w14:textId="77777777" w:rsidR="00125069" w:rsidRPr="00125069" w:rsidRDefault="00125069" w:rsidP="00125069">
            <w:pPr>
              <w:spacing w:before="0" w:after="80"/>
              <w:ind w:left="0"/>
              <w:rPr>
                <w:rFonts w:eastAsia="Times New Roman" w:cs="Times New Roman"/>
                <w:bCs/>
                <w:i/>
                <w:sz w:val="18"/>
                <w:szCs w:val="20"/>
                <w:lang w:eastAsia="en-AU"/>
              </w:rPr>
            </w:pPr>
            <w:r w:rsidRPr="00125069">
              <w:rPr>
                <w:rFonts w:eastAsia="Times New Roman" w:cs="Times New Roman"/>
                <w:bCs/>
                <w:i/>
                <w:sz w:val="18"/>
                <w:szCs w:val="20"/>
                <w:lang w:eastAsia="en-AU"/>
              </w:rPr>
              <w:t>Suppliers, Community partnership costs</w:t>
            </w:r>
          </w:p>
          <w:p w14:paraId="5D3D0805" w14:textId="77777777" w:rsidR="00125069" w:rsidRPr="00125069" w:rsidRDefault="00125069" w:rsidP="00125069">
            <w:pPr>
              <w:spacing w:before="0" w:after="80"/>
              <w:ind w:left="0"/>
              <w:rPr>
                <w:rFonts w:eastAsia="Times New Roman" w:cs="Times New Roman"/>
                <w:bCs/>
                <w:sz w:val="18"/>
                <w:szCs w:val="20"/>
                <w:lang w:eastAsia="en-AU"/>
              </w:rPr>
            </w:pPr>
          </w:p>
        </w:tc>
        <w:tc>
          <w:tcPr>
            <w:tcW w:w="7376" w:type="dxa"/>
            <w:shd w:val="clear" w:color="FFFFFF" w:fill="FFFFFF"/>
            <w:noWrap/>
          </w:tcPr>
          <w:p w14:paraId="0969A09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The Budget aggregates supplier expenses and community partnership costs. The variance to Budget for supplier and community partnership costs is linked to the lower amount of expenses pertaining to consultancy costs, operating leases and travel activity. Consultancy costs reduced as a number of consultancies were internally sourced within the Agency. Operating lease expenses decreased with the implementation of AASB 16 </w:t>
            </w:r>
            <w:r w:rsidRPr="00125069">
              <w:rPr>
                <w:rFonts w:eastAsia="Times New Roman" w:cs="Times New Roman"/>
                <w:i/>
                <w:sz w:val="18"/>
                <w:szCs w:val="20"/>
                <w:lang w:eastAsia="en-AU"/>
              </w:rPr>
              <w:t>Leases</w:t>
            </w:r>
            <w:r w:rsidRPr="00125069">
              <w:rPr>
                <w:rFonts w:eastAsia="Times New Roman" w:cs="Times New Roman"/>
                <w:sz w:val="18"/>
                <w:szCs w:val="20"/>
                <w:lang w:eastAsia="en-AU"/>
              </w:rPr>
              <w:t>, which resulted in operating lease expenses being replaced by depreciation on right-of-use asset. The Agency's travel costs reduced significantly since March 2020 due to travel restrictions resulting from the COVID-19 pandemic. In addition, the variance to Budget is linked to a slower than expected increase in the provision of Local Area Coordinator (LAC) services by partners in the community.</w:t>
            </w:r>
          </w:p>
        </w:tc>
      </w:tr>
      <w:tr w:rsidR="00125069" w:rsidRPr="00125069" w14:paraId="246A4DE6" w14:textId="77777777" w:rsidTr="00084A73">
        <w:trPr>
          <w:cantSplit/>
          <w:trHeight w:val="255"/>
        </w:trPr>
        <w:tc>
          <w:tcPr>
            <w:tcW w:w="2694" w:type="dxa"/>
            <w:shd w:val="clear" w:color="FFFFFF" w:fill="FFFFFF"/>
            <w:noWrap/>
          </w:tcPr>
          <w:p w14:paraId="0A5536A1"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Expenses</w:t>
            </w:r>
          </w:p>
          <w:p w14:paraId="021D67A1"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i/>
                <w:sz w:val="18"/>
                <w:szCs w:val="20"/>
                <w:lang w:eastAsia="en-AU"/>
              </w:rPr>
              <w:t>Participant plan expenses</w:t>
            </w:r>
          </w:p>
        </w:tc>
        <w:tc>
          <w:tcPr>
            <w:tcW w:w="7376" w:type="dxa"/>
            <w:shd w:val="clear" w:color="FFFFFF" w:fill="FFFFFF"/>
            <w:noWrap/>
          </w:tcPr>
          <w:p w14:paraId="3D1D344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Participant plan expenses were higher than projected in the Budget mainly due to a greater than expected increase in the number of participants in the Scheme as it continues to be rolled out across Australia, as well as an increase in the average cost per participant. Plan expenses increased due to a higher utilisation rate of committed supports than the rate assumed in the Budget.  </w:t>
            </w:r>
          </w:p>
        </w:tc>
      </w:tr>
      <w:tr w:rsidR="00125069" w:rsidRPr="00125069" w14:paraId="71F3724C" w14:textId="77777777" w:rsidTr="00084A73">
        <w:trPr>
          <w:cantSplit/>
          <w:trHeight w:val="255"/>
        </w:trPr>
        <w:tc>
          <w:tcPr>
            <w:tcW w:w="2694" w:type="dxa"/>
            <w:shd w:val="clear" w:color="FFFFFF" w:fill="FFFFFF"/>
            <w:noWrap/>
          </w:tcPr>
          <w:p w14:paraId="1D3B4873"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Expenses</w:t>
            </w:r>
          </w:p>
          <w:p w14:paraId="065719BB"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i/>
                <w:sz w:val="18"/>
                <w:szCs w:val="20"/>
                <w:lang w:eastAsia="en-AU"/>
              </w:rPr>
              <w:t>Employee benefits</w:t>
            </w:r>
          </w:p>
        </w:tc>
        <w:tc>
          <w:tcPr>
            <w:tcW w:w="7376" w:type="dxa"/>
            <w:shd w:val="clear" w:color="FFFFFF" w:fill="FFFFFF"/>
            <w:noWrap/>
          </w:tcPr>
          <w:p w14:paraId="5682C60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The increase is attributable to the average staffing level cap for employees being increased during the year from that estimated in the Budget.</w:t>
            </w:r>
          </w:p>
        </w:tc>
      </w:tr>
      <w:tr w:rsidR="00125069" w:rsidRPr="00125069" w14:paraId="39F14C95" w14:textId="77777777" w:rsidTr="00084A73">
        <w:trPr>
          <w:cantSplit/>
          <w:trHeight w:val="255"/>
        </w:trPr>
        <w:tc>
          <w:tcPr>
            <w:tcW w:w="2694" w:type="dxa"/>
            <w:shd w:val="clear" w:color="FFFFFF" w:fill="FFFFFF"/>
            <w:noWrap/>
          </w:tcPr>
          <w:p w14:paraId="2374CE90"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Expenses</w:t>
            </w:r>
          </w:p>
          <w:p w14:paraId="53253504" w14:textId="77777777" w:rsidR="00125069" w:rsidRPr="00125069" w:rsidRDefault="00125069" w:rsidP="00125069">
            <w:pPr>
              <w:spacing w:before="0" w:after="80"/>
              <w:ind w:left="0"/>
              <w:rPr>
                <w:rFonts w:eastAsia="Times New Roman" w:cs="Times New Roman"/>
                <w:bCs/>
                <w:i/>
                <w:sz w:val="18"/>
                <w:szCs w:val="20"/>
                <w:lang w:eastAsia="en-AU"/>
              </w:rPr>
            </w:pPr>
            <w:r w:rsidRPr="00125069">
              <w:rPr>
                <w:rFonts w:eastAsia="Times New Roman" w:cs="Times New Roman"/>
                <w:bCs/>
                <w:i/>
                <w:sz w:val="18"/>
                <w:szCs w:val="20"/>
                <w:lang w:eastAsia="en-AU"/>
              </w:rPr>
              <w:t>Depreciation and amortisation</w:t>
            </w:r>
          </w:p>
        </w:tc>
        <w:tc>
          <w:tcPr>
            <w:tcW w:w="7376" w:type="dxa"/>
            <w:shd w:val="clear" w:color="FFFFFF" w:fill="FFFFFF"/>
            <w:noWrap/>
          </w:tcPr>
          <w:p w14:paraId="556FB7F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The revised standard AASB 16 </w:t>
            </w:r>
            <w:r w:rsidRPr="00125069">
              <w:rPr>
                <w:rFonts w:eastAsia="Times New Roman" w:cs="Times New Roman"/>
                <w:i/>
                <w:sz w:val="18"/>
                <w:szCs w:val="20"/>
                <w:lang w:eastAsia="en-AU"/>
              </w:rPr>
              <w:t>Leases</w:t>
            </w:r>
            <w:r w:rsidRPr="00125069">
              <w:rPr>
                <w:rFonts w:eastAsia="Times New Roman" w:cs="Times New Roman"/>
                <w:sz w:val="18"/>
                <w:szCs w:val="20"/>
                <w:lang w:eastAsia="en-AU"/>
              </w:rPr>
              <w:t xml:space="preserve"> requires lessees to recognise a right of use asset/(s) and associated liabilities for all leases unless the lease term is 12 months or less, or the underlying asset has a low value. Therefore, the implementation of AASB 16 </w:t>
            </w:r>
            <w:r w:rsidRPr="00125069">
              <w:rPr>
                <w:rFonts w:eastAsia="Times New Roman" w:cs="Times New Roman"/>
                <w:i/>
                <w:sz w:val="18"/>
                <w:szCs w:val="20"/>
                <w:lang w:eastAsia="en-AU"/>
              </w:rPr>
              <w:t>Leases</w:t>
            </w:r>
            <w:r w:rsidRPr="00125069">
              <w:rPr>
                <w:rFonts w:eastAsia="Times New Roman" w:cs="Times New Roman"/>
                <w:sz w:val="18"/>
                <w:szCs w:val="20"/>
                <w:lang w:eastAsia="en-AU"/>
              </w:rPr>
              <w:t xml:space="preserve"> resulted in operating lease expenses being replaced by depreciation on the right-of-use asset. This has resulted in related depreciation expenses being higher than projected in the Budget.</w:t>
            </w:r>
          </w:p>
        </w:tc>
      </w:tr>
      <w:tr w:rsidR="00125069" w:rsidRPr="00125069" w14:paraId="6FBCA0B9" w14:textId="77777777" w:rsidTr="00084A73">
        <w:trPr>
          <w:cantSplit/>
          <w:trHeight w:val="255"/>
        </w:trPr>
        <w:tc>
          <w:tcPr>
            <w:tcW w:w="2694" w:type="dxa"/>
            <w:shd w:val="clear" w:color="FFFFFF" w:fill="FFFFFF"/>
            <w:noWrap/>
          </w:tcPr>
          <w:p w14:paraId="7913BF66"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Expenses</w:t>
            </w:r>
          </w:p>
          <w:p w14:paraId="05A2B301" w14:textId="77777777" w:rsidR="00125069" w:rsidRPr="00125069" w:rsidRDefault="00125069" w:rsidP="00125069">
            <w:pPr>
              <w:spacing w:before="0" w:after="80"/>
              <w:ind w:left="0"/>
              <w:rPr>
                <w:rFonts w:eastAsia="Times New Roman" w:cs="Times New Roman"/>
                <w:bCs/>
                <w:i/>
                <w:sz w:val="18"/>
                <w:szCs w:val="20"/>
                <w:lang w:eastAsia="en-AU"/>
              </w:rPr>
            </w:pPr>
            <w:r w:rsidRPr="00125069">
              <w:rPr>
                <w:rFonts w:eastAsia="Times New Roman" w:cs="Times New Roman"/>
                <w:bCs/>
                <w:i/>
                <w:sz w:val="18"/>
                <w:szCs w:val="20"/>
                <w:lang w:eastAsia="en-AU"/>
              </w:rPr>
              <w:t>Write-down and impairment of other assets</w:t>
            </w:r>
          </w:p>
        </w:tc>
        <w:tc>
          <w:tcPr>
            <w:tcW w:w="7376" w:type="dxa"/>
            <w:shd w:val="clear" w:color="FFFFFF" w:fill="FFFFFF"/>
            <w:noWrap/>
          </w:tcPr>
          <w:p w14:paraId="4DB9E61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Write-downs and impairment of other assets were not contemplated in the Budget.  The balance represents impairment of unanticipated pandemic plan receivables and an increase in the impairment of provider and participant receivables.</w:t>
            </w:r>
          </w:p>
        </w:tc>
      </w:tr>
      <w:tr w:rsidR="00125069" w:rsidRPr="00125069" w14:paraId="76EDB563" w14:textId="77777777" w:rsidTr="00084A73">
        <w:trPr>
          <w:cantSplit/>
          <w:trHeight w:val="255"/>
        </w:trPr>
        <w:tc>
          <w:tcPr>
            <w:tcW w:w="2694" w:type="dxa"/>
            <w:shd w:val="clear" w:color="FFFFFF" w:fill="FFFFFF"/>
            <w:noWrap/>
          </w:tcPr>
          <w:p w14:paraId="326EC508"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Own-source revenue</w:t>
            </w:r>
          </w:p>
          <w:p w14:paraId="5E898611"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i/>
                <w:sz w:val="18"/>
                <w:szCs w:val="20"/>
                <w:lang w:eastAsia="en-AU"/>
              </w:rPr>
              <w:t>Interest, Other revenue</w:t>
            </w:r>
          </w:p>
        </w:tc>
        <w:tc>
          <w:tcPr>
            <w:tcW w:w="7376" w:type="dxa"/>
            <w:shd w:val="clear" w:color="FFFFFF" w:fill="FFFFFF"/>
            <w:noWrap/>
          </w:tcPr>
          <w:p w14:paraId="5CE922E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The Budget combines Interest revenue and other revenue within the other revenue line. Interest is derived from the Agency investing cash in short-term deposits. The variance to Budget is due to a significant amount of surplus cash which was held and invested during the year. Other revenue is primarily compensation recoveries made by the Agency during the year that were not specifically budgeted for by the Agency during the annual Budget process.</w:t>
            </w:r>
          </w:p>
        </w:tc>
      </w:tr>
      <w:tr w:rsidR="00125069" w:rsidRPr="00125069" w14:paraId="720C6F3D" w14:textId="77777777" w:rsidTr="00084A73">
        <w:trPr>
          <w:cantSplit/>
          <w:trHeight w:val="255"/>
        </w:trPr>
        <w:tc>
          <w:tcPr>
            <w:tcW w:w="2694" w:type="dxa"/>
            <w:shd w:val="clear" w:color="FFFFFF" w:fill="FFFFFF"/>
            <w:noWrap/>
          </w:tcPr>
          <w:p w14:paraId="18548842"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Own-source revenue</w:t>
            </w:r>
          </w:p>
          <w:p w14:paraId="7DFC1806"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i/>
                <w:sz w:val="18"/>
                <w:szCs w:val="20"/>
                <w:lang w:eastAsia="en-AU"/>
              </w:rPr>
              <w:t>Rental income</w:t>
            </w:r>
          </w:p>
        </w:tc>
        <w:tc>
          <w:tcPr>
            <w:tcW w:w="7376" w:type="dxa"/>
            <w:shd w:val="clear" w:color="FFFFFF" w:fill="FFFFFF"/>
            <w:noWrap/>
          </w:tcPr>
          <w:p w14:paraId="4B32AC6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The Budget did not forecast any rental income. This is attributable mainly to properties that the Agency had sublet to Services Australia, for the months of April, May and June 2020, at a commercial rate to support the whole-of-government response to the COVID-19 pandemic crisis.</w:t>
            </w:r>
          </w:p>
        </w:tc>
      </w:tr>
      <w:tr w:rsidR="00125069" w:rsidRPr="00125069" w14:paraId="04EBA2FF" w14:textId="77777777" w:rsidTr="00084A73">
        <w:trPr>
          <w:cantSplit/>
          <w:trHeight w:val="255"/>
        </w:trPr>
        <w:tc>
          <w:tcPr>
            <w:tcW w:w="2694" w:type="dxa"/>
            <w:shd w:val="clear" w:color="FFFFFF" w:fill="FFFFFF"/>
            <w:noWrap/>
          </w:tcPr>
          <w:p w14:paraId="62145B1D" w14:textId="77777777" w:rsidR="00125069" w:rsidRPr="00125069" w:rsidRDefault="00125069" w:rsidP="00125069">
            <w:pPr>
              <w:spacing w:before="0" w:after="80"/>
              <w:ind w:left="0"/>
              <w:rPr>
                <w:rFonts w:eastAsia="Times New Roman" w:cs="Times New Roman"/>
                <w:bCs/>
                <w:sz w:val="18"/>
                <w:szCs w:val="20"/>
                <w:lang w:eastAsia="en-AU"/>
              </w:rPr>
            </w:pPr>
            <w:r w:rsidRPr="00125069">
              <w:rPr>
                <w:rFonts w:eastAsia="Times New Roman" w:cs="Times New Roman"/>
                <w:bCs/>
                <w:sz w:val="18"/>
                <w:szCs w:val="20"/>
                <w:lang w:eastAsia="en-AU"/>
              </w:rPr>
              <w:t xml:space="preserve">Gains </w:t>
            </w:r>
          </w:p>
          <w:p w14:paraId="41F84D5D" w14:textId="77777777" w:rsidR="00125069" w:rsidRPr="00125069" w:rsidRDefault="00125069" w:rsidP="00125069">
            <w:pPr>
              <w:spacing w:before="0" w:after="80"/>
              <w:ind w:left="0"/>
              <w:rPr>
                <w:rFonts w:eastAsia="Times New Roman" w:cs="Times New Roman"/>
                <w:bCs/>
                <w:i/>
                <w:sz w:val="18"/>
                <w:szCs w:val="20"/>
                <w:lang w:eastAsia="en-AU"/>
              </w:rPr>
            </w:pPr>
            <w:r w:rsidRPr="00125069">
              <w:rPr>
                <w:rFonts w:eastAsia="Times New Roman" w:cs="Times New Roman"/>
                <w:bCs/>
                <w:i/>
                <w:sz w:val="18"/>
                <w:szCs w:val="20"/>
                <w:lang w:eastAsia="en-AU"/>
              </w:rPr>
              <w:t>Other gains</w:t>
            </w:r>
          </w:p>
          <w:p w14:paraId="6DBCBCDA" w14:textId="77777777" w:rsidR="00125069" w:rsidRPr="00125069" w:rsidRDefault="00125069" w:rsidP="00125069">
            <w:pPr>
              <w:spacing w:before="0" w:after="80"/>
              <w:ind w:left="0"/>
              <w:rPr>
                <w:rFonts w:eastAsia="Times New Roman" w:cs="Times New Roman"/>
                <w:bCs/>
                <w:sz w:val="18"/>
                <w:szCs w:val="20"/>
                <w:lang w:eastAsia="en-AU"/>
              </w:rPr>
            </w:pPr>
          </w:p>
        </w:tc>
        <w:tc>
          <w:tcPr>
            <w:tcW w:w="7376" w:type="dxa"/>
            <w:shd w:val="clear" w:color="FFFFFF" w:fill="FFFFFF"/>
            <w:noWrap/>
          </w:tcPr>
          <w:p w14:paraId="7CA5EFC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Other gains primarily reflect in-kind contributions made to the Scheme by Commonwealth, state and territory governments. In-kind contributions are lower than Budget due to the actual in-kind services utilisation being below the targeted amounts agreed in the Bilateral Agreements.</w:t>
            </w:r>
          </w:p>
        </w:tc>
      </w:tr>
    </w:tbl>
    <w:p w14:paraId="6471C20B" w14:textId="77777777" w:rsidR="00125069" w:rsidRDefault="00125069" w:rsidP="00125069">
      <w:pPr>
        <w:spacing w:before="0" w:after="80"/>
        <w:ind w:left="0"/>
        <w:rPr>
          <w:rFonts w:eastAsia="Times New Roman" w:cs="Times New Roman"/>
          <w:sz w:val="18"/>
          <w:szCs w:val="20"/>
          <w:lang w:eastAsia="en-AU"/>
        </w:rPr>
        <w:sectPr w:rsidR="00125069" w:rsidSect="00125069">
          <w:pgSz w:w="11906" w:h="16838"/>
          <w:pgMar w:top="1021" w:right="907" w:bottom="1440" w:left="964" w:header="708" w:footer="708" w:gutter="0"/>
          <w:cols w:space="708"/>
          <w:titlePg/>
          <w:docGrid w:linePitch="360"/>
        </w:sectPr>
      </w:pPr>
    </w:p>
    <w:tbl>
      <w:tblPr>
        <w:tblW w:w="10025" w:type="dxa"/>
        <w:tblLayout w:type="fixed"/>
        <w:tblCellMar>
          <w:left w:w="57" w:type="dxa"/>
          <w:right w:w="57" w:type="dxa"/>
        </w:tblCellMar>
        <w:tblLook w:val="04A0" w:firstRow="1" w:lastRow="0" w:firstColumn="1" w:lastColumn="0" w:noHBand="0" w:noVBand="1"/>
      </w:tblPr>
      <w:tblGrid>
        <w:gridCol w:w="5245"/>
        <w:gridCol w:w="1077"/>
        <w:gridCol w:w="1104"/>
        <w:gridCol w:w="236"/>
        <w:gridCol w:w="1064"/>
        <w:gridCol w:w="236"/>
        <w:gridCol w:w="1063"/>
      </w:tblGrid>
      <w:tr w:rsidR="00125069" w:rsidRPr="00125069" w14:paraId="6FFB135A" w14:textId="77777777" w:rsidTr="00084A73">
        <w:trPr>
          <w:trHeight w:val="465"/>
        </w:trPr>
        <w:tc>
          <w:tcPr>
            <w:tcW w:w="5245" w:type="dxa"/>
            <w:tcBorders>
              <w:top w:val="single" w:sz="8" w:space="0" w:color="800080"/>
              <w:left w:val="nil"/>
              <w:bottom w:val="nil"/>
              <w:right w:val="nil"/>
            </w:tcBorders>
            <w:shd w:val="clear" w:color="FFFFFF" w:fill="FFFFFF"/>
            <w:noWrap/>
            <w:vAlign w:val="bottom"/>
            <w:hideMark/>
          </w:tcPr>
          <w:p w14:paraId="147E5F3B" w14:textId="77777777" w:rsidR="00125069" w:rsidRPr="00125069" w:rsidRDefault="00125069" w:rsidP="00125069">
            <w:pPr>
              <w:spacing w:before="0" w:after="80"/>
              <w:ind w:left="0"/>
              <w:rPr>
                <w:rFonts w:eastAsia="Times New Roman" w:cs="Times New Roman"/>
                <w:sz w:val="18"/>
                <w:szCs w:val="20"/>
                <w:lang w:eastAsia="en-AU"/>
              </w:rPr>
            </w:pPr>
            <w:bookmarkStart w:id="18" w:name="Note_DBSTABLE1" w:colFirst="0" w:colLast="0"/>
            <w:r w:rsidRPr="00125069">
              <w:rPr>
                <w:rFonts w:eastAsia="Times New Roman" w:cs="Times New Roman"/>
                <w:sz w:val="18"/>
                <w:szCs w:val="20"/>
                <w:lang w:eastAsia="en-AU"/>
              </w:rPr>
              <w:lastRenderedPageBreak/>
              <w:t> </w:t>
            </w:r>
          </w:p>
        </w:tc>
        <w:tc>
          <w:tcPr>
            <w:tcW w:w="1077" w:type="dxa"/>
            <w:tcBorders>
              <w:top w:val="single" w:sz="8" w:space="0" w:color="800080"/>
              <w:left w:val="nil"/>
              <w:bottom w:val="nil"/>
              <w:right w:val="nil"/>
            </w:tcBorders>
            <w:shd w:val="clear" w:color="FFFFFF" w:fill="FFFFFF"/>
            <w:noWrap/>
            <w:vAlign w:val="bottom"/>
            <w:hideMark/>
          </w:tcPr>
          <w:p w14:paraId="4F181D1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8" w:space="0" w:color="800080"/>
              <w:left w:val="nil"/>
              <w:bottom w:val="nil"/>
              <w:right w:val="nil"/>
            </w:tcBorders>
            <w:shd w:val="clear" w:color="FFFFFF" w:fill="FFFFFF"/>
            <w:noWrap/>
            <w:vAlign w:val="bottom"/>
            <w:hideMark/>
          </w:tcPr>
          <w:p w14:paraId="6B21FB10"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single" w:sz="8" w:space="0" w:color="800080"/>
              <w:left w:val="nil"/>
              <w:bottom w:val="nil"/>
              <w:right w:val="nil"/>
            </w:tcBorders>
            <w:shd w:val="clear" w:color="FFFFFF" w:fill="FFFFFF"/>
            <w:noWrap/>
            <w:vAlign w:val="bottom"/>
            <w:hideMark/>
          </w:tcPr>
          <w:p w14:paraId="11A9759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8" w:space="0" w:color="800080"/>
              <w:left w:val="nil"/>
              <w:bottom w:val="nil"/>
              <w:right w:val="nil"/>
            </w:tcBorders>
            <w:shd w:val="clear" w:color="FFFFFF" w:fill="FFFFFF"/>
            <w:noWrap/>
            <w:vAlign w:val="bottom"/>
            <w:hideMark/>
          </w:tcPr>
          <w:p w14:paraId="2D12225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single" w:sz="8" w:space="0" w:color="800080"/>
              <w:left w:val="nil"/>
              <w:bottom w:val="nil"/>
              <w:right w:val="nil"/>
            </w:tcBorders>
            <w:shd w:val="clear" w:color="FFFFFF" w:fill="FFFFFF"/>
            <w:noWrap/>
            <w:vAlign w:val="bottom"/>
            <w:hideMark/>
          </w:tcPr>
          <w:p w14:paraId="2BBB30D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8" w:space="0" w:color="800080"/>
              <w:left w:val="nil"/>
              <w:bottom w:val="nil"/>
              <w:right w:val="nil"/>
            </w:tcBorders>
            <w:shd w:val="clear" w:color="FFFFFF" w:fill="FFFFFF"/>
            <w:vAlign w:val="bottom"/>
            <w:hideMark/>
          </w:tcPr>
          <w:p w14:paraId="474CFFB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Original</w:t>
            </w:r>
            <w:r w:rsidRPr="00125069">
              <w:rPr>
                <w:rFonts w:eastAsia="Times New Roman" w:cs="Times New Roman"/>
                <w:sz w:val="18"/>
                <w:szCs w:val="20"/>
                <w:lang w:eastAsia="en-AU"/>
              </w:rPr>
              <w:br/>
              <w:t>Budget</w:t>
            </w:r>
            <w:r w:rsidRPr="00125069">
              <w:rPr>
                <w:rFonts w:eastAsia="Times New Roman" w:cs="Times New Roman"/>
                <w:sz w:val="18"/>
                <w:szCs w:val="20"/>
                <w:vertAlign w:val="superscript"/>
                <w:lang w:eastAsia="en-AU"/>
              </w:rPr>
              <w:t>1</w:t>
            </w:r>
          </w:p>
        </w:tc>
      </w:tr>
      <w:bookmarkEnd w:id="18"/>
      <w:tr w:rsidR="00125069" w:rsidRPr="00125069" w14:paraId="6B71BFD2" w14:textId="77777777" w:rsidTr="00084A73">
        <w:trPr>
          <w:trHeight w:val="263"/>
        </w:trPr>
        <w:tc>
          <w:tcPr>
            <w:tcW w:w="5245" w:type="dxa"/>
            <w:tcBorders>
              <w:top w:val="nil"/>
              <w:left w:val="nil"/>
              <w:bottom w:val="nil"/>
              <w:right w:val="nil"/>
            </w:tcBorders>
            <w:shd w:val="clear" w:color="FFFFFF" w:fill="FFFFFF"/>
            <w:noWrap/>
            <w:vAlign w:val="bottom"/>
            <w:hideMark/>
          </w:tcPr>
          <w:p w14:paraId="0E2257E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569354F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6D307BD2"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2020</w:t>
            </w:r>
          </w:p>
        </w:tc>
        <w:tc>
          <w:tcPr>
            <w:tcW w:w="236" w:type="dxa"/>
            <w:tcBorders>
              <w:top w:val="nil"/>
              <w:left w:val="nil"/>
              <w:bottom w:val="nil"/>
              <w:right w:val="nil"/>
            </w:tcBorders>
            <w:shd w:val="clear" w:color="FFFFFF" w:fill="FFFFFF"/>
            <w:noWrap/>
            <w:vAlign w:val="bottom"/>
            <w:hideMark/>
          </w:tcPr>
          <w:p w14:paraId="780B288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5F1F1CB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2019</w:t>
            </w:r>
          </w:p>
        </w:tc>
        <w:tc>
          <w:tcPr>
            <w:tcW w:w="236" w:type="dxa"/>
            <w:tcBorders>
              <w:top w:val="nil"/>
              <w:left w:val="nil"/>
              <w:bottom w:val="nil"/>
              <w:right w:val="nil"/>
            </w:tcBorders>
            <w:shd w:val="clear" w:color="FFFFFF" w:fill="FFFFFF"/>
            <w:noWrap/>
            <w:vAlign w:val="bottom"/>
            <w:hideMark/>
          </w:tcPr>
          <w:p w14:paraId="479D3F3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768F1DA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2020</w:t>
            </w:r>
          </w:p>
        </w:tc>
      </w:tr>
      <w:tr w:rsidR="00125069" w:rsidRPr="00125069" w14:paraId="13060219" w14:textId="77777777" w:rsidTr="00084A73">
        <w:trPr>
          <w:trHeight w:val="270"/>
        </w:trPr>
        <w:tc>
          <w:tcPr>
            <w:tcW w:w="5245" w:type="dxa"/>
            <w:tcBorders>
              <w:top w:val="nil"/>
              <w:left w:val="nil"/>
              <w:bottom w:val="single" w:sz="8" w:space="0" w:color="800080"/>
              <w:right w:val="nil"/>
            </w:tcBorders>
            <w:shd w:val="clear" w:color="FFFFFF" w:fill="FFFFFF"/>
            <w:noWrap/>
            <w:vAlign w:val="bottom"/>
            <w:hideMark/>
          </w:tcPr>
          <w:p w14:paraId="05D8DCF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single" w:sz="8" w:space="0" w:color="800080"/>
              <w:right w:val="nil"/>
            </w:tcBorders>
            <w:shd w:val="clear" w:color="FFFFFF" w:fill="FFFFFF"/>
            <w:noWrap/>
            <w:vAlign w:val="bottom"/>
            <w:hideMark/>
          </w:tcPr>
          <w:p w14:paraId="6BA2BFEE"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Notes</w:t>
            </w:r>
          </w:p>
        </w:tc>
        <w:tc>
          <w:tcPr>
            <w:tcW w:w="1104" w:type="dxa"/>
            <w:tcBorders>
              <w:top w:val="nil"/>
              <w:left w:val="nil"/>
              <w:bottom w:val="single" w:sz="8" w:space="0" w:color="800080"/>
              <w:right w:val="nil"/>
            </w:tcBorders>
            <w:shd w:val="clear" w:color="FFFFFF" w:fill="FFFFFF"/>
            <w:noWrap/>
            <w:vAlign w:val="bottom"/>
            <w:hideMark/>
          </w:tcPr>
          <w:p w14:paraId="5DAA0E7C"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$'000</w:t>
            </w:r>
          </w:p>
        </w:tc>
        <w:tc>
          <w:tcPr>
            <w:tcW w:w="236" w:type="dxa"/>
            <w:tcBorders>
              <w:top w:val="nil"/>
              <w:left w:val="nil"/>
              <w:bottom w:val="single" w:sz="8" w:space="0" w:color="800080"/>
              <w:right w:val="nil"/>
            </w:tcBorders>
            <w:shd w:val="clear" w:color="FFFFFF" w:fill="FFFFFF"/>
            <w:noWrap/>
            <w:vAlign w:val="bottom"/>
            <w:hideMark/>
          </w:tcPr>
          <w:p w14:paraId="5FFAA32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single" w:sz="8" w:space="0" w:color="800080"/>
              <w:right w:val="nil"/>
            </w:tcBorders>
            <w:shd w:val="clear" w:color="FFFFFF" w:fill="FFFFFF"/>
            <w:noWrap/>
            <w:vAlign w:val="bottom"/>
            <w:hideMark/>
          </w:tcPr>
          <w:p w14:paraId="2D5215E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$'000</w:t>
            </w:r>
          </w:p>
        </w:tc>
        <w:tc>
          <w:tcPr>
            <w:tcW w:w="236" w:type="dxa"/>
            <w:tcBorders>
              <w:top w:val="nil"/>
              <w:left w:val="nil"/>
              <w:bottom w:val="single" w:sz="8" w:space="0" w:color="800080"/>
              <w:right w:val="nil"/>
            </w:tcBorders>
            <w:shd w:val="clear" w:color="FFFFFF" w:fill="FFFFFF"/>
            <w:noWrap/>
            <w:vAlign w:val="bottom"/>
            <w:hideMark/>
          </w:tcPr>
          <w:p w14:paraId="411E95E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single" w:sz="8" w:space="0" w:color="800080"/>
              <w:right w:val="nil"/>
            </w:tcBorders>
            <w:shd w:val="clear" w:color="FFFFFF" w:fill="FFFFFF"/>
            <w:noWrap/>
            <w:vAlign w:val="bottom"/>
            <w:hideMark/>
          </w:tcPr>
          <w:p w14:paraId="4D6ABDF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$'000</w:t>
            </w:r>
          </w:p>
        </w:tc>
      </w:tr>
      <w:tr w:rsidR="00125069" w:rsidRPr="00125069" w14:paraId="1BDF8BB0" w14:textId="77777777" w:rsidTr="00084A73">
        <w:trPr>
          <w:trHeight w:val="255"/>
        </w:trPr>
        <w:tc>
          <w:tcPr>
            <w:tcW w:w="5245" w:type="dxa"/>
            <w:tcBorders>
              <w:top w:val="nil"/>
              <w:left w:val="nil"/>
              <w:bottom w:val="nil"/>
              <w:right w:val="nil"/>
            </w:tcBorders>
            <w:shd w:val="clear" w:color="FFFFFF" w:fill="FFFFFF"/>
            <w:vAlign w:val="bottom"/>
            <w:hideMark/>
          </w:tcPr>
          <w:p w14:paraId="688B455B"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ASSETS</w:t>
            </w:r>
          </w:p>
        </w:tc>
        <w:tc>
          <w:tcPr>
            <w:tcW w:w="1077" w:type="dxa"/>
            <w:tcBorders>
              <w:top w:val="nil"/>
              <w:left w:val="nil"/>
              <w:bottom w:val="nil"/>
              <w:right w:val="nil"/>
            </w:tcBorders>
            <w:shd w:val="clear" w:color="FFFFFF" w:fill="FFFFFF"/>
            <w:noWrap/>
            <w:vAlign w:val="bottom"/>
            <w:hideMark/>
          </w:tcPr>
          <w:p w14:paraId="41F0B0D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49BC05F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4D3D858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C37AF9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0F57BB6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33BE055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7A351E19" w14:textId="77777777" w:rsidTr="00084A73">
        <w:trPr>
          <w:trHeight w:val="255"/>
        </w:trPr>
        <w:tc>
          <w:tcPr>
            <w:tcW w:w="5245" w:type="dxa"/>
            <w:tcBorders>
              <w:top w:val="nil"/>
              <w:left w:val="nil"/>
              <w:bottom w:val="nil"/>
              <w:right w:val="nil"/>
            </w:tcBorders>
            <w:shd w:val="clear" w:color="FFFFFF" w:fill="FFFFFF"/>
            <w:vAlign w:val="bottom"/>
            <w:hideMark/>
          </w:tcPr>
          <w:p w14:paraId="69FE9170"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Financial assets</w:t>
            </w:r>
          </w:p>
        </w:tc>
        <w:tc>
          <w:tcPr>
            <w:tcW w:w="1077" w:type="dxa"/>
            <w:tcBorders>
              <w:top w:val="nil"/>
              <w:left w:val="nil"/>
              <w:bottom w:val="nil"/>
              <w:right w:val="nil"/>
            </w:tcBorders>
            <w:shd w:val="clear" w:color="FFFFFF" w:fill="FFFFFF"/>
            <w:noWrap/>
            <w:vAlign w:val="bottom"/>
            <w:hideMark/>
          </w:tcPr>
          <w:p w14:paraId="661E5FD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3650638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4506D50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32278D7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3269F35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25A9B29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70580CFC" w14:textId="77777777" w:rsidTr="00084A73">
        <w:trPr>
          <w:trHeight w:val="255"/>
        </w:trPr>
        <w:tc>
          <w:tcPr>
            <w:tcW w:w="5245" w:type="dxa"/>
            <w:tcBorders>
              <w:top w:val="nil"/>
              <w:left w:val="nil"/>
              <w:bottom w:val="nil"/>
              <w:right w:val="nil"/>
            </w:tcBorders>
            <w:shd w:val="clear" w:color="FFFFFF" w:fill="FFFFFF"/>
            <w:vAlign w:val="bottom"/>
            <w:hideMark/>
          </w:tcPr>
          <w:p w14:paraId="62D09DB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Cash and cash equivalents</w:t>
            </w:r>
          </w:p>
        </w:tc>
        <w:tc>
          <w:tcPr>
            <w:tcW w:w="1077" w:type="dxa"/>
            <w:tcBorders>
              <w:top w:val="nil"/>
              <w:left w:val="nil"/>
              <w:bottom w:val="nil"/>
              <w:right w:val="nil"/>
            </w:tcBorders>
            <w:shd w:val="clear" w:color="FFFFFF" w:fill="FFFFFF"/>
            <w:noWrap/>
            <w:vAlign w:val="bottom"/>
            <w:hideMark/>
          </w:tcPr>
          <w:p w14:paraId="783F606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2.1A</w:t>
            </w:r>
          </w:p>
        </w:tc>
        <w:tc>
          <w:tcPr>
            <w:tcW w:w="1104" w:type="dxa"/>
            <w:tcBorders>
              <w:top w:val="nil"/>
              <w:left w:val="nil"/>
              <w:bottom w:val="nil"/>
              <w:right w:val="nil"/>
            </w:tcBorders>
            <w:shd w:val="clear" w:color="FFFFFF" w:fill="FFFFFF"/>
            <w:noWrap/>
            <w:vAlign w:val="bottom"/>
            <w:hideMark/>
          </w:tcPr>
          <w:p w14:paraId="326230FA"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2,497,240</w:t>
            </w:r>
          </w:p>
        </w:tc>
        <w:tc>
          <w:tcPr>
            <w:tcW w:w="236" w:type="dxa"/>
            <w:tcBorders>
              <w:top w:val="nil"/>
              <w:left w:val="nil"/>
              <w:bottom w:val="nil"/>
              <w:right w:val="nil"/>
            </w:tcBorders>
            <w:shd w:val="clear" w:color="FFFFFF" w:fill="FFFFFF"/>
            <w:noWrap/>
            <w:vAlign w:val="bottom"/>
            <w:hideMark/>
          </w:tcPr>
          <w:p w14:paraId="7BFDAD7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DF5062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3,859,860</w:t>
            </w:r>
          </w:p>
        </w:tc>
        <w:tc>
          <w:tcPr>
            <w:tcW w:w="236" w:type="dxa"/>
            <w:tcBorders>
              <w:top w:val="nil"/>
              <w:left w:val="nil"/>
              <w:bottom w:val="nil"/>
              <w:right w:val="nil"/>
            </w:tcBorders>
            <w:shd w:val="clear" w:color="FFFFFF" w:fill="FFFFFF"/>
            <w:noWrap/>
            <w:vAlign w:val="bottom"/>
            <w:hideMark/>
          </w:tcPr>
          <w:p w14:paraId="4BFAB2B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6BA692B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2,353,966</w:t>
            </w:r>
          </w:p>
        </w:tc>
      </w:tr>
      <w:tr w:rsidR="00125069" w:rsidRPr="00125069" w14:paraId="39CBB8AC" w14:textId="77777777" w:rsidTr="00084A73">
        <w:trPr>
          <w:trHeight w:val="255"/>
        </w:trPr>
        <w:tc>
          <w:tcPr>
            <w:tcW w:w="5245" w:type="dxa"/>
            <w:tcBorders>
              <w:top w:val="nil"/>
              <w:left w:val="nil"/>
              <w:bottom w:val="nil"/>
              <w:right w:val="nil"/>
            </w:tcBorders>
            <w:shd w:val="clear" w:color="FFFFFF" w:fill="FFFFFF"/>
            <w:vAlign w:val="bottom"/>
            <w:hideMark/>
          </w:tcPr>
          <w:p w14:paraId="7CF725E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Trade and other receivables</w:t>
            </w:r>
          </w:p>
        </w:tc>
        <w:tc>
          <w:tcPr>
            <w:tcW w:w="1077" w:type="dxa"/>
            <w:tcBorders>
              <w:top w:val="nil"/>
              <w:left w:val="nil"/>
              <w:bottom w:val="nil"/>
              <w:right w:val="nil"/>
            </w:tcBorders>
            <w:shd w:val="clear" w:color="FFFFFF" w:fill="FFFFFF"/>
            <w:noWrap/>
            <w:vAlign w:val="bottom"/>
            <w:hideMark/>
          </w:tcPr>
          <w:p w14:paraId="30758FE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2.1B</w:t>
            </w:r>
          </w:p>
        </w:tc>
        <w:tc>
          <w:tcPr>
            <w:tcW w:w="1104" w:type="dxa"/>
            <w:tcBorders>
              <w:top w:val="nil"/>
              <w:left w:val="nil"/>
              <w:bottom w:val="nil"/>
              <w:right w:val="nil"/>
            </w:tcBorders>
            <w:shd w:val="clear" w:color="FFFFFF" w:fill="FFFFFF"/>
            <w:noWrap/>
            <w:vAlign w:val="bottom"/>
            <w:hideMark/>
          </w:tcPr>
          <w:p w14:paraId="291E059B"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1,009,117</w:t>
            </w:r>
          </w:p>
        </w:tc>
        <w:tc>
          <w:tcPr>
            <w:tcW w:w="236" w:type="dxa"/>
            <w:tcBorders>
              <w:top w:val="nil"/>
              <w:left w:val="nil"/>
              <w:bottom w:val="nil"/>
              <w:right w:val="nil"/>
            </w:tcBorders>
            <w:shd w:val="clear" w:color="FFFFFF" w:fill="FFFFFF"/>
            <w:noWrap/>
            <w:vAlign w:val="bottom"/>
            <w:hideMark/>
          </w:tcPr>
          <w:p w14:paraId="7FC9D4B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7CF330C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592,887</w:t>
            </w:r>
          </w:p>
        </w:tc>
        <w:tc>
          <w:tcPr>
            <w:tcW w:w="236" w:type="dxa"/>
            <w:tcBorders>
              <w:top w:val="nil"/>
              <w:left w:val="nil"/>
              <w:bottom w:val="nil"/>
              <w:right w:val="nil"/>
            </w:tcBorders>
            <w:shd w:val="clear" w:color="FFFFFF" w:fill="FFFFFF"/>
            <w:noWrap/>
            <w:vAlign w:val="bottom"/>
            <w:hideMark/>
          </w:tcPr>
          <w:p w14:paraId="18A3EFB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6430A8E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241,905</w:t>
            </w:r>
          </w:p>
        </w:tc>
      </w:tr>
      <w:tr w:rsidR="00125069" w:rsidRPr="00125069" w14:paraId="5FB7C0AD" w14:textId="77777777" w:rsidTr="00084A73">
        <w:trPr>
          <w:trHeight w:val="233"/>
        </w:trPr>
        <w:tc>
          <w:tcPr>
            <w:tcW w:w="5245" w:type="dxa"/>
            <w:tcBorders>
              <w:top w:val="nil"/>
              <w:left w:val="nil"/>
              <w:bottom w:val="nil"/>
              <w:right w:val="nil"/>
            </w:tcBorders>
            <w:shd w:val="clear" w:color="FFFFFF" w:fill="FFFFFF"/>
            <w:vAlign w:val="bottom"/>
            <w:hideMark/>
          </w:tcPr>
          <w:p w14:paraId="57787EC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Other financial assets</w:t>
            </w:r>
          </w:p>
        </w:tc>
        <w:tc>
          <w:tcPr>
            <w:tcW w:w="1077" w:type="dxa"/>
            <w:tcBorders>
              <w:top w:val="nil"/>
              <w:left w:val="nil"/>
              <w:bottom w:val="nil"/>
              <w:right w:val="nil"/>
            </w:tcBorders>
            <w:shd w:val="clear" w:color="FFFFFF" w:fill="FFFFFF"/>
            <w:noWrap/>
            <w:vAlign w:val="bottom"/>
            <w:hideMark/>
          </w:tcPr>
          <w:p w14:paraId="44A40EB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2.1C</w:t>
            </w:r>
          </w:p>
        </w:tc>
        <w:tc>
          <w:tcPr>
            <w:tcW w:w="1104" w:type="dxa"/>
            <w:tcBorders>
              <w:top w:val="nil"/>
              <w:left w:val="nil"/>
              <w:bottom w:val="nil"/>
              <w:right w:val="nil"/>
            </w:tcBorders>
            <w:shd w:val="clear" w:color="FFFFFF" w:fill="FFFFFF"/>
            <w:noWrap/>
            <w:vAlign w:val="bottom"/>
            <w:hideMark/>
          </w:tcPr>
          <w:p w14:paraId="64D4DFA3"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140,000</w:t>
            </w:r>
          </w:p>
        </w:tc>
        <w:tc>
          <w:tcPr>
            <w:tcW w:w="236" w:type="dxa"/>
            <w:tcBorders>
              <w:top w:val="nil"/>
              <w:left w:val="nil"/>
              <w:bottom w:val="nil"/>
              <w:right w:val="nil"/>
            </w:tcBorders>
            <w:shd w:val="clear" w:color="FFFFFF" w:fill="FFFFFF"/>
            <w:noWrap/>
            <w:vAlign w:val="bottom"/>
            <w:hideMark/>
          </w:tcPr>
          <w:p w14:paraId="55945EA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3800493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w:t>
            </w:r>
          </w:p>
        </w:tc>
        <w:tc>
          <w:tcPr>
            <w:tcW w:w="236" w:type="dxa"/>
            <w:tcBorders>
              <w:top w:val="nil"/>
              <w:left w:val="nil"/>
              <w:bottom w:val="nil"/>
              <w:right w:val="nil"/>
            </w:tcBorders>
            <w:shd w:val="clear" w:color="FFFFFF" w:fill="FFFFFF"/>
            <w:noWrap/>
            <w:vAlign w:val="bottom"/>
            <w:hideMark/>
          </w:tcPr>
          <w:p w14:paraId="7E04C7C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871C5A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156,276</w:t>
            </w:r>
          </w:p>
        </w:tc>
      </w:tr>
      <w:tr w:rsidR="00125069" w:rsidRPr="00125069" w14:paraId="600DDC9A" w14:textId="77777777" w:rsidTr="00084A73">
        <w:trPr>
          <w:trHeight w:val="255"/>
        </w:trPr>
        <w:tc>
          <w:tcPr>
            <w:tcW w:w="5245" w:type="dxa"/>
            <w:tcBorders>
              <w:top w:val="nil"/>
              <w:left w:val="nil"/>
              <w:bottom w:val="nil"/>
              <w:right w:val="nil"/>
            </w:tcBorders>
            <w:shd w:val="clear" w:color="FFFFFF" w:fill="FFFFFF"/>
            <w:vAlign w:val="bottom"/>
            <w:hideMark/>
          </w:tcPr>
          <w:p w14:paraId="27678B1C"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financial assets</w:t>
            </w:r>
          </w:p>
        </w:tc>
        <w:tc>
          <w:tcPr>
            <w:tcW w:w="1077" w:type="dxa"/>
            <w:tcBorders>
              <w:top w:val="nil"/>
              <w:left w:val="nil"/>
              <w:bottom w:val="nil"/>
              <w:right w:val="nil"/>
            </w:tcBorders>
            <w:shd w:val="clear" w:color="FFFFFF" w:fill="FFFFFF"/>
            <w:noWrap/>
            <w:vAlign w:val="bottom"/>
            <w:hideMark/>
          </w:tcPr>
          <w:p w14:paraId="4A5077F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0C17A49D"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3,646,357</w:t>
            </w:r>
          </w:p>
        </w:tc>
        <w:tc>
          <w:tcPr>
            <w:tcW w:w="236" w:type="dxa"/>
            <w:tcBorders>
              <w:top w:val="nil"/>
              <w:left w:val="nil"/>
              <w:bottom w:val="nil"/>
              <w:right w:val="nil"/>
            </w:tcBorders>
            <w:shd w:val="clear" w:color="FFFFFF" w:fill="FFFFFF"/>
            <w:noWrap/>
            <w:vAlign w:val="bottom"/>
            <w:hideMark/>
          </w:tcPr>
          <w:p w14:paraId="0212D90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281BB72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4,452,747</w:t>
            </w:r>
          </w:p>
        </w:tc>
        <w:tc>
          <w:tcPr>
            <w:tcW w:w="236" w:type="dxa"/>
            <w:tcBorders>
              <w:top w:val="nil"/>
              <w:left w:val="nil"/>
              <w:bottom w:val="nil"/>
              <w:right w:val="nil"/>
            </w:tcBorders>
            <w:shd w:val="clear" w:color="FFFFFF" w:fill="FFFFFF"/>
            <w:noWrap/>
            <w:vAlign w:val="bottom"/>
            <w:hideMark/>
          </w:tcPr>
          <w:p w14:paraId="4A4E516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39968F8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2,752,147</w:t>
            </w:r>
          </w:p>
        </w:tc>
      </w:tr>
      <w:tr w:rsidR="00125069" w:rsidRPr="00125069" w14:paraId="1EADD598" w14:textId="77777777" w:rsidTr="00084A73">
        <w:trPr>
          <w:trHeight w:val="255"/>
        </w:trPr>
        <w:tc>
          <w:tcPr>
            <w:tcW w:w="5245" w:type="dxa"/>
            <w:tcBorders>
              <w:top w:val="nil"/>
              <w:left w:val="nil"/>
              <w:bottom w:val="nil"/>
              <w:right w:val="nil"/>
            </w:tcBorders>
            <w:shd w:val="clear" w:color="FFFFFF" w:fill="FFFFFF"/>
            <w:noWrap/>
            <w:vAlign w:val="bottom"/>
            <w:hideMark/>
          </w:tcPr>
          <w:p w14:paraId="0ED4EB9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195FE6E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0F2A62A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681814C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7EE2349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470963D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4E4741A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0389AC6B" w14:textId="77777777" w:rsidTr="00084A73">
        <w:trPr>
          <w:trHeight w:val="263"/>
        </w:trPr>
        <w:tc>
          <w:tcPr>
            <w:tcW w:w="5245" w:type="dxa"/>
            <w:tcBorders>
              <w:top w:val="nil"/>
              <w:left w:val="nil"/>
              <w:bottom w:val="nil"/>
              <w:right w:val="nil"/>
            </w:tcBorders>
            <w:shd w:val="clear" w:color="FFFFFF" w:fill="FFFFFF"/>
            <w:vAlign w:val="bottom"/>
            <w:hideMark/>
          </w:tcPr>
          <w:p w14:paraId="0DE7F7B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Non-financial assets</w:t>
            </w:r>
            <w:r w:rsidRPr="00125069">
              <w:rPr>
                <w:rFonts w:eastAsia="Times New Roman" w:cs="Times New Roman"/>
                <w:bCs/>
                <w:sz w:val="18"/>
                <w:szCs w:val="20"/>
                <w:vertAlign w:val="superscript"/>
                <w:lang w:eastAsia="en-AU"/>
              </w:rPr>
              <w:t>2</w:t>
            </w:r>
          </w:p>
        </w:tc>
        <w:tc>
          <w:tcPr>
            <w:tcW w:w="1077" w:type="dxa"/>
            <w:tcBorders>
              <w:top w:val="nil"/>
              <w:left w:val="nil"/>
              <w:bottom w:val="nil"/>
              <w:right w:val="nil"/>
            </w:tcBorders>
            <w:shd w:val="clear" w:color="FFFFFF" w:fill="FFFFFF"/>
            <w:noWrap/>
            <w:vAlign w:val="bottom"/>
            <w:hideMark/>
          </w:tcPr>
          <w:p w14:paraId="17171CF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6CBF28B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7C8AC1E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723DED2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4CC08F9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2528A2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318A3C66" w14:textId="77777777" w:rsidTr="00084A73">
        <w:trPr>
          <w:trHeight w:val="255"/>
        </w:trPr>
        <w:tc>
          <w:tcPr>
            <w:tcW w:w="5245" w:type="dxa"/>
            <w:tcBorders>
              <w:top w:val="nil"/>
              <w:left w:val="nil"/>
              <w:bottom w:val="nil"/>
              <w:right w:val="nil"/>
            </w:tcBorders>
            <w:shd w:val="clear" w:color="FFFFFF" w:fill="FFFFFF"/>
            <w:vAlign w:val="bottom"/>
            <w:hideMark/>
          </w:tcPr>
          <w:p w14:paraId="53A8409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Buildings</w:t>
            </w:r>
          </w:p>
        </w:tc>
        <w:tc>
          <w:tcPr>
            <w:tcW w:w="1077" w:type="dxa"/>
            <w:tcBorders>
              <w:top w:val="nil"/>
              <w:left w:val="nil"/>
              <w:bottom w:val="nil"/>
              <w:right w:val="nil"/>
            </w:tcBorders>
            <w:shd w:val="clear" w:color="FFFFFF" w:fill="FFFFFF"/>
            <w:noWrap/>
            <w:vAlign w:val="bottom"/>
            <w:hideMark/>
          </w:tcPr>
          <w:p w14:paraId="78C2B1C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2.2A</w:t>
            </w:r>
          </w:p>
        </w:tc>
        <w:tc>
          <w:tcPr>
            <w:tcW w:w="1104" w:type="dxa"/>
            <w:tcBorders>
              <w:top w:val="nil"/>
              <w:left w:val="nil"/>
              <w:bottom w:val="nil"/>
              <w:right w:val="nil"/>
            </w:tcBorders>
            <w:shd w:val="clear" w:color="FFFFFF" w:fill="FFFFFF"/>
            <w:noWrap/>
            <w:vAlign w:val="bottom"/>
            <w:hideMark/>
          </w:tcPr>
          <w:p w14:paraId="602AFFB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291,701</w:t>
            </w:r>
          </w:p>
        </w:tc>
        <w:tc>
          <w:tcPr>
            <w:tcW w:w="236" w:type="dxa"/>
            <w:tcBorders>
              <w:top w:val="nil"/>
              <w:left w:val="nil"/>
              <w:bottom w:val="nil"/>
              <w:right w:val="nil"/>
            </w:tcBorders>
            <w:shd w:val="clear" w:color="FFFFFF" w:fill="FFFFFF"/>
            <w:noWrap/>
            <w:vAlign w:val="bottom"/>
            <w:hideMark/>
          </w:tcPr>
          <w:p w14:paraId="6CA153B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041588D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96,474</w:t>
            </w:r>
          </w:p>
        </w:tc>
        <w:tc>
          <w:tcPr>
            <w:tcW w:w="236" w:type="dxa"/>
            <w:tcBorders>
              <w:top w:val="nil"/>
              <w:left w:val="nil"/>
              <w:bottom w:val="nil"/>
              <w:right w:val="nil"/>
            </w:tcBorders>
            <w:shd w:val="clear" w:color="FFFFFF" w:fill="FFFFFF"/>
            <w:noWrap/>
            <w:vAlign w:val="bottom"/>
            <w:hideMark/>
          </w:tcPr>
          <w:p w14:paraId="492EA52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D8279E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95,574</w:t>
            </w:r>
          </w:p>
        </w:tc>
      </w:tr>
      <w:tr w:rsidR="00125069" w:rsidRPr="00125069" w14:paraId="75E99BCD" w14:textId="77777777" w:rsidTr="00084A73">
        <w:trPr>
          <w:trHeight w:val="255"/>
        </w:trPr>
        <w:tc>
          <w:tcPr>
            <w:tcW w:w="5245" w:type="dxa"/>
            <w:tcBorders>
              <w:top w:val="nil"/>
              <w:left w:val="nil"/>
              <w:bottom w:val="nil"/>
              <w:right w:val="nil"/>
            </w:tcBorders>
            <w:shd w:val="clear" w:color="FFFFFF" w:fill="FFFFFF"/>
            <w:vAlign w:val="bottom"/>
            <w:hideMark/>
          </w:tcPr>
          <w:p w14:paraId="1F3BED7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Plant and equipment</w:t>
            </w:r>
          </w:p>
        </w:tc>
        <w:tc>
          <w:tcPr>
            <w:tcW w:w="1077" w:type="dxa"/>
            <w:tcBorders>
              <w:top w:val="nil"/>
              <w:left w:val="nil"/>
              <w:bottom w:val="nil"/>
              <w:right w:val="nil"/>
            </w:tcBorders>
            <w:shd w:val="clear" w:color="FFFFFF" w:fill="FFFFFF"/>
            <w:noWrap/>
            <w:vAlign w:val="bottom"/>
            <w:hideMark/>
          </w:tcPr>
          <w:p w14:paraId="5911FB5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2.2A</w:t>
            </w:r>
          </w:p>
        </w:tc>
        <w:tc>
          <w:tcPr>
            <w:tcW w:w="1104" w:type="dxa"/>
            <w:tcBorders>
              <w:top w:val="nil"/>
              <w:left w:val="nil"/>
              <w:bottom w:val="nil"/>
              <w:right w:val="nil"/>
            </w:tcBorders>
            <w:shd w:val="clear" w:color="FFFFFF" w:fill="FFFFFF"/>
            <w:noWrap/>
            <w:vAlign w:val="bottom"/>
            <w:hideMark/>
          </w:tcPr>
          <w:p w14:paraId="21E353C1"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1,969</w:t>
            </w:r>
          </w:p>
        </w:tc>
        <w:tc>
          <w:tcPr>
            <w:tcW w:w="236" w:type="dxa"/>
            <w:tcBorders>
              <w:top w:val="nil"/>
              <w:left w:val="nil"/>
              <w:bottom w:val="nil"/>
              <w:right w:val="nil"/>
            </w:tcBorders>
            <w:shd w:val="clear" w:color="FFFFFF" w:fill="FFFFFF"/>
            <w:noWrap/>
            <w:vAlign w:val="bottom"/>
            <w:hideMark/>
          </w:tcPr>
          <w:p w14:paraId="2910DA3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06907EA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46</w:t>
            </w:r>
          </w:p>
        </w:tc>
        <w:tc>
          <w:tcPr>
            <w:tcW w:w="236" w:type="dxa"/>
            <w:tcBorders>
              <w:top w:val="nil"/>
              <w:left w:val="nil"/>
              <w:bottom w:val="nil"/>
              <w:right w:val="nil"/>
            </w:tcBorders>
            <w:shd w:val="clear" w:color="FFFFFF" w:fill="FFFFFF"/>
            <w:noWrap/>
            <w:vAlign w:val="bottom"/>
            <w:hideMark/>
          </w:tcPr>
          <w:p w14:paraId="705753C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613629A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46</w:t>
            </w:r>
          </w:p>
        </w:tc>
      </w:tr>
      <w:tr w:rsidR="00125069" w:rsidRPr="00125069" w14:paraId="08477149" w14:textId="77777777" w:rsidTr="00084A73">
        <w:trPr>
          <w:trHeight w:val="255"/>
        </w:trPr>
        <w:tc>
          <w:tcPr>
            <w:tcW w:w="5245" w:type="dxa"/>
            <w:tcBorders>
              <w:top w:val="nil"/>
              <w:left w:val="nil"/>
              <w:bottom w:val="nil"/>
              <w:right w:val="nil"/>
            </w:tcBorders>
            <w:shd w:val="clear" w:color="FFFFFF" w:fill="FFFFFF"/>
            <w:vAlign w:val="bottom"/>
            <w:hideMark/>
          </w:tcPr>
          <w:p w14:paraId="1E0AEC0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Other non-financial assets</w:t>
            </w:r>
          </w:p>
        </w:tc>
        <w:tc>
          <w:tcPr>
            <w:tcW w:w="1077" w:type="dxa"/>
            <w:tcBorders>
              <w:top w:val="nil"/>
              <w:left w:val="nil"/>
              <w:bottom w:val="nil"/>
              <w:right w:val="nil"/>
            </w:tcBorders>
            <w:shd w:val="clear" w:color="FFFFFF" w:fill="FFFFFF"/>
            <w:noWrap/>
            <w:vAlign w:val="bottom"/>
            <w:hideMark/>
          </w:tcPr>
          <w:p w14:paraId="240D996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2.2B</w:t>
            </w:r>
          </w:p>
        </w:tc>
        <w:tc>
          <w:tcPr>
            <w:tcW w:w="1104" w:type="dxa"/>
            <w:tcBorders>
              <w:top w:val="nil"/>
              <w:left w:val="nil"/>
              <w:bottom w:val="nil"/>
              <w:right w:val="nil"/>
            </w:tcBorders>
            <w:shd w:val="clear" w:color="FFFFFF" w:fill="FFFFFF"/>
            <w:noWrap/>
            <w:vAlign w:val="bottom"/>
            <w:hideMark/>
          </w:tcPr>
          <w:p w14:paraId="38C26ACB"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12,414</w:t>
            </w:r>
          </w:p>
        </w:tc>
        <w:tc>
          <w:tcPr>
            <w:tcW w:w="236" w:type="dxa"/>
            <w:tcBorders>
              <w:top w:val="nil"/>
              <w:left w:val="nil"/>
              <w:bottom w:val="nil"/>
              <w:right w:val="nil"/>
            </w:tcBorders>
            <w:shd w:val="clear" w:color="FFFFFF" w:fill="FFFFFF"/>
            <w:noWrap/>
            <w:vAlign w:val="bottom"/>
            <w:hideMark/>
          </w:tcPr>
          <w:p w14:paraId="1587C2F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144E5F2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5,833</w:t>
            </w:r>
          </w:p>
        </w:tc>
        <w:tc>
          <w:tcPr>
            <w:tcW w:w="236" w:type="dxa"/>
            <w:tcBorders>
              <w:top w:val="nil"/>
              <w:left w:val="nil"/>
              <w:bottom w:val="nil"/>
              <w:right w:val="nil"/>
            </w:tcBorders>
            <w:shd w:val="clear" w:color="FFFFFF" w:fill="FFFFFF"/>
            <w:noWrap/>
            <w:vAlign w:val="bottom"/>
            <w:hideMark/>
          </w:tcPr>
          <w:p w14:paraId="1DA65A6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1E7E4F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22,891</w:t>
            </w:r>
          </w:p>
        </w:tc>
      </w:tr>
      <w:tr w:rsidR="00125069" w:rsidRPr="00125069" w14:paraId="57E0A0F5" w14:textId="77777777" w:rsidTr="00084A73">
        <w:trPr>
          <w:trHeight w:val="255"/>
        </w:trPr>
        <w:tc>
          <w:tcPr>
            <w:tcW w:w="5245" w:type="dxa"/>
            <w:tcBorders>
              <w:top w:val="nil"/>
              <w:left w:val="nil"/>
              <w:bottom w:val="nil"/>
              <w:right w:val="nil"/>
            </w:tcBorders>
            <w:shd w:val="clear" w:color="FFFFFF" w:fill="FFFFFF"/>
            <w:vAlign w:val="bottom"/>
            <w:hideMark/>
          </w:tcPr>
          <w:p w14:paraId="37D1AEAC"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non-financial assets</w:t>
            </w:r>
          </w:p>
        </w:tc>
        <w:tc>
          <w:tcPr>
            <w:tcW w:w="1077" w:type="dxa"/>
            <w:tcBorders>
              <w:top w:val="nil"/>
              <w:left w:val="nil"/>
              <w:bottom w:val="nil"/>
              <w:right w:val="nil"/>
            </w:tcBorders>
            <w:shd w:val="clear" w:color="FFFFFF" w:fill="FFFFFF"/>
            <w:noWrap/>
            <w:vAlign w:val="bottom"/>
            <w:hideMark/>
          </w:tcPr>
          <w:p w14:paraId="0226DC5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27DEF57B"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306,084</w:t>
            </w:r>
          </w:p>
        </w:tc>
        <w:tc>
          <w:tcPr>
            <w:tcW w:w="236" w:type="dxa"/>
            <w:tcBorders>
              <w:top w:val="nil"/>
              <w:left w:val="nil"/>
              <w:bottom w:val="nil"/>
              <w:right w:val="nil"/>
            </w:tcBorders>
            <w:shd w:val="clear" w:color="FFFFFF" w:fill="FFFFFF"/>
            <w:noWrap/>
            <w:vAlign w:val="bottom"/>
            <w:hideMark/>
          </w:tcPr>
          <w:p w14:paraId="2F7C324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4AA26A7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102,353</w:t>
            </w:r>
          </w:p>
        </w:tc>
        <w:tc>
          <w:tcPr>
            <w:tcW w:w="236" w:type="dxa"/>
            <w:tcBorders>
              <w:top w:val="nil"/>
              <w:left w:val="nil"/>
              <w:bottom w:val="nil"/>
              <w:right w:val="nil"/>
            </w:tcBorders>
            <w:shd w:val="clear" w:color="FFFFFF" w:fill="FFFFFF"/>
            <w:noWrap/>
            <w:vAlign w:val="bottom"/>
            <w:hideMark/>
          </w:tcPr>
          <w:p w14:paraId="53DA734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7E8538C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118,511</w:t>
            </w:r>
          </w:p>
        </w:tc>
      </w:tr>
      <w:tr w:rsidR="00125069" w:rsidRPr="00125069" w14:paraId="61053E8D" w14:textId="77777777" w:rsidTr="00084A73">
        <w:trPr>
          <w:trHeight w:val="255"/>
        </w:trPr>
        <w:tc>
          <w:tcPr>
            <w:tcW w:w="5245" w:type="dxa"/>
            <w:tcBorders>
              <w:top w:val="nil"/>
              <w:left w:val="nil"/>
              <w:bottom w:val="nil"/>
              <w:right w:val="nil"/>
            </w:tcBorders>
            <w:shd w:val="clear" w:color="FFFFFF" w:fill="FFFFFF"/>
            <w:vAlign w:val="bottom"/>
            <w:hideMark/>
          </w:tcPr>
          <w:p w14:paraId="5F8BAF58"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assets</w:t>
            </w:r>
          </w:p>
        </w:tc>
        <w:tc>
          <w:tcPr>
            <w:tcW w:w="1077" w:type="dxa"/>
            <w:tcBorders>
              <w:top w:val="nil"/>
              <w:left w:val="nil"/>
              <w:bottom w:val="nil"/>
              <w:right w:val="nil"/>
            </w:tcBorders>
            <w:shd w:val="clear" w:color="FFFFFF" w:fill="FFFFFF"/>
            <w:noWrap/>
            <w:vAlign w:val="bottom"/>
            <w:hideMark/>
          </w:tcPr>
          <w:p w14:paraId="0CD2A2B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07B998A8"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3,952,441</w:t>
            </w:r>
          </w:p>
        </w:tc>
        <w:tc>
          <w:tcPr>
            <w:tcW w:w="236" w:type="dxa"/>
            <w:tcBorders>
              <w:top w:val="nil"/>
              <w:left w:val="nil"/>
              <w:bottom w:val="nil"/>
              <w:right w:val="nil"/>
            </w:tcBorders>
            <w:shd w:val="clear" w:color="FFFFFF" w:fill="FFFFFF"/>
            <w:noWrap/>
            <w:vAlign w:val="bottom"/>
            <w:hideMark/>
          </w:tcPr>
          <w:p w14:paraId="76222BC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17F5C3A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4,555,100</w:t>
            </w:r>
          </w:p>
        </w:tc>
        <w:tc>
          <w:tcPr>
            <w:tcW w:w="236" w:type="dxa"/>
            <w:tcBorders>
              <w:top w:val="nil"/>
              <w:left w:val="nil"/>
              <w:bottom w:val="nil"/>
              <w:right w:val="nil"/>
            </w:tcBorders>
            <w:shd w:val="clear" w:color="FFFFFF" w:fill="FFFFFF"/>
            <w:noWrap/>
            <w:vAlign w:val="bottom"/>
            <w:hideMark/>
          </w:tcPr>
          <w:p w14:paraId="4A6012E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62C2AA1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2,870,658</w:t>
            </w:r>
          </w:p>
        </w:tc>
      </w:tr>
      <w:tr w:rsidR="00125069" w:rsidRPr="00125069" w14:paraId="6CFA20A6" w14:textId="77777777" w:rsidTr="00084A73">
        <w:trPr>
          <w:trHeight w:val="300"/>
        </w:trPr>
        <w:tc>
          <w:tcPr>
            <w:tcW w:w="5245" w:type="dxa"/>
            <w:tcBorders>
              <w:top w:val="nil"/>
              <w:left w:val="nil"/>
              <w:bottom w:val="nil"/>
              <w:right w:val="nil"/>
            </w:tcBorders>
            <w:shd w:val="clear" w:color="FFFFFF" w:fill="FFFFFF"/>
            <w:vAlign w:val="bottom"/>
            <w:hideMark/>
          </w:tcPr>
          <w:p w14:paraId="213D988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5310CC0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466F2A37"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31B3506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71F6F4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1BFBFE8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2D60932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2123BE10" w14:textId="77777777" w:rsidTr="00084A73">
        <w:trPr>
          <w:trHeight w:val="255"/>
        </w:trPr>
        <w:tc>
          <w:tcPr>
            <w:tcW w:w="5245" w:type="dxa"/>
            <w:tcBorders>
              <w:top w:val="nil"/>
              <w:left w:val="nil"/>
              <w:bottom w:val="nil"/>
              <w:right w:val="nil"/>
            </w:tcBorders>
            <w:shd w:val="clear" w:color="FFFFFF" w:fill="FFFFFF"/>
            <w:vAlign w:val="bottom"/>
            <w:hideMark/>
          </w:tcPr>
          <w:p w14:paraId="52C36635"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LIABILITIES</w:t>
            </w:r>
          </w:p>
        </w:tc>
        <w:tc>
          <w:tcPr>
            <w:tcW w:w="1077" w:type="dxa"/>
            <w:tcBorders>
              <w:top w:val="nil"/>
              <w:left w:val="nil"/>
              <w:bottom w:val="nil"/>
              <w:right w:val="nil"/>
            </w:tcBorders>
            <w:shd w:val="clear" w:color="FFFFFF" w:fill="FFFFFF"/>
            <w:noWrap/>
            <w:vAlign w:val="bottom"/>
            <w:hideMark/>
          </w:tcPr>
          <w:p w14:paraId="2D34DA4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5FA73D52"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2DE856F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55D3C5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24DFA93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336ABEB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4365D814" w14:textId="77777777" w:rsidTr="00084A73">
        <w:trPr>
          <w:trHeight w:val="255"/>
        </w:trPr>
        <w:tc>
          <w:tcPr>
            <w:tcW w:w="5245" w:type="dxa"/>
            <w:tcBorders>
              <w:top w:val="nil"/>
              <w:left w:val="nil"/>
              <w:bottom w:val="nil"/>
              <w:right w:val="nil"/>
            </w:tcBorders>
            <w:shd w:val="clear" w:color="FFFFFF" w:fill="FFFFFF"/>
            <w:vAlign w:val="bottom"/>
            <w:hideMark/>
          </w:tcPr>
          <w:p w14:paraId="733F3324"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Payables</w:t>
            </w:r>
          </w:p>
        </w:tc>
        <w:tc>
          <w:tcPr>
            <w:tcW w:w="1077" w:type="dxa"/>
            <w:tcBorders>
              <w:top w:val="nil"/>
              <w:left w:val="nil"/>
              <w:bottom w:val="nil"/>
              <w:right w:val="nil"/>
            </w:tcBorders>
            <w:shd w:val="clear" w:color="FFFFFF" w:fill="FFFFFF"/>
            <w:noWrap/>
            <w:vAlign w:val="bottom"/>
            <w:hideMark/>
          </w:tcPr>
          <w:p w14:paraId="5A99E94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5D975D13"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12DA8DA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6578FAC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6D39D6E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5EF6F6C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57BB06A3" w14:textId="77777777" w:rsidTr="00084A73">
        <w:trPr>
          <w:trHeight w:val="255"/>
        </w:trPr>
        <w:tc>
          <w:tcPr>
            <w:tcW w:w="5245" w:type="dxa"/>
            <w:tcBorders>
              <w:top w:val="nil"/>
              <w:left w:val="nil"/>
              <w:bottom w:val="nil"/>
              <w:right w:val="nil"/>
            </w:tcBorders>
            <w:shd w:val="clear" w:color="auto" w:fill="auto"/>
            <w:vAlign w:val="bottom"/>
            <w:hideMark/>
          </w:tcPr>
          <w:p w14:paraId="351F626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Suppliers</w:t>
            </w:r>
          </w:p>
        </w:tc>
        <w:tc>
          <w:tcPr>
            <w:tcW w:w="1077" w:type="dxa"/>
            <w:tcBorders>
              <w:top w:val="nil"/>
              <w:left w:val="nil"/>
              <w:bottom w:val="nil"/>
              <w:right w:val="nil"/>
            </w:tcBorders>
            <w:shd w:val="clear" w:color="auto" w:fill="auto"/>
            <w:noWrap/>
            <w:vAlign w:val="bottom"/>
            <w:hideMark/>
          </w:tcPr>
          <w:p w14:paraId="100F4C9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2.3A</w:t>
            </w:r>
          </w:p>
        </w:tc>
        <w:tc>
          <w:tcPr>
            <w:tcW w:w="1104" w:type="dxa"/>
            <w:tcBorders>
              <w:top w:val="nil"/>
              <w:left w:val="nil"/>
              <w:bottom w:val="nil"/>
              <w:right w:val="nil"/>
            </w:tcBorders>
            <w:shd w:val="clear" w:color="auto" w:fill="auto"/>
            <w:noWrap/>
            <w:vAlign w:val="bottom"/>
            <w:hideMark/>
          </w:tcPr>
          <w:p w14:paraId="35FAB6D1"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288,845</w:t>
            </w:r>
          </w:p>
        </w:tc>
        <w:tc>
          <w:tcPr>
            <w:tcW w:w="236" w:type="dxa"/>
            <w:tcBorders>
              <w:top w:val="nil"/>
              <w:left w:val="nil"/>
              <w:bottom w:val="nil"/>
              <w:right w:val="nil"/>
            </w:tcBorders>
            <w:shd w:val="clear" w:color="auto" w:fill="auto"/>
            <w:noWrap/>
            <w:vAlign w:val="bottom"/>
            <w:hideMark/>
          </w:tcPr>
          <w:p w14:paraId="6E4447F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auto" w:fill="auto"/>
            <w:noWrap/>
            <w:vAlign w:val="bottom"/>
            <w:hideMark/>
          </w:tcPr>
          <w:p w14:paraId="4C89B8F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140,327</w:t>
            </w:r>
          </w:p>
        </w:tc>
        <w:tc>
          <w:tcPr>
            <w:tcW w:w="236" w:type="dxa"/>
            <w:tcBorders>
              <w:top w:val="nil"/>
              <w:left w:val="nil"/>
              <w:bottom w:val="nil"/>
              <w:right w:val="nil"/>
            </w:tcBorders>
            <w:shd w:val="clear" w:color="auto" w:fill="auto"/>
            <w:noWrap/>
            <w:vAlign w:val="bottom"/>
            <w:hideMark/>
          </w:tcPr>
          <w:p w14:paraId="5A8A3E8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auto" w:fill="auto"/>
            <w:noWrap/>
            <w:vAlign w:val="bottom"/>
            <w:hideMark/>
          </w:tcPr>
          <w:p w14:paraId="048E074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223,494</w:t>
            </w:r>
          </w:p>
        </w:tc>
      </w:tr>
      <w:tr w:rsidR="00125069" w:rsidRPr="00125069" w14:paraId="37A14B56" w14:textId="77777777" w:rsidTr="00084A73">
        <w:trPr>
          <w:trHeight w:val="255"/>
        </w:trPr>
        <w:tc>
          <w:tcPr>
            <w:tcW w:w="5245" w:type="dxa"/>
            <w:tcBorders>
              <w:top w:val="nil"/>
              <w:left w:val="nil"/>
              <w:bottom w:val="nil"/>
              <w:right w:val="nil"/>
            </w:tcBorders>
            <w:shd w:val="clear" w:color="FFFFFF" w:fill="FFFFFF"/>
            <w:vAlign w:val="bottom"/>
            <w:hideMark/>
          </w:tcPr>
          <w:p w14:paraId="3CFA8A1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Other payables</w:t>
            </w:r>
          </w:p>
        </w:tc>
        <w:tc>
          <w:tcPr>
            <w:tcW w:w="1077" w:type="dxa"/>
            <w:tcBorders>
              <w:top w:val="nil"/>
              <w:left w:val="nil"/>
              <w:bottom w:val="nil"/>
              <w:right w:val="nil"/>
            </w:tcBorders>
            <w:shd w:val="clear" w:color="FFFFFF" w:fill="FFFFFF"/>
            <w:noWrap/>
            <w:vAlign w:val="bottom"/>
            <w:hideMark/>
          </w:tcPr>
          <w:p w14:paraId="7291276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2.3B</w:t>
            </w:r>
          </w:p>
        </w:tc>
        <w:tc>
          <w:tcPr>
            <w:tcW w:w="1104" w:type="dxa"/>
            <w:tcBorders>
              <w:top w:val="nil"/>
              <w:left w:val="nil"/>
              <w:bottom w:val="nil"/>
              <w:right w:val="nil"/>
            </w:tcBorders>
            <w:shd w:val="clear" w:color="FFFFFF" w:fill="FFFFFF"/>
            <w:noWrap/>
            <w:vAlign w:val="bottom"/>
            <w:hideMark/>
          </w:tcPr>
          <w:p w14:paraId="45A20624"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6,034</w:t>
            </w:r>
          </w:p>
        </w:tc>
        <w:tc>
          <w:tcPr>
            <w:tcW w:w="236" w:type="dxa"/>
            <w:tcBorders>
              <w:top w:val="nil"/>
              <w:left w:val="nil"/>
              <w:bottom w:val="nil"/>
              <w:right w:val="nil"/>
            </w:tcBorders>
            <w:shd w:val="clear" w:color="FFFFFF" w:fill="FFFFFF"/>
            <w:noWrap/>
            <w:vAlign w:val="bottom"/>
            <w:hideMark/>
          </w:tcPr>
          <w:p w14:paraId="73D27DF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6D38A78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2,293</w:t>
            </w:r>
          </w:p>
        </w:tc>
        <w:tc>
          <w:tcPr>
            <w:tcW w:w="236" w:type="dxa"/>
            <w:tcBorders>
              <w:top w:val="nil"/>
              <w:left w:val="nil"/>
              <w:bottom w:val="nil"/>
              <w:right w:val="nil"/>
            </w:tcBorders>
            <w:shd w:val="clear" w:color="FFFFFF" w:fill="FFFFFF"/>
            <w:noWrap/>
            <w:vAlign w:val="bottom"/>
            <w:hideMark/>
          </w:tcPr>
          <w:p w14:paraId="3180DF9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380F223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4,336</w:t>
            </w:r>
          </w:p>
        </w:tc>
      </w:tr>
      <w:tr w:rsidR="00125069" w:rsidRPr="00125069" w14:paraId="16103FF7" w14:textId="77777777" w:rsidTr="00084A73">
        <w:trPr>
          <w:trHeight w:val="255"/>
        </w:trPr>
        <w:tc>
          <w:tcPr>
            <w:tcW w:w="5245" w:type="dxa"/>
            <w:tcBorders>
              <w:top w:val="nil"/>
              <w:left w:val="nil"/>
              <w:bottom w:val="nil"/>
              <w:right w:val="nil"/>
            </w:tcBorders>
            <w:shd w:val="clear" w:color="FFFFFF" w:fill="FFFFFF"/>
            <w:vAlign w:val="bottom"/>
            <w:hideMark/>
          </w:tcPr>
          <w:p w14:paraId="41D3FF87"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payables</w:t>
            </w:r>
          </w:p>
        </w:tc>
        <w:tc>
          <w:tcPr>
            <w:tcW w:w="1077" w:type="dxa"/>
            <w:tcBorders>
              <w:top w:val="nil"/>
              <w:left w:val="nil"/>
              <w:bottom w:val="nil"/>
              <w:right w:val="nil"/>
            </w:tcBorders>
            <w:shd w:val="clear" w:color="FFFFFF" w:fill="FFFFFF"/>
            <w:noWrap/>
            <w:vAlign w:val="bottom"/>
            <w:hideMark/>
          </w:tcPr>
          <w:p w14:paraId="7CFEBD5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53B30155"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294,879</w:t>
            </w:r>
          </w:p>
        </w:tc>
        <w:tc>
          <w:tcPr>
            <w:tcW w:w="236" w:type="dxa"/>
            <w:tcBorders>
              <w:top w:val="nil"/>
              <w:left w:val="nil"/>
              <w:bottom w:val="nil"/>
              <w:right w:val="nil"/>
            </w:tcBorders>
            <w:shd w:val="clear" w:color="FFFFFF" w:fill="FFFFFF"/>
            <w:noWrap/>
            <w:vAlign w:val="bottom"/>
            <w:hideMark/>
          </w:tcPr>
          <w:p w14:paraId="1546F96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5EDB21A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142,620</w:t>
            </w:r>
          </w:p>
        </w:tc>
        <w:tc>
          <w:tcPr>
            <w:tcW w:w="236" w:type="dxa"/>
            <w:tcBorders>
              <w:top w:val="nil"/>
              <w:left w:val="nil"/>
              <w:bottom w:val="nil"/>
              <w:right w:val="nil"/>
            </w:tcBorders>
            <w:shd w:val="clear" w:color="FFFFFF" w:fill="FFFFFF"/>
            <w:noWrap/>
            <w:vAlign w:val="bottom"/>
            <w:hideMark/>
          </w:tcPr>
          <w:p w14:paraId="17A8300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2A478D9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227,830</w:t>
            </w:r>
          </w:p>
        </w:tc>
      </w:tr>
      <w:tr w:rsidR="00125069" w:rsidRPr="00125069" w14:paraId="184830B0" w14:textId="77777777" w:rsidTr="00084A73">
        <w:trPr>
          <w:trHeight w:val="255"/>
        </w:trPr>
        <w:tc>
          <w:tcPr>
            <w:tcW w:w="5245" w:type="dxa"/>
            <w:tcBorders>
              <w:top w:val="nil"/>
              <w:left w:val="nil"/>
              <w:bottom w:val="nil"/>
              <w:right w:val="nil"/>
            </w:tcBorders>
            <w:shd w:val="clear" w:color="FFFFFF" w:fill="FFFFFF"/>
            <w:noWrap/>
            <w:vAlign w:val="bottom"/>
            <w:hideMark/>
          </w:tcPr>
          <w:p w14:paraId="0872933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2E8760F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1A9F49A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6BD983C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12A149A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509355E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3F5418C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392BB09E" w14:textId="77777777" w:rsidTr="00084A73">
        <w:trPr>
          <w:trHeight w:val="255"/>
        </w:trPr>
        <w:tc>
          <w:tcPr>
            <w:tcW w:w="5245" w:type="dxa"/>
            <w:tcBorders>
              <w:top w:val="nil"/>
              <w:left w:val="nil"/>
              <w:bottom w:val="nil"/>
              <w:right w:val="nil"/>
            </w:tcBorders>
            <w:shd w:val="clear" w:color="FFFFFF" w:fill="FFFFFF"/>
            <w:vAlign w:val="bottom"/>
            <w:hideMark/>
          </w:tcPr>
          <w:p w14:paraId="24809CF7"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Interest bearing liabilities</w:t>
            </w:r>
          </w:p>
        </w:tc>
        <w:tc>
          <w:tcPr>
            <w:tcW w:w="1077" w:type="dxa"/>
            <w:tcBorders>
              <w:top w:val="nil"/>
              <w:left w:val="nil"/>
              <w:bottom w:val="nil"/>
              <w:right w:val="nil"/>
            </w:tcBorders>
            <w:shd w:val="clear" w:color="FFFFFF" w:fill="FFFFFF"/>
            <w:noWrap/>
            <w:vAlign w:val="bottom"/>
            <w:hideMark/>
          </w:tcPr>
          <w:p w14:paraId="75127F1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61A209D1"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205F71F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08A3DEC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11A7690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5E7492A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7FDF6195" w14:textId="77777777" w:rsidTr="00084A73">
        <w:trPr>
          <w:trHeight w:val="255"/>
        </w:trPr>
        <w:tc>
          <w:tcPr>
            <w:tcW w:w="5245" w:type="dxa"/>
            <w:tcBorders>
              <w:top w:val="nil"/>
              <w:left w:val="nil"/>
              <w:bottom w:val="nil"/>
              <w:right w:val="nil"/>
            </w:tcBorders>
            <w:shd w:val="clear" w:color="FFFFFF" w:fill="FFFFFF"/>
            <w:vAlign w:val="bottom"/>
            <w:hideMark/>
          </w:tcPr>
          <w:p w14:paraId="5C2378F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Leases</w:t>
            </w:r>
          </w:p>
        </w:tc>
        <w:tc>
          <w:tcPr>
            <w:tcW w:w="1077" w:type="dxa"/>
            <w:tcBorders>
              <w:top w:val="nil"/>
              <w:left w:val="nil"/>
              <w:bottom w:val="nil"/>
              <w:right w:val="nil"/>
            </w:tcBorders>
            <w:shd w:val="clear" w:color="FFFFFF" w:fill="FFFFFF"/>
            <w:noWrap/>
            <w:vAlign w:val="bottom"/>
            <w:hideMark/>
          </w:tcPr>
          <w:p w14:paraId="57E44DD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2.5</w:t>
            </w:r>
          </w:p>
        </w:tc>
        <w:tc>
          <w:tcPr>
            <w:tcW w:w="1104" w:type="dxa"/>
            <w:tcBorders>
              <w:top w:val="nil"/>
              <w:left w:val="nil"/>
              <w:bottom w:val="nil"/>
              <w:right w:val="nil"/>
            </w:tcBorders>
            <w:shd w:val="clear" w:color="FFFFFF" w:fill="FFFFFF"/>
            <w:noWrap/>
            <w:vAlign w:val="bottom"/>
            <w:hideMark/>
          </w:tcPr>
          <w:p w14:paraId="6C8BB840"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195,973</w:t>
            </w:r>
          </w:p>
        </w:tc>
        <w:tc>
          <w:tcPr>
            <w:tcW w:w="236" w:type="dxa"/>
            <w:tcBorders>
              <w:top w:val="nil"/>
              <w:left w:val="nil"/>
              <w:bottom w:val="nil"/>
              <w:right w:val="nil"/>
            </w:tcBorders>
            <w:shd w:val="clear" w:color="FFFFFF" w:fill="FFFFFF"/>
            <w:noWrap/>
            <w:vAlign w:val="bottom"/>
            <w:hideMark/>
          </w:tcPr>
          <w:p w14:paraId="47286C7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74D58C0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w:t>
            </w:r>
          </w:p>
        </w:tc>
        <w:tc>
          <w:tcPr>
            <w:tcW w:w="236" w:type="dxa"/>
            <w:tcBorders>
              <w:top w:val="nil"/>
              <w:left w:val="nil"/>
              <w:bottom w:val="nil"/>
              <w:right w:val="nil"/>
            </w:tcBorders>
            <w:shd w:val="clear" w:color="FFFFFF" w:fill="FFFFFF"/>
            <w:noWrap/>
            <w:vAlign w:val="bottom"/>
            <w:hideMark/>
          </w:tcPr>
          <w:p w14:paraId="3F6B073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07FFEAC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 -</w:t>
            </w:r>
          </w:p>
        </w:tc>
      </w:tr>
      <w:tr w:rsidR="00125069" w:rsidRPr="00125069" w14:paraId="4C0395C3" w14:textId="77777777" w:rsidTr="00084A73">
        <w:trPr>
          <w:trHeight w:val="255"/>
        </w:trPr>
        <w:tc>
          <w:tcPr>
            <w:tcW w:w="5245" w:type="dxa"/>
            <w:tcBorders>
              <w:top w:val="nil"/>
              <w:left w:val="nil"/>
              <w:bottom w:val="nil"/>
              <w:right w:val="nil"/>
            </w:tcBorders>
            <w:shd w:val="clear" w:color="FFFFFF" w:fill="FFFFFF"/>
            <w:vAlign w:val="bottom"/>
            <w:hideMark/>
          </w:tcPr>
          <w:p w14:paraId="37AF8A4A"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interest bearing liabilities</w:t>
            </w:r>
          </w:p>
        </w:tc>
        <w:tc>
          <w:tcPr>
            <w:tcW w:w="1077" w:type="dxa"/>
            <w:tcBorders>
              <w:top w:val="nil"/>
              <w:left w:val="nil"/>
              <w:bottom w:val="nil"/>
              <w:right w:val="nil"/>
            </w:tcBorders>
            <w:shd w:val="clear" w:color="FFFFFF" w:fill="FFFFFF"/>
            <w:noWrap/>
            <w:vAlign w:val="bottom"/>
            <w:hideMark/>
          </w:tcPr>
          <w:p w14:paraId="645907C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468C67C3"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195,973</w:t>
            </w:r>
          </w:p>
        </w:tc>
        <w:tc>
          <w:tcPr>
            <w:tcW w:w="236" w:type="dxa"/>
            <w:tcBorders>
              <w:top w:val="nil"/>
              <w:left w:val="nil"/>
              <w:bottom w:val="nil"/>
              <w:right w:val="nil"/>
            </w:tcBorders>
            <w:shd w:val="clear" w:color="FFFFFF" w:fill="FFFFFF"/>
            <w:noWrap/>
            <w:vAlign w:val="bottom"/>
            <w:hideMark/>
          </w:tcPr>
          <w:p w14:paraId="1375711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1B80639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w:t>
            </w:r>
          </w:p>
        </w:tc>
        <w:tc>
          <w:tcPr>
            <w:tcW w:w="236" w:type="dxa"/>
            <w:tcBorders>
              <w:top w:val="nil"/>
              <w:left w:val="nil"/>
              <w:bottom w:val="nil"/>
              <w:right w:val="nil"/>
            </w:tcBorders>
            <w:shd w:val="clear" w:color="FFFFFF" w:fill="FFFFFF"/>
            <w:noWrap/>
            <w:vAlign w:val="bottom"/>
            <w:hideMark/>
          </w:tcPr>
          <w:p w14:paraId="277A32D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15FDFDF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w:t>
            </w:r>
          </w:p>
        </w:tc>
      </w:tr>
      <w:tr w:rsidR="00125069" w:rsidRPr="00125069" w14:paraId="572534AD" w14:textId="77777777" w:rsidTr="00084A73">
        <w:trPr>
          <w:trHeight w:val="255"/>
        </w:trPr>
        <w:tc>
          <w:tcPr>
            <w:tcW w:w="5245" w:type="dxa"/>
            <w:tcBorders>
              <w:top w:val="nil"/>
              <w:left w:val="nil"/>
              <w:bottom w:val="nil"/>
              <w:right w:val="nil"/>
            </w:tcBorders>
            <w:shd w:val="clear" w:color="FFFFFF" w:fill="FFFFFF"/>
            <w:noWrap/>
            <w:vAlign w:val="bottom"/>
            <w:hideMark/>
          </w:tcPr>
          <w:p w14:paraId="40952EC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3631944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2712B39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1380D0D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FD7D2C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25BD982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7583AA3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668CEB3E" w14:textId="77777777" w:rsidTr="00084A73">
        <w:trPr>
          <w:trHeight w:val="255"/>
        </w:trPr>
        <w:tc>
          <w:tcPr>
            <w:tcW w:w="5245" w:type="dxa"/>
            <w:tcBorders>
              <w:top w:val="nil"/>
              <w:left w:val="nil"/>
              <w:bottom w:val="nil"/>
              <w:right w:val="nil"/>
            </w:tcBorders>
            <w:shd w:val="clear" w:color="FFFFFF" w:fill="FFFFFF"/>
            <w:vAlign w:val="bottom"/>
            <w:hideMark/>
          </w:tcPr>
          <w:p w14:paraId="4962BC12"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Unearned revenue</w:t>
            </w:r>
          </w:p>
        </w:tc>
        <w:tc>
          <w:tcPr>
            <w:tcW w:w="1077" w:type="dxa"/>
            <w:tcBorders>
              <w:top w:val="nil"/>
              <w:left w:val="nil"/>
              <w:bottom w:val="nil"/>
              <w:right w:val="nil"/>
            </w:tcBorders>
            <w:shd w:val="clear" w:color="FFFFFF" w:fill="FFFFFF"/>
            <w:noWrap/>
            <w:vAlign w:val="bottom"/>
            <w:hideMark/>
          </w:tcPr>
          <w:p w14:paraId="6BD5D59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057077B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46ACC02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6C5485D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01A0462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7CAF278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230E935A" w14:textId="77777777" w:rsidTr="00084A73">
        <w:trPr>
          <w:trHeight w:val="255"/>
        </w:trPr>
        <w:tc>
          <w:tcPr>
            <w:tcW w:w="5245" w:type="dxa"/>
            <w:tcBorders>
              <w:top w:val="nil"/>
              <w:left w:val="nil"/>
              <w:bottom w:val="nil"/>
              <w:right w:val="nil"/>
            </w:tcBorders>
            <w:shd w:val="clear" w:color="FFFFFF" w:fill="FFFFFF"/>
            <w:vAlign w:val="bottom"/>
            <w:hideMark/>
          </w:tcPr>
          <w:p w14:paraId="4729968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   Unearned revenue</w:t>
            </w:r>
          </w:p>
        </w:tc>
        <w:tc>
          <w:tcPr>
            <w:tcW w:w="1077" w:type="dxa"/>
            <w:tcBorders>
              <w:top w:val="nil"/>
              <w:left w:val="nil"/>
              <w:bottom w:val="nil"/>
              <w:right w:val="nil"/>
            </w:tcBorders>
            <w:shd w:val="clear" w:color="FFFFFF" w:fill="FFFFFF"/>
            <w:noWrap/>
            <w:vAlign w:val="bottom"/>
            <w:hideMark/>
          </w:tcPr>
          <w:p w14:paraId="2181375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2.4</w:t>
            </w:r>
          </w:p>
        </w:tc>
        <w:tc>
          <w:tcPr>
            <w:tcW w:w="1104" w:type="dxa"/>
            <w:tcBorders>
              <w:top w:val="nil"/>
              <w:left w:val="nil"/>
              <w:bottom w:val="single" w:sz="4" w:space="0" w:color="auto"/>
              <w:right w:val="nil"/>
            </w:tcBorders>
            <w:shd w:val="clear" w:color="FFFFFF" w:fill="FFFFFF"/>
            <w:noWrap/>
            <w:vAlign w:val="bottom"/>
            <w:hideMark/>
          </w:tcPr>
          <w:p w14:paraId="75353DE6"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635,603</w:t>
            </w:r>
          </w:p>
        </w:tc>
        <w:tc>
          <w:tcPr>
            <w:tcW w:w="236" w:type="dxa"/>
            <w:tcBorders>
              <w:top w:val="nil"/>
              <w:left w:val="nil"/>
              <w:bottom w:val="nil"/>
              <w:right w:val="nil"/>
            </w:tcBorders>
            <w:shd w:val="clear" w:color="FFFFFF" w:fill="FFFFFF"/>
            <w:noWrap/>
            <w:vAlign w:val="bottom"/>
            <w:hideMark/>
          </w:tcPr>
          <w:p w14:paraId="1694A85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single" w:sz="4" w:space="0" w:color="auto"/>
              <w:right w:val="nil"/>
            </w:tcBorders>
            <w:shd w:val="clear" w:color="FFFFFF" w:fill="FFFFFF"/>
            <w:noWrap/>
            <w:vAlign w:val="bottom"/>
            <w:hideMark/>
          </w:tcPr>
          <w:p w14:paraId="600A571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430,000</w:t>
            </w:r>
          </w:p>
        </w:tc>
        <w:tc>
          <w:tcPr>
            <w:tcW w:w="236" w:type="dxa"/>
            <w:tcBorders>
              <w:top w:val="nil"/>
              <w:left w:val="nil"/>
              <w:bottom w:val="nil"/>
              <w:right w:val="nil"/>
            </w:tcBorders>
            <w:shd w:val="clear" w:color="FFFFFF" w:fill="FFFFFF"/>
            <w:noWrap/>
            <w:vAlign w:val="bottom"/>
            <w:hideMark/>
          </w:tcPr>
          <w:p w14:paraId="07BBC62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single" w:sz="4" w:space="0" w:color="auto"/>
              <w:right w:val="nil"/>
            </w:tcBorders>
            <w:shd w:val="clear" w:color="FFFFFF" w:fill="FFFFFF"/>
            <w:noWrap/>
            <w:vAlign w:val="bottom"/>
            <w:hideMark/>
          </w:tcPr>
          <w:p w14:paraId="49AD93D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xml:space="preserve"> -</w:t>
            </w:r>
          </w:p>
        </w:tc>
      </w:tr>
      <w:tr w:rsidR="00125069" w:rsidRPr="00125069" w14:paraId="5785F817" w14:textId="77777777" w:rsidTr="00084A73">
        <w:trPr>
          <w:trHeight w:val="255"/>
        </w:trPr>
        <w:tc>
          <w:tcPr>
            <w:tcW w:w="5245" w:type="dxa"/>
            <w:tcBorders>
              <w:top w:val="nil"/>
              <w:left w:val="nil"/>
              <w:bottom w:val="nil"/>
              <w:right w:val="nil"/>
            </w:tcBorders>
            <w:shd w:val="clear" w:color="FFFFFF" w:fill="FFFFFF"/>
            <w:vAlign w:val="bottom"/>
            <w:hideMark/>
          </w:tcPr>
          <w:p w14:paraId="0137A62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4EEE2AC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21EC748F"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0740437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7697BA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34B8C74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2FC2997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1B368CC0" w14:textId="77777777" w:rsidTr="00084A73">
        <w:trPr>
          <w:trHeight w:val="255"/>
        </w:trPr>
        <w:tc>
          <w:tcPr>
            <w:tcW w:w="5245" w:type="dxa"/>
            <w:tcBorders>
              <w:top w:val="nil"/>
              <w:left w:val="nil"/>
              <w:bottom w:val="nil"/>
              <w:right w:val="nil"/>
            </w:tcBorders>
            <w:shd w:val="clear" w:color="FFFFFF" w:fill="FFFFFF"/>
            <w:vAlign w:val="bottom"/>
            <w:hideMark/>
          </w:tcPr>
          <w:p w14:paraId="498B7B5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Provisions</w:t>
            </w:r>
          </w:p>
        </w:tc>
        <w:tc>
          <w:tcPr>
            <w:tcW w:w="1077" w:type="dxa"/>
            <w:tcBorders>
              <w:top w:val="nil"/>
              <w:left w:val="nil"/>
              <w:bottom w:val="nil"/>
              <w:right w:val="nil"/>
            </w:tcBorders>
            <w:shd w:val="clear" w:color="FFFFFF" w:fill="FFFFFF"/>
            <w:noWrap/>
            <w:vAlign w:val="bottom"/>
            <w:hideMark/>
          </w:tcPr>
          <w:p w14:paraId="0707DBE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538AF258"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14800F3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0FD52E8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0067316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1DE60D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16503E63" w14:textId="77777777" w:rsidTr="00084A73">
        <w:trPr>
          <w:trHeight w:val="255"/>
        </w:trPr>
        <w:tc>
          <w:tcPr>
            <w:tcW w:w="5245" w:type="dxa"/>
            <w:tcBorders>
              <w:top w:val="nil"/>
              <w:left w:val="nil"/>
              <w:bottom w:val="nil"/>
              <w:right w:val="nil"/>
            </w:tcBorders>
            <w:shd w:val="clear" w:color="FFFFFF" w:fill="FFFFFF"/>
            <w:vAlign w:val="bottom"/>
            <w:hideMark/>
          </w:tcPr>
          <w:p w14:paraId="16C265C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Employee provisions</w:t>
            </w:r>
          </w:p>
        </w:tc>
        <w:tc>
          <w:tcPr>
            <w:tcW w:w="1077" w:type="dxa"/>
            <w:tcBorders>
              <w:top w:val="nil"/>
              <w:left w:val="nil"/>
              <w:bottom w:val="nil"/>
              <w:right w:val="nil"/>
            </w:tcBorders>
            <w:shd w:val="clear" w:color="FFFFFF" w:fill="FFFFFF"/>
            <w:noWrap/>
            <w:vAlign w:val="bottom"/>
            <w:hideMark/>
          </w:tcPr>
          <w:p w14:paraId="3AC6EF3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3.1</w:t>
            </w:r>
          </w:p>
        </w:tc>
        <w:tc>
          <w:tcPr>
            <w:tcW w:w="1104" w:type="dxa"/>
            <w:tcBorders>
              <w:top w:val="nil"/>
              <w:left w:val="nil"/>
              <w:bottom w:val="nil"/>
              <w:right w:val="nil"/>
            </w:tcBorders>
            <w:shd w:val="clear" w:color="FFFFFF" w:fill="FFFFFF"/>
            <w:noWrap/>
            <w:vAlign w:val="bottom"/>
            <w:hideMark/>
          </w:tcPr>
          <w:p w14:paraId="7CD3D0BE"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79,618</w:t>
            </w:r>
          </w:p>
        </w:tc>
        <w:tc>
          <w:tcPr>
            <w:tcW w:w="236" w:type="dxa"/>
            <w:tcBorders>
              <w:top w:val="nil"/>
              <w:left w:val="nil"/>
              <w:bottom w:val="nil"/>
              <w:right w:val="nil"/>
            </w:tcBorders>
            <w:shd w:val="clear" w:color="FFFFFF" w:fill="FFFFFF"/>
            <w:noWrap/>
            <w:vAlign w:val="bottom"/>
            <w:hideMark/>
          </w:tcPr>
          <w:p w14:paraId="64FBF8F7"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318B03F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63,684</w:t>
            </w:r>
          </w:p>
        </w:tc>
        <w:tc>
          <w:tcPr>
            <w:tcW w:w="236" w:type="dxa"/>
            <w:tcBorders>
              <w:top w:val="nil"/>
              <w:left w:val="nil"/>
              <w:bottom w:val="nil"/>
              <w:right w:val="nil"/>
            </w:tcBorders>
            <w:shd w:val="clear" w:color="FFFFFF" w:fill="FFFFFF"/>
            <w:noWrap/>
            <w:vAlign w:val="bottom"/>
            <w:hideMark/>
          </w:tcPr>
          <w:p w14:paraId="3D239AE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9F9918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55,576</w:t>
            </w:r>
          </w:p>
        </w:tc>
      </w:tr>
      <w:tr w:rsidR="00125069" w:rsidRPr="00125069" w14:paraId="5B22045E" w14:textId="77777777" w:rsidTr="00084A73">
        <w:trPr>
          <w:trHeight w:val="255"/>
        </w:trPr>
        <w:tc>
          <w:tcPr>
            <w:tcW w:w="5245" w:type="dxa"/>
            <w:tcBorders>
              <w:top w:val="nil"/>
              <w:left w:val="nil"/>
              <w:bottom w:val="nil"/>
              <w:right w:val="nil"/>
            </w:tcBorders>
            <w:shd w:val="clear" w:color="FFFFFF" w:fill="FFFFFF"/>
            <w:vAlign w:val="bottom"/>
            <w:hideMark/>
          </w:tcPr>
          <w:p w14:paraId="1F760FB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Participant plan provisions</w:t>
            </w:r>
          </w:p>
        </w:tc>
        <w:tc>
          <w:tcPr>
            <w:tcW w:w="1077" w:type="dxa"/>
            <w:tcBorders>
              <w:top w:val="nil"/>
              <w:left w:val="nil"/>
              <w:bottom w:val="nil"/>
              <w:right w:val="nil"/>
            </w:tcBorders>
            <w:shd w:val="clear" w:color="FFFFFF" w:fill="FFFFFF"/>
            <w:noWrap/>
            <w:vAlign w:val="bottom"/>
            <w:hideMark/>
          </w:tcPr>
          <w:p w14:paraId="0F46B33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2.6</w:t>
            </w:r>
          </w:p>
        </w:tc>
        <w:tc>
          <w:tcPr>
            <w:tcW w:w="1104" w:type="dxa"/>
            <w:tcBorders>
              <w:top w:val="nil"/>
              <w:left w:val="nil"/>
              <w:bottom w:val="nil"/>
              <w:right w:val="nil"/>
            </w:tcBorders>
            <w:shd w:val="clear" w:color="FFFFFF" w:fill="FFFFFF"/>
            <w:noWrap/>
            <w:vAlign w:val="bottom"/>
            <w:hideMark/>
          </w:tcPr>
          <w:p w14:paraId="2655C12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1,574,980</w:t>
            </w:r>
          </w:p>
        </w:tc>
        <w:tc>
          <w:tcPr>
            <w:tcW w:w="236" w:type="dxa"/>
            <w:tcBorders>
              <w:top w:val="nil"/>
              <w:left w:val="nil"/>
              <w:bottom w:val="nil"/>
              <w:right w:val="nil"/>
            </w:tcBorders>
            <w:shd w:val="clear" w:color="FFFFFF" w:fill="FFFFFF"/>
            <w:noWrap/>
            <w:vAlign w:val="bottom"/>
            <w:hideMark/>
          </w:tcPr>
          <w:p w14:paraId="42E0119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2910BE6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1,380,845</w:t>
            </w:r>
          </w:p>
        </w:tc>
        <w:tc>
          <w:tcPr>
            <w:tcW w:w="236" w:type="dxa"/>
            <w:tcBorders>
              <w:top w:val="nil"/>
              <w:left w:val="nil"/>
              <w:bottom w:val="nil"/>
              <w:right w:val="nil"/>
            </w:tcBorders>
            <w:shd w:val="clear" w:color="FFFFFF" w:fill="FFFFFF"/>
            <w:noWrap/>
            <w:vAlign w:val="bottom"/>
            <w:hideMark/>
          </w:tcPr>
          <w:p w14:paraId="0266483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28EE5AE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706,402</w:t>
            </w:r>
          </w:p>
        </w:tc>
      </w:tr>
      <w:tr w:rsidR="00125069" w:rsidRPr="00125069" w14:paraId="1AED29B6" w14:textId="77777777" w:rsidTr="00084A73">
        <w:trPr>
          <w:trHeight w:val="255"/>
        </w:trPr>
        <w:tc>
          <w:tcPr>
            <w:tcW w:w="5245" w:type="dxa"/>
            <w:tcBorders>
              <w:top w:val="nil"/>
              <w:left w:val="nil"/>
              <w:bottom w:val="nil"/>
              <w:right w:val="nil"/>
            </w:tcBorders>
            <w:shd w:val="clear" w:color="FFFFFF" w:fill="FFFFFF"/>
            <w:vAlign w:val="bottom"/>
            <w:hideMark/>
          </w:tcPr>
          <w:p w14:paraId="430E80A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Provision for restoration obligations</w:t>
            </w:r>
          </w:p>
        </w:tc>
        <w:tc>
          <w:tcPr>
            <w:tcW w:w="1077" w:type="dxa"/>
            <w:tcBorders>
              <w:top w:val="nil"/>
              <w:left w:val="nil"/>
              <w:bottom w:val="nil"/>
              <w:right w:val="nil"/>
            </w:tcBorders>
            <w:shd w:val="clear" w:color="FFFFFF" w:fill="FFFFFF"/>
            <w:noWrap/>
            <w:vAlign w:val="bottom"/>
            <w:hideMark/>
          </w:tcPr>
          <w:p w14:paraId="1E6BA10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2.6</w:t>
            </w:r>
          </w:p>
        </w:tc>
        <w:tc>
          <w:tcPr>
            <w:tcW w:w="1104" w:type="dxa"/>
            <w:tcBorders>
              <w:top w:val="nil"/>
              <w:left w:val="nil"/>
              <w:bottom w:val="nil"/>
              <w:right w:val="nil"/>
            </w:tcBorders>
            <w:shd w:val="clear" w:color="FFFFFF" w:fill="FFFFFF"/>
            <w:noWrap/>
            <w:vAlign w:val="bottom"/>
            <w:hideMark/>
          </w:tcPr>
          <w:p w14:paraId="220E43A5"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6,725</w:t>
            </w:r>
          </w:p>
        </w:tc>
        <w:tc>
          <w:tcPr>
            <w:tcW w:w="236" w:type="dxa"/>
            <w:tcBorders>
              <w:top w:val="nil"/>
              <w:left w:val="nil"/>
              <w:bottom w:val="nil"/>
              <w:right w:val="nil"/>
            </w:tcBorders>
            <w:shd w:val="clear" w:color="FFFFFF" w:fill="FFFFFF"/>
            <w:noWrap/>
            <w:vAlign w:val="bottom"/>
            <w:hideMark/>
          </w:tcPr>
          <w:p w14:paraId="1845D53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A10F19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6,880</w:t>
            </w:r>
          </w:p>
        </w:tc>
        <w:tc>
          <w:tcPr>
            <w:tcW w:w="236" w:type="dxa"/>
            <w:tcBorders>
              <w:top w:val="nil"/>
              <w:left w:val="nil"/>
              <w:bottom w:val="nil"/>
              <w:right w:val="nil"/>
            </w:tcBorders>
            <w:shd w:val="clear" w:color="FFFFFF" w:fill="FFFFFF"/>
            <w:noWrap/>
            <w:vAlign w:val="bottom"/>
            <w:hideMark/>
          </w:tcPr>
          <w:p w14:paraId="07106B6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1BF4D71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5,930</w:t>
            </w:r>
          </w:p>
        </w:tc>
      </w:tr>
      <w:tr w:rsidR="00125069" w:rsidRPr="00125069" w14:paraId="50362608" w14:textId="77777777" w:rsidTr="00084A73">
        <w:trPr>
          <w:trHeight w:val="255"/>
        </w:trPr>
        <w:tc>
          <w:tcPr>
            <w:tcW w:w="5245" w:type="dxa"/>
            <w:tcBorders>
              <w:top w:val="nil"/>
              <w:left w:val="nil"/>
              <w:bottom w:val="nil"/>
              <w:right w:val="nil"/>
            </w:tcBorders>
            <w:shd w:val="clear" w:color="FFFFFF" w:fill="FFFFFF"/>
            <w:vAlign w:val="bottom"/>
            <w:hideMark/>
          </w:tcPr>
          <w:p w14:paraId="1765EB1C"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provisions</w:t>
            </w:r>
          </w:p>
        </w:tc>
        <w:tc>
          <w:tcPr>
            <w:tcW w:w="1077" w:type="dxa"/>
            <w:tcBorders>
              <w:top w:val="nil"/>
              <w:left w:val="nil"/>
              <w:bottom w:val="nil"/>
              <w:right w:val="nil"/>
            </w:tcBorders>
            <w:shd w:val="clear" w:color="FFFFFF" w:fill="FFFFFF"/>
            <w:noWrap/>
            <w:vAlign w:val="bottom"/>
            <w:hideMark/>
          </w:tcPr>
          <w:p w14:paraId="3BF9494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657D9DF5"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1,661,323</w:t>
            </w:r>
          </w:p>
        </w:tc>
        <w:tc>
          <w:tcPr>
            <w:tcW w:w="236" w:type="dxa"/>
            <w:tcBorders>
              <w:top w:val="nil"/>
              <w:left w:val="nil"/>
              <w:bottom w:val="nil"/>
              <w:right w:val="nil"/>
            </w:tcBorders>
            <w:shd w:val="clear" w:color="FFFFFF" w:fill="FFFFFF"/>
            <w:noWrap/>
            <w:vAlign w:val="bottom"/>
            <w:hideMark/>
          </w:tcPr>
          <w:p w14:paraId="1F21A66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68FAAF6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1,451,409</w:t>
            </w:r>
          </w:p>
        </w:tc>
        <w:tc>
          <w:tcPr>
            <w:tcW w:w="236" w:type="dxa"/>
            <w:tcBorders>
              <w:top w:val="nil"/>
              <w:left w:val="nil"/>
              <w:bottom w:val="nil"/>
              <w:right w:val="nil"/>
            </w:tcBorders>
            <w:shd w:val="clear" w:color="FFFFFF" w:fill="FFFFFF"/>
            <w:noWrap/>
            <w:vAlign w:val="bottom"/>
            <w:hideMark/>
          </w:tcPr>
          <w:p w14:paraId="74284D1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49229EE2"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767,908</w:t>
            </w:r>
          </w:p>
        </w:tc>
      </w:tr>
      <w:tr w:rsidR="00125069" w:rsidRPr="00125069" w14:paraId="44E096CF" w14:textId="77777777" w:rsidTr="00084A73">
        <w:trPr>
          <w:trHeight w:val="255"/>
        </w:trPr>
        <w:tc>
          <w:tcPr>
            <w:tcW w:w="5245" w:type="dxa"/>
            <w:tcBorders>
              <w:top w:val="nil"/>
              <w:left w:val="nil"/>
              <w:bottom w:val="nil"/>
              <w:right w:val="nil"/>
            </w:tcBorders>
            <w:shd w:val="clear" w:color="FFFFFF" w:fill="FFFFFF"/>
            <w:vAlign w:val="bottom"/>
            <w:hideMark/>
          </w:tcPr>
          <w:p w14:paraId="485DEA41"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liabilities</w:t>
            </w:r>
          </w:p>
        </w:tc>
        <w:tc>
          <w:tcPr>
            <w:tcW w:w="1077" w:type="dxa"/>
            <w:tcBorders>
              <w:top w:val="nil"/>
              <w:left w:val="nil"/>
              <w:bottom w:val="nil"/>
              <w:right w:val="nil"/>
            </w:tcBorders>
            <w:shd w:val="clear" w:color="FFFFFF" w:fill="FFFFFF"/>
            <w:noWrap/>
            <w:vAlign w:val="bottom"/>
            <w:hideMark/>
          </w:tcPr>
          <w:p w14:paraId="55F0A84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0C74EF36"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2,787,778</w:t>
            </w:r>
          </w:p>
        </w:tc>
        <w:tc>
          <w:tcPr>
            <w:tcW w:w="236" w:type="dxa"/>
            <w:tcBorders>
              <w:top w:val="nil"/>
              <w:left w:val="nil"/>
              <w:bottom w:val="nil"/>
              <w:right w:val="nil"/>
            </w:tcBorders>
            <w:shd w:val="clear" w:color="FFFFFF" w:fill="FFFFFF"/>
            <w:noWrap/>
            <w:vAlign w:val="bottom"/>
            <w:hideMark/>
          </w:tcPr>
          <w:p w14:paraId="7D09934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7364E30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2,024,029</w:t>
            </w:r>
          </w:p>
        </w:tc>
        <w:tc>
          <w:tcPr>
            <w:tcW w:w="236" w:type="dxa"/>
            <w:tcBorders>
              <w:top w:val="nil"/>
              <w:left w:val="nil"/>
              <w:bottom w:val="nil"/>
              <w:right w:val="nil"/>
            </w:tcBorders>
            <w:shd w:val="clear" w:color="FFFFFF" w:fill="FFFFFF"/>
            <w:noWrap/>
            <w:vAlign w:val="bottom"/>
            <w:hideMark/>
          </w:tcPr>
          <w:p w14:paraId="0065D59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5DC0B4AF"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995,738</w:t>
            </w:r>
          </w:p>
        </w:tc>
      </w:tr>
      <w:tr w:rsidR="00125069" w:rsidRPr="00125069" w14:paraId="299F1C9E" w14:textId="77777777" w:rsidTr="00084A73">
        <w:trPr>
          <w:trHeight w:val="255"/>
        </w:trPr>
        <w:tc>
          <w:tcPr>
            <w:tcW w:w="5245" w:type="dxa"/>
            <w:tcBorders>
              <w:top w:val="nil"/>
              <w:left w:val="nil"/>
              <w:bottom w:val="nil"/>
              <w:right w:val="nil"/>
            </w:tcBorders>
            <w:shd w:val="clear" w:color="FFFFFF" w:fill="FFFFFF"/>
            <w:vAlign w:val="bottom"/>
            <w:hideMark/>
          </w:tcPr>
          <w:p w14:paraId="77066760"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Net assets</w:t>
            </w:r>
          </w:p>
        </w:tc>
        <w:tc>
          <w:tcPr>
            <w:tcW w:w="1077" w:type="dxa"/>
            <w:tcBorders>
              <w:top w:val="nil"/>
              <w:left w:val="nil"/>
              <w:bottom w:val="nil"/>
              <w:right w:val="nil"/>
            </w:tcBorders>
            <w:shd w:val="clear" w:color="FFFFFF" w:fill="FFFFFF"/>
            <w:noWrap/>
            <w:vAlign w:val="bottom"/>
            <w:hideMark/>
          </w:tcPr>
          <w:p w14:paraId="4BB8C87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single" w:sz="4" w:space="0" w:color="auto"/>
              <w:right w:val="nil"/>
            </w:tcBorders>
            <w:shd w:val="clear" w:color="FFFFFF" w:fill="FFFFFF"/>
            <w:noWrap/>
            <w:vAlign w:val="bottom"/>
            <w:hideMark/>
          </w:tcPr>
          <w:p w14:paraId="0AEF10A4"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1,164,663</w:t>
            </w:r>
          </w:p>
        </w:tc>
        <w:tc>
          <w:tcPr>
            <w:tcW w:w="236" w:type="dxa"/>
            <w:tcBorders>
              <w:top w:val="nil"/>
              <w:left w:val="nil"/>
              <w:bottom w:val="nil"/>
              <w:right w:val="nil"/>
            </w:tcBorders>
            <w:shd w:val="clear" w:color="FFFFFF" w:fill="FFFFFF"/>
            <w:noWrap/>
            <w:vAlign w:val="bottom"/>
            <w:hideMark/>
          </w:tcPr>
          <w:p w14:paraId="105E18C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single" w:sz="4" w:space="0" w:color="auto"/>
              <w:right w:val="nil"/>
            </w:tcBorders>
            <w:shd w:val="clear" w:color="FFFFFF" w:fill="FFFFFF"/>
            <w:noWrap/>
            <w:vAlign w:val="bottom"/>
            <w:hideMark/>
          </w:tcPr>
          <w:p w14:paraId="04E962C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2,531,071</w:t>
            </w:r>
          </w:p>
        </w:tc>
        <w:tc>
          <w:tcPr>
            <w:tcW w:w="236" w:type="dxa"/>
            <w:tcBorders>
              <w:top w:val="nil"/>
              <w:left w:val="nil"/>
              <w:bottom w:val="nil"/>
              <w:right w:val="nil"/>
            </w:tcBorders>
            <w:shd w:val="clear" w:color="FFFFFF" w:fill="FFFFFF"/>
            <w:noWrap/>
            <w:vAlign w:val="bottom"/>
            <w:hideMark/>
          </w:tcPr>
          <w:p w14:paraId="087F805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single" w:sz="4" w:space="0" w:color="auto"/>
              <w:right w:val="nil"/>
            </w:tcBorders>
            <w:shd w:val="clear" w:color="FFFFFF" w:fill="FFFFFF"/>
            <w:noWrap/>
            <w:vAlign w:val="bottom"/>
            <w:hideMark/>
          </w:tcPr>
          <w:p w14:paraId="1E6BD38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1,874,920</w:t>
            </w:r>
          </w:p>
        </w:tc>
      </w:tr>
      <w:tr w:rsidR="00125069" w:rsidRPr="00125069" w14:paraId="18E4F2DB" w14:textId="77777777" w:rsidTr="00084A73">
        <w:trPr>
          <w:trHeight w:val="255"/>
        </w:trPr>
        <w:tc>
          <w:tcPr>
            <w:tcW w:w="5245" w:type="dxa"/>
            <w:tcBorders>
              <w:top w:val="nil"/>
              <w:left w:val="nil"/>
              <w:bottom w:val="nil"/>
              <w:right w:val="nil"/>
            </w:tcBorders>
            <w:shd w:val="clear" w:color="FFFFFF" w:fill="FFFFFF"/>
            <w:vAlign w:val="bottom"/>
            <w:hideMark/>
          </w:tcPr>
          <w:p w14:paraId="581997D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77" w:type="dxa"/>
            <w:tcBorders>
              <w:top w:val="nil"/>
              <w:left w:val="nil"/>
              <w:bottom w:val="nil"/>
              <w:right w:val="nil"/>
            </w:tcBorders>
            <w:shd w:val="clear" w:color="FFFFFF" w:fill="FFFFFF"/>
            <w:noWrap/>
            <w:vAlign w:val="bottom"/>
            <w:hideMark/>
          </w:tcPr>
          <w:p w14:paraId="68E1EC2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3E2DECC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02E1B99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28994573"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1B0A08B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6AFD77A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28E34511" w14:textId="77777777" w:rsidTr="00084A73">
        <w:trPr>
          <w:trHeight w:val="255"/>
        </w:trPr>
        <w:tc>
          <w:tcPr>
            <w:tcW w:w="5245" w:type="dxa"/>
            <w:tcBorders>
              <w:top w:val="nil"/>
              <w:left w:val="nil"/>
              <w:bottom w:val="nil"/>
              <w:right w:val="nil"/>
            </w:tcBorders>
            <w:shd w:val="clear" w:color="FFFFFF" w:fill="FFFFFF"/>
            <w:vAlign w:val="bottom"/>
            <w:hideMark/>
          </w:tcPr>
          <w:p w14:paraId="2245684B"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EQUITY</w:t>
            </w:r>
          </w:p>
        </w:tc>
        <w:tc>
          <w:tcPr>
            <w:tcW w:w="1077" w:type="dxa"/>
            <w:tcBorders>
              <w:top w:val="nil"/>
              <w:left w:val="nil"/>
              <w:bottom w:val="nil"/>
              <w:right w:val="nil"/>
            </w:tcBorders>
            <w:shd w:val="clear" w:color="FFFFFF" w:fill="FFFFFF"/>
            <w:noWrap/>
            <w:vAlign w:val="bottom"/>
            <w:hideMark/>
          </w:tcPr>
          <w:p w14:paraId="5BBEC99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414825C8"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 </w:t>
            </w:r>
          </w:p>
        </w:tc>
        <w:tc>
          <w:tcPr>
            <w:tcW w:w="236" w:type="dxa"/>
            <w:tcBorders>
              <w:top w:val="nil"/>
              <w:left w:val="nil"/>
              <w:bottom w:val="nil"/>
              <w:right w:val="nil"/>
            </w:tcBorders>
            <w:shd w:val="clear" w:color="FFFFFF" w:fill="FFFFFF"/>
            <w:noWrap/>
            <w:vAlign w:val="bottom"/>
            <w:hideMark/>
          </w:tcPr>
          <w:p w14:paraId="07DE3C8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73C4DCD5"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236" w:type="dxa"/>
            <w:tcBorders>
              <w:top w:val="nil"/>
              <w:left w:val="nil"/>
              <w:bottom w:val="nil"/>
              <w:right w:val="nil"/>
            </w:tcBorders>
            <w:shd w:val="clear" w:color="FFFFFF" w:fill="FFFFFF"/>
            <w:noWrap/>
            <w:vAlign w:val="bottom"/>
            <w:hideMark/>
          </w:tcPr>
          <w:p w14:paraId="6258D6C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0533A23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r>
      <w:tr w:rsidR="00125069" w:rsidRPr="00125069" w14:paraId="5BF952E2" w14:textId="77777777" w:rsidTr="00084A73">
        <w:trPr>
          <w:trHeight w:val="255"/>
        </w:trPr>
        <w:tc>
          <w:tcPr>
            <w:tcW w:w="5245" w:type="dxa"/>
            <w:tcBorders>
              <w:top w:val="nil"/>
              <w:left w:val="nil"/>
              <w:bottom w:val="nil"/>
              <w:right w:val="nil"/>
            </w:tcBorders>
            <w:shd w:val="clear" w:color="FFFFFF" w:fill="FFFFFF"/>
            <w:vAlign w:val="bottom"/>
            <w:hideMark/>
          </w:tcPr>
          <w:p w14:paraId="31DD674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Contributed equity</w:t>
            </w:r>
          </w:p>
        </w:tc>
        <w:tc>
          <w:tcPr>
            <w:tcW w:w="1077" w:type="dxa"/>
            <w:tcBorders>
              <w:top w:val="nil"/>
              <w:left w:val="nil"/>
              <w:bottom w:val="nil"/>
              <w:right w:val="nil"/>
            </w:tcBorders>
            <w:shd w:val="clear" w:color="FFFFFF" w:fill="FFFFFF"/>
            <w:noWrap/>
            <w:vAlign w:val="bottom"/>
            <w:hideMark/>
          </w:tcPr>
          <w:p w14:paraId="15D0014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67CE15F9"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205,733</w:t>
            </w:r>
          </w:p>
        </w:tc>
        <w:tc>
          <w:tcPr>
            <w:tcW w:w="236" w:type="dxa"/>
            <w:tcBorders>
              <w:top w:val="nil"/>
              <w:left w:val="nil"/>
              <w:bottom w:val="nil"/>
              <w:right w:val="nil"/>
            </w:tcBorders>
            <w:shd w:val="clear" w:color="FFFFFF" w:fill="FFFFFF"/>
            <w:noWrap/>
            <w:vAlign w:val="bottom"/>
            <w:hideMark/>
          </w:tcPr>
          <w:p w14:paraId="682DE41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4394697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205,733</w:t>
            </w:r>
          </w:p>
        </w:tc>
        <w:tc>
          <w:tcPr>
            <w:tcW w:w="236" w:type="dxa"/>
            <w:tcBorders>
              <w:top w:val="nil"/>
              <w:left w:val="nil"/>
              <w:bottom w:val="nil"/>
              <w:right w:val="nil"/>
            </w:tcBorders>
            <w:shd w:val="clear" w:color="FFFFFF" w:fill="FFFFFF"/>
            <w:noWrap/>
            <w:vAlign w:val="bottom"/>
            <w:hideMark/>
          </w:tcPr>
          <w:p w14:paraId="2F9F315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0935473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205,733</w:t>
            </w:r>
          </w:p>
        </w:tc>
      </w:tr>
      <w:tr w:rsidR="00125069" w:rsidRPr="00125069" w14:paraId="03C3A2C3" w14:textId="77777777" w:rsidTr="00084A73">
        <w:trPr>
          <w:trHeight w:val="255"/>
        </w:trPr>
        <w:tc>
          <w:tcPr>
            <w:tcW w:w="5245" w:type="dxa"/>
            <w:tcBorders>
              <w:top w:val="nil"/>
              <w:left w:val="nil"/>
              <w:bottom w:val="nil"/>
              <w:right w:val="nil"/>
            </w:tcBorders>
            <w:shd w:val="clear" w:color="FFFFFF" w:fill="FFFFFF"/>
            <w:vAlign w:val="bottom"/>
            <w:hideMark/>
          </w:tcPr>
          <w:p w14:paraId="06ED7C6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Asset revaluation reserve</w:t>
            </w:r>
          </w:p>
        </w:tc>
        <w:tc>
          <w:tcPr>
            <w:tcW w:w="1077" w:type="dxa"/>
            <w:tcBorders>
              <w:top w:val="nil"/>
              <w:left w:val="nil"/>
              <w:bottom w:val="nil"/>
              <w:right w:val="nil"/>
            </w:tcBorders>
            <w:shd w:val="clear" w:color="FFFFFF" w:fill="FFFFFF"/>
            <w:noWrap/>
            <w:vAlign w:val="bottom"/>
            <w:hideMark/>
          </w:tcPr>
          <w:p w14:paraId="5FCA15CB"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66B2E42F"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22,137</w:t>
            </w:r>
          </w:p>
        </w:tc>
        <w:tc>
          <w:tcPr>
            <w:tcW w:w="236" w:type="dxa"/>
            <w:tcBorders>
              <w:top w:val="nil"/>
              <w:left w:val="nil"/>
              <w:bottom w:val="nil"/>
              <w:right w:val="nil"/>
            </w:tcBorders>
            <w:shd w:val="clear" w:color="FFFFFF" w:fill="FFFFFF"/>
            <w:noWrap/>
            <w:vAlign w:val="bottom"/>
            <w:hideMark/>
          </w:tcPr>
          <w:p w14:paraId="77E8DE4D"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3BA51A26"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22,137</w:t>
            </w:r>
          </w:p>
        </w:tc>
        <w:tc>
          <w:tcPr>
            <w:tcW w:w="236" w:type="dxa"/>
            <w:tcBorders>
              <w:top w:val="nil"/>
              <w:left w:val="nil"/>
              <w:bottom w:val="nil"/>
              <w:right w:val="nil"/>
            </w:tcBorders>
            <w:shd w:val="clear" w:color="FFFFFF" w:fill="FFFFFF"/>
            <w:noWrap/>
            <w:vAlign w:val="bottom"/>
            <w:hideMark/>
          </w:tcPr>
          <w:p w14:paraId="47E8E61E"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4CD0DD3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11,012</w:t>
            </w:r>
          </w:p>
        </w:tc>
      </w:tr>
      <w:tr w:rsidR="00125069" w:rsidRPr="00125069" w14:paraId="7576E43B" w14:textId="77777777" w:rsidTr="00084A73">
        <w:trPr>
          <w:trHeight w:val="255"/>
        </w:trPr>
        <w:tc>
          <w:tcPr>
            <w:tcW w:w="5245" w:type="dxa"/>
            <w:tcBorders>
              <w:top w:val="nil"/>
              <w:left w:val="nil"/>
              <w:bottom w:val="nil"/>
              <w:right w:val="nil"/>
            </w:tcBorders>
            <w:shd w:val="clear" w:color="FFFFFF" w:fill="FFFFFF"/>
            <w:vAlign w:val="bottom"/>
            <w:hideMark/>
          </w:tcPr>
          <w:p w14:paraId="0347B828"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Retained surplus</w:t>
            </w:r>
          </w:p>
        </w:tc>
        <w:tc>
          <w:tcPr>
            <w:tcW w:w="1077" w:type="dxa"/>
            <w:tcBorders>
              <w:top w:val="nil"/>
              <w:left w:val="nil"/>
              <w:bottom w:val="nil"/>
              <w:right w:val="nil"/>
            </w:tcBorders>
            <w:shd w:val="clear" w:color="FFFFFF" w:fill="FFFFFF"/>
            <w:noWrap/>
            <w:vAlign w:val="bottom"/>
            <w:hideMark/>
          </w:tcPr>
          <w:p w14:paraId="71709B8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nil"/>
              <w:left w:val="nil"/>
              <w:bottom w:val="nil"/>
              <w:right w:val="nil"/>
            </w:tcBorders>
            <w:shd w:val="clear" w:color="FFFFFF" w:fill="FFFFFF"/>
            <w:noWrap/>
            <w:vAlign w:val="bottom"/>
            <w:hideMark/>
          </w:tcPr>
          <w:p w14:paraId="080BE224"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936,793</w:t>
            </w:r>
          </w:p>
        </w:tc>
        <w:tc>
          <w:tcPr>
            <w:tcW w:w="236" w:type="dxa"/>
            <w:tcBorders>
              <w:top w:val="nil"/>
              <w:left w:val="nil"/>
              <w:bottom w:val="nil"/>
              <w:right w:val="nil"/>
            </w:tcBorders>
            <w:shd w:val="clear" w:color="FFFFFF" w:fill="FFFFFF"/>
            <w:noWrap/>
            <w:vAlign w:val="bottom"/>
            <w:hideMark/>
          </w:tcPr>
          <w:p w14:paraId="4AEF43F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nil"/>
              <w:left w:val="nil"/>
              <w:bottom w:val="nil"/>
              <w:right w:val="nil"/>
            </w:tcBorders>
            <w:shd w:val="clear" w:color="FFFFFF" w:fill="FFFFFF"/>
            <w:noWrap/>
            <w:vAlign w:val="bottom"/>
            <w:hideMark/>
          </w:tcPr>
          <w:p w14:paraId="580E2541"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2,303,201</w:t>
            </w:r>
          </w:p>
        </w:tc>
        <w:tc>
          <w:tcPr>
            <w:tcW w:w="236" w:type="dxa"/>
            <w:tcBorders>
              <w:top w:val="nil"/>
              <w:left w:val="nil"/>
              <w:bottom w:val="nil"/>
              <w:right w:val="nil"/>
            </w:tcBorders>
            <w:shd w:val="clear" w:color="FFFFFF" w:fill="FFFFFF"/>
            <w:noWrap/>
            <w:vAlign w:val="bottom"/>
            <w:hideMark/>
          </w:tcPr>
          <w:p w14:paraId="31B80B00"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nil"/>
              <w:left w:val="nil"/>
              <w:bottom w:val="nil"/>
              <w:right w:val="nil"/>
            </w:tcBorders>
            <w:shd w:val="clear" w:color="FFFFFF" w:fill="FFFFFF"/>
            <w:noWrap/>
            <w:vAlign w:val="bottom"/>
            <w:hideMark/>
          </w:tcPr>
          <w:p w14:paraId="7C8AD76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1,658,175</w:t>
            </w:r>
          </w:p>
        </w:tc>
      </w:tr>
      <w:tr w:rsidR="00125069" w:rsidRPr="00125069" w14:paraId="2561609C" w14:textId="77777777" w:rsidTr="00084A73">
        <w:trPr>
          <w:trHeight w:val="255"/>
        </w:trPr>
        <w:tc>
          <w:tcPr>
            <w:tcW w:w="5245" w:type="dxa"/>
            <w:tcBorders>
              <w:top w:val="nil"/>
              <w:left w:val="nil"/>
              <w:bottom w:val="nil"/>
              <w:right w:val="nil"/>
            </w:tcBorders>
            <w:shd w:val="clear" w:color="FFFFFF" w:fill="FFFFFF"/>
            <w:vAlign w:val="bottom"/>
            <w:hideMark/>
          </w:tcPr>
          <w:p w14:paraId="6D1EACD5"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Total equity</w:t>
            </w:r>
          </w:p>
        </w:tc>
        <w:tc>
          <w:tcPr>
            <w:tcW w:w="1077" w:type="dxa"/>
            <w:tcBorders>
              <w:top w:val="nil"/>
              <w:left w:val="nil"/>
              <w:bottom w:val="nil"/>
              <w:right w:val="nil"/>
            </w:tcBorders>
            <w:shd w:val="clear" w:color="FFFFFF" w:fill="FFFFFF"/>
            <w:noWrap/>
            <w:vAlign w:val="bottom"/>
            <w:hideMark/>
          </w:tcPr>
          <w:p w14:paraId="4CD95BE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104" w:type="dxa"/>
            <w:tcBorders>
              <w:top w:val="single" w:sz="4" w:space="0" w:color="auto"/>
              <w:left w:val="nil"/>
              <w:bottom w:val="single" w:sz="4" w:space="0" w:color="auto"/>
              <w:right w:val="nil"/>
            </w:tcBorders>
            <w:shd w:val="clear" w:color="FFFFFF" w:fill="FFFFFF"/>
            <w:noWrap/>
            <w:vAlign w:val="bottom"/>
            <w:hideMark/>
          </w:tcPr>
          <w:p w14:paraId="49A7250D" w14:textId="77777777" w:rsidR="00125069" w:rsidRPr="00125069" w:rsidRDefault="00125069" w:rsidP="00125069">
            <w:pPr>
              <w:spacing w:before="0" w:after="80"/>
              <w:ind w:left="0"/>
              <w:rPr>
                <w:rFonts w:eastAsia="Times New Roman" w:cs="Times New Roman"/>
                <w:b/>
                <w:bCs/>
                <w:sz w:val="18"/>
                <w:szCs w:val="20"/>
                <w:lang w:eastAsia="en-AU"/>
              </w:rPr>
            </w:pPr>
            <w:r w:rsidRPr="00125069">
              <w:rPr>
                <w:rFonts w:eastAsia="Times New Roman" w:cs="Times New Roman"/>
                <w:b/>
                <w:bCs/>
                <w:sz w:val="18"/>
                <w:szCs w:val="20"/>
                <w:lang w:eastAsia="en-AU"/>
              </w:rPr>
              <w:t>1,164,663</w:t>
            </w:r>
          </w:p>
        </w:tc>
        <w:tc>
          <w:tcPr>
            <w:tcW w:w="236" w:type="dxa"/>
            <w:tcBorders>
              <w:top w:val="nil"/>
              <w:left w:val="nil"/>
              <w:bottom w:val="nil"/>
              <w:right w:val="nil"/>
            </w:tcBorders>
            <w:shd w:val="clear" w:color="FFFFFF" w:fill="FFFFFF"/>
            <w:noWrap/>
            <w:vAlign w:val="bottom"/>
            <w:hideMark/>
          </w:tcPr>
          <w:p w14:paraId="2C453ACA"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4" w:type="dxa"/>
            <w:tcBorders>
              <w:top w:val="single" w:sz="4" w:space="0" w:color="auto"/>
              <w:left w:val="nil"/>
              <w:bottom w:val="single" w:sz="4" w:space="0" w:color="auto"/>
              <w:right w:val="nil"/>
            </w:tcBorders>
            <w:shd w:val="clear" w:color="FFFFFF" w:fill="FFFFFF"/>
            <w:noWrap/>
            <w:vAlign w:val="bottom"/>
            <w:hideMark/>
          </w:tcPr>
          <w:p w14:paraId="76ED33C4"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2,531,071</w:t>
            </w:r>
          </w:p>
        </w:tc>
        <w:tc>
          <w:tcPr>
            <w:tcW w:w="236" w:type="dxa"/>
            <w:tcBorders>
              <w:top w:val="nil"/>
              <w:left w:val="nil"/>
              <w:bottom w:val="nil"/>
              <w:right w:val="nil"/>
            </w:tcBorders>
            <w:shd w:val="clear" w:color="FFFFFF" w:fill="FFFFFF"/>
            <w:noWrap/>
            <w:vAlign w:val="bottom"/>
            <w:hideMark/>
          </w:tcPr>
          <w:p w14:paraId="04E7E4FC"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 </w:t>
            </w:r>
          </w:p>
        </w:tc>
        <w:tc>
          <w:tcPr>
            <w:tcW w:w="1063" w:type="dxa"/>
            <w:tcBorders>
              <w:top w:val="single" w:sz="4" w:space="0" w:color="auto"/>
              <w:left w:val="nil"/>
              <w:bottom w:val="single" w:sz="4" w:space="0" w:color="auto"/>
              <w:right w:val="nil"/>
            </w:tcBorders>
            <w:shd w:val="clear" w:color="FFFFFF" w:fill="FFFFFF"/>
            <w:noWrap/>
            <w:vAlign w:val="bottom"/>
            <w:hideMark/>
          </w:tcPr>
          <w:p w14:paraId="4F4857E9" w14:textId="7777777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1,874,920</w:t>
            </w:r>
          </w:p>
        </w:tc>
      </w:tr>
    </w:tbl>
    <w:p w14:paraId="76E542DA" w14:textId="55E1D2F6"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lang w:eastAsia="en-AU"/>
        </w:rPr>
        <w:t>The above statement should be read in conjunction with the accompanying notes.</w:t>
      </w:r>
    </w:p>
    <w:p w14:paraId="5442A10D" w14:textId="65D556E7" w:rsidR="00125069" w:rsidRPr="00125069" w:rsidRDefault="00125069" w:rsidP="00125069">
      <w:pPr>
        <w:spacing w:before="0" w:after="80"/>
        <w:ind w:left="0"/>
        <w:rPr>
          <w:rFonts w:eastAsia="Times New Roman" w:cs="Times New Roman"/>
          <w:sz w:val="18"/>
          <w:szCs w:val="20"/>
          <w:lang w:eastAsia="en-AU"/>
        </w:rPr>
      </w:pPr>
      <w:r w:rsidRPr="00125069">
        <w:rPr>
          <w:rFonts w:eastAsia="Times New Roman" w:cs="Times New Roman"/>
          <w:sz w:val="18"/>
          <w:szCs w:val="20"/>
          <w:vertAlign w:val="superscript"/>
          <w:lang w:eastAsia="en-AU"/>
        </w:rPr>
        <w:t>1</w:t>
      </w:r>
      <w:r w:rsidRPr="00125069">
        <w:rPr>
          <w:rFonts w:eastAsia="Times New Roman" w:cs="Times New Roman"/>
          <w:sz w:val="18"/>
          <w:szCs w:val="20"/>
          <w:lang w:eastAsia="en-AU"/>
        </w:rPr>
        <w:t xml:space="preserve"> Original Budget refers to the figures published in the Portfolio Budget Statements 2019–20.</w:t>
      </w:r>
    </w:p>
    <w:p w14:paraId="51B4AF52" w14:textId="4D3678BA" w:rsidR="00125069" w:rsidRDefault="00125069" w:rsidP="00D97797">
      <w:pPr>
        <w:spacing w:before="0" w:after="80"/>
        <w:ind w:left="0"/>
        <w:rPr>
          <w:rFonts w:eastAsia="Times New Roman" w:cs="Times New Roman"/>
          <w:sz w:val="18"/>
          <w:szCs w:val="20"/>
          <w:lang w:eastAsia="en-AU"/>
        </w:rPr>
        <w:sectPr w:rsidR="00125069" w:rsidSect="00125069">
          <w:headerReference w:type="first" r:id="rId44"/>
          <w:pgSz w:w="11906" w:h="16838"/>
          <w:pgMar w:top="1021" w:right="907" w:bottom="1440" w:left="964" w:header="708" w:footer="708" w:gutter="0"/>
          <w:cols w:space="708"/>
          <w:titlePg/>
          <w:docGrid w:linePitch="360"/>
        </w:sectPr>
      </w:pPr>
      <w:r w:rsidRPr="00125069">
        <w:rPr>
          <w:rFonts w:eastAsia="Times New Roman" w:cs="Times New Roman"/>
          <w:sz w:val="18"/>
          <w:szCs w:val="20"/>
          <w:vertAlign w:val="superscript"/>
          <w:lang w:eastAsia="en-AU"/>
        </w:rPr>
        <w:t xml:space="preserve">2  </w:t>
      </w:r>
      <w:r w:rsidRPr="00125069">
        <w:rPr>
          <w:rFonts w:eastAsia="Times New Roman" w:cs="Times New Roman"/>
          <w:sz w:val="18"/>
          <w:szCs w:val="20"/>
          <w:lang w:eastAsia="en-AU"/>
        </w:rPr>
        <w:t>Right-of-use assets are included in the following line items:</w:t>
      </w:r>
      <w:r w:rsidR="00757F23">
        <w:rPr>
          <w:rFonts w:eastAsia="Times New Roman" w:cs="Times New Roman"/>
          <w:sz w:val="18"/>
          <w:szCs w:val="20"/>
          <w:lang w:eastAsia="en-AU"/>
        </w:rPr>
        <w:t xml:space="preserve"> b</w:t>
      </w:r>
      <w:r w:rsidRPr="00125069">
        <w:rPr>
          <w:rFonts w:eastAsia="Times New Roman" w:cs="Times New Roman"/>
          <w:sz w:val="18"/>
          <w:szCs w:val="20"/>
          <w:lang w:eastAsia="en-AU"/>
        </w:rPr>
        <w:t>uildings and</w:t>
      </w:r>
      <w:r w:rsidR="00757F23">
        <w:rPr>
          <w:rFonts w:eastAsia="Times New Roman" w:cs="Times New Roman"/>
          <w:sz w:val="18"/>
          <w:szCs w:val="20"/>
          <w:lang w:eastAsia="en-AU"/>
        </w:rPr>
        <w:t xml:space="preserve"> p</w:t>
      </w:r>
      <w:r w:rsidRPr="00125069">
        <w:rPr>
          <w:rFonts w:eastAsia="Times New Roman" w:cs="Times New Roman"/>
          <w:sz w:val="18"/>
          <w:szCs w:val="20"/>
          <w:lang w:eastAsia="en-AU"/>
        </w:rPr>
        <w:t>lant and equipment</w:t>
      </w:r>
      <w:r w:rsidR="00AE4E7C">
        <w:rPr>
          <w:rFonts w:eastAsia="Times New Roman" w:cs="Times New Roman"/>
          <w:sz w:val="18"/>
          <w:szCs w:val="20"/>
          <w:lang w:eastAsia="en-AU"/>
        </w:rPr>
        <w:t>.</w:t>
      </w:r>
    </w:p>
    <w:p w14:paraId="579B573B" w14:textId="4B00826F" w:rsidR="00AE4E7C" w:rsidRPr="00AE4E7C" w:rsidRDefault="00AE4E7C" w:rsidP="00AE4E7C">
      <w:pPr>
        <w:spacing w:before="0" w:line="120" w:lineRule="atLeast"/>
        <w:ind w:left="0"/>
        <w:rPr>
          <w:rFonts w:eastAsia="Times New Roman"/>
          <w:b/>
          <w:bCs/>
          <w:sz w:val="18"/>
          <w:szCs w:val="18"/>
          <w:lang w:eastAsia="en-US"/>
        </w:rPr>
      </w:pPr>
      <w:r w:rsidRPr="00AE4E7C">
        <w:rPr>
          <w:rFonts w:eastAsia="Times New Roman"/>
          <w:b/>
          <w:bCs/>
          <w:sz w:val="18"/>
          <w:szCs w:val="18"/>
          <w:lang w:eastAsia="en-US"/>
        </w:rPr>
        <w:lastRenderedPageBreak/>
        <w:t xml:space="preserve">Budget Variances Commentary </w:t>
      </w:r>
    </w:p>
    <w:p w14:paraId="7D6E67D8" w14:textId="0BF04D76" w:rsidR="00AE4E7C" w:rsidRDefault="00AE4E7C" w:rsidP="00AE4E7C">
      <w:pPr>
        <w:spacing w:before="0" w:line="120" w:lineRule="atLeast"/>
        <w:ind w:left="0"/>
        <w:rPr>
          <w:rFonts w:eastAsia="Times New Roman"/>
          <w:b/>
          <w:bCs/>
          <w:sz w:val="18"/>
          <w:szCs w:val="18"/>
          <w:lang w:eastAsia="en-US"/>
        </w:rPr>
      </w:pPr>
      <w:r w:rsidRPr="00AE4E7C">
        <w:rPr>
          <w:rFonts w:eastAsia="Times New Roman"/>
          <w:b/>
          <w:bCs/>
          <w:sz w:val="18"/>
          <w:szCs w:val="18"/>
          <w:lang w:eastAsia="en-US"/>
        </w:rPr>
        <w:t>Statement of Financial Position</w:t>
      </w:r>
    </w:p>
    <w:tbl>
      <w:tblPr>
        <w:tblpPr w:leftFromText="180" w:rightFromText="180" w:vertAnchor="text" w:tblpY="1"/>
        <w:tblOverlap w:val="never"/>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5"/>
        <w:gridCol w:w="7640"/>
      </w:tblGrid>
      <w:tr w:rsidR="00173485" w:rsidRPr="00AE4E7C" w14:paraId="698D4C56" w14:textId="77777777" w:rsidTr="0024339B">
        <w:trPr>
          <w:cantSplit/>
          <w:trHeight w:val="255"/>
          <w:tblHeader/>
        </w:trPr>
        <w:tc>
          <w:tcPr>
            <w:tcW w:w="2415" w:type="dxa"/>
            <w:shd w:val="clear" w:color="FFFFFF" w:fill="FFFFFF"/>
            <w:noWrap/>
            <w:vAlign w:val="center"/>
          </w:tcPr>
          <w:p w14:paraId="5F6A1107" w14:textId="77777777" w:rsidR="00173485" w:rsidRPr="00AE4E7C" w:rsidRDefault="00173485" w:rsidP="00A7248E">
            <w:pPr>
              <w:spacing w:before="0" w:after="0" w:line="260" w:lineRule="atLeast"/>
              <w:ind w:left="0"/>
              <w:rPr>
                <w:rFonts w:eastAsia="Times New Roman"/>
                <w:b/>
                <w:sz w:val="18"/>
                <w:szCs w:val="18"/>
                <w:lang w:eastAsia="en-US"/>
              </w:rPr>
            </w:pPr>
            <w:r w:rsidRPr="00AE4E7C">
              <w:rPr>
                <w:rFonts w:eastAsia="Times New Roman"/>
                <w:b/>
                <w:sz w:val="18"/>
                <w:szCs w:val="18"/>
                <w:lang w:eastAsia="en-US"/>
              </w:rPr>
              <w:t>Affected line items</w:t>
            </w:r>
          </w:p>
        </w:tc>
        <w:tc>
          <w:tcPr>
            <w:tcW w:w="7640" w:type="dxa"/>
            <w:shd w:val="clear" w:color="FFFFFF" w:fill="FFFFFF"/>
            <w:vAlign w:val="center"/>
          </w:tcPr>
          <w:p w14:paraId="031C2392" w14:textId="77777777" w:rsidR="00173485" w:rsidRPr="00AE4E7C" w:rsidRDefault="00173485" w:rsidP="00A7248E">
            <w:pPr>
              <w:spacing w:before="0" w:after="0" w:line="260" w:lineRule="atLeast"/>
              <w:ind w:left="0"/>
              <w:rPr>
                <w:rFonts w:eastAsia="Times New Roman"/>
                <w:b/>
                <w:sz w:val="18"/>
                <w:szCs w:val="18"/>
                <w:lang w:eastAsia="en-US"/>
              </w:rPr>
            </w:pPr>
            <w:r w:rsidRPr="00AE4E7C">
              <w:rPr>
                <w:rFonts w:eastAsia="Times New Roman"/>
                <w:b/>
                <w:sz w:val="18"/>
                <w:szCs w:val="18"/>
                <w:lang w:eastAsia="en-US"/>
              </w:rPr>
              <w:t>Explanations of major variances</w:t>
            </w:r>
          </w:p>
        </w:tc>
      </w:tr>
      <w:tr w:rsidR="00173485" w:rsidRPr="00AE4E7C" w14:paraId="3FEE2ED4" w14:textId="77777777" w:rsidTr="0024339B">
        <w:trPr>
          <w:cantSplit/>
          <w:trHeight w:val="255"/>
        </w:trPr>
        <w:tc>
          <w:tcPr>
            <w:tcW w:w="2415" w:type="dxa"/>
            <w:shd w:val="clear" w:color="auto" w:fill="auto"/>
            <w:noWrap/>
          </w:tcPr>
          <w:p w14:paraId="6CB67734"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Financial assets</w:t>
            </w:r>
          </w:p>
          <w:p w14:paraId="2F07EF51"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Cash and cash equivalents</w:t>
            </w:r>
          </w:p>
        </w:tc>
        <w:tc>
          <w:tcPr>
            <w:tcW w:w="7640" w:type="dxa"/>
            <w:shd w:val="clear" w:color="auto" w:fill="auto"/>
            <w:noWrap/>
          </w:tcPr>
          <w:p w14:paraId="5E74BFC7"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Cash comprises cash held on deposit and short-term term deposits, i.e. term deposits with an initial maturity of three months or less. Cash and cash equivalents are higher than Budget which assumed a higher cash utilisation. Major variances for cash and cash equivalents are detailed in the Budget Variances Commentary for the Cash Flow Statement.</w:t>
            </w:r>
          </w:p>
        </w:tc>
      </w:tr>
      <w:tr w:rsidR="00173485" w:rsidRPr="00AE4E7C" w14:paraId="32C9349E" w14:textId="77777777" w:rsidTr="0024339B">
        <w:trPr>
          <w:cantSplit/>
          <w:trHeight w:val="255"/>
        </w:trPr>
        <w:tc>
          <w:tcPr>
            <w:tcW w:w="2415" w:type="dxa"/>
            <w:shd w:val="clear" w:color="auto" w:fill="auto"/>
            <w:noWrap/>
          </w:tcPr>
          <w:p w14:paraId="2F874652"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Financial assets</w:t>
            </w:r>
          </w:p>
          <w:p w14:paraId="73A18051"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Trade and other receivables</w:t>
            </w:r>
          </w:p>
        </w:tc>
        <w:tc>
          <w:tcPr>
            <w:tcW w:w="7640" w:type="dxa"/>
            <w:shd w:val="clear" w:color="auto" w:fill="auto"/>
            <w:noWrap/>
          </w:tcPr>
          <w:p w14:paraId="15C49D0A"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 xml:space="preserve">As at 30 June 2020, the majority of the receivables balance represents the pandemic plan provider receivables. During March-June 2020, the Agency made optional advance payments to eligible registered providers to support them during the COVID-19 pandemic crisis, to ensure service continuity for participants in the NDIS. These payments are recoverable and therefore, accounted for as receivables. </w:t>
            </w:r>
          </w:p>
        </w:tc>
      </w:tr>
      <w:tr w:rsidR="00173485" w:rsidRPr="00AE4E7C" w14:paraId="287C6488" w14:textId="77777777" w:rsidTr="0024339B">
        <w:trPr>
          <w:cantSplit/>
          <w:trHeight w:val="255"/>
        </w:trPr>
        <w:tc>
          <w:tcPr>
            <w:tcW w:w="2415" w:type="dxa"/>
            <w:shd w:val="clear" w:color="auto" w:fill="auto"/>
            <w:noWrap/>
          </w:tcPr>
          <w:p w14:paraId="6BF45CC6"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Financial assets</w:t>
            </w:r>
          </w:p>
          <w:p w14:paraId="18980DCB"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Other financial assets</w:t>
            </w:r>
          </w:p>
        </w:tc>
        <w:tc>
          <w:tcPr>
            <w:tcW w:w="7640" w:type="dxa"/>
            <w:shd w:val="clear" w:color="auto" w:fill="auto"/>
            <w:noWrap/>
          </w:tcPr>
          <w:p w14:paraId="1C55F3F3"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The Budget did not anticipate other financial assets which are represented by term deposits with a maturity upon issue greater than 3 months (generally less than 100 days).</w:t>
            </w:r>
          </w:p>
        </w:tc>
      </w:tr>
      <w:tr w:rsidR="00173485" w:rsidRPr="00AE4E7C" w14:paraId="3729B128" w14:textId="77777777" w:rsidTr="0024339B">
        <w:trPr>
          <w:cantSplit/>
          <w:trHeight w:val="255"/>
        </w:trPr>
        <w:tc>
          <w:tcPr>
            <w:tcW w:w="2415" w:type="dxa"/>
            <w:shd w:val="clear" w:color="FFFFFF" w:fill="FFFFFF"/>
            <w:noWrap/>
          </w:tcPr>
          <w:p w14:paraId="4729722C"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Non-financial assets</w:t>
            </w:r>
          </w:p>
          <w:p w14:paraId="1C0DE7BD"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 xml:space="preserve">Buildings </w:t>
            </w:r>
          </w:p>
        </w:tc>
        <w:tc>
          <w:tcPr>
            <w:tcW w:w="7640" w:type="dxa"/>
            <w:shd w:val="clear" w:color="FFFFFF" w:fill="FFFFFF"/>
            <w:noWrap/>
          </w:tcPr>
          <w:p w14:paraId="5C800AC3" w14:textId="77777777" w:rsidR="00173485" w:rsidRPr="00AE4E7C" w:rsidRDefault="00173485" w:rsidP="00A7248E">
            <w:pPr>
              <w:spacing w:before="0" w:after="0" w:line="260" w:lineRule="atLeast"/>
              <w:ind w:left="0"/>
              <w:jc w:val="both"/>
              <w:rPr>
                <w:rFonts w:eastAsia="Times New Roman"/>
                <w:strike/>
                <w:sz w:val="18"/>
                <w:szCs w:val="18"/>
                <w:lang w:eastAsia="en-US"/>
              </w:rPr>
            </w:pPr>
            <w:r w:rsidRPr="00AE4E7C">
              <w:rPr>
                <w:rFonts w:eastAsia="Times New Roman"/>
                <w:sz w:val="18"/>
                <w:szCs w:val="18"/>
                <w:lang w:eastAsia="en-US"/>
              </w:rPr>
              <w:t>The revised standard AASB 16</w:t>
            </w:r>
            <w:r w:rsidRPr="00AE4E7C">
              <w:rPr>
                <w:rFonts w:eastAsia="Times New Roman"/>
                <w:i/>
                <w:sz w:val="18"/>
                <w:szCs w:val="18"/>
                <w:lang w:eastAsia="en-US"/>
              </w:rPr>
              <w:t xml:space="preserve"> Leases</w:t>
            </w:r>
            <w:r w:rsidRPr="00AE4E7C">
              <w:rPr>
                <w:rFonts w:eastAsia="Times New Roman"/>
                <w:sz w:val="18"/>
                <w:szCs w:val="18"/>
                <w:lang w:eastAsia="en-US"/>
              </w:rPr>
              <w:t xml:space="preserve"> requires lessees to recognise a right of use asset/(s) for all leases unless the lease term is 12 months or less, or the underlying asset has a low value. This has resulted in a significant increase in the value of buildings not anticipated in the Budget.</w:t>
            </w:r>
          </w:p>
        </w:tc>
      </w:tr>
      <w:tr w:rsidR="00173485" w:rsidRPr="00AE4E7C" w14:paraId="764B4868" w14:textId="77777777" w:rsidTr="0024339B">
        <w:trPr>
          <w:cantSplit/>
          <w:trHeight w:val="255"/>
        </w:trPr>
        <w:tc>
          <w:tcPr>
            <w:tcW w:w="2415" w:type="dxa"/>
            <w:shd w:val="clear" w:color="FFFFFF" w:fill="FFFFFF"/>
            <w:noWrap/>
          </w:tcPr>
          <w:p w14:paraId="557E2EF6"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Non-financial assets</w:t>
            </w:r>
          </w:p>
          <w:p w14:paraId="64DC6EA1"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Plant and equipment</w:t>
            </w:r>
          </w:p>
        </w:tc>
        <w:tc>
          <w:tcPr>
            <w:tcW w:w="7640" w:type="dxa"/>
            <w:shd w:val="clear" w:color="FFFFFF" w:fill="FFFFFF"/>
            <w:noWrap/>
          </w:tcPr>
          <w:p w14:paraId="778CF977"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 xml:space="preserve">The Budget did not anticipate significant movement in plant and equipment.  The movement represents recognition of motor vehicle right of use assets under AASB 16 </w:t>
            </w:r>
            <w:r w:rsidRPr="00AE4E7C">
              <w:rPr>
                <w:rFonts w:eastAsia="Times New Roman"/>
                <w:i/>
                <w:sz w:val="18"/>
                <w:szCs w:val="18"/>
                <w:lang w:eastAsia="en-US"/>
              </w:rPr>
              <w:t>Leases</w:t>
            </w:r>
            <w:r w:rsidRPr="00AE4E7C">
              <w:rPr>
                <w:rFonts w:eastAsia="Times New Roman"/>
                <w:sz w:val="18"/>
                <w:szCs w:val="18"/>
                <w:lang w:eastAsia="en-US"/>
              </w:rPr>
              <w:t>.</w:t>
            </w:r>
          </w:p>
        </w:tc>
      </w:tr>
      <w:tr w:rsidR="00173485" w:rsidRPr="00AE4E7C" w14:paraId="276E6F40" w14:textId="77777777" w:rsidTr="0024339B">
        <w:trPr>
          <w:cantSplit/>
          <w:trHeight w:val="255"/>
        </w:trPr>
        <w:tc>
          <w:tcPr>
            <w:tcW w:w="2415" w:type="dxa"/>
            <w:shd w:val="clear" w:color="FFFFFF" w:fill="FFFFFF"/>
            <w:noWrap/>
          </w:tcPr>
          <w:p w14:paraId="4125B97D"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Non-financial assets</w:t>
            </w:r>
          </w:p>
          <w:p w14:paraId="5F49C60D"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Other non-financial assets</w:t>
            </w:r>
          </w:p>
        </w:tc>
        <w:tc>
          <w:tcPr>
            <w:tcW w:w="7640" w:type="dxa"/>
            <w:shd w:val="clear" w:color="FFFFFF" w:fill="FFFFFF"/>
            <w:noWrap/>
          </w:tcPr>
          <w:p w14:paraId="2C3FD22A"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Other non-financial assets comprises prepaid expenses. The major component of this balance relates to participant plan prepayments. This balance is assessed by the Scheme Actuary and is driven by the timing of receipts and payments of claims from providers.</w:t>
            </w:r>
          </w:p>
        </w:tc>
      </w:tr>
      <w:tr w:rsidR="00173485" w:rsidRPr="00AE4E7C" w14:paraId="1511BFD9" w14:textId="77777777" w:rsidTr="0024339B">
        <w:trPr>
          <w:cantSplit/>
          <w:trHeight w:val="255"/>
        </w:trPr>
        <w:tc>
          <w:tcPr>
            <w:tcW w:w="2415" w:type="dxa"/>
            <w:shd w:val="clear" w:color="FFFFFF" w:fill="FFFFFF"/>
            <w:noWrap/>
          </w:tcPr>
          <w:p w14:paraId="52AEA37F"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Liabilities</w:t>
            </w:r>
          </w:p>
          <w:p w14:paraId="10C3104A"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Suppliers</w:t>
            </w:r>
          </w:p>
        </w:tc>
        <w:tc>
          <w:tcPr>
            <w:tcW w:w="7640" w:type="dxa"/>
            <w:shd w:val="clear" w:color="FFFFFF" w:fill="FFFFFF"/>
            <w:noWrap/>
          </w:tcPr>
          <w:p w14:paraId="26548F7F"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 xml:space="preserve">Supplier payables are higher than Budget mainly due to the accrued expenses associated with the Department of Health invoices related to Younger People in Residential Aged Care (YPIRAC), which were not budgeted for as payables. </w:t>
            </w:r>
          </w:p>
        </w:tc>
      </w:tr>
      <w:tr w:rsidR="00173485" w:rsidRPr="00AE4E7C" w14:paraId="3FA686BE" w14:textId="77777777" w:rsidTr="0024339B">
        <w:trPr>
          <w:cantSplit/>
          <w:trHeight w:val="255"/>
        </w:trPr>
        <w:tc>
          <w:tcPr>
            <w:tcW w:w="2415" w:type="dxa"/>
            <w:shd w:val="clear" w:color="FFFFFF" w:fill="FFFFFF"/>
            <w:noWrap/>
          </w:tcPr>
          <w:p w14:paraId="64F9B0F6"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Liabilities</w:t>
            </w:r>
          </w:p>
          <w:p w14:paraId="5A06B1FF"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Other payables</w:t>
            </w:r>
          </w:p>
        </w:tc>
        <w:tc>
          <w:tcPr>
            <w:tcW w:w="7640" w:type="dxa"/>
            <w:shd w:val="clear" w:color="FFFFFF" w:fill="FFFFFF"/>
            <w:noWrap/>
          </w:tcPr>
          <w:p w14:paraId="4DE75B4D"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Other payables are higher than Budget, primarily due to an increase in number of days for accrued salaries and superannuation at 30 June 2020. Additionally, the increase in full-time equivalent (FTE) staff in 2019-20 has also contributed to the overall increase in this liability.</w:t>
            </w:r>
          </w:p>
        </w:tc>
      </w:tr>
      <w:tr w:rsidR="00173485" w:rsidRPr="00AE4E7C" w14:paraId="348C6289" w14:textId="77777777" w:rsidTr="0024339B">
        <w:trPr>
          <w:cantSplit/>
          <w:trHeight w:val="255"/>
        </w:trPr>
        <w:tc>
          <w:tcPr>
            <w:tcW w:w="2415" w:type="dxa"/>
            <w:shd w:val="clear" w:color="FFFFFF" w:fill="FFFFFF"/>
            <w:noWrap/>
          </w:tcPr>
          <w:p w14:paraId="728C04D5"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Interest bearing liabilities</w:t>
            </w:r>
          </w:p>
          <w:p w14:paraId="00A2491B"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Leases</w:t>
            </w:r>
          </w:p>
        </w:tc>
        <w:tc>
          <w:tcPr>
            <w:tcW w:w="7640" w:type="dxa"/>
            <w:shd w:val="clear" w:color="FFFFFF" w:fill="FFFFFF"/>
            <w:noWrap/>
          </w:tcPr>
          <w:p w14:paraId="6CDB4FAC"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 xml:space="preserve">This balance is the right-of-use lease liability under AASB 16 </w:t>
            </w:r>
            <w:r w:rsidRPr="00AE4E7C">
              <w:rPr>
                <w:rFonts w:eastAsia="Times New Roman"/>
                <w:i/>
                <w:sz w:val="18"/>
                <w:szCs w:val="18"/>
                <w:lang w:eastAsia="en-US"/>
              </w:rPr>
              <w:t>Leases</w:t>
            </w:r>
            <w:r w:rsidRPr="00AE4E7C">
              <w:rPr>
                <w:rFonts w:eastAsia="Times New Roman"/>
                <w:sz w:val="18"/>
                <w:szCs w:val="18"/>
                <w:lang w:eastAsia="en-US"/>
              </w:rPr>
              <w:t xml:space="preserve"> not reflected in the Budget.</w:t>
            </w:r>
          </w:p>
        </w:tc>
      </w:tr>
      <w:tr w:rsidR="00173485" w:rsidRPr="00AE4E7C" w14:paraId="034C008D" w14:textId="77777777" w:rsidTr="0024339B">
        <w:trPr>
          <w:cantSplit/>
          <w:trHeight w:val="255"/>
        </w:trPr>
        <w:tc>
          <w:tcPr>
            <w:tcW w:w="2415" w:type="dxa"/>
            <w:shd w:val="clear" w:color="FFFFFF" w:fill="FFFFFF"/>
            <w:noWrap/>
          </w:tcPr>
          <w:p w14:paraId="08ACFA1D"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Unearned Revenue</w:t>
            </w:r>
          </w:p>
        </w:tc>
        <w:tc>
          <w:tcPr>
            <w:tcW w:w="7640" w:type="dxa"/>
            <w:shd w:val="clear" w:color="FFFFFF" w:fill="FFFFFF"/>
            <w:noWrap/>
          </w:tcPr>
          <w:p w14:paraId="6F03E3ED"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 xml:space="preserve">This balance represents in-kind or other cash contribution offsets relating to the current period, to be deducted from future contribution receipts, that were not budgeted for. </w:t>
            </w:r>
          </w:p>
        </w:tc>
      </w:tr>
      <w:tr w:rsidR="00173485" w:rsidRPr="00AE4E7C" w14:paraId="02521FE5" w14:textId="77777777" w:rsidTr="0024339B">
        <w:trPr>
          <w:cantSplit/>
          <w:trHeight w:val="255"/>
        </w:trPr>
        <w:tc>
          <w:tcPr>
            <w:tcW w:w="2415" w:type="dxa"/>
            <w:shd w:val="clear" w:color="FFFFFF" w:fill="FFFFFF"/>
            <w:noWrap/>
          </w:tcPr>
          <w:p w14:paraId="15BDC1AB"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Provisions</w:t>
            </w:r>
          </w:p>
          <w:p w14:paraId="2BBB898D"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Employee provisions</w:t>
            </w:r>
          </w:p>
        </w:tc>
        <w:tc>
          <w:tcPr>
            <w:tcW w:w="7640" w:type="dxa"/>
            <w:shd w:val="clear" w:color="FFFFFF" w:fill="FFFFFF"/>
            <w:noWrap/>
          </w:tcPr>
          <w:p w14:paraId="5498BB31" w14:textId="77777777" w:rsidR="00173485" w:rsidRPr="00AE4E7C" w:rsidRDefault="00173485" w:rsidP="00A7248E">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The Agency's employee provisions are assessed annually in accordance with parameters developed by the Australian Government Actuary.  The decrease in interest rates post Budget has resulted in the use of a lower discount rate in the actual provision calculation to that used in Budget calculation.  Additionally, the increase in full-time equivalent (FTE) staff in 2019-20 has also contributed to the overall increase of the Employee provisions.</w:t>
            </w:r>
          </w:p>
        </w:tc>
      </w:tr>
      <w:tr w:rsidR="00173485" w:rsidRPr="00AE4E7C" w14:paraId="60E1AD4C" w14:textId="77777777" w:rsidTr="0024339B">
        <w:trPr>
          <w:cantSplit/>
          <w:trHeight w:val="255"/>
        </w:trPr>
        <w:tc>
          <w:tcPr>
            <w:tcW w:w="2415" w:type="dxa"/>
            <w:shd w:val="clear" w:color="FFFFFF" w:fill="FFFFFF"/>
            <w:noWrap/>
          </w:tcPr>
          <w:p w14:paraId="239E468C" w14:textId="77777777" w:rsidR="00173485" w:rsidRPr="00AE4E7C" w:rsidRDefault="00173485" w:rsidP="00A7248E">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Provisions</w:t>
            </w:r>
          </w:p>
          <w:p w14:paraId="0A051EBD" w14:textId="77777777" w:rsidR="00173485" w:rsidRPr="00AE4E7C" w:rsidRDefault="00173485" w:rsidP="00A7248E">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Participant plan provision</w:t>
            </w:r>
          </w:p>
        </w:tc>
        <w:tc>
          <w:tcPr>
            <w:tcW w:w="7640" w:type="dxa"/>
            <w:shd w:val="clear" w:color="FFFFFF" w:fill="FFFFFF"/>
            <w:noWrap/>
          </w:tcPr>
          <w:p w14:paraId="090D5E27" w14:textId="0E4108C7" w:rsidR="00173485" w:rsidRPr="00AE4E7C" w:rsidRDefault="00173485" w:rsidP="00173485">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The participant plan provision is higher than projected in the Budget due to the rise in participant numbers in the Scheme. The Budget estimate assumed no growth in the provision from the time it was set in April 2019 (based on the balance at the end of the previous financial year).</w:t>
            </w:r>
          </w:p>
        </w:tc>
      </w:tr>
    </w:tbl>
    <w:p w14:paraId="47AF7539" w14:textId="77287FE5" w:rsidR="00173485" w:rsidRDefault="00173485" w:rsidP="00AE4E7C">
      <w:pPr>
        <w:spacing w:before="0" w:line="120" w:lineRule="atLeast"/>
        <w:ind w:left="0"/>
        <w:rPr>
          <w:rFonts w:eastAsia="Times New Roman"/>
          <w:b/>
          <w:bCs/>
          <w:sz w:val="18"/>
          <w:szCs w:val="18"/>
          <w:lang w:eastAsia="en-US"/>
        </w:rPr>
      </w:pPr>
    </w:p>
    <w:p w14:paraId="18A8A756" w14:textId="39F9B73B" w:rsidR="00173485" w:rsidRPr="00AE4E7C" w:rsidRDefault="00173485" w:rsidP="00173485">
      <w:pPr>
        <w:spacing w:before="0" w:after="160" w:line="259" w:lineRule="auto"/>
        <w:ind w:left="0"/>
        <w:rPr>
          <w:rFonts w:eastAsia="Times New Roman"/>
          <w:b/>
          <w:bCs/>
          <w:sz w:val="18"/>
          <w:szCs w:val="18"/>
          <w:lang w:eastAsia="en-US"/>
        </w:rPr>
      </w:pPr>
      <w:r>
        <w:rPr>
          <w:rFonts w:eastAsia="Times New Roman"/>
          <w:b/>
          <w:bCs/>
          <w:sz w:val="18"/>
          <w:szCs w:val="18"/>
          <w:lang w:eastAsia="en-US"/>
        </w:rPr>
        <w:br w:type="page"/>
      </w:r>
    </w:p>
    <w:tbl>
      <w:tblPr>
        <w:tblW w:w="10070"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5"/>
        <w:gridCol w:w="7655"/>
      </w:tblGrid>
      <w:tr w:rsidR="00AE4E7C" w:rsidRPr="00AE4E7C" w14:paraId="0F7FD7BB" w14:textId="77777777" w:rsidTr="00084A73">
        <w:trPr>
          <w:cantSplit/>
          <w:trHeight w:val="255"/>
        </w:trPr>
        <w:tc>
          <w:tcPr>
            <w:tcW w:w="2415" w:type="dxa"/>
            <w:shd w:val="clear" w:color="FFFFFF" w:fill="FFFFFF"/>
            <w:noWrap/>
            <w:vAlign w:val="center"/>
          </w:tcPr>
          <w:p w14:paraId="5119F530" w14:textId="2F559AB8" w:rsidR="00AE4E7C" w:rsidRPr="00AE4E7C" w:rsidRDefault="00AE4E7C" w:rsidP="00AE4E7C">
            <w:pPr>
              <w:spacing w:before="0" w:after="0" w:line="260" w:lineRule="atLeast"/>
              <w:ind w:left="0"/>
              <w:rPr>
                <w:rFonts w:eastAsia="Times New Roman"/>
                <w:bCs/>
                <w:sz w:val="18"/>
                <w:szCs w:val="18"/>
                <w:lang w:eastAsia="en-US"/>
              </w:rPr>
            </w:pPr>
            <w:r>
              <w:rPr>
                <w:b/>
                <w:sz w:val="18"/>
                <w:szCs w:val="18"/>
              </w:rPr>
              <w:lastRenderedPageBreak/>
              <w:t>Affected line items</w:t>
            </w:r>
          </w:p>
        </w:tc>
        <w:tc>
          <w:tcPr>
            <w:tcW w:w="7655" w:type="dxa"/>
            <w:shd w:val="clear" w:color="FFFFFF" w:fill="FFFFFF"/>
            <w:noWrap/>
            <w:vAlign w:val="center"/>
          </w:tcPr>
          <w:p w14:paraId="6BE01B2F" w14:textId="021D62BC" w:rsidR="00AE4E7C" w:rsidRPr="00AE4E7C" w:rsidRDefault="00AE4E7C" w:rsidP="00AE4E7C">
            <w:pPr>
              <w:spacing w:before="0" w:after="0" w:line="260" w:lineRule="atLeast"/>
              <w:ind w:left="0"/>
              <w:jc w:val="both"/>
              <w:rPr>
                <w:rFonts w:eastAsia="Times New Roman"/>
                <w:sz w:val="18"/>
                <w:szCs w:val="18"/>
                <w:lang w:eastAsia="en-US"/>
              </w:rPr>
            </w:pPr>
            <w:r>
              <w:rPr>
                <w:b/>
                <w:sz w:val="18"/>
                <w:szCs w:val="18"/>
              </w:rPr>
              <w:t>Explanations of major variances</w:t>
            </w:r>
          </w:p>
        </w:tc>
      </w:tr>
      <w:tr w:rsidR="00AE4E7C" w:rsidRPr="00AE4E7C" w14:paraId="55520A9C" w14:textId="77777777" w:rsidTr="00173485">
        <w:trPr>
          <w:cantSplit/>
          <w:trHeight w:val="255"/>
        </w:trPr>
        <w:tc>
          <w:tcPr>
            <w:tcW w:w="2415" w:type="dxa"/>
            <w:shd w:val="clear" w:color="FFFFFF" w:fill="FFFFFF"/>
            <w:noWrap/>
          </w:tcPr>
          <w:p w14:paraId="3F613BDA" w14:textId="77777777" w:rsidR="00AE4E7C" w:rsidRPr="00AE4E7C" w:rsidRDefault="00AE4E7C" w:rsidP="00AE4E7C">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Provisions</w:t>
            </w:r>
          </w:p>
          <w:p w14:paraId="1041F443" w14:textId="77777777" w:rsidR="00AE4E7C" w:rsidRPr="00AE4E7C" w:rsidRDefault="00AE4E7C" w:rsidP="00AE4E7C">
            <w:pPr>
              <w:spacing w:before="0" w:after="0" w:line="260" w:lineRule="atLeast"/>
              <w:ind w:left="0"/>
              <w:rPr>
                <w:rFonts w:eastAsia="Times New Roman"/>
                <w:bCs/>
                <w:i/>
                <w:sz w:val="18"/>
                <w:szCs w:val="18"/>
                <w:lang w:eastAsia="en-US"/>
              </w:rPr>
            </w:pPr>
            <w:r w:rsidRPr="00AE4E7C">
              <w:rPr>
                <w:rFonts w:eastAsia="Times New Roman"/>
                <w:bCs/>
                <w:i/>
                <w:sz w:val="18"/>
                <w:szCs w:val="18"/>
                <w:lang w:eastAsia="en-US"/>
              </w:rPr>
              <w:t>Provision for restoration obligations</w:t>
            </w:r>
          </w:p>
        </w:tc>
        <w:tc>
          <w:tcPr>
            <w:tcW w:w="7655" w:type="dxa"/>
            <w:shd w:val="clear" w:color="FFFFFF" w:fill="FFFFFF"/>
            <w:noWrap/>
          </w:tcPr>
          <w:p w14:paraId="4D446E8E" w14:textId="77777777" w:rsidR="00AE4E7C" w:rsidRPr="00AE4E7C" w:rsidRDefault="00AE4E7C" w:rsidP="00AE4E7C">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Whilst the Agency has adopted whole-of-government policies for co-locating service delivery sites within existing Commonwealth property infrastructure, where feasible, the 'Provision for restoration obligations' is higher than budget mainly due to an increase in the Agency's property footprint during the year, also reflected by the increase in purchase of leasehold improvements. The Agency commenced a number of new leases with restoration obligations during 2019-20.</w:t>
            </w:r>
          </w:p>
        </w:tc>
      </w:tr>
      <w:tr w:rsidR="00AE4E7C" w:rsidRPr="00AE4E7C" w14:paraId="59F2460E" w14:textId="77777777" w:rsidTr="00173485">
        <w:trPr>
          <w:cantSplit/>
          <w:trHeight w:val="255"/>
        </w:trPr>
        <w:tc>
          <w:tcPr>
            <w:tcW w:w="2415" w:type="dxa"/>
            <w:shd w:val="clear" w:color="FFFFFF" w:fill="FFFFFF"/>
            <w:noWrap/>
          </w:tcPr>
          <w:p w14:paraId="476DF862" w14:textId="77777777" w:rsidR="00AE4E7C" w:rsidRPr="00AE4E7C" w:rsidRDefault="00AE4E7C" w:rsidP="00AE4E7C">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Asset revaluation reserve</w:t>
            </w:r>
          </w:p>
        </w:tc>
        <w:tc>
          <w:tcPr>
            <w:tcW w:w="7655" w:type="dxa"/>
            <w:shd w:val="clear" w:color="FFFFFF" w:fill="FFFFFF"/>
            <w:noWrap/>
          </w:tcPr>
          <w:p w14:paraId="60DEAF27" w14:textId="77777777" w:rsidR="00AE4E7C" w:rsidRPr="00AE4E7C" w:rsidRDefault="00AE4E7C" w:rsidP="00AE4E7C">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No revaluations were made during 2019-20. The Budget was set prior to a revaluation being made at the end of the prior period.</w:t>
            </w:r>
          </w:p>
        </w:tc>
      </w:tr>
      <w:tr w:rsidR="00AE4E7C" w:rsidRPr="00AE4E7C" w14:paraId="04A4877B" w14:textId="77777777" w:rsidTr="00173485">
        <w:trPr>
          <w:cantSplit/>
          <w:trHeight w:val="255"/>
        </w:trPr>
        <w:tc>
          <w:tcPr>
            <w:tcW w:w="2415" w:type="dxa"/>
            <w:shd w:val="clear" w:color="FFFFFF" w:fill="FFFFFF"/>
            <w:noWrap/>
          </w:tcPr>
          <w:p w14:paraId="3E766D97" w14:textId="77777777" w:rsidR="00AE4E7C" w:rsidRPr="00AE4E7C" w:rsidRDefault="00AE4E7C" w:rsidP="00AE4E7C">
            <w:pPr>
              <w:spacing w:before="0" w:after="0" w:line="260" w:lineRule="atLeast"/>
              <w:ind w:left="0"/>
              <w:rPr>
                <w:rFonts w:eastAsia="Times New Roman"/>
                <w:bCs/>
                <w:sz w:val="18"/>
                <w:szCs w:val="18"/>
                <w:lang w:eastAsia="en-US"/>
              </w:rPr>
            </w:pPr>
            <w:r w:rsidRPr="00AE4E7C">
              <w:rPr>
                <w:rFonts w:eastAsia="Times New Roman"/>
                <w:bCs/>
                <w:sz w:val="18"/>
                <w:szCs w:val="18"/>
                <w:lang w:eastAsia="en-US"/>
              </w:rPr>
              <w:t>Retained surplus</w:t>
            </w:r>
          </w:p>
        </w:tc>
        <w:tc>
          <w:tcPr>
            <w:tcW w:w="7655" w:type="dxa"/>
            <w:shd w:val="clear" w:color="FFFFFF" w:fill="FFFFFF"/>
            <w:noWrap/>
          </w:tcPr>
          <w:p w14:paraId="6056FFE9" w14:textId="77777777" w:rsidR="00AE4E7C" w:rsidRPr="00AE4E7C" w:rsidRDefault="00AE4E7C" w:rsidP="00AE4E7C">
            <w:pPr>
              <w:spacing w:before="0" w:after="0" w:line="260" w:lineRule="atLeast"/>
              <w:ind w:left="0"/>
              <w:jc w:val="both"/>
              <w:rPr>
                <w:rFonts w:eastAsia="Times New Roman"/>
                <w:sz w:val="18"/>
                <w:szCs w:val="18"/>
                <w:lang w:eastAsia="en-US"/>
              </w:rPr>
            </w:pPr>
            <w:r w:rsidRPr="00AE4E7C">
              <w:rPr>
                <w:rFonts w:eastAsia="Times New Roman"/>
                <w:sz w:val="18"/>
                <w:szCs w:val="18"/>
                <w:lang w:eastAsia="en-US"/>
              </w:rPr>
              <w:t>Major variances for the retained surplus are detailed in the Budget Variances Commentary for the Statement of Comprehensive Income.</w:t>
            </w:r>
          </w:p>
        </w:tc>
      </w:tr>
    </w:tbl>
    <w:p w14:paraId="55116235" w14:textId="5D7A749E" w:rsidR="00795876" w:rsidRDefault="00795876">
      <w:pPr>
        <w:spacing w:before="0" w:after="160" w:line="259" w:lineRule="auto"/>
        <w:ind w:left="0"/>
        <w:rPr>
          <w:highlight w:val="yellow"/>
          <w:lang w:eastAsia="en-US"/>
        </w:rPr>
      </w:pPr>
    </w:p>
    <w:p w14:paraId="3308A4FE" w14:textId="77777777" w:rsidR="00795876" w:rsidRDefault="00795876" w:rsidP="00795876">
      <w:pPr>
        <w:rPr>
          <w:highlight w:val="yellow"/>
          <w:lang w:eastAsia="en-US"/>
        </w:rPr>
        <w:sectPr w:rsidR="00795876" w:rsidSect="00084A73">
          <w:headerReference w:type="default" r:id="rId45"/>
          <w:pgSz w:w="11906" w:h="16838"/>
          <w:pgMar w:top="1021" w:right="849" w:bottom="1440" w:left="964" w:header="708" w:footer="708" w:gutter="0"/>
          <w:cols w:space="708"/>
          <w:titlePg/>
          <w:docGrid w:linePitch="360"/>
        </w:sectPr>
      </w:pPr>
    </w:p>
    <w:tbl>
      <w:tblPr>
        <w:tblW w:w="14480" w:type="dxa"/>
        <w:tblLayout w:type="fixed"/>
        <w:tblCellMar>
          <w:left w:w="57" w:type="dxa"/>
          <w:right w:w="57" w:type="dxa"/>
        </w:tblCellMar>
        <w:tblLook w:val="04A0" w:firstRow="1" w:lastRow="0" w:firstColumn="1" w:lastColumn="0" w:noHBand="0" w:noVBand="1"/>
      </w:tblPr>
      <w:tblGrid>
        <w:gridCol w:w="2835"/>
        <w:gridCol w:w="1238"/>
        <w:gridCol w:w="1052"/>
        <w:gridCol w:w="992"/>
        <w:gridCol w:w="992"/>
        <w:gridCol w:w="709"/>
        <w:gridCol w:w="851"/>
        <w:gridCol w:w="992"/>
        <w:gridCol w:w="850"/>
        <w:gridCol w:w="851"/>
        <w:gridCol w:w="1134"/>
        <w:gridCol w:w="995"/>
        <w:gridCol w:w="989"/>
      </w:tblGrid>
      <w:tr w:rsidR="00361BA1" w:rsidRPr="00361BA1" w14:paraId="66388826" w14:textId="77777777" w:rsidTr="00084A73">
        <w:trPr>
          <w:trHeight w:val="238"/>
        </w:trPr>
        <w:tc>
          <w:tcPr>
            <w:tcW w:w="2835" w:type="dxa"/>
            <w:tcBorders>
              <w:top w:val="single" w:sz="8" w:space="0" w:color="800080"/>
              <w:left w:val="nil"/>
              <w:bottom w:val="nil"/>
              <w:right w:val="nil"/>
            </w:tcBorders>
            <w:shd w:val="clear" w:color="FFFFFF" w:fill="FFFFFF"/>
            <w:noWrap/>
            <w:vAlign w:val="bottom"/>
            <w:hideMark/>
          </w:tcPr>
          <w:p w14:paraId="67D7758C" w14:textId="77777777" w:rsidR="00361BA1" w:rsidRPr="00361BA1" w:rsidRDefault="00361BA1" w:rsidP="00361BA1">
            <w:pPr>
              <w:spacing w:before="0" w:after="0"/>
              <w:ind w:left="0"/>
              <w:rPr>
                <w:rFonts w:eastAsia="Times New Roman"/>
                <w:sz w:val="18"/>
                <w:szCs w:val="18"/>
                <w:lang w:eastAsia="en-US"/>
              </w:rPr>
            </w:pPr>
            <w:bookmarkStart w:id="19" w:name="Note_CEQTABLE1" w:colFirst="0" w:colLast="0"/>
            <w:r w:rsidRPr="00361BA1">
              <w:rPr>
                <w:rFonts w:eastAsia="Times New Roman"/>
                <w:sz w:val="18"/>
                <w:szCs w:val="18"/>
                <w:lang w:eastAsia="en-US"/>
              </w:rPr>
              <w:lastRenderedPageBreak/>
              <w:t> </w:t>
            </w:r>
          </w:p>
        </w:tc>
        <w:tc>
          <w:tcPr>
            <w:tcW w:w="3282" w:type="dxa"/>
            <w:gridSpan w:val="3"/>
            <w:tcBorders>
              <w:top w:val="single" w:sz="8" w:space="0" w:color="800080"/>
              <w:left w:val="nil"/>
              <w:bottom w:val="nil"/>
              <w:right w:val="nil"/>
            </w:tcBorders>
            <w:shd w:val="clear" w:color="FFFFFF" w:fill="FFFFFF"/>
            <w:vAlign w:val="center"/>
            <w:hideMark/>
          </w:tcPr>
          <w:p w14:paraId="4FC55CAB" w14:textId="77777777" w:rsidR="00361BA1" w:rsidRPr="00361BA1" w:rsidRDefault="00361BA1" w:rsidP="00361BA1">
            <w:pPr>
              <w:spacing w:before="0" w:after="0"/>
              <w:ind w:left="0"/>
              <w:jc w:val="center"/>
              <w:rPr>
                <w:rFonts w:eastAsia="Times New Roman"/>
                <w:b/>
                <w:bCs/>
                <w:sz w:val="18"/>
                <w:szCs w:val="18"/>
                <w:lang w:eastAsia="en-US"/>
              </w:rPr>
            </w:pPr>
            <w:r w:rsidRPr="00361BA1">
              <w:rPr>
                <w:rFonts w:eastAsia="Times New Roman"/>
                <w:b/>
                <w:bCs/>
                <w:sz w:val="18"/>
                <w:szCs w:val="18"/>
                <w:lang w:eastAsia="en-US"/>
              </w:rPr>
              <w:t>Retained Surplus</w:t>
            </w:r>
          </w:p>
        </w:tc>
        <w:tc>
          <w:tcPr>
            <w:tcW w:w="2552" w:type="dxa"/>
            <w:gridSpan w:val="3"/>
            <w:tcBorders>
              <w:top w:val="single" w:sz="8" w:space="0" w:color="800080"/>
              <w:left w:val="nil"/>
              <w:bottom w:val="nil"/>
              <w:right w:val="nil"/>
            </w:tcBorders>
            <w:shd w:val="clear" w:color="FFFFFF" w:fill="FFFFFF"/>
            <w:vAlign w:val="center"/>
            <w:hideMark/>
          </w:tcPr>
          <w:p w14:paraId="6180D9AC" w14:textId="77777777" w:rsidR="00361BA1" w:rsidRPr="00361BA1" w:rsidRDefault="00361BA1" w:rsidP="00361BA1">
            <w:pPr>
              <w:spacing w:before="0" w:after="0"/>
              <w:ind w:left="0"/>
              <w:jc w:val="center"/>
              <w:rPr>
                <w:rFonts w:eastAsia="Times New Roman"/>
                <w:b/>
                <w:bCs/>
                <w:sz w:val="18"/>
                <w:szCs w:val="18"/>
                <w:lang w:eastAsia="en-US"/>
              </w:rPr>
            </w:pPr>
            <w:r w:rsidRPr="00361BA1">
              <w:rPr>
                <w:rFonts w:eastAsia="Times New Roman"/>
                <w:b/>
                <w:bCs/>
                <w:sz w:val="18"/>
                <w:szCs w:val="18"/>
                <w:lang w:eastAsia="en-US"/>
              </w:rPr>
              <w:t>Asset Revaluation Reserve</w:t>
            </w:r>
          </w:p>
        </w:tc>
        <w:tc>
          <w:tcPr>
            <w:tcW w:w="2693" w:type="dxa"/>
            <w:gridSpan w:val="3"/>
            <w:tcBorders>
              <w:top w:val="single" w:sz="8" w:space="0" w:color="800080"/>
              <w:left w:val="nil"/>
              <w:bottom w:val="nil"/>
              <w:right w:val="nil"/>
            </w:tcBorders>
            <w:shd w:val="clear" w:color="FFFFFF" w:fill="FFFFFF"/>
            <w:vAlign w:val="center"/>
            <w:hideMark/>
          </w:tcPr>
          <w:p w14:paraId="272B7540" w14:textId="77777777" w:rsidR="00361BA1" w:rsidRPr="00361BA1" w:rsidRDefault="00361BA1" w:rsidP="00361BA1">
            <w:pPr>
              <w:spacing w:before="0" w:after="0"/>
              <w:ind w:left="0"/>
              <w:jc w:val="center"/>
              <w:rPr>
                <w:rFonts w:eastAsia="Times New Roman"/>
                <w:b/>
                <w:bCs/>
                <w:sz w:val="18"/>
                <w:szCs w:val="18"/>
                <w:lang w:eastAsia="en-US"/>
              </w:rPr>
            </w:pPr>
            <w:r w:rsidRPr="00361BA1">
              <w:rPr>
                <w:rFonts w:eastAsia="Times New Roman"/>
                <w:b/>
                <w:bCs/>
                <w:sz w:val="18"/>
                <w:szCs w:val="18"/>
                <w:lang w:eastAsia="en-US"/>
              </w:rPr>
              <w:t>Contributed Equity</w:t>
            </w:r>
          </w:p>
        </w:tc>
        <w:tc>
          <w:tcPr>
            <w:tcW w:w="3118" w:type="dxa"/>
            <w:gridSpan w:val="3"/>
            <w:tcBorders>
              <w:top w:val="single" w:sz="8" w:space="0" w:color="800080"/>
              <w:left w:val="nil"/>
              <w:bottom w:val="nil"/>
              <w:right w:val="nil"/>
            </w:tcBorders>
            <w:shd w:val="clear" w:color="FFFFFF" w:fill="FFFFFF"/>
            <w:vAlign w:val="center"/>
            <w:hideMark/>
          </w:tcPr>
          <w:p w14:paraId="493DE2F4" w14:textId="77777777" w:rsidR="00361BA1" w:rsidRPr="00361BA1" w:rsidRDefault="00361BA1" w:rsidP="00361BA1">
            <w:pPr>
              <w:spacing w:before="0" w:after="0"/>
              <w:ind w:left="0"/>
              <w:jc w:val="center"/>
              <w:rPr>
                <w:rFonts w:eastAsia="Times New Roman"/>
                <w:b/>
                <w:bCs/>
                <w:sz w:val="18"/>
                <w:szCs w:val="18"/>
                <w:lang w:eastAsia="en-US"/>
              </w:rPr>
            </w:pPr>
            <w:r w:rsidRPr="00361BA1">
              <w:rPr>
                <w:rFonts w:eastAsia="Times New Roman"/>
                <w:b/>
                <w:bCs/>
                <w:sz w:val="18"/>
                <w:szCs w:val="18"/>
                <w:lang w:eastAsia="en-US"/>
              </w:rPr>
              <w:t>Total Equity</w:t>
            </w:r>
          </w:p>
        </w:tc>
      </w:tr>
      <w:bookmarkEnd w:id="19"/>
      <w:tr w:rsidR="00361BA1" w:rsidRPr="00361BA1" w14:paraId="271228B8" w14:textId="77777777" w:rsidTr="00084A73">
        <w:trPr>
          <w:trHeight w:val="238"/>
        </w:trPr>
        <w:tc>
          <w:tcPr>
            <w:tcW w:w="2835" w:type="dxa"/>
            <w:tcBorders>
              <w:top w:val="nil"/>
              <w:left w:val="nil"/>
              <w:bottom w:val="nil"/>
              <w:right w:val="nil"/>
            </w:tcBorders>
            <w:shd w:val="clear" w:color="FFFFFF" w:fill="FFFFFF"/>
            <w:noWrap/>
            <w:vAlign w:val="bottom"/>
            <w:hideMark/>
          </w:tcPr>
          <w:p w14:paraId="21CC0E05"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center"/>
            <w:hideMark/>
          </w:tcPr>
          <w:p w14:paraId="2C42A518"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1052" w:type="dxa"/>
            <w:tcBorders>
              <w:top w:val="nil"/>
              <w:left w:val="nil"/>
              <w:bottom w:val="nil"/>
              <w:right w:val="nil"/>
            </w:tcBorders>
            <w:shd w:val="clear" w:color="FFFFFF" w:fill="FFFFFF"/>
            <w:vAlign w:val="center"/>
            <w:hideMark/>
          </w:tcPr>
          <w:p w14:paraId="13C443F1"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992" w:type="dxa"/>
            <w:tcBorders>
              <w:top w:val="nil"/>
              <w:left w:val="nil"/>
              <w:bottom w:val="nil"/>
              <w:right w:val="nil"/>
            </w:tcBorders>
            <w:shd w:val="clear" w:color="FFFFFF" w:fill="FFFFFF"/>
            <w:vAlign w:val="bottom"/>
            <w:hideMark/>
          </w:tcPr>
          <w:p w14:paraId="6B6F2D32"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Original</w:t>
            </w:r>
            <w:r w:rsidRPr="00361BA1">
              <w:rPr>
                <w:rFonts w:eastAsia="Times New Roman"/>
                <w:color w:val="800080"/>
                <w:sz w:val="18"/>
                <w:szCs w:val="18"/>
                <w:lang w:eastAsia="en-US"/>
              </w:rPr>
              <w:br/>
              <w:t>Budget</w:t>
            </w:r>
            <w:r w:rsidRPr="00361BA1">
              <w:rPr>
                <w:rFonts w:eastAsia="Times New Roman"/>
                <w:color w:val="800080"/>
                <w:sz w:val="18"/>
                <w:szCs w:val="18"/>
                <w:vertAlign w:val="superscript"/>
                <w:lang w:eastAsia="en-US"/>
              </w:rPr>
              <w:t>1</w:t>
            </w:r>
          </w:p>
        </w:tc>
        <w:tc>
          <w:tcPr>
            <w:tcW w:w="992" w:type="dxa"/>
            <w:tcBorders>
              <w:top w:val="nil"/>
              <w:left w:val="nil"/>
              <w:bottom w:val="nil"/>
              <w:right w:val="nil"/>
            </w:tcBorders>
            <w:shd w:val="clear" w:color="FFFFFF" w:fill="FFFFFF"/>
            <w:vAlign w:val="center"/>
            <w:hideMark/>
          </w:tcPr>
          <w:p w14:paraId="2325BD4B"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709" w:type="dxa"/>
            <w:tcBorders>
              <w:top w:val="nil"/>
              <w:left w:val="nil"/>
              <w:bottom w:val="nil"/>
              <w:right w:val="nil"/>
            </w:tcBorders>
            <w:shd w:val="clear" w:color="FFFFFF" w:fill="FFFFFF"/>
            <w:vAlign w:val="center"/>
            <w:hideMark/>
          </w:tcPr>
          <w:p w14:paraId="79DBAFE6"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851" w:type="dxa"/>
            <w:tcBorders>
              <w:top w:val="nil"/>
              <w:left w:val="nil"/>
              <w:bottom w:val="nil"/>
              <w:right w:val="nil"/>
            </w:tcBorders>
            <w:shd w:val="clear" w:color="FFFFFF" w:fill="FFFFFF"/>
            <w:vAlign w:val="bottom"/>
            <w:hideMark/>
          </w:tcPr>
          <w:p w14:paraId="7BF7F998"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Original</w:t>
            </w:r>
            <w:r w:rsidRPr="00361BA1">
              <w:rPr>
                <w:rFonts w:eastAsia="Times New Roman"/>
                <w:color w:val="800080"/>
                <w:sz w:val="18"/>
                <w:szCs w:val="18"/>
                <w:lang w:eastAsia="en-US"/>
              </w:rPr>
              <w:br/>
              <w:t>Budget</w:t>
            </w:r>
            <w:r w:rsidRPr="00361BA1">
              <w:rPr>
                <w:rFonts w:eastAsia="Times New Roman"/>
                <w:color w:val="800080"/>
                <w:sz w:val="18"/>
                <w:szCs w:val="18"/>
                <w:vertAlign w:val="superscript"/>
                <w:lang w:eastAsia="en-US"/>
              </w:rPr>
              <w:t>1</w:t>
            </w:r>
          </w:p>
        </w:tc>
        <w:tc>
          <w:tcPr>
            <w:tcW w:w="992" w:type="dxa"/>
            <w:tcBorders>
              <w:top w:val="nil"/>
              <w:left w:val="nil"/>
              <w:bottom w:val="nil"/>
              <w:right w:val="nil"/>
            </w:tcBorders>
            <w:shd w:val="clear" w:color="FFFFFF" w:fill="FFFFFF"/>
            <w:vAlign w:val="center"/>
            <w:hideMark/>
          </w:tcPr>
          <w:p w14:paraId="732F43E9"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850" w:type="dxa"/>
            <w:tcBorders>
              <w:top w:val="nil"/>
              <w:left w:val="nil"/>
              <w:bottom w:val="nil"/>
              <w:right w:val="nil"/>
            </w:tcBorders>
            <w:shd w:val="clear" w:color="FFFFFF" w:fill="FFFFFF"/>
            <w:vAlign w:val="center"/>
            <w:hideMark/>
          </w:tcPr>
          <w:p w14:paraId="774D400C"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851" w:type="dxa"/>
            <w:tcBorders>
              <w:top w:val="nil"/>
              <w:left w:val="nil"/>
              <w:bottom w:val="nil"/>
              <w:right w:val="nil"/>
            </w:tcBorders>
            <w:shd w:val="clear" w:color="FFFFFF" w:fill="FFFFFF"/>
            <w:vAlign w:val="bottom"/>
            <w:hideMark/>
          </w:tcPr>
          <w:p w14:paraId="699EF6AE"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Original</w:t>
            </w:r>
            <w:r w:rsidRPr="00361BA1">
              <w:rPr>
                <w:rFonts w:eastAsia="Times New Roman"/>
                <w:color w:val="800080"/>
                <w:sz w:val="18"/>
                <w:szCs w:val="18"/>
                <w:lang w:eastAsia="en-US"/>
              </w:rPr>
              <w:br/>
              <w:t>Budget</w:t>
            </w:r>
            <w:r w:rsidRPr="00361BA1">
              <w:rPr>
                <w:rFonts w:eastAsia="Times New Roman"/>
                <w:color w:val="800080"/>
                <w:sz w:val="18"/>
                <w:szCs w:val="18"/>
                <w:vertAlign w:val="superscript"/>
                <w:lang w:eastAsia="en-US"/>
              </w:rPr>
              <w:t>1</w:t>
            </w:r>
          </w:p>
        </w:tc>
        <w:tc>
          <w:tcPr>
            <w:tcW w:w="1134" w:type="dxa"/>
            <w:tcBorders>
              <w:top w:val="nil"/>
              <w:left w:val="nil"/>
              <w:bottom w:val="nil"/>
              <w:right w:val="nil"/>
            </w:tcBorders>
            <w:shd w:val="clear" w:color="FFFFFF" w:fill="FFFFFF"/>
            <w:vAlign w:val="center"/>
            <w:hideMark/>
          </w:tcPr>
          <w:p w14:paraId="126A67D3"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995" w:type="dxa"/>
            <w:tcBorders>
              <w:top w:val="nil"/>
              <w:left w:val="nil"/>
              <w:bottom w:val="nil"/>
              <w:right w:val="nil"/>
            </w:tcBorders>
            <w:shd w:val="clear" w:color="FFFFFF" w:fill="FFFFFF"/>
            <w:vAlign w:val="center"/>
            <w:hideMark/>
          </w:tcPr>
          <w:p w14:paraId="171DD1BC"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989" w:type="dxa"/>
            <w:tcBorders>
              <w:top w:val="nil"/>
              <w:left w:val="nil"/>
              <w:bottom w:val="nil"/>
              <w:right w:val="nil"/>
            </w:tcBorders>
            <w:shd w:val="clear" w:color="FFFFFF" w:fill="FFFFFF"/>
            <w:vAlign w:val="bottom"/>
            <w:hideMark/>
          </w:tcPr>
          <w:p w14:paraId="6E03E918"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Original</w:t>
            </w:r>
            <w:r w:rsidRPr="00361BA1">
              <w:rPr>
                <w:rFonts w:eastAsia="Times New Roman"/>
                <w:color w:val="800080"/>
                <w:sz w:val="18"/>
                <w:szCs w:val="18"/>
                <w:lang w:eastAsia="en-US"/>
              </w:rPr>
              <w:br/>
              <w:t>Budget</w:t>
            </w:r>
            <w:r w:rsidRPr="00361BA1">
              <w:rPr>
                <w:rFonts w:eastAsia="Times New Roman"/>
                <w:color w:val="800080"/>
                <w:sz w:val="18"/>
                <w:szCs w:val="18"/>
                <w:vertAlign w:val="superscript"/>
                <w:lang w:eastAsia="en-US"/>
              </w:rPr>
              <w:t>1</w:t>
            </w:r>
          </w:p>
        </w:tc>
      </w:tr>
      <w:tr w:rsidR="00361BA1" w:rsidRPr="00361BA1" w14:paraId="3C54197C" w14:textId="77777777" w:rsidTr="00084A73">
        <w:trPr>
          <w:trHeight w:val="238"/>
        </w:trPr>
        <w:tc>
          <w:tcPr>
            <w:tcW w:w="2835" w:type="dxa"/>
            <w:tcBorders>
              <w:top w:val="nil"/>
              <w:left w:val="nil"/>
              <w:bottom w:val="nil"/>
              <w:right w:val="nil"/>
            </w:tcBorders>
            <w:shd w:val="clear" w:color="FFFFFF" w:fill="FFFFFF"/>
            <w:noWrap/>
            <w:vAlign w:val="bottom"/>
            <w:hideMark/>
          </w:tcPr>
          <w:p w14:paraId="7EB0DD00"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621B581C"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2020</w:t>
            </w:r>
          </w:p>
        </w:tc>
        <w:tc>
          <w:tcPr>
            <w:tcW w:w="1052" w:type="dxa"/>
            <w:tcBorders>
              <w:top w:val="nil"/>
              <w:left w:val="nil"/>
              <w:bottom w:val="nil"/>
              <w:right w:val="nil"/>
            </w:tcBorders>
            <w:shd w:val="clear" w:color="FFFFFF" w:fill="FFFFFF"/>
            <w:vAlign w:val="bottom"/>
            <w:hideMark/>
          </w:tcPr>
          <w:p w14:paraId="4E1027F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2019</w:t>
            </w:r>
          </w:p>
        </w:tc>
        <w:tc>
          <w:tcPr>
            <w:tcW w:w="992" w:type="dxa"/>
            <w:tcBorders>
              <w:top w:val="nil"/>
              <w:left w:val="nil"/>
              <w:bottom w:val="nil"/>
              <w:right w:val="nil"/>
            </w:tcBorders>
            <w:shd w:val="clear" w:color="FFFFFF" w:fill="FFFFFF"/>
            <w:vAlign w:val="bottom"/>
            <w:hideMark/>
          </w:tcPr>
          <w:p w14:paraId="5CDA7AAF"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2020</w:t>
            </w:r>
          </w:p>
        </w:tc>
        <w:tc>
          <w:tcPr>
            <w:tcW w:w="992" w:type="dxa"/>
            <w:tcBorders>
              <w:top w:val="nil"/>
              <w:left w:val="nil"/>
              <w:bottom w:val="nil"/>
              <w:right w:val="nil"/>
            </w:tcBorders>
            <w:shd w:val="clear" w:color="FFFFFF" w:fill="FFFFFF"/>
            <w:vAlign w:val="bottom"/>
            <w:hideMark/>
          </w:tcPr>
          <w:p w14:paraId="44A175BF"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2020</w:t>
            </w:r>
          </w:p>
        </w:tc>
        <w:tc>
          <w:tcPr>
            <w:tcW w:w="709" w:type="dxa"/>
            <w:tcBorders>
              <w:top w:val="nil"/>
              <w:left w:val="nil"/>
              <w:bottom w:val="nil"/>
              <w:right w:val="nil"/>
            </w:tcBorders>
            <w:shd w:val="clear" w:color="FFFFFF" w:fill="FFFFFF"/>
            <w:vAlign w:val="bottom"/>
            <w:hideMark/>
          </w:tcPr>
          <w:p w14:paraId="012F08F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2019</w:t>
            </w:r>
          </w:p>
        </w:tc>
        <w:tc>
          <w:tcPr>
            <w:tcW w:w="851" w:type="dxa"/>
            <w:tcBorders>
              <w:top w:val="nil"/>
              <w:left w:val="nil"/>
              <w:bottom w:val="nil"/>
              <w:right w:val="nil"/>
            </w:tcBorders>
            <w:shd w:val="clear" w:color="FFFFFF" w:fill="FFFFFF"/>
            <w:vAlign w:val="bottom"/>
            <w:hideMark/>
          </w:tcPr>
          <w:p w14:paraId="04789B45"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2020</w:t>
            </w:r>
          </w:p>
        </w:tc>
        <w:tc>
          <w:tcPr>
            <w:tcW w:w="992" w:type="dxa"/>
            <w:tcBorders>
              <w:top w:val="nil"/>
              <w:left w:val="nil"/>
              <w:bottom w:val="nil"/>
              <w:right w:val="nil"/>
            </w:tcBorders>
            <w:shd w:val="clear" w:color="FFFFFF" w:fill="FFFFFF"/>
            <w:vAlign w:val="bottom"/>
            <w:hideMark/>
          </w:tcPr>
          <w:p w14:paraId="21E952E0"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2020</w:t>
            </w:r>
          </w:p>
        </w:tc>
        <w:tc>
          <w:tcPr>
            <w:tcW w:w="850" w:type="dxa"/>
            <w:tcBorders>
              <w:top w:val="nil"/>
              <w:left w:val="nil"/>
              <w:bottom w:val="nil"/>
              <w:right w:val="nil"/>
            </w:tcBorders>
            <w:shd w:val="clear" w:color="FFFFFF" w:fill="FFFFFF"/>
            <w:vAlign w:val="bottom"/>
            <w:hideMark/>
          </w:tcPr>
          <w:p w14:paraId="0F1D322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2019</w:t>
            </w:r>
          </w:p>
        </w:tc>
        <w:tc>
          <w:tcPr>
            <w:tcW w:w="851" w:type="dxa"/>
            <w:tcBorders>
              <w:top w:val="nil"/>
              <w:left w:val="nil"/>
              <w:bottom w:val="nil"/>
              <w:right w:val="nil"/>
            </w:tcBorders>
            <w:shd w:val="clear" w:color="FFFFFF" w:fill="FFFFFF"/>
            <w:vAlign w:val="bottom"/>
            <w:hideMark/>
          </w:tcPr>
          <w:p w14:paraId="6E1AB7E2"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2020</w:t>
            </w:r>
          </w:p>
        </w:tc>
        <w:tc>
          <w:tcPr>
            <w:tcW w:w="1134" w:type="dxa"/>
            <w:tcBorders>
              <w:top w:val="nil"/>
              <w:left w:val="nil"/>
              <w:bottom w:val="nil"/>
              <w:right w:val="nil"/>
            </w:tcBorders>
            <w:shd w:val="clear" w:color="FFFFFF" w:fill="FFFFFF"/>
            <w:vAlign w:val="bottom"/>
            <w:hideMark/>
          </w:tcPr>
          <w:p w14:paraId="120D3EE5"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2020</w:t>
            </w:r>
          </w:p>
        </w:tc>
        <w:tc>
          <w:tcPr>
            <w:tcW w:w="995" w:type="dxa"/>
            <w:tcBorders>
              <w:top w:val="nil"/>
              <w:left w:val="nil"/>
              <w:bottom w:val="nil"/>
              <w:right w:val="nil"/>
            </w:tcBorders>
            <w:shd w:val="clear" w:color="FFFFFF" w:fill="FFFFFF"/>
            <w:vAlign w:val="bottom"/>
            <w:hideMark/>
          </w:tcPr>
          <w:p w14:paraId="213294B6"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2019</w:t>
            </w:r>
          </w:p>
        </w:tc>
        <w:tc>
          <w:tcPr>
            <w:tcW w:w="989" w:type="dxa"/>
            <w:tcBorders>
              <w:top w:val="nil"/>
              <w:left w:val="nil"/>
              <w:bottom w:val="nil"/>
              <w:right w:val="nil"/>
            </w:tcBorders>
            <w:shd w:val="clear" w:color="FFFFFF" w:fill="FFFFFF"/>
            <w:vAlign w:val="bottom"/>
            <w:hideMark/>
          </w:tcPr>
          <w:p w14:paraId="2C7FC277"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2020</w:t>
            </w:r>
          </w:p>
        </w:tc>
      </w:tr>
      <w:tr w:rsidR="00361BA1" w:rsidRPr="00361BA1" w14:paraId="6894D8AA" w14:textId="77777777" w:rsidTr="00084A73">
        <w:trPr>
          <w:trHeight w:val="238"/>
        </w:trPr>
        <w:tc>
          <w:tcPr>
            <w:tcW w:w="2835" w:type="dxa"/>
            <w:tcBorders>
              <w:top w:val="nil"/>
              <w:left w:val="nil"/>
              <w:bottom w:val="single" w:sz="8" w:space="0" w:color="800080"/>
              <w:right w:val="nil"/>
            </w:tcBorders>
            <w:shd w:val="clear" w:color="FFFFFF" w:fill="FFFFFF"/>
            <w:noWrap/>
            <w:vAlign w:val="bottom"/>
            <w:hideMark/>
          </w:tcPr>
          <w:p w14:paraId="0162841D"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single" w:sz="8" w:space="0" w:color="800080"/>
              <w:right w:val="nil"/>
            </w:tcBorders>
            <w:shd w:val="clear" w:color="FFFFFF" w:fill="FFFFFF"/>
            <w:vAlign w:val="bottom"/>
            <w:hideMark/>
          </w:tcPr>
          <w:p w14:paraId="3B730CC0"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$'000</w:t>
            </w:r>
          </w:p>
        </w:tc>
        <w:tc>
          <w:tcPr>
            <w:tcW w:w="1052" w:type="dxa"/>
            <w:tcBorders>
              <w:top w:val="nil"/>
              <w:left w:val="nil"/>
              <w:bottom w:val="single" w:sz="8" w:space="0" w:color="800080"/>
              <w:right w:val="nil"/>
            </w:tcBorders>
            <w:shd w:val="clear" w:color="FFFFFF" w:fill="FFFFFF"/>
            <w:vAlign w:val="bottom"/>
            <w:hideMark/>
          </w:tcPr>
          <w:p w14:paraId="47BCEEC7"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$'000</w:t>
            </w:r>
          </w:p>
        </w:tc>
        <w:tc>
          <w:tcPr>
            <w:tcW w:w="992" w:type="dxa"/>
            <w:tcBorders>
              <w:top w:val="nil"/>
              <w:left w:val="nil"/>
              <w:bottom w:val="single" w:sz="8" w:space="0" w:color="800080"/>
              <w:right w:val="nil"/>
            </w:tcBorders>
            <w:shd w:val="clear" w:color="FFFFFF" w:fill="FFFFFF"/>
            <w:vAlign w:val="bottom"/>
            <w:hideMark/>
          </w:tcPr>
          <w:p w14:paraId="3621231B"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$'000</w:t>
            </w:r>
          </w:p>
        </w:tc>
        <w:tc>
          <w:tcPr>
            <w:tcW w:w="992" w:type="dxa"/>
            <w:tcBorders>
              <w:top w:val="nil"/>
              <w:left w:val="nil"/>
              <w:bottom w:val="single" w:sz="8" w:space="0" w:color="800080"/>
              <w:right w:val="nil"/>
            </w:tcBorders>
            <w:shd w:val="clear" w:color="FFFFFF" w:fill="FFFFFF"/>
            <w:vAlign w:val="bottom"/>
            <w:hideMark/>
          </w:tcPr>
          <w:p w14:paraId="304CA258"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$'000</w:t>
            </w:r>
          </w:p>
        </w:tc>
        <w:tc>
          <w:tcPr>
            <w:tcW w:w="709" w:type="dxa"/>
            <w:tcBorders>
              <w:top w:val="nil"/>
              <w:left w:val="nil"/>
              <w:bottom w:val="single" w:sz="8" w:space="0" w:color="800080"/>
              <w:right w:val="nil"/>
            </w:tcBorders>
            <w:shd w:val="clear" w:color="FFFFFF" w:fill="FFFFFF"/>
            <w:vAlign w:val="bottom"/>
            <w:hideMark/>
          </w:tcPr>
          <w:p w14:paraId="06FCD427"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$'000</w:t>
            </w:r>
          </w:p>
        </w:tc>
        <w:tc>
          <w:tcPr>
            <w:tcW w:w="851" w:type="dxa"/>
            <w:tcBorders>
              <w:top w:val="nil"/>
              <w:left w:val="nil"/>
              <w:bottom w:val="single" w:sz="8" w:space="0" w:color="800080"/>
              <w:right w:val="nil"/>
            </w:tcBorders>
            <w:shd w:val="clear" w:color="FFFFFF" w:fill="FFFFFF"/>
            <w:vAlign w:val="bottom"/>
            <w:hideMark/>
          </w:tcPr>
          <w:p w14:paraId="2C6388E7"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$'000</w:t>
            </w:r>
          </w:p>
        </w:tc>
        <w:tc>
          <w:tcPr>
            <w:tcW w:w="992" w:type="dxa"/>
            <w:tcBorders>
              <w:top w:val="nil"/>
              <w:left w:val="nil"/>
              <w:bottom w:val="single" w:sz="8" w:space="0" w:color="800080"/>
              <w:right w:val="nil"/>
            </w:tcBorders>
            <w:shd w:val="clear" w:color="FFFFFF" w:fill="FFFFFF"/>
            <w:vAlign w:val="bottom"/>
            <w:hideMark/>
          </w:tcPr>
          <w:p w14:paraId="0187CA42"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$'000</w:t>
            </w:r>
          </w:p>
        </w:tc>
        <w:tc>
          <w:tcPr>
            <w:tcW w:w="850" w:type="dxa"/>
            <w:tcBorders>
              <w:top w:val="nil"/>
              <w:left w:val="nil"/>
              <w:bottom w:val="single" w:sz="8" w:space="0" w:color="800080"/>
              <w:right w:val="nil"/>
            </w:tcBorders>
            <w:shd w:val="clear" w:color="FFFFFF" w:fill="FFFFFF"/>
            <w:vAlign w:val="bottom"/>
            <w:hideMark/>
          </w:tcPr>
          <w:p w14:paraId="5166EC44"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$'000</w:t>
            </w:r>
          </w:p>
        </w:tc>
        <w:tc>
          <w:tcPr>
            <w:tcW w:w="851" w:type="dxa"/>
            <w:tcBorders>
              <w:top w:val="nil"/>
              <w:left w:val="nil"/>
              <w:bottom w:val="single" w:sz="8" w:space="0" w:color="800080"/>
              <w:right w:val="nil"/>
            </w:tcBorders>
            <w:shd w:val="clear" w:color="FFFFFF" w:fill="FFFFFF"/>
            <w:vAlign w:val="bottom"/>
            <w:hideMark/>
          </w:tcPr>
          <w:p w14:paraId="7482BF92"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$'000</w:t>
            </w:r>
          </w:p>
        </w:tc>
        <w:tc>
          <w:tcPr>
            <w:tcW w:w="1134" w:type="dxa"/>
            <w:tcBorders>
              <w:top w:val="nil"/>
              <w:left w:val="nil"/>
              <w:bottom w:val="single" w:sz="8" w:space="0" w:color="800080"/>
              <w:right w:val="nil"/>
            </w:tcBorders>
            <w:shd w:val="clear" w:color="FFFFFF" w:fill="FFFFFF"/>
            <w:vAlign w:val="bottom"/>
            <w:hideMark/>
          </w:tcPr>
          <w:p w14:paraId="56FC4BA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27EF638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$'000</w:t>
            </w:r>
          </w:p>
        </w:tc>
        <w:tc>
          <w:tcPr>
            <w:tcW w:w="989" w:type="dxa"/>
            <w:tcBorders>
              <w:top w:val="nil"/>
              <w:left w:val="nil"/>
              <w:bottom w:val="single" w:sz="8" w:space="0" w:color="800080"/>
              <w:right w:val="nil"/>
            </w:tcBorders>
            <w:shd w:val="clear" w:color="FFFFFF" w:fill="FFFFFF"/>
            <w:vAlign w:val="bottom"/>
            <w:hideMark/>
          </w:tcPr>
          <w:p w14:paraId="25CA9A79" w14:textId="77777777" w:rsidR="00361BA1" w:rsidRPr="00361BA1" w:rsidRDefault="00361BA1" w:rsidP="00361BA1">
            <w:pPr>
              <w:spacing w:before="0" w:after="0"/>
              <w:ind w:left="0"/>
              <w:jc w:val="right"/>
              <w:rPr>
                <w:rFonts w:eastAsia="Times New Roman"/>
                <w:color w:val="800080"/>
                <w:sz w:val="18"/>
                <w:szCs w:val="18"/>
                <w:lang w:eastAsia="en-US"/>
              </w:rPr>
            </w:pPr>
            <w:r w:rsidRPr="00361BA1">
              <w:rPr>
                <w:rFonts w:eastAsia="Times New Roman"/>
                <w:color w:val="800080"/>
                <w:sz w:val="18"/>
                <w:szCs w:val="18"/>
                <w:lang w:eastAsia="en-US"/>
              </w:rPr>
              <w:t>$'000</w:t>
            </w:r>
          </w:p>
        </w:tc>
      </w:tr>
      <w:tr w:rsidR="00361BA1" w:rsidRPr="00361BA1" w14:paraId="5064AF52" w14:textId="77777777" w:rsidTr="00084A73">
        <w:trPr>
          <w:trHeight w:val="238"/>
        </w:trPr>
        <w:tc>
          <w:tcPr>
            <w:tcW w:w="2835" w:type="dxa"/>
            <w:tcBorders>
              <w:top w:val="nil"/>
              <w:left w:val="nil"/>
              <w:bottom w:val="nil"/>
              <w:right w:val="nil"/>
            </w:tcBorders>
            <w:shd w:val="clear" w:color="FFFFFF" w:fill="FFFFFF"/>
            <w:vAlign w:val="bottom"/>
            <w:hideMark/>
          </w:tcPr>
          <w:p w14:paraId="3148E141"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Opening balance</w:t>
            </w:r>
          </w:p>
        </w:tc>
        <w:tc>
          <w:tcPr>
            <w:tcW w:w="1238" w:type="dxa"/>
            <w:tcBorders>
              <w:top w:val="nil"/>
              <w:left w:val="nil"/>
              <w:bottom w:val="nil"/>
              <w:right w:val="nil"/>
            </w:tcBorders>
            <w:shd w:val="clear" w:color="FFFFFF" w:fill="FFFFFF"/>
            <w:noWrap/>
            <w:vAlign w:val="bottom"/>
            <w:hideMark/>
          </w:tcPr>
          <w:p w14:paraId="53F638E1"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2,303,201</w:t>
            </w:r>
          </w:p>
        </w:tc>
        <w:tc>
          <w:tcPr>
            <w:tcW w:w="1052" w:type="dxa"/>
            <w:tcBorders>
              <w:top w:val="nil"/>
              <w:left w:val="nil"/>
              <w:bottom w:val="nil"/>
              <w:right w:val="nil"/>
            </w:tcBorders>
            <w:shd w:val="clear" w:color="FFFFFF" w:fill="FFFFFF"/>
            <w:noWrap/>
            <w:vAlign w:val="bottom"/>
            <w:hideMark/>
          </w:tcPr>
          <w:p w14:paraId="27F0E76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1,608,801</w:t>
            </w:r>
          </w:p>
        </w:tc>
        <w:tc>
          <w:tcPr>
            <w:tcW w:w="992" w:type="dxa"/>
            <w:tcBorders>
              <w:top w:val="nil"/>
              <w:left w:val="nil"/>
              <w:bottom w:val="nil"/>
              <w:right w:val="nil"/>
            </w:tcBorders>
            <w:shd w:val="clear" w:color="FFFFFF" w:fill="FFFFFF"/>
            <w:noWrap/>
            <w:vAlign w:val="bottom"/>
            <w:hideMark/>
          </w:tcPr>
          <w:p w14:paraId="5FEA483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1,658,175</w:t>
            </w:r>
          </w:p>
        </w:tc>
        <w:tc>
          <w:tcPr>
            <w:tcW w:w="992" w:type="dxa"/>
            <w:tcBorders>
              <w:top w:val="nil"/>
              <w:left w:val="nil"/>
              <w:bottom w:val="nil"/>
              <w:right w:val="nil"/>
            </w:tcBorders>
            <w:shd w:val="clear" w:color="FFFFFF" w:fill="FFFFFF"/>
            <w:noWrap/>
            <w:vAlign w:val="bottom"/>
            <w:hideMark/>
          </w:tcPr>
          <w:p w14:paraId="39E03740"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22,137</w:t>
            </w:r>
          </w:p>
        </w:tc>
        <w:tc>
          <w:tcPr>
            <w:tcW w:w="709" w:type="dxa"/>
            <w:tcBorders>
              <w:top w:val="nil"/>
              <w:left w:val="nil"/>
              <w:bottom w:val="nil"/>
              <w:right w:val="nil"/>
            </w:tcBorders>
            <w:shd w:val="clear" w:color="FFFFFF" w:fill="FFFFFF"/>
            <w:noWrap/>
            <w:vAlign w:val="bottom"/>
            <w:hideMark/>
          </w:tcPr>
          <w:p w14:paraId="69B4559C"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10,992</w:t>
            </w:r>
          </w:p>
        </w:tc>
        <w:tc>
          <w:tcPr>
            <w:tcW w:w="851" w:type="dxa"/>
            <w:tcBorders>
              <w:top w:val="nil"/>
              <w:left w:val="nil"/>
              <w:bottom w:val="nil"/>
              <w:right w:val="nil"/>
            </w:tcBorders>
            <w:shd w:val="clear" w:color="FFFFFF" w:fill="FFFFFF"/>
            <w:noWrap/>
            <w:vAlign w:val="bottom"/>
            <w:hideMark/>
          </w:tcPr>
          <w:p w14:paraId="464526D3"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11,012</w:t>
            </w:r>
          </w:p>
        </w:tc>
        <w:tc>
          <w:tcPr>
            <w:tcW w:w="992" w:type="dxa"/>
            <w:tcBorders>
              <w:top w:val="nil"/>
              <w:left w:val="nil"/>
              <w:bottom w:val="nil"/>
              <w:right w:val="nil"/>
            </w:tcBorders>
            <w:shd w:val="clear" w:color="FFFFFF" w:fill="FFFFFF"/>
            <w:noWrap/>
            <w:vAlign w:val="bottom"/>
            <w:hideMark/>
          </w:tcPr>
          <w:p w14:paraId="65EF4EBB"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205,733</w:t>
            </w:r>
          </w:p>
        </w:tc>
        <w:tc>
          <w:tcPr>
            <w:tcW w:w="850" w:type="dxa"/>
            <w:tcBorders>
              <w:top w:val="nil"/>
              <w:left w:val="nil"/>
              <w:bottom w:val="nil"/>
              <w:right w:val="nil"/>
            </w:tcBorders>
            <w:shd w:val="clear" w:color="FFFFFF" w:fill="FFFFFF"/>
            <w:noWrap/>
            <w:vAlign w:val="bottom"/>
            <w:hideMark/>
          </w:tcPr>
          <w:p w14:paraId="28AC533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851" w:type="dxa"/>
            <w:tcBorders>
              <w:top w:val="nil"/>
              <w:left w:val="nil"/>
              <w:bottom w:val="nil"/>
              <w:right w:val="nil"/>
            </w:tcBorders>
            <w:shd w:val="clear" w:color="FFFFFF" w:fill="FFFFFF"/>
            <w:noWrap/>
            <w:vAlign w:val="bottom"/>
            <w:hideMark/>
          </w:tcPr>
          <w:p w14:paraId="76016BC6"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1134" w:type="dxa"/>
            <w:tcBorders>
              <w:top w:val="nil"/>
              <w:left w:val="nil"/>
              <w:bottom w:val="nil"/>
              <w:right w:val="nil"/>
            </w:tcBorders>
            <w:shd w:val="clear" w:color="FFFFFF" w:fill="FFFFFF"/>
            <w:noWrap/>
            <w:vAlign w:val="bottom"/>
            <w:hideMark/>
          </w:tcPr>
          <w:p w14:paraId="2F90825E"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2,531,071</w:t>
            </w:r>
          </w:p>
        </w:tc>
        <w:tc>
          <w:tcPr>
            <w:tcW w:w="995" w:type="dxa"/>
            <w:tcBorders>
              <w:top w:val="nil"/>
              <w:left w:val="nil"/>
              <w:bottom w:val="nil"/>
              <w:right w:val="nil"/>
            </w:tcBorders>
            <w:shd w:val="clear" w:color="FFFFFF" w:fill="FFFFFF"/>
            <w:noWrap/>
            <w:vAlign w:val="bottom"/>
            <w:hideMark/>
          </w:tcPr>
          <w:p w14:paraId="55E6184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1,825,526</w:t>
            </w:r>
          </w:p>
        </w:tc>
        <w:tc>
          <w:tcPr>
            <w:tcW w:w="989" w:type="dxa"/>
            <w:tcBorders>
              <w:top w:val="nil"/>
              <w:left w:val="nil"/>
              <w:bottom w:val="nil"/>
              <w:right w:val="nil"/>
            </w:tcBorders>
            <w:shd w:val="clear" w:color="FFFFFF" w:fill="FFFFFF"/>
            <w:noWrap/>
            <w:vAlign w:val="bottom"/>
            <w:hideMark/>
          </w:tcPr>
          <w:p w14:paraId="773F3F1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1,874,920</w:t>
            </w:r>
          </w:p>
        </w:tc>
      </w:tr>
      <w:tr w:rsidR="00361BA1" w:rsidRPr="00361BA1" w14:paraId="7761F178" w14:textId="77777777" w:rsidTr="00084A73">
        <w:trPr>
          <w:trHeight w:val="238"/>
        </w:trPr>
        <w:tc>
          <w:tcPr>
            <w:tcW w:w="2835" w:type="dxa"/>
            <w:tcBorders>
              <w:top w:val="nil"/>
              <w:left w:val="nil"/>
              <w:bottom w:val="nil"/>
              <w:right w:val="nil"/>
            </w:tcBorders>
            <w:shd w:val="clear" w:color="FFFFFF" w:fill="FFFFFF"/>
            <w:vAlign w:val="bottom"/>
            <w:hideMark/>
          </w:tcPr>
          <w:p w14:paraId="41A6C5C4"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Adjustment on initial application of AASB 15/1058</w:t>
            </w:r>
          </w:p>
        </w:tc>
        <w:tc>
          <w:tcPr>
            <w:tcW w:w="1238" w:type="dxa"/>
            <w:tcBorders>
              <w:top w:val="nil"/>
              <w:left w:val="nil"/>
              <w:bottom w:val="nil"/>
              <w:right w:val="nil"/>
            </w:tcBorders>
            <w:shd w:val="clear" w:color="FFFFFF" w:fill="FFFFFF"/>
            <w:noWrap/>
            <w:vAlign w:val="bottom"/>
            <w:hideMark/>
          </w:tcPr>
          <w:p w14:paraId="35FDB60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1052" w:type="dxa"/>
            <w:tcBorders>
              <w:top w:val="nil"/>
              <w:left w:val="nil"/>
              <w:bottom w:val="nil"/>
              <w:right w:val="nil"/>
            </w:tcBorders>
            <w:shd w:val="clear" w:color="FFFFFF" w:fill="FFFFFF"/>
            <w:noWrap/>
            <w:vAlign w:val="bottom"/>
            <w:hideMark/>
          </w:tcPr>
          <w:p w14:paraId="613D5C32"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0A06DDB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44741FA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709" w:type="dxa"/>
            <w:tcBorders>
              <w:top w:val="nil"/>
              <w:left w:val="nil"/>
              <w:bottom w:val="nil"/>
              <w:right w:val="nil"/>
            </w:tcBorders>
            <w:shd w:val="clear" w:color="FFFFFF" w:fill="FFFFFF"/>
            <w:noWrap/>
            <w:vAlign w:val="bottom"/>
            <w:hideMark/>
          </w:tcPr>
          <w:p w14:paraId="35F00F2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55824D2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02D74A1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0" w:type="dxa"/>
            <w:tcBorders>
              <w:top w:val="nil"/>
              <w:left w:val="nil"/>
              <w:bottom w:val="nil"/>
              <w:right w:val="nil"/>
            </w:tcBorders>
            <w:shd w:val="clear" w:color="FFFFFF" w:fill="FFFFFF"/>
            <w:noWrap/>
            <w:vAlign w:val="bottom"/>
            <w:hideMark/>
          </w:tcPr>
          <w:p w14:paraId="1841CAD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2F0F7153"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1134" w:type="dxa"/>
            <w:tcBorders>
              <w:top w:val="nil"/>
              <w:left w:val="nil"/>
              <w:bottom w:val="nil"/>
              <w:right w:val="nil"/>
            </w:tcBorders>
            <w:shd w:val="clear" w:color="FFFFFF" w:fill="FFFFFF"/>
            <w:noWrap/>
            <w:vAlign w:val="bottom"/>
            <w:hideMark/>
          </w:tcPr>
          <w:p w14:paraId="7E7B581D"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995" w:type="dxa"/>
            <w:tcBorders>
              <w:top w:val="nil"/>
              <w:left w:val="nil"/>
              <w:bottom w:val="nil"/>
              <w:right w:val="nil"/>
            </w:tcBorders>
            <w:shd w:val="clear" w:color="FFFFFF" w:fill="FFFFFF"/>
            <w:noWrap/>
            <w:vAlign w:val="bottom"/>
            <w:hideMark/>
          </w:tcPr>
          <w:p w14:paraId="5CF03E01"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989" w:type="dxa"/>
            <w:tcBorders>
              <w:top w:val="nil"/>
              <w:left w:val="nil"/>
              <w:bottom w:val="nil"/>
              <w:right w:val="nil"/>
            </w:tcBorders>
            <w:shd w:val="clear" w:color="FFFFFF" w:fill="FFFFFF"/>
            <w:noWrap/>
            <w:vAlign w:val="bottom"/>
            <w:hideMark/>
          </w:tcPr>
          <w:p w14:paraId="078794B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5E1AAB39" w14:textId="77777777" w:rsidTr="00084A73">
        <w:trPr>
          <w:trHeight w:val="238"/>
        </w:trPr>
        <w:tc>
          <w:tcPr>
            <w:tcW w:w="2835" w:type="dxa"/>
            <w:tcBorders>
              <w:top w:val="nil"/>
              <w:left w:val="nil"/>
              <w:bottom w:val="nil"/>
              <w:right w:val="nil"/>
            </w:tcBorders>
            <w:shd w:val="clear" w:color="FFFFFF" w:fill="FFFFFF"/>
            <w:vAlign w:val="bottom"/>
            <w:hideMark/>
          </w:tcPr>
          <w:p w14:paraId="03798E7F"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Adjustment on initial application of AASB 16</w:t>
            </w:r>
          </w:p>
        </w:tc>
        <w:tc>
          <w:tcPr>
            <w:tcW w:w="1238" w:type="dxa"/>
            <w:tcBorders>
              <w:top w:val="nil"/>
              <w:left w:val="nil"/>
              <w:bottom w:val="nil"/>
              <w:right w:val="nil"/>
            </w:tcBorders>
            <w:shd w:val="clear" w:color="FFFFFF" w:fill="FFFFFF"/>
            <w:noWrap/>
            <w:vAlign w:val="bottom"/>
            <w:hideMark/>
          </w:tcPr>
          <w:p w14:paraId="695C4206" w14:textId="77777777" w:rsidR="00361BA1" w:rsidRPr="00361BA1" w:rsidRDefault="00361BA1" w:rsidP="00361BA1">
            <w:pPr>
              <w:spacing w:before="0" w:after="0"/>
              <w:ind w:left="0"/>
              <w:jc w:val="right"/>
              <w:rPr>
                <w:rFonts w:eastAsia="Times New Roman"/>
                <w:b/>
                <w:sz w:val="18"/>
                <w:szCs w:val="18"/>
                <w:lang w:eastAsia="en-US"/>
              </w:rPr>
            </w:pPr>
            <w:r w:rsidRPr="00361BA1">
              <w:rPr>
                <w:rFonts w:eastAsia="Times New Roman"/>
                <w:b/>
                <w:sz w:val="18"/>
                <w:szCs w:val="18"/>
                <w:lang w:eastAsia="en-US"/>
              </w:rPr>
              <w:t>9,417</w:t>
            </w:r>
          </w:p>
        </w:tc>
        <w:tc>
          <w:tcPr>
            <w:tcW w:w="1052" w:type="dxa"/>
            <w:tcBorders>
              <w:top w:val="nil"/>
              <w:left w:val="nil"/>
              <w:bottom w:val="nil"/>
              <w:right w:val="nil"/>
            </w:tcBorders>
            <w:shd w:val="clear" w:color="FFFFFF" w:fill="FFFFFF"/>
            <w:noWrap/>
            <w:vAlign w:val="bottom"/>
            <w:hideMark/>
          </w:tcPr>
          <w:p w14:paraId="135DE09C"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137E80E3"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7723517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709" w:type="dxa"/>
            <w:tcBorders>
              <w:top w:val="nil"/>
              <w:left w:val="nil"/>
              <w:bottom w:val="nil"/>
              <w:right w:val="nil"/>
            </w:tcBorders>
            <w:shd w:val="clear" w:color="FFFFFF" w:fill="FFFFFF"/>
            <w:noWrap/>
            <w:vAlign w:val="bottom"/>
            <w:hideMark/>
          </w:tcPr>
          <w:p w14:paraId="20FA1E2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366272E3"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79DE5051"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0" w:type="dxa"/>
            <w:tcBorders>
              <w:top w:val="nil"/>
              <w:left w:val="nil"/>
              <w:bottom w:val="nil"/>
              <w:right w:val="nil"/>
            </w:tcBorders>
            <w:shd w:val="clear" w:color="FFFFFF" w:fill="FFFFFF"/>
            <w:noWrap/>
            <w:vAlign w:val="bottom"/>
            <w:hideMark/>
          </w:tcPr>
          <w:p w14:paraId="60BC3C2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305D2A7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1134" w:type="dxa"/>
            <w:tcBorders>
              <w:top w:val="nil"/>
              <w:left w:val="nil"/>
              <w:bottom w:val="nil"/>
              <w:right w:val="nil"/>
            </w:tcBorders>
            <w:shd w:val="clear" w:color="FFFFFF" w:fill="FFFFFF"/>
            <w:noWrap/>
            <w:vAlign w:val="bottom"/>
            <w:hideMark/>
          </w:tcPr>
          <w:p w14:paraId="0133FAB2"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9,417</w:t>
            </w:r>
          </w:p>
        </w:tc>
        <w:tc>
          <w:tcPr>
            <w:tcW w:w="995" w:type="dxa"/>
            <w:tcBorders>
              <w:top w:val="nil"/>
              <w:left w:val="nil"/>
              <w:bottom w:val="nil"/>
              <w:right w:val="nil"/>
            </w:tcBorders>
            <w:shd w:val="clear" w:color="FFFFFF" w:fill="FFFFFF"/>
            <w:noWrap/>
            <w:vAlign w:val="bottom"/>
            <w:hideMark/>
          </w:tcPr>
          <w:p w14:paraId="422526C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989" w:type="dxa"/>
            <w:tcBorders>
              <w:top w:val="nil"/>
              <w:left w:val="nil"/>
              <w:bottom w:val="nil"/>
              <w:right w:val="nil"/>
            </w:tcBorders>
            <w:shd w:val="clear" w:color="FFFFFF" w:fill="FFFFFF"/>
            <w:noWrap/>
            <w:vAlign w:val="bottom"/>
            <w:hideMark/>
          </w:tcPr>
          <w:p w14:paraId="264C746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3DD00897" w14:textId="77777777" w:rsidTr="00084A73">
        <w:trPr>
          <w:trHeight w:val="238"/>
        </w:trPr>
        <w:tc>
          <w:tcPr>
            <w:tcW w:w="2835" w:type="dxa"/>
            <w:tcBorders>
              <w:top w:val="single" w:sz="4" w:space="0" w:color="auto"/>
              <w:left w:val="nil"/>
              <w:bottom w:val="single" w:sz="4" w:space="0" w:color="auto"/>
              <w:right w:val="nil"/>
            </w:tcBorders>
            <w:shd w:val="clear" w:color="FFFFFF" w:fill="FFFFFF"/>
            <w:vAlign w:val="bottom"/>
            <w:hideMark/>
          </w:tcPr>
          <w:p w14:paraId="402783B2"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Adjusted opening balance</w:t>
            </w:r>
          </w:p>
        </w:tc>
        <w:tc>
          <w:tcPr>
            <w:tcW w:w="1238" w:type="dxa"/>
            <w:tcBorders>
              <w:top w:val="single" w:sz="4" w:space="0" w:color="auto"/>
              <w:left w:val="nil"/>
              <w:bottom w:val="single" w:sz="4" w:space="0" w:color="auto"/>
              <w:right w:val="nil"/>
            </w:tcBorders>
            <w:shd w:val="clear" w:color="FFFFFF" w:fill="FFFFFF"/>
            <w:noWrap/>
            <w:vAlign w:val="bottom"/>
            <w:hideMark/>
          </w:tcPr>
          <w:p w14:paraId="46F42346"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2,312,618</w:t>
            </w:r>
          </w:p>
        </w:tc>
        <w:tc>
          <w:tcPr>
            <w:tcW w:w="1052" w:type="dxa"/>
            <w:tcBorders>
              <w:top w:val="single" w:sz="4" w:space="0" w:color="auto"/>
              <w:left w:val="nil"/>
              <w:bottom w:val="single" w:sz="4" w:space="0" w:color="auto"/>
              <w:right w:val="nil"/>
            </w:tcBorders>
            <w:shd w:val="clear" w:color="FFFFFF" w:fill="FFFFFF"/>
            <w:noWrap/>
            <w:vAlign w:val="bottom"/>
            <w:hideMark/>
          </w:tcPr>
          <w:p w14:paraId="1EFA0594"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1,608,801</w:t>
            </w:r>
          </w:p>
        </w:tc>
        <w:tc>
          <w:tcPr>
            <w:tcW w:w="992" w:type="dxa"/>
            <w:tcBorders>
              <w:top w:val="single" w:sz="4" w:space="0" w:color="auto"/>
              <w:left w:val="nil"/>
              <w:bottom w:val="single" w:sz="4" w:space="0" w:color="auto"/>
              <w:right w:val="nil"/>
            </w:tcBorders>
            <w:shd w:val="clear" w:color="FFFFFF" w:fill="FFFFFF"/>
            <w:noWrap/>
            <w:vAlign w:val="bottom"/>
            <w:hideMark/>
          </w:tcPr>
          <w:p w14:paraId="78B4CDB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1,658,175</w:t>
            </w:r>
          </w:p>
        </w:tc>
        <w:tc>
          <w:tcPr>
            <w:tcW w:w="992" w:type="dxa"/>
            <w:tcBorders>
              <w:top w:val="single" w:sz="4" w:space="0" w:color="auto"/>
              <w:left w:val="nil"/>
              <w:bottom w:val="single" w:sz="4" w:space="0" w:color="auto"/>
              <w:right w:val="nil"/>
            </w:tcBorders>
            <w:shd w:val="clear" w:color="FFFFFF" w:fill="FFFFFF"/>
            <w:noWrap/>
            <w:vAlign w:val="bottom"/>
            <w:hideMark/>
          </w:tcPr>
          <w:p w14:paraId="4B45B6BB"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22,137</w:t>
            </w:r>
          </w:p>
        </w:tc>
        <w:tc>
          <w:tcPr>
            <w:tcW w:w="709" w:type="dxa"/>
            <w:tcBorders>
              <w:top w:val="single" w:sz="4" w:space="0" w:color="auto"/>
              <w:left w:val="nil"/>
              <w:bottom w:val="single" w:sz="4" w:space="0" w:color="auto"/>
              <w:right w:val="nil"/>
            </w:tcBorders>
            <w:shd w:val="clear" w:color="FFFFFF" w:fill="FFFFFF"/>
            <w:noWrap/>
            <w:vAlign w:val="bottom"/>
            <w:hideMark/>
          </w:tcPr>
          <w:p w14:paraId="4C80138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10,992</w:t>
            </w:r>
          </w:p>
        </w:tc>
        <w:tc>
          <w:tcPr>
            <w:tcW w:w="851" w:type="dxa"/>
            <w:tcBorders>
              <w:top w:val="single" w:sz="4" w:space="0" w:color="auto"/>
              <w:left w:val="nil"/>
              <w:bottom w:val="single" w:sz="4" w:space="0" w:color="auto"/>
              <w:right w:val="nil"/>
            </w:tcBorders>
            <w:shd w:val="clear" w:color="FFFFFF" w:fill="FFFFFF"/>
            <w:noWrap/>
            <w:vAlign w:val="bottom"/>
            <w:hideMark/>
          </w:tcPr>
          <w:p w14:paraId="6879011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11,012</w:t>
            </w:r>
          </w:p>
        </w:tc>
        <w:tc>
          <w:tcPr>
            <w:tcW w:w="992" w:type="dxa"/>
            <w:tcBorders>
              <w:top w:val="single" w:sz="4" w:space="0" w:color="auto"/>
              <w:left w:val="nil"/>
              <w:bottom w:val="single" w:sz="4" w:space="0" w:color="auto"/>
              <w:right w:val="nil"/>
            </w:tcBorders>
            <w:shd w:val="clear" w:color="FFFFFF" w:fill="FFFFFF"/>
            <w:noWrap/>
            <w:vAlign w:val="bottom"/>
            <w:hideMark/>
          </w:tcPr>
          <w:p w14:paraId="052BEFA2"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205,733</w:t>
            </w:r>
          </w:p>
        </w:tc>
        <w:tc>
          <w:tcPr>
            <w:tcW w:w="850" w:type="dxa"/>
            <w:tcBorders>
              <w:top w:val="single" w:sz="4" w:space="0" w:color="auto"/>
              <w:left w:val="nil"/>
              <w:bottom w:val="single" w:sz="4" w:space="0" w:color="auto"/>
              <w:right w:val="nil"/>
            </w:tcBorders>
            <w:shd w:val="clear" w:color="FFFFFF" w:fill="FFFFFF"/>
            <w:noWrap/>
            <w:vAlign w:val="bottom"/>
            <w:hideMark/>
          </w:tcPr>
          <w:p w14:paraId="0194BB46"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851" w:type="dxa"/>
            <w:tcBorders>
              <w:top w:val="single" w:sz="4" w:space="0" w:color="auto"/>
              <w:left w:val="nil"/>
              <w:bottom w:val="single" w:sz="4" w:space="0" w:color="auto"/>
              <w:right w:val="nil"/>
            </w:tcBorders>
            <w:shd w:val="clear" w:color="FFFFFF" w:fill="FFFFFF"/>
            <w:noWrap/>
            <w:vAlign w:val="bottom"/>
            <w:hideMark/>
          </w:tcPr>
          <w:p w14:paraId="41E1205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1134" w:type="dxa"/>
            <w:tcBorders>
              <w:top w:val="single" w:sz="4" w:space="0" w:color="auto"/>
              <w:left w:val="nil"/>
              <w:bottom w:val="single" w:sz="4" w:space="0" w:color="auto"/>
              <w:right w:val="nil"/>
            </w:tcBorders>
            <w:shd w:val="clear" w:color="FFFFFF" w:fill="FFFFFF"/>
            <w:noWrap/>
            <w:vAlign w:val="bottom"/>
            <w:hideMark/>
          </w:tcPr>
          <w:p w14:paraId="74A3182D"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2,540,488</w:t>
            </w:r>
          </w:p>
        </w:tc>
        <w:tc>
          <w:tcPr>
            <w:tcW w:w="995" w:type="dxa"/>
            <w:tcBorders>
              <w:top w:val="single" w:sz="4" w:space="0" w:color="auto"/>
              <w:left w:val="nil"/>
              <w:bottom w:val="single" w:sz="4" w:space="0" w:color="auto"/>
              <w:right w:val="nil"/>
            </w:tcBorders>
            <w:shd w:val="clear" w:color="FFFFFF" w:fill="FFFFFF"/>
            <w:noWrap/>
            <w:vAlign w:val="bottom"/>
            <w:hideMark/>
          </w:tcPr>
          <w:p w14:paraId="2FE368D7"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1,825,526</w:t>
            </w:r>
          </w:p>
        </w:tc>
        <w:tc>
          <w:tcPr>
            <w:tcW w:w="989" w:type="dxa"/>
            <w:tcBorders>
              <w:top w:val="single" w:sz="4" w:space="0" w:color="auto"/>
              <w:left w:val="nil"/>
              <w:bottom w:val="single" w:sz="4" w:space="0" w:color="auto"/>
              <w:right w:val="nil"/>
            </w:tcBorders>
            <w:shd w:val="clear" w:color="FFFFFF" w:fill="FFFFFF"/>
            <w:noWrap/>
            <w:vAlign w:val="bottom"/>
            <w:hideMark/>
          </w:tcPr>
          <w:p w14:paraId="4239C89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1,874,920</w:t>
            </w:r>
          </w:p>
        </w:tc>
      </w:tr>
      <w:tr w:rsidR="00361BA1" w:rsidRPr="00361BA1" w14:paraId="79D7B539" w14:textId="77777777" w:rsidTr="00084A73">
        <w:trPr>
          <w:trHeight w:val="238"/>
        </w:trPr>
        <w:tc>
          <w:tcPr>
            <w:tcW w:w="2835" w:type="dxa"/>
            <w:tcBorders>
              <w:top w:val="nil"/>
              <w:left w:val="nil"/>
              <w:bottom w:val="nil"/>
              <w:right w:val="nil"/>
            </w:tcBorders>
            <w:shd w:val="clear" w:color="FFFFFF" w:fill="FFFFFF"/>
            <w:noWrap/>
            <w:vAlign w:val="bottom"/>
            <w:hideMark/>
          </w:tcPr>
          <w:p w14:paraId="70E65F3F"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1238" w:type="dxa"/>
            <w:tcBorders>
              <w:top w:val="nil"/>
              <w:left w:val="nil"/>
              <w:bottom w:val="nil"/>
              <w:right w:val="nil"/>
            </w:tcBorders>
            <w:shd w:val="clear" w:color="FFFFFF" w:fill="FFFFFF"/>
            <w:noWrap/>
            <w:vAlign w:val="bottom"/>
            <w:hideMark/>
          </w:tcPr>
          <w:p w14:paraId="50E0DE49"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1052" w:type="dxa"/>
            <w:tcBorders>
              <w:top w:val="nil"/>
              <w:left w:val="nil"/>
              <w:bottom w:val="nil"/>
              <w:right w:val="nil"/>
            </w:tcBorders>
            <w:shd w:val="clear" w:color="FFFFFF" w:fill="FFFFFF"/>
            <w:noWrap/>
            <w:vAlign w:val="bottom"/>
            <w:hideMark/>
          </w:tcPr>
          <w:p w14:paraId="5DBC6DA9"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992" w:type="dxa"/>
            <w:tcBorders>
              <w:top w:val="nil"/>
              <w:left w:val="nil"/>
              <w:bottom w:val="nil"/>
              <w:right w:val="nil"/>
            </w:tcBorders>
            <w:shd w:val="clear" w:color="FFFFFF" w:fill="FFFFFF"/>
            <w:noWrap/>
            <w:vAlign w:val="bottom"/>
            <w:hideMark/>
          </w:tcPr>
          <w:p w14:paraId="20C7CFC0"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992" w:type="dxa"/>
            <w:tcBorders>
              <w:top w:val="nil"/>
              <w:left w:val="nil"/>
              <w:bottom w:val="nil"/>
              <w:right w:val="nil"/>
            </w:tcBorders>
            <w:shd w:val="clear" w:color="FFFFFF" w:fill="FFFFFF"/>
            <w:noWrap/>
            <w:vAlign w:val="bottom"/>
            <w:hideMark/>
          </w:tcPr>
          <w:p w14:paraId="2C79CD0C"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709" w:type="dxa"/>
            <w:tcBorders>
              <w:top w:val="nil"/>
              <w:left w:val="nil"/>
              <w:bottom w:val="nil"/>
              <w:right w:val="nil"/>
            </w:tcBorders>
            <w:shd w:val="clear" w:color="FFFFFF" w:fill="FFFFFF"/>
            <w:noWrap/>
            <w:vAlign w:val="bottom"/>
            <w:hideMark/>
          </w:tcPr>
          <w:p w14:paraId="57BC0619"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851" w:type="dxa"/>
            <w:tcBorders>
              <w:top w:val="nil"/>
              <w:left w:val="nil"/>
              <w:bottom w:val="nil"/>
              <w:right w:val="nil"/>
            </w:tcBorders>
            <w:shd w:val="clear" w:color="FFFFFF" w:fill="FFFFFF"/>
            <w:noWrap/>
            <w:vAlign w:val="bottom"/>
            <w:hideMark/>
          </w:tcPr>
          <w:p w14:paraId="6342C486"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992" w:type="dxa"/>
            <w:tcBorders>
              <w:top w:val="nil"/>
              <w:left w:val="nil"/>
              <w:bottom w:val="nil"/>
              <w:right w:val="nil"/>
            </w:tcBorders>
            <w:shd w:val="clear" w:color="FFFFFF" w:fill="FFFFFF"/>
            <w:noWrap/>
            <w:vAlign w:val="bottom"/>
            <w:hideMark/>
          </w:tcPr>
          <w:p w14:paraId="137A218C"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850" w:type="dxa"/>
            <w:tcBorders>
              <w:top w:val="nil"/>
              <w:left w:val="nil"/>
              <w:bottom w:val="nil"/>
              <w:right w:val="nil"/>
            </w:tcBorders>
            <w:shd w:val="clear" w:color="FFFFFF" w:fill="FFFFFF"/>
            <w:noWrap/>
            <w:vAlign w:val="bottom"/>
            <w:hideMark/>
          </w:tcPr>
          <w:p w14:paraId="4F65BBAB"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851" w:type="dxa"/>
            <w:tcBorders>
              <w:top w:val="nil"/>
              <w:left w:val="nil"/>
              <w:bottom w:val="nil"/>
              <w:right w:val="nil"/>
            </w:tcBorders>
            <w:shd w:val="clear" w:color="FFFFFF" w:fill="FFFFFF"/>
            <w:noWrap/>
            <w:vAlign w:val="bottom"/>
            <w:hideMark/>
          </w:tcPr>
          <w:p w14:paraId="0CDD77B9"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1134" w:type="dxa"/>
            <w:tcBorders>
              <w:top w:val="nil"/>
              <w:left w:val="nil"/>
              <w:bottom w:val="nil"/>
              <w:right w:val="nil"/>
            </w:tcBorders>
            <w:shd w:val="clear" w:color="FFFFFF" w:fill="FFFFFF"/>
            <w:noWrap/>
            <w:vAlign w:val="bottom"/>
            <w:hideMark/>
          </w:tcPr>
          <w:p w14:paraId="2746BD90"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995" w:type="dxa"/>
            <w:tcBorders>
              <w:top w:val="nil"/>
              <w:left w:val="nil"/>
              <w:bottom w:val="nil"/>
              <w:right w:val="nil"/>
            </w:tcBorders>
            <w:shd w:val="clear" w:color="FFFFFF" w:fill="FFFFFF"/>
            <w:noWrap/>
            <w:vAlign w:val="bottom"/>
            <w:hideMark/>
          </w:tcPr>
          <w:p w14:paraId="5FE3107B"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c>
          <w:tcPr>
            <w:tcW w:w="989" w:type="dxa"/>
            <w:tcBorders>
              <w:top w:val="nil"/>
              <w:left w:val="nil"/>
              <w:bottom w:val="nil"/>
              <w:right w:val="nil"/>
            </w:tcBorders>
            <w:shd w:val="clear" w:color="FFFFFF" w:fill="FFFFFF"/>
            <w:noWrap/>
            <w:vAlign w:val="bottom"/>
            <w:hideMark/>
          </w:tcPr>
          <w:p w14:paraId="24FC305A" w14:textId="77777777" w:rsidR="00361BA1" w:rsidRPr="00361BA1" w:rsidRDefault="00361BA1" w:rsidP="00361BA1">
            <w:pPr>
              <w:spacing w:before="0" w:after="0"/>
              <w:ind w:left="0"/>
              <w:rPr>
                <w:rFonts w:eastAsia="Times New Roman"/>
                <w:sz w:val="16"/>
                <w:szCs w:val="16"/>
                <w:lang w:eastAsia="en-US"/>
              </w:rPr>
            </w:pPr>
            <w:r w:rsidRPr="00361BA1">
              <w:rPr>
                <w:rFonts w:eastAsia="Times New Roman"/>
                <w:sz w:val="16"/>
                <w:szCs w:val="16"/>
                <w:lang w:eastAsia="en-US"/>
              </w:rPr>
              <w:t> </w:t>
            </w:r>
          </w:p>
        </w:tc>
      </w:tr>
      <w:tr w:rsidR="00361BA1" w:rsidRPr="00361BA1" w14:paraId="7B6F8F96" w14:textId="77777777" w:rsidTr="00084A73">
        <w:trPr>
          <w:trHeight w:val="238"/>
        </w:trPr>
        <w:tc>
          <w:tcPr>
            <w:tcW w:w="2835" w:type="dxa"/>
            <w:tcBorders>
              <w:top w:val="nil"/>
              <w:left w:val="nil"/>
              <w:bottom w:val="nil"/>
              <w:right w:val="nil"/>
            </w:tcBorders>
            <w:shd w:val="clear" w:color="FFFFFF" w:fill="FFFFFF"/>
            <w:vAlign w:val="bottom"/>
            <w:hideMark/>
          </w:tcPr>
          <w:p w14:paraId="63504550"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Comprehensive income</w:t>
            </w:r>
          </w:p>
        </w:tc>
        <w:tc>
          <w:tcPr>
            <w:tcW w:w="1238" w:type="dxa"/>
            <w:tcBorders>
              <w:top w:val="nil"/>
              <w:left w:val="nil"/>
              <w:bottom w:val="nil"/>
              <w:right w:val="nil"/>
            </w:tcBorders>
            <w:shd w:val="clear" w:color="FFFFFF" w:fill="FFFFFF"/>
            <w:noWrap/>
            <w:vAlign w:val="bottom"/>
            <w:hideMark/>
          </w:tcPr>
          <w:p w14:paraId="198006C6"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1052" w:type="dxa"/>
            <w:tcBorders>
              <w:top w:val="nil"/>
              <w:left w:val="nil"/>
              <w:bottom w:val="nil"/>
              <w:right w:val="nil"/>
            </w:tcBorders>
            <w:shd w:val="clear" w:color="FFFFFF" w:fill="FFFFFF"/>
            <w:noWrap/>
            <w:vAlign w:val="bottom"/>
            <w:hideMark/>
          </w:tcPr>
          <w:p w14:paraId="5F90A54E"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2" w:type="dxa"/>
            <w:tcBorders>
              <w:top w:val="nil"/>
              <w:left w:val="nil"/>
              <w:bottom w:val="nil"/>
              <w:right w:val="nil"/>
            </w:tcBorders>
            <w:shd w:val="clear" w:color="FFFFFF" w:fill="FFFFFF"/>
            <w:noWrap/>
            <w:vAlign w:val="bottom"/>
            <w:hideMark/>
          </w:tcPr>
          <w:p w14:paraId="4B229733"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2" w:type="dxa"/>
            <w:tcBorders>
              <w:top w:val="nil"/>
              <w:left w:val="nil"/>
              <w:bottom w:val="nil"/>
              <w:right w:val="nil"/>
            </w:tcBorders>
            <w:shd w:val="clear" w:color="FFFFFF" w:fill="FFFFFF"/>
            <w:noWrap/>
            <w:vAlign w:val="bottom"/>
            <w:hideMark/>
          </w:tcPr>
          <w:p w14:paraId="090F4EA8"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709" w:type="dxa"/>
            <w:tcBorders>
              <w:top w:val="nil"/>
              <w:left w:val="nil"/>
              <w:bottom w:val="nil"/>
              <w:right w:val="nil"/>
            </w:tcBorders>
            <w:shd w:val="clear" w:color="FFFFFF" w:fill="FFFFFF"/>
            <w:noWrap/>
            <w:vAlign w:val="bottom"/>
            <w:hideMark/>
          </w:tcPr>
          <w:p w14:paraId="2B492F51"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851" w:type="dxa"/>
            <w:tcBorders>
              <w:top w:val="nil"/>
              <w:left w:val="nil"/>
              <w:bottom w:val="nil"/>
              <w:right w:val="nil"/>
            </w:tcBorders>
            <w:shd w:val="clear" w:color="FFFFFF" w:fill="FFFFFF"/>
            <w:noWrap/>
            <w:vAlign w:val="bottom"/>
            <w:hideMark/>
          </w:tcPr>
          <w:p w14:paraId="31A8F751"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2" w:type="dxa"/>
            <w:tcBorders>
              <w:top w:val="nil"/>
              <w:left w:val="nil"/>
              <w:bottom w:val="nil"/>
              <w:right w:val="nil"/>
            </w:tcBorders>
            <w:shd w:val="clear" w:color="FFFFFF" w:fill="FFFFFF"/>
            <w:noWrap/>
            <w:vAlign w:val="bottom"/>
            <w:hideMark/>
          </w:tcPr>
          <w:p w14:paraId="3A249D71"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850" w:type="dxa"/>
            <w:tcBorders>
              <w:top w:val="nil"/>
              <w:left w:val="nil"/>
              <w:bottom w:val="nil"/>
              <w:right w:val="nil"/>
            </w:tcBorders>
            <w:shd w:val="clear" w:color="FFFFFF" w:fill="FFFFFF"/>
            <w:noWrap/>
            <w:vAlign w:val="bottom"/>
            <w:hideMark/>
          </w:tcPr>
          <w:p w14:paraId="29B8C8AD"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851" w:type="dxa"/>
            <w:tcBorders>
              <w:top w:val="nil"/>
              <w:left w:val="nil"/>
              <w:bottom w:val="nil"/>
              <w:right w:val="nil"/>
            </w:tcBorders>
            <w:shd w:val="clear" w:color="FFFFFF" w:fill="FFFFFF"/>
            <w:noWrap/>
            <w:vAlign w:val="bottom"/>
            <w:hideMark/>
          </w:tcPr>
          <w:p w14:paraId="30F7596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1134" w:type="dxa"/>
            <w:tcBorders>
              <w:top w:val="nil"/>
              <w:left w:val="nil"/>
              <w:bottom w:val="nil"/>
              <w:right w:val="nil"/>
            </w:tcBorders>
            <w:shd w:val="clear" w:color="FFFFFF" w:fill="FFFFFF"/>
            <w:noWrap/>
            <w:vAlign w:val="bottom"/>
            <w:hideMark/>
          </w:tcPr>
          <w:p w14:paraId="1C2DCC57"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5" w:type="dxa"/>
            <w:tcBorders>
              <w:top w:val="nil"/>
              <w:left w:val="nil"/>
              <w:bottom w:val="nil"/>
              <w:right w:val="nil"/>
            </w:tcBorders>
            <w:shd w:val="clear" w:color="FFFFFF" w:fill="FFFFFF"/>
            <w:noWrap/>
            <w:vAlign w:val="bottom"/>
            <w:hideMark/>
          </w:tcPr>
          <w:p w14:paraId="2404EC1D"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 </w:t>
            </w:r>
          </w:p>
        </w:tc>
        <w:tc>
          <w:tcPr>
            <w:tcW w:w="989" w:type="dxa"/>
            <w:tcBorders>
              <w:top w:val="nil"/>
              <w:left w:val="nil"/>
              <w:bottom w:val="nil"/>
              <w:right w:val="nil"/>
            </w:tcBorders>
            <w:shd w:val="clear" w:color="FFFFFF" w:fill="FFFFFF"/>
            <w:noWrap/>
            <w:vAlign w:val="bottom"/>
            <w:hideMark/>
          </w:tcPr>
          <w:p w14:paraId="6BE2EB73"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 </w:t>
            </w:r>
          </w:p>
        </w:tc>
      </w:tr>
      <w:tr w:rsidR="00361BA1" w:rsidRPr="00361BA1" w14:paraId="79448811" w14:textId="77777777" w:rsidTr="00084A73">
        <w:trPr>
          <w:trHeight w:val="238"/>
        </w:trPr>
        <w:tc>
          <w:tcPr>
            <w:tcW w:w="2835" w:type="dxa"/>
            <w:tcBorders>
              <w:top w:val="nil"/>
              <w:left w:val="nil"/>
              <w:bottom w:val="nil"/>
              <w:right w:val="nil"/>
            </w:tcBorders>
            <w:shd w:val="clear" w:color="FFFFFF" w:fill="FFFFFF"/>
            <w:vAlign w:val="bottom"/>
            <w:hideMark/>
          </w:tcPr>
          <w:p w14:paraId="01E47498"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Surplus/(Deficit) for the period</w:t>
            </w:r>
          </w:p>
        </w:tc>
        <w:tc>
          <w:tcPr>
            <w:tcW w:w="1238" w:type="dxa"/>
            <w:tcBorders>
              <w:top w:val="nil"/>
              <w:left w:val="nil"/>
              <w:bottom w:val="nil"/>
              <w:right w:val="nil"/>
            </w:tcBorders>
            <w:shd w:val="clear" w:color="FFFFFF" w:fill="FFFFFF"/>
            <w:noWrap/>
            <w:vAlign w:val="bottom"/>
            <w:hideMark/>
          </w:tcPr>
          <w:p w14:paraId="34598B84"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(1,375,825)</w:t>
            </w:r>
          </w:p>
        </w:tc>
        <w:tc>
          <w:tcPr>
            <w:tcW w:w="1052" w:type="dxa"/>
            <w:tcBorders>
              <w:top w:val="nil"/>
              <w:left w:val="nil"/>
              <w:bottom w:val="nil"/>
              <w:right w:val="nil"/>
            </w:tcBorders>
            <w:shd w:val="clear" w:color="FFFFFF" w:fill="FFFFFF"/>
            <w:noWrap/>
            <w:vAlign w:val="bottom"/>
            <w:hideMark/>
          </w:tcPr>
          <w:p w14:paraId="6A4A0572"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694,400</w:t>
            </w:r>
          </w:p>
        </w:tc>
        <w:tc>
          <w:tcPr>
            <w:tcW w:w="992" w:type="dxa"/>
            <w:tcBorders>
              <w:top w:val="nil"/>
              <w:left w:val="nil"/>
              <w:bottom w:val="nil"/>
              <w:right w:val="nil"/>
            </w:tcBorders>
            <w:shd w:val="clear" w:color="FFFFFF" w:fill="FFFFFF"/>
            <w:noWrap/>
            <w:vAlign w:val="bottom"/>
            <w:hideMark/>
          </w:tcPr>
          <w:p w14:paraId="34BFC3A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3BC0A977"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xml:space="preserve"> -</w:t>
            </w:r>
          </w:p>
        </w:tc>
        <w:tc>
          <w:tcPr>
            <w:tcW w:w="709" w:type="dxa"/>
            <w:tcBorders>
              <w:top w:val="nil"/>
              <w:left w:val="nil"/>
              <w:bottom w:val="nil"/>
              <w:right w:val="nil"/>
            </w:tcBorders>
            <w:shd w:val="clear" w:color="FFFFFF" w:fill="FFFFFF"/>
            <w:noWrap/>
            <w:vAlign w:val="bottom"/>
            <w:hideMark/>
          </w:tcPr>
          <w:p w14:paraId="693219F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421BDDFF"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4220465F"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850" w:type="dxa"/>
            <w:tcBorders>
              <w:top w:val="nil"/>
              <w:left w:val="nil"/>
              <w:bottom w:val="nil"/>
              <w:right w:val="nil"/>
            </w:tcBorders>
            <w:shd w:val="clear" w:color="FFFFFF" w:fill="FFFFFF"/>
            <w:noWrap/>
            <w:vAlign w:val="bottom"/>
            <w:hideMark/>
          </w:tcPr>
          <w:p w14:paraId="6B386FF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6F2C658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1134" w:type="dxa"/>
            <w:tcBorders>
              <w:top w:val="nil"/>
              <w:left w:val="nil"/>
              <w:bottom w:val="nil"/>
              <w:right w:val="nil"/>
            </w:tcBorders>
            <w:shd w:val="clear" w:color="FFFFFF" w:fill="FFFFFF"/>
            <w:noWrap/>
            <w:vAlign w:val="bottom"/>
            <w:hideMark/>
          </w:tcPr>
          <w:p w14:paraId="1540676E"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(1,375,825</w:t>
            </w:r>
          </w:p>
        </w:tc>
        <w:tc>
          <w:tcPr>
            <w:tcW w:w="995" w:type="dxa"/>
            <w:tcBorders>
              <w:top w:val="nil"/>
              <w:left w:val="nil"/>
              <w:bottom w:val="nil"/>
              <w:right w:val="nil"/>
            </w:tcBorders>
            <w:shd w:val="clear" w:color="FFFFFF" w:fill="FFFFFF"/>
            <w:noWrap/>
            <w:vAlign w:val="bottom"/>
            <w:hideMark/>
          </w:tcPr>
          <w:p w14:paraId="62CCAA0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694,400</w:t>
            </w:r>
          </w:p>
        </w:tc>
        <w:tc>
          <w:tcPr>
            <w:tcW w:w="989" w:type="dxa"/>
            <w:tcBorders>
              <w:top w:val="nil"/>
              <w:left w:val="nil"/>
              <w:bottom w:val="nil"/>
              <w:right w:val="nil"/>
            </w:tcBorders>
            <w:shd w:val="clear" w:color="FFFFFF" w:fill="FFFFFF"/>
            <w:noWrap/>
            <w:vAlign w:val="bottom"/>
            <w:hideMark/>
          </w:tcPr>
          <w:p w14:paraId="60A3717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69490B43" w14:textId="77777777" w:rsidTr="00084A73">
        <w:trPr>
          <w:trHeight w:val="238"/>
        </w:trPr>
        <w:tc>
          <w:tcPr>
            <w:tcW w:w="2835" w:type="dxa"/>
            <w:tcBorders>
              <w:top w:val="nil"/>
              <w:left w:val="nil"/>
              <w:bottom w:val="nil"/>
              <w:right w:val="nil"/>
            </w:tcBorders>
            <w:shd w:val="clear" w:color="FFFFFF" w:fill="FFFFFF"/>
            <w:vAlign w:val="bottom"/>
            <w:hideMark/>
          </w:tcPr>
          <w:p w14:paraId="5524E9F6"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Other comprehensive income</w:t>
            </w:r>
          </w:p>
        </w:tc>
        <w:tc>
          <w:tcPr>
            <w:tcW w:w="1238" w:type="dxa"/>
            <w:tcBorders>
              <w:top w:val="nil"/>
              <w:left w:val="nil"/>
              <w:bottom w:val="nil"/>
              <w:right w:val="nil"/>
            </w:tcBorders>
            <w:shd w:val="clear" w:color="FFFFFF" w:fill="FFFFFF"/>
            <w:noWrap/>
            <w:vAlign w:val="bottom"/>
            <w:hideMark/>
          </w:tcPr>
          <w:p w14:paraId="043070E4"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xml:space="preserve"> -</w:t>
            </w:r>
          </w:p>
        </w:tc>
        <w:tc>
          <w:tcPr>
            <w:tcW w:w="1052" w:type="dxa"/>
            <w:tcBorders>
              <w:top w:val="nil"/>
              <w:left w:val="nil"/>
              <w:bottom w:val="nil"/>
              <w:right w:val="nil"/>
            </w:tcBorders>
            <w:shd w:val="clear" w:color="FFFFFF" w:fill="FFFFFF"/>
            <w:noWrap/>
            <w:vAlign w:val="bottom"/>
            <w:hideMark/>
          </w:tcPr>
          <w:p w14:paraId="51678B3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0C553D5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3D1DE89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709" w:type="dxa"/>
            <w:tcBorders>
              <w:top w:val="nil"/>
              <w:left w:val="nil"/>
              <w:bottom w:val="nil"/>
              <w:right w:val="nil"/>
            </w:tcBorders>
            <w:shd w:val="clear" w:color="FFFFFF" w:fill="FFFFFF"/>
            <w:noWrap/>
            <w:vAlign w:val="bottom"/>
            <w:hideMark/>
          </w:tcPr>
          <w:p w14:paraId="3F711ACF"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11,145</w:t>
            </w:r>
          </w:p>
        </w:tc>
        <w:tc>
          <w:tcPr>
            <w:tcW w:w="851" w:type="dxa"/>
            <w:tcBorders>
              <w:top w:val="nil"/>
              <w:left w:val="nil"/>
              <w:bottom w:val="nil"/>
              <w:right w:val="nil"/>
            </w:tcBorders>
            <w:shd w:val="clear" w:color="FFFFFF" w:fill="FFFFFF"/>
            <w:noWrap/>
            <w:vAlign w:val="bottom"/>
            <w:hideMark/>
          </w:tcPr>
          <w:p w14:paraId="711E603F"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992" w:type="dxa"/>
            <w:tcBorders>
              <w:top w:val="nil"/>
              <w:left w:val="nil"/>
              <w:bottom w:val="nil"/>
              <w:right w:val="nil"/>
            </w:tcBorders>
            <w:shd w:val="clear" w:color="FFFFFF" w:fill="FFFFFF"/>
            <w:noWrap/>
            <w:vAlign w:val="bottom"/>
            <w:hideMark/>
          </w:tcPr>
          <w:p w14:paraId="355F440D"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850" w:type="dxa"/>
            <w:tcBorders>
              <w:top w:val="nil"/>
              <w:left w:val="nil"/>
              <w:bottom w:val="nil"/>
              <w:right w:val="nil"/>
            </w:tcBorders>
            <w:shd w:val="clear" w:color="FFFFFF" w:fill="FFFFFF"/>
            <w:noWrap/>
            <w:vAlign w:val="bottom"/>
            <w:hideMark/>
          </w:tcPr>
          <w:p w14:paraId="22C2879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851" w:type="dxa"/>
            <w:tcBorders>
              <w:top w:val="nil"/>
              <w:left w:val="nil"/>
              <w:bottom w:val="nil"/>
              <w:right w:val="nil"/>
            </w:tcBorders>
            <w:shd w:val="clear" w:color="FFFFFF" w:fill="FFFFFF"/>
            <w:noWrap/>
            <w:vAlign w:val="bottom"/>
            <w:hideMark/>
          </w:tcPr>
          <w:p w14:paraId="1BD919D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xml:space="preserve"> -</w:t>
            </w:r>
          </w:p>
        </w:tc>
        <w:tc>
          <w:tcPr>
            <w:tcW w:w="1134" w:type="dxa"/>
            <w:tcBorders>
              <w:top w:val="nil"/>
              <w:left w:val="nil"/>
              <w:bottom w:val="nil"/>
              <w:right w:val="nil"/>
            </w:tcBorders>
            <w:shd w:val="clear" w:color="FFFFFF" w:fill="FFFFFF"/>
            <w:noWrap/>
            <w:vAlign w:val="bottom"/>
            <w:hideMark/>
          </w:tcPr>
          <w:p w14:paraId="72C0AFA8"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995" w:type="dxa"/>
            <w:tcBorders>
              <w:top w:val="nil"/>
              <w:left w:val="nil"/>
              <w:bottom w:val="nil"/>
              <w:right w:val="nil"/>
            </w:tcBorders>
            <w:shd w:val="clear" w:color="FFFFFF" w:fill="FFFFFF"/>
            <w:noWrap/>
            <w:vAlign w:val="bottom"/>
            <w:hideMark/>
          </w:tcPr>
          <w:p w14:paraId="651FB17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11,145</w:t>
            </w:r>
          </w:p>
        </w:tc>
        <w:tc>
          <w:tcPr>
            <w:tcW w:w="989" w:type="dxa"/>
            <w:tcBorders>
              <w:top w:val="nil"/>
              <w:left w:val="nil"/>
              <w:bottom w:val="nil"/>
              <w:right w:val="nil"/>
            </w:tcBorders>
            <w:shd w:val="clear" w:color="FFFFFF" w:fill="FFFFFF"/>
            <w:noWrap/>
            <w:vAlign w:val="bottom"/>
            <w:hideMark/>
          </w:tcPr>
          <w:p w14:paraId="0BE8491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6D2BE627" w14:textId="77777777" w:rsidTr="00084A73">
        <w:trPr>
          <w:trHeight w:val="238"/>
        </w:trPr>
        <w:tc>
          <w:tcPr>
            <w:tcW w:w="2835" w:type="dxa"/>
            <w:tcBorders>
              <w:top w:val="single" w:sz="4" w:space="0" w:color="auto"/>
              <w:left w:val="nil"/>
              <w:bottom w:val="single" w:sz="4" w:space="0" w:color="auto"/>
              <w:right w:val="nil"/>
            </w:tcBorders>
            <w:shd w:val="clear" w:color="FFFFFF" w:fill="FFFFFF"/>
            <w:vAlign w:val="bottom"/>
            <w:hideMark/>
          </w:tcPr>
          <w:p w14:paraId="3241F89C"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Total comprehensive income/(loss)</w:t>
            </w:r>
          </w:p>
        </w:tc>
        <w:tc>
          <w:tcPr>
            <w:tcW w:w="1238" w:type="dxa"/>
            <w:tcBorders>
              <w:top w:val="single" w:sz="4" w:space="0" w:color="auto"/>
              <w:left w:val="nil"/>
              <w:bottom w:val="single" w:sz="4" w:space="0" w:color="auto"/>
              <w:right w:val="nil"/>
            </w:tcBorders>
            <w:shd w:val="clear" w:color="FFFFFF" w:fill="FFFFFF"/>
            <w:noWrap/>
            <w:vAlign w:val="bottom"/>
            <w:hideMark/>
          </w:tcPr>
          <w:p w14:paraId="27EB4866"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(1,375,825)</w:t>
            </w:r>
          </w:p>
        </w:tc>
        <w:tc>
          <w:tcPr>
            <w:tcW w:w="1052" w:type="dxa"/>
            <w:tcBorders>
              <w:top w:val="single" w:sz="4" w:space="0" w:color="auto"/>
              <w:left w:val="nil"/>
              <w:bottom w:val="single" w:sz="4" w:space="0" w:color="auto"/>
              <w:right w:val="nil"/>
            </w:tcBorders>
            <w:shd w:val="clear" w:color="FFFFFF" w:fill="FFFFFF"/>
            <w:noWrap/>
            <w:vAlign w:val="bottom"/>
            <w:hideMark/>
          </w:tcPr>
          <w:p w14:paraId="08452EB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694,400</w:t>
            </w:r>
          </w:p>
        </w:tc>
        <w:tc>
          <w:tcPr>
            <w:tcW w:w="992" w:type="dxa"/>
            <w:tcBorders>
              <w:top w:val="single" w:sz="4" w:space="0" w:color="auto"/>
              <w:left w:val="nil"/>
              <w:bottom w:val="single" w:sz="4" w:space="0" w:color="auto"/>
              <w:right w:val="nil"/>
            </w:tcBorders>
            <w:shd w:val="clear" w:color="FFFFFF" w:fill="FFFFFF"/>
            <w:noWrap/>
            <w:vAlign w:val="bottom"/>
            <w:hideMark/>
          </w:tcPr>
          <w:p w14:paraId="611E357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992" w:type="dxa"/>
            <w:tcBorders>
              <w:top w:val="single" w:sz="4" w:space="0" w:color="auto"/>
              <w:left w:val="nil"/>
              <w:bottom w:val="single" w:sz="4" w:space="0" w:color="auto"/>
              <w:right w:val="nil"/>
            </w:tcBorders>
            <w:shd w:val="clear" w:color="FFFFFF" w:fill="FFFFFF"/>
            <w:noWrap/>
            <w:vAlign w:val="bottom"/>
            <w:hideMark/>
          </w:tcPr>
          <w:p w14:paraId="5EF6E4C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709" w:type="dxa"/>
            <w:tcBorders>
              <w:top w:val="single" w:sz="4" w:space="0" w:color="auto"/>
              <w:left w:val="nil"/>
              <w:bottom w:val="single" w:sz="4" w:space="0" w:color="auto"/>
              <w:right w:val="nil"/>
            </w:tcBorders>
            <w:shd w:val="clear" w:color="FFFFFF" w:fill="FFFFFF"/>
            <w:noWrap/>
            <w:vAlign w:val="bottom"/>
            <w:hideMark/>
          </w:tcPr>
          <w:p w14:paraId="40B3CDD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11,145</w:t>
            </w:r>
          </w:p>
        </w:tc>
        <w:tc>
          <w:tcPr>
            <w:tcW w:w="851" w:type="dxa"/>
            <w:tcBorders>
              <w:top w:val="single" w:sz="4" w:space="0" w:color="auto"/>
              <w:left w:val="nil"/>
              <w:bottom w:val="single" w:sz="4" w:space="0" w:color="auto"/>
              <w:right w:val="nil"/>
            </w:tcBorders>
            <w:shd w:val="clear" w:color="FFFFFF" w:fill="FFFFFF"/>
            <w:noWrap/>
            <w:vAlign w:val="bottom"/>
            <w:hideMark/>
          </w:tcPr>
          <w:p w14:paraId="4CEC43E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992" w:type="dxa"/>
            <w:tcBorders>
              <w:top w:val="single" w:sz="4" w:space="0" w:color="auto"/>
              <w:left w:val="nil"/>
              <w:bottom w:val="single" w:sz="4" w:space="0" w:color="auto"/>
              <w:right w:val="nil"/>
            </w:tcBorders>
            <w:shd w:val="clear" w:color="FFFFFF" w:fill="FFFFFF"/>
            <w:noWrap/>
            <w:vAlign w:val="bottom"/>
            <w:hideMark/>
          </w:tcPr>
          <w:p w14:paraId="1EF63230"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w:t>
            </w:r>
          </w:p>
        </w:tc>
        <w:tc>
          <w:tcPr>
            <w:tcW w:w="850" w:type="dxa"/>
            <w:tcBorders>
              <w:top w:val="single" w:sz="4" w:space="0" w:color="auto"/>
              <w:left w:val="nil"/>
              <w:bottom w:val="single" w:sz="4" w:space="0" w:color="auto"/>
              <w:right w:val="nil"/>
            </w:tcBorders>
            <w:shd w:val="clear" w:color="FFFFFF" w:fill="FFFFFF"/>
            <w:noWrap/>
            <w:vAlign w:val="bottom"/>
            <w:hideMark/>
          </w:tcPr>
          <w:p w14:paraId="65F02E8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851" w:type="dxa"/>
            <w:tcBorders>
              <w:top w:val="single" w:sz="4" w:space="0" w:color="auto"/>
              <w:left w:val="nil"/>
              <w:bottom w:val="single" w:sz="4" w:space="0" w:color="auto"/>
              <w:right w:val="nil"/>
            </w:tcBorders>
            <w:shd w:val="clear" w:color="FFFFFF" w:fill="FFFFFF"/>
            <w:noWrap/>
            <w:vAlign w:val="bottom"/>
            <w:hideMark/>
          </w:tcPr>
          <w:p w14:paraId="4A36021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c>
          <w:tcPr>
            <w:tcW w:w="1134" w:type="dxa"/>
            <w:tcBorders>
              <w:top w:val="single" w:sz="4" w:space="0" w:color="auto"/>
              <w:left w:val="nil"/>
              <w:bottom w:val="single" w:sz="4" w:space="0" w:color="auto"/>
              <w:right w:val="nil"/>
            </w:tcBorders>
            <w:shd w:val="clear" w:color="FFFFFF" w:fill="FFFFFF"/>
            <w:noWrap/>
            <w:vAlign w:val="bottom"/>
            <w:hideMark/>
          </w:tcPr>
          <w:p w14:paraId="14FB9277"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(1,375,825)</w:t>
            </w:r>
          </w:p>
        </w:tc>
        <w:tc>
          <w:tcPr>
            <w:tcW w:w="995" w:type="dxa"/>
            <w:tcBorders>
              <w:top w:val="single" w:sz="4" w:space="0" w:color="auto"/>
              <w:left w:val="nil"/>
              <w:bottom w:val="single" w:sz="4" w:space="0" w:color="auto"/>
              <w:right w:val="nil"/>
            </w:tcBorders>
            <w:shd w:val="clear" w:color="FFFFFF" w:fill="FFFFFF"/>
            <w:noWrap/>
            <w:vAlign w:val="bottom"/>
            <w:hideMark/>
          </w:tcPr>
          <w:p w14:paraId="122E8BBE"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705,545</w:t>
            </w:r>
          </w:p>
        </w:tc>
        <w:tc>
          <w:tcPr>
            <w:tcW w:w="989" w:type="dxa"/>
            <w:tcBorders>
              <w:top w:val="single" w:sz="4" w:space="0" w:color="auto"/>
              <w:left w:val="nil"/>
              <w:bottom w:val="single" w:sz="4" w:space="0" w:color="auto"/>
              <w:right w:val="nil"/>
            </w:tcBorders>
            <w:shd w:val="clear" w:color="FFFFFF" w:fill="FFFFFF"/>
            <w:noWrap/>
            <w:vAlign w:val="bottom"/>
            <w:hideMark/>
          </w:tcPr>
          <w:p w14:paraId="1EB3A77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29350FB8" w14:textId="77777777" w:rsidTr="00084A73">
        <w:trPr>
          <w:trHeight w:val="238"/>
        </w:trPr>
        <w:tc>
          <w:tcPr>
            <w:tcW w:w="2835" w:type="dxa"/>
            <w:tcBorders>
              <w:top w:val="nil"/>
              <w:left w:val="nil"/>
              <w:bottom w:val="nil"/>
              <w:right w:val="nil"/>
            </w:tcBorders>
            <w:shd w:val="clear" w:color="FFFFFF" w:fill="FFFFFF"/>
            <w:vAlign w:val="bottom"/>
            <w:hideMark/>
          </w:tcPr>
          <w:p w14:paraId="48295E47"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7612AA3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1052" w:type="dxa"/>
            <w:tcBorders>
              <w:top w:val="nil"/>
              <w:left w:val="nil"/>
              <w:bottom w:val="nil"/>
              <w:right w:val="nil"/>
            </w:tcBorders>
            <w:shd w:val="clear" w:color="FFFFFF" w:fill="FFFFFF"/>
            <w:noWrap/>
            <w:vAlign w:val="bottom"/>
            <w:hideMark/>
          </w:tcPr>
          <w:p w14:paraId="4519442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75580798"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4D284F5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709" w:type="dxa"/>
            <w:tcBorders>
              <w:top w:val="nil"/>
              <w:left w:val="nil"/>
              <w:bottom w:val="nil"/>
              <w:right w:val="nil"/>
            </w:tcBorders>
            <w:shd w:val="clear" w:color="FFFFFF" w:fill="FFFFFF"/>
            <w:noWrap/>
            <w:vAlign w:val="bottom"/>
            <w:hideMark/>
          </w:tcPr>
          <w:p w14:paraId="1E78F05C"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851" w:type="dxa"/>
            <w:tcBorders>
              <w:top w:val="nil"/>
              <w:left w:val="nil"/>
              <w:bottom w:val="nil"/>
              <w:right w:val="nil"/>
            </w:tcBorders>
            <w:shd w:val="clear" w:color="FFFFFF" w:fill="FFFFFF"/>
            <w:noWrap/>
            <w:vAlign w:val="bottom"/>
            <w:hideMark/>
          </w:tcPr>
          <w:p w14:paraId="20A9C9E6"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2CB3332E"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850" w:type="dxa"/>
            <w:tcBorders>
              <w:top w:val="nil"/>
              <w:left w:val="nil"/>
              <w:bottom w:val="nil"/>
              <w:right w:val="nil"/>
            </w:tcBorders>
            <w:shd w:val="clear" w:color="FFFFFF" w:fill="FFFFFF"/>
            <w:noWrap/>
            <w:vAlign w:val="bottom"/>
            <w:hideMark/>
          </w:tcPr>
          <w:p w14:paraId="71BF2F2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851" w:type="dxa"/>
            <w:tcBorders>
              <w:top w:val="nil"/>
              <w:left w:val="nil"/>
              <w:bottom w:val="nil"/>
              <w:right w:val="nil"/>
            </w:tcBorders>
            <w:shd w:val="clear" w:color="FFFFFF" w:fill="FFFFFF"/>
            <w:noWrap/>
            <w:vAlign w:val="bottom"/>
            <w:hideMark/>
          </w:tcPr>
          <w:p w14:paraId="4E808A9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1134" w:type="dxa"/>
            <w:tcBorders>
              <w:top w:val="nil"/>
              <w:left w:val="nil"/>
              <w:bottom w:val="nil"/>
              <w:right w:val="nil"/>
            </w:tcBorders>
            <w:shd w:val="clear" w:color="FFFFFF" w:fill="FFFFFF"/>
            <w:noWrap/>
            <w:vAlign w:val="bottom"/>
            <w:hideMark/>
          </w:tcPr>
          <w:p w14:paraId="3450945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5" w:type="dxa"/>
            <w:tcBorders>
              <w:top w:val="nil"/>
              <w:left w:val="nil"/>
              <w:bottom w:val="nil"/>
              <w:right w:val="nil"/>
            </w:tcBorders>
            <w:shd w:val="clear" w:color="FFFFFF" w:fill="FFFFFF"/>
            <w:noWrap/>
            <w:vAlign w:val="bottom"/>
            <w:hideMark/>
          </w:tcPr>
          <w:p w14:paraId="1257F29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89" w:type="dxa"/>
            <w:tcBorders>
              <w:top w:val="nil"/>
              <w:left w:val="nil"/>
              <w:bottom w:val="nil"/>
              <w:right w:val="nil"/>
            </w:tcBorders>
            <w:shd w:val="clear" w:color="FFFFFF" w:fill="FFFFFF"/>
            <w:noWrap/>
            <w:vAlign w:val="bottom"/>
            <w:hideMark/>
          </w:tcPr>
          <w:p w14:paraId="5302B05F"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1EDC9F79" w14:textId="77777777" w:rsidTr="00084A73">
        <w:trPr>
          <w:trHeight w:val="238"/>
        </w:trPr>
        <w:tc>
          <w:tcPr>
            <w:tcW w:w="2835" w:type="dxa"/>
            <w:tcBorders>
              <w:top w:val="nil"/>
              <w:left w:val="nil"/>
              <w:bottom w:val="nil"/>
              <w:right w:val="nil"/>
            </w:tcBorders>
            <w:shd w:val="clear" w:color="FFFFFF" w:fill="FFFFFF"/>
            <w:vAlign w:val="bottom"/>
            <w:hideMark/>
          </w:tcPr>
          <w:p w14:paraId="73A8CC33"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2DAEAFDF"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1052" w:type="dxa"/>
            <w:tcBorders>
              <w:top w:val="nil"/>
              <w:left w:val="nil"/>
              <w:bottom w:val="nil"/>
              <w:right w:val="nil"/>
            </w:tcBorders>
            <w:shd w:val="clear" w:color="FFFFFF" w:fill="FFFFFF"/>
            <w:noWrap/>
            <w:vAlign w:val="bottom"/>
            <w:hideMark/>
          </w:tcPr>
          <w:p w14:paraId="219DD4DB"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3EFB9D0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55C46D69"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709" w:type="dxa"/>
            <w:tcBorders>
              <w:top w:val="nil"/>
              <w:left w:val="nil"/>
              <w:bottom w:val="nil"/>
              <w:right w:val="nil"/>
            </w:tcBorders>
            <w:shd w:val="clear" w:color="FFFFFF" w:fill="FFFFFF"/>
            <w:noWrap/>
            <w:vAlign w:val="bottom"/>
            <w:hideMark/>
          </w:tcPr>
          <w:p w14:paraId="6BA63ABF"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851" w:type="dxa"/>
            <w:tcBorders>
              <w:top w:val="nil"/>
              <w:left w:val="nil"/>
              <w:bottom w:val="nil"/>
              <w:right w:val="nil"/>
            </w:tcBorders>
            <w:shd w:val="clear" w:color="FFFFFF" w:fill="FFFFFF"/>
            <w:noWrap/>
            <w:vAlign w:val="bottom"/>
            <w:hideMark/>
          </w:tcPr>
          <w:p w14:paraId="632896E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92" w:type="dxa"/>
            <w:tcBorders>
              <w:top w:val="nil"/>
              <w:left w:val="nil"/>
              <w:bottom w:val="nil"/>
              <w:right w:val="nil"/>
            </w:tcBorders>
            <w:shd w:val="clear" w:color="FFFFFF" w:fill="FFFFFF"/>
            <w:noWrap/>
            <w:vAlign w:val="bottom"/>
            <w:hideMark/>
          </w:tcPr>
          <w:p w14:paraId="27326DA5"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850" w:type="dxa"/>
            <w:tcBorders>
              <w:top w:val="nil"/>
              <w:left w:val="nil"/>
              <w:bottom w:val="nil"/>
              <w:right w:val="nil"/>
            </w:tcBorders>
            <w:shd w:val="clear" w:color="FFFFFF" w:fill="FFFFFF"/>
            <w:noWrap/>
            <w:vAlign w:val="bottom"/>
            <w:hideMark/>
          </w:tcPr>
          <w:p w14:paraId="54A5163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851" w:type="dxa"/>
            <w:tcBorders>
              <w:top w:val="nil"/>
              <w:left w:val="nil"/>
              <w:bottom w:val="nil"/>
              <w:right w:val="nil"/>
            </w:tcBorders>
            <w:shd w:val="clear" w:color="FFFFFF" w:fill="FFFFFF"/>
            <w:noWrap/>
            <w:vAlign w:val="bottom"/>
            <w:hideMark/>
          </w:tcPr>
          <w:p w14:paraId="5C528D41"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1134" w:type="dxa"/>
            <w:tcBorders>
              <w:top w:val="nil"/>
              <w:left w:val="nil"/>
              <w:bottom w:val="nil"/>
              <w:right w:val="nil"/>
            </w:tcBorders>
            <w:shd w:val="clear" w:color="FFFFFF" w:fill="FFFFFF"/>
            <w:noWrap/>
            <w:vAlign w:val="bottom"/>
            <w:hideMark/>
          </w:tcPr>
          <w:p w14:paraId="6601DCD0"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 </w:t>
            </w:r>
          </w:p>
        </w:tc>
        <w:tc>
          <w:tcPr>
            <w:tcW w:w="995" w:type="dxa"/>
            <w:tcBorders>
              <w:top w:val="nil"/>
              <w:left w:val="nil"/>
              <w:bottom w:val="nil"/>
              <w:right w:val="nil"/>
            </w:tcBorders>
            <w:shd w:val="clear" w:color="FFFFFF" w:fill="FFFFFF"/>
            <w:noWrap/>
            <w:vAlign w:val="bottom"/>
            <w:hideMark/>
          </w:tcPr>
          <w:p w14:paraId="70810E79"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c>
          <w:tcPr>
            <w:tcW w:w="989" w:type="dxa"/>
            <w:tcBorders>
              <w:top w:val="nil"/>
              <w:left w:val="nil"/>
              <w:bottom w:val="nil"/>
              <w:right w:val="nil"/>
            </w:tcBorders>
            <w:shd w:val="clear" w:color="FFFFFF" w:fill="FFFFFF"/>
            <w:noWrap/>
            <w:vAlign w:val="bottom"/>
            <w:hideMark/>
          </w:tcPr>
          <w:p w14:paraId="22151BE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3E459E32" w14:textId="77777777" w:rsidTr="00084A73">
        <w:trPr>
          <w:trHeight w:val="238"/>
        </w:trPr>
        <w:tc>
          <w:tcPr>
            <w:tcW w:w="2835" w:type="dxa"/>
            <w:tcBorders>
              <w:top w:val="single" w:sz="4" w:space="0" w:color="auto"/>
              <w:left w:val="nil"/>
              <w:bottom w:val="single" w:sz="4" w:space="0" w:color="auto"/>
              <w:right w:val="nil"/>
            </w:tcBorders>
            <w:shd w:val="clear" w:color="FFFFFF" w:fill="FFFFFF"/>
            <w:vAlign w:val="bottom"/>
            <w:hideMark/>
          </w:tcPr>
          <w:p w14:paraId="10DEB908" w14:textId="77777777" w:rsidR="00361BA1" w:rsidRPr="00361BA1" w:rsidRDefault="00361BA1" w:rsidP="00361BA1">
            <w:pPr>
              <w:spacing w:before="0" w:after="0"/>
              <w:ind w:left="0"/>
              <w:rPr>
                <w:rFonts w:eastAsia="Times New Roman"/>
                <w:b/>
                <w:bCs/>
                <w:sz w:val="18"/>
                <w:szCs w:val="18"/>
                <w:lang w:eastAsia="en-US"/>
              </w:rPr>
            </w:pPr>
            <w:r w:rsidRPr="00361BA1">
              <w:rPr>
                <w:rFonts w:eastAsia="Times New Roman"/>
                <w:b/>
                <w:bCs/>
                <w:sz w:val="18"/>
                <w:szCs w:val="18"/>
                <w:lang w:eastAsia="en-US"/>
              </w:rPr>
              <w:t>Closing balance</w:t>
            </w:r>
          </w:p>
        </w:tc>
        <w:tc>
          <w:tcPr>
            <w:tcW w:w="1238" w:type="dxa"/>
            <w:tcBorders>
              <w:top w:val="single" w:sz="4" w:space="0" w:color="auto"/>
              <w:left w:val="nil"/>
              <w:bottom w:val="single" w:sz="4" w:space="0" w:color="auto"/>
              <w:right w:val="nil"/>
            </w:tcBorders>
            <w:shd w:val="clear" w:color="FFFFFF" w:fill="FFFFFF"/>
            <w:noWrap/>
            <w:vAlign w:val="bottom"/>
            <w:hideMark/>
          </w:tcPr>
          <w:p w14:paraId="4B6D13BD"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936,793</w:t>
            </w:r>
          </w:p>
        </w:tc>
        <w:tc>
          <w:tcPr>
            <w:tcW w:w="1052" w:type="dxa"/>
            <w:tcBorders>
              <w:top w:val="single" w:sz="4" w:space="0" w:color="auto"/>
              <w:left w:val="nil"/>
              <w:bottom w:val="single" w:sz="4" w:space="0" w:color="auto"/>
              <w:right w:val="nil"/>
            </w:tcBorders>
            <w:shd w:val="clear" w:color="FFFFFF" w:fill="FFFFFF"/>
            <w:noWrap/>
            <w:vAlign w:val="bottom"/>
            <w:hideMark/>
          </w:tcPr>
          <w:p w14:paraId="329B1D77"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2,303,201</w:t>
            </w:r>
          </w:p>
        </w:tc>
        <w:tc>
          <w:tcPr>
            <w:tcW w:w="992" w:type="dxa"/>
            <w:tcBorders>
              <w:top w:val="single" w:sz="4" w:space="0" w:color="auto"/>
              <w:left w:val="nil"/>
              <w:bottom w:val="single" w:sz="4" w:space="0" w:color="auto"/>
              <w:right w:val="nil"/>
            </w:tcBorders>
            <w:shd w:val="clear" w:color="FFFFFF" w:fill="FFFFFF"/>
            <w:noWrap/>
            <w:vAlign w:val="bottom"/>
            <w:hideMark/>
          </w:tcPr>
          <w:p w14:paraId="03C635FA"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1,658,175</w:t>
            </w:r>
          </w:p>
        </w:tc>
        <w:tc>
          <w:tcPr>
            <w:tcW w:w="992" w:type="dxa"/>
            <w:tcBorders>
              <w:top w:val="single" w:sz="4" w:space="0" w:color="auto"/>
              <w:left w:val="nil"/>
              <w:bottom w:val="single" w:sz="4" w:space="0" w:color="auto"/>
              <w:right w:val="nil"/>
            </w:tcBorders>
            <w:shd w:val="clear" w:color="FFFFFF" w:fill="FFFFFF"/>
            <w:noWrap/>
            <w:vAlign w:val="bottom"/>
            <w:hideMark/>
          </w:tcPr>
          <w:p w14:paraId="66115FD4"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22,137</w:t>
            </w:r>
          </w:p>
        </w:tc>
        <w:tc>
          <w:tcPr>
            <w:tcW w:w="709" w:type="dxa"/>
            <w:tcBorders>
              <w:top w:val="single" w:sz="4" w:space="0" w:color="auto"/>
              <w:left w:val="nil"/>
              <w:bottom w:val="single" w:sz="4" w:space="0" w:color="auto"/>
              <w:right w:val="nil"/>
            </w:tcBorders>
            <w:shd w:val="clear" w:color="FFFFFF" w:fill="FFFFFF"/>
            <w:noWrap/>
            <w:vAlign w:val="bottom"/>
            <w:hideMark/>
          </w:tcPr>
          <w:p w14:paraId="43964811"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22,137</w:t>
            </w:r>
          </w:p>
        </w:tc>
        <w:tc>
          <w:tcPr>
            <w:tcW w:w="851" w:type="dxa"/>
            <w:tcBorders>
              <w:top w:val="single" w:sz="4" w:space="0" w:color="auto"/>
              <w:left w:val="nil"/>
              <w:bottom w:val="single" w:sz="4" w:space="0" w:color="auto"/>
              <w:right w:val="nil"/>
            </w:tcBorders>
            <w:shd w:val="clear" w:color="FFFFFF" w:fill="FFFFFF"/>
            <w:noWrap/>
            <w:vAlign w:val="bottom"/>
            <w:hideMark/>
          </w:tcPr>
          <w:p w14:paraId="77579E45"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11,012</w:t>
            </w:r>
          </w:p>
        </w:tc>
        <w:tc>
          <w:tcPr>
            <w:tcW w:w="992" w:type="dxa"/>
            <w:tcBorders>
              <w:top w:val="single" w:sz="4" w:space="0" w:color="auto"/>
              <w:left w:val="nil"/>
              <w:bottom w:val="single" w:sz="4" w:space="0" w:color="auto"/>
              <w:right w:val="nil"/>
            </w:tcBorders>
            <w:shd w:val="clear" w:color="FFFFFF" w:fill="FFFFFF"/>
            <w:noWrap/>
            <w:vAlign w:val="bottom"/>
            <w:hideMark/>
          </w:tcPr>
          <w:p w14:paraId="775FC50F"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205,733</w:t>
            </w:r>
          </w:p>
        </w:tc>
        <w:tc>
          <w:tcPr>
            <w:tcW w:w="850" w:type="dxa"/>
            <w:tcBorders>
              <w:top w:val="single" w:sz="4" w:space="0" w:color="auto"/>
              <w:left w:val="nil"/>
              <w:bottom w:val="single" w:sz="4" w:space="0" w:color="auto"/>
              <w:right w:val="nil"/>
            </w:tcBorders>
            <w:shd w:val="clear" w:color="FFFFFF" w:fill="FFFFFF"/>
            <w:noWrap/>
            <w:vAlign w:val="bottom"/>
            <w:hideMark/>
          </w:tcPr>
          <w:p w14:paraId="3017C45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851" w:type="dxa"/>
            <w:tcBorders>
              <w:top w:val="single" w:sz="4" w:space="0" w:color="auto"/>
              <w:left w:val="nil"/>
              <w:bottom w:val="single" w:sz="4" w:space="0" w:color="auto"/>
              <w:right w:val="nil"/>
            </w:tcBorders>
            <w:shd w:val="clear" w:color="FFFFFF" w:fill="FFFFFF"/>
            <w:noWrap/>
            <w:vAlign w:val="bottom"/>
            <w:hideMark/>
          </w:tcPr>
          <w:p w14:paraId="1AD4FDA0"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205,733</w:t>
            </w:r>
          </w:p>
        </w:tc>
        <w:tc>
          <w:tcPr>
            <w:tcW w:w="1134" w:type="dxa"/>
            <w:tcBorders>
              <w:top w:val="single" w:sz="4" w:space="0" w:color="auto"/>
              <w:left w:val="nil"/>
              <w:bottom w:val="single" w:sz="4" w:space="0" w:color="auto"/>
              <w:right w:val="nil"/>
            </w:tcBorders>
            <w:shd w:val="clear" w:color="FFFFFF" w:fill="FFFFFF"/>
            <w:noWrap/>
            <w:vAlign w:val="bottom"/>
            <w:hideMark/>
          </w:tcPr>
          <w:p w14:paraId="7812B4CB" w14:textId="77777777" w:rsidR="00361BA1" w:rsidRPr="00361BA1" w:rsidRDefault="00361BA1" w:rsidP="00361BA1">
            <w:pPr>
              <w:spacing w:before="0" w:after="0"/>
              <w:ind w:left="0"/>
              <w:jc w:val="right"/>
              <w:rPr>
                <w:rFonts w:eastAsia="Times New Roman"/>
                <w:b/>
                <w:bCs/>
                <w:sz w:val="18"/>
                <w:szCs w:val="18"/>
                <w:lang w:eastAsia="en-US"/>
              </w:rPr>
            </w:pPr>
            <w:r w:rsidRPr="00361BA1">
              <w:rPr>
                <w:rFonts w:eastAsia="Times New Roman"/>
                <w:b/>
                <w:bCs/>
                <w:sz w:val="18"/>
                <w:szCs w:val="18"/>
                <w:lang w:eastAsia="en-US"/>
              </w:rPr>
              <w:t>1,164,663</w:t>
            </w:r>
          </w:p>
        </w:tc>
        <w:tc>
          <w:tcPr>
            <w:tcW w:w="995" w:type="dxa"/>
            <w:tcBorders>
              <w:top w:val="single" w:sz="4" w:space="0" w:color="auto"/>
              <w:left w:val="nil"/>
              <w:bottom w:val="single" w:sz="4" w:space="0" w:color="auto"/>
              <w:right w:val="nil"/>
            </w:tcBorders>
            <w:shd w:val="clear" w:color="FFFFFF" w:fill="FFFFFF"/>
            <w:noWrap/>
            <w:vAlign w:val="bottom"/>
            <w:hideMark/>
          </w:tcPr>
          <w:p w14:paraId="00AECF81"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2,531,071</w:t>
            </w:r>
          </w:p>
        </w:tc>
        <w:tc>
          <w:tcPr>
            <w:tcW w:w="989" w:type="dxa"/>
            <w:tcBorders>
              <w:top w:val="single" w:sz="4" w:space="0" w:color="auto"/>
              <w:left w:val="nil"/>
              <w:bottom w:val="single" w:sz="4" w:space="0" w:color="auto"/>
              <w:right w:val="nil"/>
            </w:tcBorders>
            <w:shd w:val="clear" w:color="FFFFFF" w:fill="FFFFFF"/>
            <w:noWrap/>
            <w:vAlign w:val="bottom"/>
            <w:hideMark/>
          </w:tcPr>
          <w:p w14:paraId="4D5B2FCD" w14:textId="77777777" w:rsidR="00361BA1" w:rsidRPr="00361BA1" w:rsidRDefault="00361BA1" w:rsidP="00361BA1">
            <w:pPr>
              <w:spacing w:before="0" w:after="0"/>
              <w:ind w:left="0"/>
              <w:jc w:val="right"/>
              <w:rPr>
                <w:rFonts w:eastAsia="Times New Roman"/>
                <w:sz w:val="18"/>
                <w:szCs w:val="18"/>
                <w:lang w:eastAsia="en-US"/>
              </w:rPr>
            </w:pPr>
            <w:r w:rsidRPr="00361BA1">
              <w:rPr>
                <w:rFonts w:eastAsia="Times New Roman"/>
                <w:sz w:val="18"/>
                <w:szCs w:val="18"/>
                <w:lang w:eastAsia="en-US"/>
              </w:rPr>
              <w:t>1,874,920</w:t>
            </w:r>
          </w:p>
        </w:tc>
      </w:tr>
    </w:tbl>
    <w:p w14:paraId="5F987FE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above statement should be read in conjunction with the accompanying notes.</w:t>
      </w:r>
    </w:p>
    <w:p w14:paraId="0995485B" w14:textId="77777777" w:rsidR="00361BA1" w:rsidRDefault="00361BA1" w:rsidP="00361BA1">
      <w:pPr>
        <w:spacing w:before="0" w:after="80"/>
        <w:ind w:left="0"/>
        <w:rPr>
          <w:rFonts w:eastAsia="Times New Roman" w:cs="Times New Roman"/>
          <w:sz w:val="18"/>
          <w:szCs w:val="20"/>
          <w:lang w:eastAsia="en-AU"/>
        </w:rPr>
        <w:sectPr w:rsidR="00361BA1" w:rsidSect="00361BA1">
          <w:headerReference w:type="first" r:id="rId46"/>
          <w:pgSz w:w="16838" w:h="11906" w:orient="landscape"/>
          <w:pgMar w:top="964" w:right="1021" w:bottom="907" w:left="1440" w:header="708" w:footer="708" w:gutter="0"/>
          <w:cols w:space="708"/>
          <w:titlePg/>
          <w:docGrid w:linePitch="360"/>
        </w:sectPr>
      </w:pPr>
      <w:r w:rsidRPr="00361BA1">
        <w:rPr>
          <w:rFonts w:eastAsia="Times New Roman" w:cs="Times New Roman"/>
          <w:sz w:val="18"/>
          <w:szCs w:val="20"/>
          <w:vertAlign w:val="superscript"/>
          <w:lang w:eastAsia="en-AU"/>
        </w:rPr>
        <w:t>1</w:t>
      </w:r>
      <w:r w:rsidRPr="00361BA1">
        <w:rPr>
          <w:rFonts w:eastAsia="Times New Roman" w:cs="Times New Roman"/>
          <w:sz w:val="18"/>
          <w:szCs w:val="20"/>
          <w:lang w:eastAsia="en-AU"/>
        </w:rPr>
        <w:t xml:space="preserve"> Original Budget refers to the figures published in the Portfolio Budget Statements 2019–20.</w:t>
      </w:r>
    </w:p>
    <w:p w14:paraId="605B743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
          <w:bCs/>
          <w:sz w:val="18"/>
          <w:szCs w:val="18"/>
          <w:lang w:eastAsia="en-US"/>
        </w:rPr>
      </w:pPr>
      <w:r w:rsidRPr="00361BA1">
        <w:rPr>
          <w:rFonts w:eastAsia="Times New Roman"/>
          <w:b/>
          <w:bCs/>
          <w:sz w:val="18"/>
          <w:szCs w:val="18"/>
          <w:lang w:eastAsia="en-US"/>
        </w:rPr>
        <w:lastRenderedPageBreak/>
        <w:t>Accounting Policy</w:t>
      </w:r>
    </w:p>
    <w:p w14:paraId="2F85CC07"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u w:val="single"/>
          <w:lang w:eastAsia="en-US"/>
        </w:rPr>
      </w:pPr>
      <w:r w:rsidRPr="00361BA1">
        <w:rPr>
          <w:rFonts w:eastAsia="Times New Roman"/>
          <w:bCs/>
          <w:sz w:val="18"/>
          <w:szCs w:val="18"/>
          <w:u w:val="single"/>
          <w:lang w:eastAsia="en-US"/>
        </w:rPr>
        <w:t xml:space="preserve">Equity injections </w:t>
      </w:r>
    </w:p>
    <w:p w14:paraId="3AF0F9E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lang w:eastAsia="en-US"/>
        </w:rPr>
      </w:pPr>
      <w:r w:rsidRPr="00361BA1">
        <w:rPr>
          <w:rFonts w:eastAsia="Times New Roman"/>
          <w:bCs/>
          <w:sz w:val="18"/>
          <w:szCs w:val="18"/>
          <w:lang w:eastAsia="en-US"/>
        </w:rPr>
        <w:t xml:space="preserve">Amounts received which are designated as ‘equity injections’ for a year (less any formal reductions) are recognised directly in contributed equity in that year. </w:t>
      </w:r>
    </w:p>
    <w:p w14:paraId="49B069E3"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u w:val="single"/>
          <w:lang w:eastAsia="en-US"/>
        </w:rPr>
      </w:pPr>
      <w:r w:rsidRPr="00361BA1">
        <w:rPr>
          <w:rFonts w:eastAsia="Times New Roman"/>
          <w:bCs/>
          <w:sz w:val="18"/>
          <w:szCs w:val="18"/>
          <w:u w:val="single"/>
          <w:lang w:eastAsia="en-US"/>
        </w:rPr>
        <w:t>Transfer to/from other entities</w:t>
      </w:r>
    </w:p>
    <w:p w14:paraId="0FDB082D"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lang w:eastAsia="en-US"/>
        </w:rPr>
      </w:pPr>
      <w:r w:rsidRPr="00361BA1">
        <w:rPr>
          <w:rFonts w:eastAsia="Times New Roman"/>
          <w:bCs/>
          <w:sz w:val="18"/>
          <w:szCs w:val="18"/>
          <w:lang w:eastAsia="en-US"/>
        </w:rPr>
        <w:t xml:space="preserve">Net assets received from, or transferred to, another Government entity under a restructuring of administrative arrangements are adjusted at their book value directly against contributed equity. </w:t>
      </w:r>
    </w:p>
    <w:p w14:paraId="60D5709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u w:val="single"/>
          <w:lang w:eastAsia="en-US"/>
        </w:rPr>
      </w:pPr>
      <w:r w:rsidRPr="00361BA1">
        <w:rPr>
          <w:rFonts w:eastAsia="Times New Roman"/>
          <w:bCs/>
          <w:sz w:val="18"/>
          <w:szCs w:val="18"/>
          <w:u w:val="single"/>
          <w:lang w:eastAsia="en-US"/>
        </w:rPr>
        <w:t>Other distributions to owners</w:t>
      </w:r>
    </w:p>
    <w:p w14:paraId="774D9E02"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lang w:eastAsia="en-US"/>
        </w:rPr>
      </w:pPr>
      <w:r w:rsidRPr="00361BA1">
        <w:rPr>
          <w:rFonts w:eastAsia="Times New Roman"/>
          <w:bCs/>
          <w:sz w:val="18"/>
          <w:szCs w:val="18"/>
          <w:lang w:eastAsia="en-US"/>
        </w:rPr>
        <w:t xml:space="preserve">The </w:t>
      </w:r>
      <w:r w:rsidRPr="00361BA1">
        <w:rPr>
          <w:rFonts w:eastAsia="Times New Roman"/>
          <w:bCs/>
          <w:i/>
          <w:sz w:val="18"/>
          <w:szCs w:val="18"/>
          <w:lang w:eastAsia="en-US"/>
        </w:rPr>
        <w:t>Public Governance, Performance and Accountability (Financial Reporting) Rule 2015</w:t>
      </w:r>
      <w:r w:rsidRPr="00361BA1">
        <w:rPr>
          <w:rFonts w:eastAsia="Times New Roman"/>
          <w:bCs/>
          <w:sz w:val="18"/>
          <w:szCs w:val="18"/>
          <w:lang w:eastAsia="en-US"/>
        </w:rPr>
        <w:t xml:space="preserve"> (FRR) requires that distributions to owners be debited to contributed equity unless it is in the nature of a dividend.</w:t>
      </w:r>
    </w:p>
    <w:p w14:paraId="77B3994D"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p w14:paraId="400D127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
          <w:bCs/>
          <w:sz w:val="18"/>
          <w:szCs w:val="18"/>
          <w:lang w:eastAsia="en-US"/>
        </w:rPr>
      </w:pPr>
      <w:r w:rsidRPr="00361BA1">
        <w:rPr>
          <w:rFonts w:eastAsia="Times New Roman"/>
          <w:b/>
          <w:bCs/>
          <w:sz w:val="18"/>
          <w:szCs w:val="18"/>
          <w:lang w:eastAsia="en-US"/>
        </w:rPr>
        <w:t>Budget Variances Commentary</w:t>
      </w:r>
    </w:p>
    <w:p w14:paraId="5089291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
          <w:bCs/>
          <w:sz w:val="18"/>
          <w:szCs w:val="18"/>
          <w:lang w:eastAsia="en-US"/>
        </w:rPr>
      </w:pPr>
      <w:r w:rsidRPr="00361BA1">
        <w:rPr>
          <w:rFonts w:eastAsia="Times New Roman"/>
          <w:b/>
          <w:bCs/>
          <w:sz w:val="18"/>
          <w:szCs w:val="18"/>
          <w:lang w:eastAsia="en-US"/>
        </w:rPr>
        <w:t>Statement of Changes in Equity</w:t>
      </w:r>
    </w:p>
    <w:p w14:paraId="38F9CEA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lang w:eastAsia="en-US"/>
        </w:rPr>
        <w:sectPr w:rsidR="00361BA1" w:rsidRPr="00361BA1" w:rsidSect="00361BA1">
          <w:headerReference w:type="default" r:id="rId47"/>
          <w:footerReference w:type="default" r:id="rId48"/>
          <w:pgSz w:w="11906" w:h="16838" w:code="9"/>
          <w:pgMar w:top="1134" w:right="851" w:bottom="1134" w:left="1134" w:header="958" w:footer="737" w:gutter="0"/>
          <w:cols w:space="708"/>
          <w:docGrid w:linePitch="360"/>
        </w:sectPr>
      </w:pPr>
      <w:r w:rsidRPr="00361BA1">
        <w:rPr>
          <w:rFonts w:eastAsia="Times New Roman"/>
          <w:bCs/>
          <w:sz w:val="18"/>
          <w:szCs w:val="18"/>
          <w:lang w:eastAsia="en-US"/>
        </w:rPr>
        <w:t>Major budget variances for balances contained in the Statement of Changes in Equity have been included in the budget variances commentary for the Statement of Comprehensive Income and the Statement of Financial Position.</w:t>
      </w:r>
    </w:p>
    <w:tbl>
      <w:tblPr>
        <w:tblW w:w="10065" w:type="dxa"/>
        <w:tblLayout w:type="fixed"/>
        <w:tblCellMar>
          <w:left w:w="57" w:type="dxa"/>
          <w:right w:w="57" w:type="dxa"/>
        </w:tblCellMar>
        <w:tblLook w:val="04A0" w:firstRow="1" w:lastRow="0" w:firstColumn="1" w:lastColumn="0" w:noHBand="0" w:noVBand="1"/>
      </w:tblPr>
      <w:tblGrid>
        <w:gridCol w:w="5387"/>
        <w:gridCol w:w="1022"/>
        <w:gridCol w:w="1060"/>
        <w:gridCol w:w="236"/>
        <w:gridCol w:w="1036"/>
        <w:gridCol w:w="236"/>
        <w:gridCol w:w="1088"/>
      </w:tblGrid>
      <w:tr w:rsidR="00361BA1" w:rsidRPr="00361BA1" w14:paraId="186DB1EE" w14:textId="77777777" w:rsidTr="00084A73">
        <w:trPr>
          <w:trHeight w:val="465"/>
        </w:trPr>
        <w:tc>
          <w:tcPr>
            <w:tcW w:w="5387" w:type="dxa"/>
            <w:tcBorders>
              <w:top w:val="single" w:sz="8" w:space="0" w:color="800080"/>
              <w:left w:val="nil"/>
              <w:bottom w:val="nil"/>
              <w:right w:val="nil"/>
            </w:tcBorders>
            <w:shd w:val="clear" w:color="FFFFFF" w:fill="FFFFFF"/>
            <w:noWrap/>
            <w:vAlign w:val="bottom"/>
            <w:hideMark/>
          </w:tcPr>
          <w:p w14:paraId="37ACC23B" w14:textId="77777777" w:rsidR="00361BA1" w:rsidRPr="00361BA1" w:rsidRDefault="00361BA1" w:rsidP="00361BA1">
            <w:pPr>
              <w:spacing w:before="0" w:after="0" w:line="260" w:lineRule="atLeast"/>
              <w:ind w:left="0"/>
              <w:rPr>
                <w:rFonts w:eastAsia="Times New Roman"/>
                <w:sz w:val="18"/>
                <w:szCs w:val="18"/>
                <w:lang w:eastAsia="en-US"/>
              </w:rPr>
            </w:pPr>
            <w:bookmarkStart w:id="20" w:name="Note_DCFTABLE1" w:colFirst="0" w:colLast="0"/>
            <w:r w:rsidRPr="00361BA1">
              <w:rPr>
                <w:rFonts w:eastAsia="Times New Roman"/>
                <w:sz w:val="18"/>
                <w:szCs w:val="18"/>
                <w:lang w:eastAsia="en-US"/>
              </w:rPr>
              <w:lastRenderedPageBreak/>
              <w:t> </w:t>
            </w:r>
          </w:p>
        </w:tc>
        <w:tc>
          <w:tcPr>
            <w:tcW w:w="1022" w:type="dxa"/>
            <w:tcBorders>
              <w:top w:val="single" w:sz="8" w:space="0" w:color="800080"/>
              <w:left w:val="nil"/>
              <w:bottom w:val="nil"/>
              <w:right w:val="nil"/>
            </w:tcBorders>
            <w:shd w:val="clear" w:color="FFFFFF" w:fill="FFFFFF"/>
            <w:noWrap/>
            <w:vAlign w:val="bottom"/>
            <w:hideMark/>
          </w:tcPr>
          <w:p w14:paraId="79A41C4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60" w:type="dxa"/>
            <w:tcBorders>
              <w:top w:val="single" w:sz="8" w:space="0" w:color="800080"/>
              <w:left w:val="nil"/>
              <w:bottom w:val="nil"/>
              <w:right w:val="nil"/>
            </w:tcBorders>
            <w:shd w:val="clear" w:color="FFFFFF" w:fill="FFFFFF"/>
            <w:noWrap/>
            <w:vAlign w:val="bottom"/>
            <w:hideMark/>
          </w:tcPr>
          <w:p w14:paraId="27DE07F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0BE47AD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8" w:space="0" w:color="800080"/>
              <w:left w:val="nil"/>
              <w:bottom w:val="nil"/>
              <w:right w:val="nil"/>
            </w:tcBorders>
            <w:shd w:val="clear" w:color="FFFFFF" w:fill="FFFFFF"/>
            <w:noWrap/>
            <w:vAlign w:val="bottom"/>
            <w:hideMark/>
          </w:tcPr>
          <w:p w14:paraId="5749DB2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47695ED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8" w:space="0" w:color="800080"/>
              <w:left w:val="nil"/>
              <w:bottom w:val="nil"/>
              <w:right w:val="nil"/>
            </w:tcBorders>
            <w:shd w:val="clear" w:color="FFFFFF" w:fill="FFFFFF"/>
            <w:vAlign w:val="bottom"/>
            <w:hideMark/>
          </w:tcPr>
          <w:p w14:paraId="3067C7EE" w14:textId="77777777" w:rsidR="00361BA1" w:rsidRPr="00361BA1" w:rsidRDefault="00361BA1" w:rsidP="00361BA1">
            <w:pPr>
              <w:spacing w:before="0" w:after="0" w:line="260" w:lineRule="atLeast"/>
              <w:ind w:left="0"/>
              <w:jc w:val="right"/>
              <w:rPr>
                <w:rFonts w:eastAsia="Times New Roman"/>
                <w:color w:val="800080"/>
                <w:sz w:val="18"/>
                <w:szCs w:val="18"/>
                <w:lang w:eastAsia="en-US"/>
              </w:rPr>
            </w:pPr>
            <w:r w:rsidRPr="00361BA1">
              <w:rPr>
                <w:rFonts w:eastAsia="Times New Roman"/>
                <w:color w:val="800080"/>
                <w:sz w:val="18"/>
                <w:szCs w:val="18"/>
                <w:lang w:eastAsia="en-US"/>
              </w:rPr>
              <w:t>Original</w:t>
            </w:r>
            <w:r w:rsidRPr="00361BA1">
              <w:rPr>
                <w:rFonts w:eastAsia="Times New Roman"/>
                <w:color w:val="800080"/>
                <w:sz w:val="18"/>
                <w:szCs w:val="18"/>
                <w:lang w:eastAsia="en-US"/>
              </w:rPr>
              <w:br/>
              <w:t>Budget</w:t>
            </w:r>
            <w:r w:rsidRPr="00361BA1">
              <w:rPr>
                <w:rFonts w:eastAsia="Times New Roman"/>
                <w:color w:val="800080"/>
                <w:sz w:val="18"/>
                <w:szCs w:val="18"/>
                <w:vertAlign w:val="superscript"/>
                <w:lang w:eastAsia="en-US"/>
              </w:rPr>
              <w:t>1</w:t>
            </w:r>
          </w:p>
        </w:tc>
      </w:tr>
      <w:bookmarkEnd w:id="20"/>
      <w:tr w:rsidR="00361BA1" w:rsidRPr="00361BA1" w14:paraId="08883B1B" w14:textId="77777777" w:rsidTr="00084A73">
        <w:trPr>
          <w:trHeight w:val="255"/>
        </w:trPr>
        <w:tc>
          <w:tcPr>
            <w:tcW w:w="5387" w:type="dxa"/>
            <w:tcBorders>
              <w:top w:val="nil"/>
              <w:left w:val="nil"/>
              <w:bottom w:val="nil"/>
              <w:right w:val="nil"/>
            </w:tcBorders>
            <w:shd w:val="clear" w:color="FFFFFF" w:fill="FFFFFF"/>
            <w:noWrap/>
            <w:vAlign w:val="bottom"/>
            <w:hideMark/>
          </w:tcPr>
          <w:p w14:paraId="434FC15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22" w:type="dxa"/>
            <w:tcBorders>
              <w:top w:val="nil"/>
              <w:left w:val="nil"/>
              <w:bottom w:val="nil"/>
              <w:right w:val="nil"/>
            </w:tcBorders>
            <w:shd w:val="clear" w:color="FFFFFF" w:fill="FFFFFF"/>
            <w:noWrap/>
            <w:vAlign w:val="bottom"/>
            <w:hideMark/>
          </w:tcPr>
          <w:p w14:paraId="65B9043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05E2A0A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6238BEE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3600F7F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c>
          <w:tcPr>
            <w:tcW w:w="236" w:type="dxa"/>
            <w:tcBorders>
              <w:top w:val="nil"/>
              <w:left w:val="nil"/>
              <w:bottom w:val="nil"/>
              <w:right w:val="nil"/>
            </w:tcBorders>
            <w:shd w:val="clear" w:color="FFFFFF" w:fill="FFFFFF"/>
            <w:noWrap/>
            <w:vAlign w:val="bottom"/>
            <w:hideMark/>
          </w:tcPr>
          <w:p w14:paraId="5E359A3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496A27DE" w14:textId="77777777" w:rsidR="00361BA1" w:rsidRPr="00361BA1" w:rsidRDefault="00361BA1" w:rsidP="00361BA1">
            <w:pPr>
              <w:spacing w:before="0" w:after="0" w:line="260" w:lineRule="atLeast"/>
              <w:ind w:left="0"/>
              <w:jc w:val="right"/>
              <w:rPr>
                <w:rFonts w:eastAsia="Times New Roman"/>
                <w:color w:val="800080"/>
                <w:sz w:val="18"/>
                <w:szCs w:val="18"/>
                <w:lang w:eastAsia="en-US"/>
              </w:rPr>
            </w:pPr>
            <w:r w:rsidRPr="00361BA1">
              <w:rPr>
                <w:rFonts w:eastAsia="Times New Roman"/>
                <w:color w:val="800080"/>
                <w:sz w:val="18"/>
                <w:szCs w:val="18"/>
                <w:lang w:eastAsia="en-US"/>
              </w:rPr>
              <w:t>2020</w:t>
            </w:r>
          </w:p>
        </w:tc>
      </w:tr>
      <w:tr w:rsidR="00361BA1" w:rsidRPr="00361BA1" w14:paraId="7BF15DC2" w14:textId="77777777" w:rsidTr="00084A73">
        <w:trPr>
          <w:trHeight w:val="263"/>
        </w:trPr>
        <w:tc>
          <w:tcPr>
            <w:tcW w:w="5387" w:type="dxa"/>
            <w:tcBorders>
              <w:top w:val="nil"/>
              <w:left w:val="nil"/>
              <w:bottom w:val="single" w:sz="8" w:space="0" w:color="800080"/>
              <w:right w:val="nil"/>
            </w:tcBorders>
            <w:shd w:val="clear" w:color="FFFFFF" w:fill="FFFFFF"/>
            <w:noWrap/>
            <w:vAlign w:val="bottom"/>
            <w:hideMark/>
          </w:tcPr>
          <w:p w14:paraId="6D502AE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22" w:type="dxa"/>
            <w:tcBorders>
              <w:top w:val="nil"/>
              <w:left w:val="nil"/>
              <w:bottom w:val="single" w:sz="8" w:space="0" w:color="800080"/>
              <w:right w:val="nil"/>
            </w:tcBorders>
            <w:shd w:val="clear" w:color="FFFFFF" w:fill="FFFFFF"/>
            <w:noWrap/>
            <w:vAlign w:val="bottom"/>
            <w:hideMark/>
          </w:tcPr>
          <w:p w14:paraId="378B1E03" w14:textId="77777777" w:rsidR="00361BA1" w:rsidRPr="00361BA1" w:rsidRDefault="00361BA1" w:rsidP="00361BA1">
            <w:pPr>
              <w:spacing w:before="0" w:after="0" w:line="260" w:lineRule="atLeast"/>
              <w:ind w:left="0"/>
              <w:jc w:val="center"/>
              <w:rPr>
                <w:rFonts w:eastAsia="Times New Roman"/>
                <w:b/>
                <w:bCs/>
                <w:sz w:val="18"/>
                <w:szCs w:val="18"/>
                <w:lang w:eastAsia="en-US"/>
              </w:rPr>
            </w:pPr>
            <w:r w:rsidRPr="00361BA1">
              <w:rPr>
                <w:rFonts w:eastAsia="Times New Roman"/>
                <w:b/>
                <w:bCs/>
                <w:sz w:val="18"/>
                <w:szCs w:val="18"/>
                <w:lang w:eastAsia="en-US"/>
              </w:rPr>
              <w:t>Notes</w:t>
            </w:r>
          </w:p>
        </w:tc>
        <w:tc>
          <w:tcPr>
            <w:tcW w:w="1060" w:type="dxa"/>
            <w:tcBorders>
              <w:top w:val="nil"/>
              <w:left w:val="nil"/>
              <w:bottom w:val="single" w:sz="8" w:space="0" w:color="800080"/>
              <w:right w:val="nil"/>
            </w:tcBorders>
            <w:shd w:val="clear" w:color="FFFFFF" w:fill="FFFFFF"/>
            <w:noWrap/>
            <w:vAlign w:val="bottom"/>
            <w:hideMark/>
          </w:tcPr>
          <w:p w14:paraId="6F0B2C2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1AAAF1C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single" w:sz="8" w:space="0" w:color="800080"/>
              <w:right w:val="nil"/>
            </w:tcBorders>
            <w:shd w:val="clear" w:color="FFFFFF" w:fill="FFFFFF"/>
            <w:noWrap/>
            <w:vAlign w:val="bottom"/>
            <w:hideMark/>
          </w:tcPr>
          <w:p w14:paraId="2B0A059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3A84F80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single" w:sz="8" w:space="0" w:color="800080"/>
              <w:right w:val="nil"/>
            </w:tcBorders>
            <w:shd w:val="clear" w:color="FFFFFF" w:fill="FFFFFF"/>
            <w:noWrap/>
            <w:vAlign w:val="bottom"/>
            <w:hideMark/>
          </w:tcPr>
          <w:p w14:paraId="1A2AEDCC" w14:textId="77777777" w:rsidR="00361BA1" w:rsidRPr="00361BA1" w:rsidRDefault="00361BA1" w:rsidP="00361BA1">
            <w:pPr>
              <w:spacing w:before="0" w:after="0" w:line="260" w:lineRule="atLeast"/>
              <w:ind w:left="0"/>
              <w:jc w:val="right"/>
              <w:rPr>
                <w:rFonts w:eastAsia="Times New Roman"/>
                <w:color w:val="800080"/>
                <w:sz w:val="18"/>
                <w:szCs w:val="18"/>
                <w:lang w:eastAsia="en-US"/>
              </w:rPr>
            </w:pPr>
            <w:r w:rsidRPr="00361BA1">
              <w:rPr>
                <w:rFonts w:eastAsia="Times New Roman"/>
                <w:color w:val="800080"/>
                <w:sz w:val="18"/>
                <w:szCs w:val="18"/>
                <w:lang w:eastAsia="en-US"/>
              </w:rPr>
              <w:t>$'000</w:t>
            </w:r>
          </w:p>
        </w:tc>
      </w:tr>
      <w:tr w:rsidR="00361BA1" w:rsidRPr="00361BA1" w14:paraId="4C48F40B" w14:textId="77777777" w:rsidTr="00084A73">
        <w:trPr>
          <w:trHeight w:val="255"/>
        </w:trPr>
        <w:tc>
          <w:tcPr>
            <w:tcW w:w="5387" w:type="dxa"/>
            <w:tcBorders>
              <w:top w:val="nil"/>
              <w:left w:val="nil"/>
              <w:bottom w:val="nil"/>
              <w:right w:val="nil"/>
            </w:tcBorders>
            <w:shd w:val="clear" w:color="FFFFFF" w:fill="FFFFFF"/>
            <w:noWrap/>
            <w:vAlign w:val="bottom"/>
            <w:hideMark/>
          </w:tcPr>
          <w:p w14:paraId="75A6D395" w14:textId="77777777" w:rsidR="00361BA1" w:rsidRPr="00361BA1" w:rsidRDefault="00361BA1" w:rsidP="00361BA1">
            <w:pPr>
              <w:spacing w:before="0" w:after="0" w:line="260" w:lineRule="atLeast"/>
              <w:ind w:left="0"/>
              <w:rPr>
                <w:rFonts w:eastAsia="Times New Roman"/>
                <w:sz w:val="6"/>
                <w:szCs w:val="18"/>
                <w:lang w:eastAsia="en-US"/>
              </w:rPr>
            </w:pPr>
            <w:r w:rsidRPr="00361BA1">
              <w:rPr>
                <w:rFonts w:eastAsia="Times New Roman"/>
                <w:sz w:val="18"/>
                <w:szCs w:val="18"/>
                <w:lang w:eastAsia="en-US"/>
              </w:rPr>
              <w:t> </w:t>
            </w:r>
          </w:p>
        </w:tc>
        <w:tc>
          <w:tcPr>
            <w:tcW w:w="1022" w:type="dxa"/>
            <w:tcBorders>
              <w:top w:val="nil"/>
              <w:left w:val="nil"/>
              <w:bottom w:val="nil"/>
              <w:right w:val="nil"/>
            </w:tcBorders>
            <w:shd w:val="clear" w:color="FFFFFF" w:fill="FFFFFF"/>
            <w:noWrap/>
            <w:vAlign w:val="bottom"/>
            <w:hideMark/>
          </w:tcPr>
          <w:p w14:paraId="1C1001E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2D26B2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090E9D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126887F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F360AC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6747E5D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169ED583" w14:textId="77777777" w:rsidTr="00084A73">
        <w:trPr>
          <w:trHeight w:val="255"/>
        </w:trPr>
        <w:tc>
          <w:tcPr>
            <w:tcW w:w="5387" w:type="dxa"/>
            <w:tcBorders>
              <w:top w:val="nil"/>
              <w:left w:val="nil"/>
              <w:bottom w:val="nil"/>
              <w:right w:val="nil"/>
            </w:tcBorders>
            <w:shd w:val="clear" w:color="FFFFFF" w:fill="FFFFFF"/>
            <w:vAlign w:val="bottom"/>
            <w:hideMark/>
          </w:tcPr>
          <w:p w14:paraId="25C737C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OPERATING ACTIVITIES</w:t>
            </w:r>
          </w:p>
        </w:tc>
        <w:tc>
          <w:tcPr>
            <w:tcW w:w="1022" w:type="dxa"/>
            <w:tcBorders>
              <w:top w:val="nil"/>
              <w:left w:val="nil"/>
              <w:bottom w:val="nil"/>
              <w:right w:val="nil"/>
            </w:tcBorders>
            <w:shd w:val="clear" w:color="FFFFFF" w:fill="FFFFFF"/>
            <w:noWrap/>
            <w:vAlign w:val="bottom"/>
            <w:hideMark/>
          </w:tcPr>
          <w:p w14:paraId="66B33803"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0478B4D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5BD74B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033728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0BECF3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321113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7265B649" w14:textId="77777777" w:rsidTr="00084A73">
        <w:trPr>
          <w:trHeight w:val="255"/>
        </w:trPr>
        <w:tc>
          <w:tcPr>
            <w:tcW w:w="5387" w:type="dxa"/>
            <w:tcBorders>
              <w:top w:val="nil"/>
              <w:left w:val="nil"/>
              <w:bottom w:val="nil"/>
              <w:right w:val="nil"/>
            </w:tcBorders>
            <w:shd w:val="clear" w:color="FFFFFF" w:fill="FFFFFF"/>
            <w:vAlign w:val="bottom"/>
            <w:hideMark/>
          </w:tcPr>
          <w:p w14:paraId="6671AFB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received</w:t>
            </w:r>
          </w:p>
        </w:tc>
        <w:tc>
          <w:tcPr>
            <w:tcW w:w="1022" w:type="dxa"/>
            <w:tcBorders>
              <w:top w:val="nil"/>
              <w:left w:val="nil"/>
              <w:bottom w:val="nil"/>
              <w:right w:val="nil"/>
            </w:tcBorders>
            <w:shd w:val="clear" w:color="FFFFFF" w:fill="FFFFFF"/>
            <w:noWrap/>
            <w:vAlign w:val="bottom"/>
            <w:hideMark/>
          </w:tcPr>
          <w:p w14:paraId="326F96C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DF8196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1F428D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ED07E0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F7FA0E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7E4D313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F59D63F" w14:textId="77777777" w:rsidTr="00084A73">
        <w:trPr>
          <w:trHeight w:val="255"/>
        </w:trPr>
        <w:tc>
          <w:tcPr>
            <w:tcW w:w="5387" w:type="dxa"/>
            <w:tcBorders>
              <w:top w:val="nil"/>
              <w:left w:val="nil"/>
              <w:bottom w:val="nil"/>
              <w:right w:val="nil"/>
            </w:tcBorders>
            <w:shd w:val="clear" w:color="FFFFFF" w:fill="FFFFFF"/>
            <w:vAlign w:val="bottom"/>
            <w:hideMark/>
          </w:tcPr>
          <w:p w14:paraId="430F0E6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Receipts from Government</w:t>
            </w:r>
          </w:p>
        </w:tc>
        <w:tc>
          <w:tcPr>
            <w:tcW w:w="1022" w:type="dxa"/>
            <w:tcBorders>
              <w:top w:val="nil"/>
              <w:left w:val="nil"/>
              <w:bottom w:val="nil"/>
              <w:right w:val="nil"/>
            </w:tcBorders>
            <w:shd w:val="clear" w:color="FFFFFF" w:fill="FFFFFF"/>
            <w:noWrap/>
            <w:vAlign w:val="bottom"/>
            <w:hideMark/>
          </w:tcPr>
          <w:p w14:paraId="33A92179"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A75E96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1,413,257</w:t>
            </w:r>
          </w:p>
        </w:tc>
        <w:tc>
          <w:tcPr>
            <w:tcW w:w="236" w:type="dxa"/>
            <w:tcBorders>
              <w:top w:val="nil"/>
              <w:left w:val="nil"/>
              <w:bottom w:val="nil"/>
              <w:right w:val="nil"/>
            </w:tcBorders>
            <w:shd w:val="clear" w:color="FFFFFF" w:fill="FFFFFF"/>
            <w:noWrap/>
            <w:vAlign w:val="bottom"/>
            <w:hideMark/>
          </w:tcPr>
          <w:p w14:paraId="1889364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2F4B58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1,477,674</w:t>
            </w:r>
          </w:p>
        </w:tc>
        <w:tc>
          <w:tcPr>
            <w:tcW w:w="236" w:type="dxa"/>
            <w:tcBorders>
              <w:top w:val="nil"/>
              <w:left w:val="nil"/>
              <w:bottom w:val="nil"/>
              <w:right w:val="nil"/>
            </w:tcBorders>
            <w:shd w:val="clear" w:color="FFFFFF" w:fill="FFFFFF"/>
            <w:noWrap/>
            <w:vAlign w:val="bottom"/>
            <w:hideMark/>
          </w:tcPr>
          <w:p w14:paraId="60E51DE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50B8747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1,408,255</w:t>
            </w:r>
          </w:p>
        </w:tc>
      </w:tr>
      <w:tr w:rsidR="00361BA1" w:rsidRPr="00361BA1" w14:paraId="0575A970" w14:textId="77777777" w:rsidTr="00084A73">
        <w:trPr>
          <w:trHeight w:val="255"/>
        </w:trPr>
        <w:tc>
          <w:tcPr>
            <w:tcW w:w="5387" w:type="dxa"/>
            <w:tcBorders>
              <w:top w:val="nil"/>
              <w:left w:val="nil"/>
              <w:bottom w:val="nil"/>
              <w:right w:val="nil"/>
            </w:tcBorders>
            <w:shd w:val="clear" w:color="FFFFFF" w:fill="FFFFFF"/>
            <w:vAlign w:val="bottom"/>
            <w:hideMark/>
          </w:tcPr>
          <w:p w14:paraId="447D0BDF"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Rendering of services</w:t>
            </w:r>
          </w:p>
        </w:tc>
        <w:tc>
          <w:tcPr>
            <w:tcW w:w="1022" w:type="dxa"/>
            <w:tcBorders>
              <w:top w:val="nil"/>
              <w:left w:val="nil"/>
              <w:bottom w:val="nil"/>
              <w:right w:val="nil"/>
            </w:tcBorders>
            <w:shd w:val="clear" w:color="FFFFFF" w:fill="FFFFFF"/>
            <w:noWrap/>
            <w:vAlign w:val="bottom"/>
            <w:hideMark/>
          </w:tcPr>
          <w:p w14:paraId="0C3D53D0"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27C5185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15,295,796</w:t>
            </w:r>
          </w:p>
        </w:tc>
        <w:tc>
          <w:tcPr>
            <w:tcW w:w="236" w:type="dxa"/>
            <w:tcBorders>
              <w:top w:val="nil"/>
              <w:left w:val="nil"/>
              <w:bottom w:val="nil"/>
              <w:right w:val="nil"/>
            </w:tcBorders>
            <w:shd w:val="clear" w:color="FFFFFF" w:fill="FFFFFF"/>
            <w:noWrap/>
            <w:vAlign w:val="bottom"/>
            <w:hideMark/>
          </w:tcPr>
          <w:p w14:paraId="4F42DFC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538E9A0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10,021,896</w:t>
            </w:r>
          </w:p>
        </w:tc>
        <w:tc>
          <w:tcPr>
            <w:tcW w:w="236" w:type="dxa"/>
            <w:tcBorders>
              <w:top w:val="nil"/>
              <w:left w:val="nil"/>
              <w:bottom w:val="nil"/>
              <w:right w:val="nil"/>
            </w:tcBorders>
            <w:shd w:val="clear" w:color="FFFFFF" w:fill="FFFFFF"/>
            <w:noWrap/>
            <w:vAlign w:val="bottom"/>
            <w:hideMark/>
          </w:tcPr>
          <w:p w14:paraId="20B89B4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652988E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14,736,125</w:t>
            </w:r>
          </w:p>
        </w:tc>
      </w:tr>
      <w:tr w:rsidR="00361BA1" w:rsidRPr="00361BA1" w14:paraId="1B536202" w14:textId="77777777" w:rsidTr="00084A73">
        <w:trPr>
          <w:trHeight w:val="255"/>
        </w:trPr>
        <w:tc>
          <w:tcPr>
            <w:tcW w:w="5387" w:type="dxa"/>
            <w:tcBorders>
              <w:top w:val="nil"/>
              <w:left w:val="nil"/>
              <w:bottom w:val="nil"/>
              <w:right w:val="nil"/>
            </w:tcBorders>
            <w:shd w:val="clear" w:color="FFFFFF" w:fill="FFFFFF"/>
            <w:vAlign w:val="bottom"/>
            <w:hideMark/>
          </w:tcPr>
          <w:p w14:paraId="0DF1E4E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Interest received</w:t>
            </w:r>
          </w:p>
        </w:tc>
        <w:tc>
          <w:tcPr>
            <w:tcW w:w="1022" w:type="dxa"/>
            <w:tcBorders>
              <w:top w:val="nil"/>
              <w:left w:val="nil"/>
              <w:bottom w:val="nil"/>
              <w:right w:val="nil"/>
            </w:tcBorders>
            <w:shd w:val="clear" w:color="FFFFFF" w:fill="FFFFFF"/>
            <w:noWrap/>
            <w:vAlign w:val="bottom"/>
            <w:hideMark/>
          </w:tcPr>
          <w:p w14:paraId="13E7937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3611076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53,866</w:t>
            </w:r>
          </w:p>
        </w:tc>
        <w:tc>
          <w:tcPr>
            <w:tcW w:w="236" w:type="dxa"/>
            <w:tcBorders>
              <w:top w:val="nil"/>
              <w:left w:val="nil"/>
              <w:bottom w:val="nil"/>
              <w:right w:val="nil"/>
            </w:tcBorders>
            <w:shd w:val="clear" w:color="FFFFFF" w:fill="FFFFFF"/>
            <w:noWrap/>
            <w:vAlign w:val="bottom"/>
            <w:hideMark/>
          </w:tcPr>
          <w:p w14:paraId="46551B8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4A0F187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56,697</w:t>
            </w:r>
          </w:p>
        </w:tc>
        <w:tc>
          <w:tcPr>
            <w:tcW w:w="236" w:type="dxa"/>
            <w:tcBorders>
              <w:top w:val="nil"/>
              <w:left w:val="nil"/>
              <w:bottom w:val="nil"/>
              <w:right w:val="nil"/>
            </w:tcBorders>
            <w:shd w:val="clear" w:color="FFFFFF" w:fill="FFFFFF"/>
            <w:noWrap/>
            <w:vAlign w:val="bottom"/>
            <w:hideMark/>
          </w:tcPr>
          <w:p w14:paraId="4029523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C43AD1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47,935</w:t>
            </w:r>
          </w:p>
        </w:tc>
      </w:tr>
      <w:tr w:rsidR="00361BA1" w:rsidRPr="00361BA1" w14:paraId="2B2C3631" w14:textId="77777777" w:rsidTr="00084A73">
        <w:trPr>
          <w:trHeight w:val="255"/>
        </w:trPr>
        <w:tc>
          <w:tcPr>
            <w:tcW w:w="5387" w:type="dxa"/>
            <w:tcBorders>
              <w:top w:val="nil"/>
              <w:left w:val="nil"/>
              <w:bottom w:val="nil"/>
              <w:right w:val="nil"/>
            </w:tcBorders>
            <w:shd w:val="clear" w:color="FFFFFF" w:fill="FFFFFF"/>
            <w:vAlign w:val="bottom"/>
            <w:hideMark/>
          </w:tcPr>
          <w:p w14:paraId="68E3B1B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GST received</w:t>
            </w:r>
          </w:p>
        </w:tc>
        <w:tc>
          <w:tcPr>
            <w:tcW w:w="1022" w:type="dxa"/>
            <w:tcBorders>
              <w:top w:val="nil"/>
              <w:left w:val="nil"/>
              <w:bottom w:val="nil"/>
              <w:right w:val="nil"/>
            </w:tcBorders>
            <w:shd w:val="clear" w:color="FFFFFF" w:fill="FFFFFF"/>
            <w:noWrap/>
            <w:vAlign w:val="bottom"/>
            <w:hideMark/>
          </w:tcPr>
          <w:p w14:paraId="022625F5"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0C8AE56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124,382</w:t>
            </w:r>
          </w:p>
        </w:tc>
        <w:tc>
          <w:tcPr>
            <w:tcW w:w="236" w:type="dxa"/>
            <w:tcBorders>
              <w:top w:val="nil"/>
              <w:left w:val="nil"/>
              <w:bottom w:val="nil"/>
              <w:right w:val="nil"/>
            </w:tcBorders>
            <w:shd w:val="clear" w:color="FFFFFF" w:fill="FFFFFF"/>
            <w:noWrap/>
            <w:vAlign w:val="bottom"/>
            <w:hideMark/>
          </w:tcPr>
          <w:p w14:paraId="478E3E4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36F8600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103,853</w:t>
            </w:r>
          </w:p>
        </w:tc>
        <w:tc>
          <w:tcPr>
            <w:tcW w:w="236" w:type="dxa"/>
            <w:tcBorders>
              <w:top w:val="nil"/>
              <w:left w:val="nil"/>
              <w:bottom w:val="nil"/>
              <w:right w:val="nil"/>
            </w:tcBorders>
            <w:shd w:val="clear" w:color="FFFFFF" w:fill="FFFFFF"/>
            <w:noWrap/>
            <w:vAlign w:val="bottom"/>
            <w:hideMark/>
          </w:tcPr>
          <w:p w14:paraId="7188140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C76231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116,642</w:t>
            </w:r>
          </w:p>
        </w:tc>
      </w:tr>
      <w:tr w:rsidR="00361BA1" w:rsidRPr="00361BA1" w14:paraId="5998DFE1" w14:textId="77777777" w:rsidTr="00084A73">
        <w:trPr>
          <w:trHeight w:val="255"/>
        </w:trPr>
        <w:tc>
          <w:tcPr>
            <w:tcW w:w="5387" w:type="dxa"/>
            <w:tcBorders>
              <w:top w:val="nil"/>
              <w:left w:val="nil"/>
              <w:bottom w:val="nil"/>
              <w:right w:val="nil"/>
            </w:tcBorders>
            <w:shd w:val="clear" w:color="FFFFFF" w:fill="FFFFFF"/>
            <w:vAlign w:val="bottom"/>
            <w:hideMark/>
          </w:tcPr>
          <w:p w14:paraId="5A27C8A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Other</w:t>
            </w:r>
          </w:p>
        </w:tc>
        <w:tc>
          <w:tcPr>
            <w:tcW w:w="1022" w:type="dxa"/>
            <w:tcBorders>
              <w:top w:val="nil"/>
              <w:left w:val="nil"/>
              <w:bottom w:val="nil"/>
              <w:right w:val="nil"/>
            </w:tcBorders>
            <w:shd w:val="clear" w:color="FFFFFF" w:fill="FFFFFF"/>
            <w:noWrap/>
            <w:vAlign w:val="bottom"/>
            <w:hideMark/>
          </w:tcPr>
          <w:p w14:paraId="434A444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132A30D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7,891</w:t>
            </w:r>
          </w:p>
        </w:tc>
        <w:tc>
          <w:tcPr>
            <w:tcW w:w="236" w:type="dxa"/>
            <w:tcBorders>
              <w:top w:val="nil"/>
              <w:left w:val="nil"/>
              <w:bottom w:val="nil"/>
              <w:right w:val="nil"/>
            </w:tcBorders>
            <w:shd w:val="clear" w:color="FFFFFF" w:fill="FFFFFF"/>
            <w:noWrap/>
            <w:vAlign w:val="bottom"/>
            <w:hideMark/>
          </w:tcPr>
          <w:p w14:paraId="549F46F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D71924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4,184</w:t>
            </w:r>
          </w:p>
        </w:tc>
        <w:tc>
          <w:tcPr>
            <w:tcW w:w="236" w:type="dxa"/>
            <w:tcBorders>
              <w:top w:val="nil"/>
              <w:left w:val="nil"/>
              <w:bottom w:val="nil"/>
              <w:right w:val="nil"/>
            </w:tcBorders>
            <w:shd w:val="clear" w:color="FFFFFF" w:fill="FFFFFF"/>
            <w:noWrap/>
            <w:vAlign w:val="bottom"/>
            <w:hideMark/>
          </w:tcPr>
          <w:p w14:paraId="0905518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2C15C0F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44CE9FE5" w14:textId="77777777" w:rsidTr="00084A73">
        <w:trPr>
          <w:trHeight w:val="255"/>
        </w:trPr>
        <w:tc>
          <w:tcPr>
            <w:tcW w:w="5387" w:type="dxa"/>
            <w:tcBorders>
              <w:top w:val="nil"/>
              <w:left w:val="nil"/>
              <w:bottom w:val="nil"/>
              <w:right w:val="nil"/>
            </w:tcBorders>
            <w:shd w:val="clear" w:color="FFFFFF" w:fill="FFFFFF"/>
            <w:vAlign w:val="bottom"/>
            <w:hideMark/>
          </w:tcPr>
          <w:p w14:paraId="58D1A94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received</w:t>
            </w:r>
          </w:p>
        </w:tc>
        <w:tc>
          <w:tcPr>
            <w:tcW w:w="1022" w:type="dxa"/>
            <w:tcBorders>
              <w:top w:val="nil"/>
              <w:left w:val="nil"/>
              <w:bottom w:val="nil"/>
              <w:right w:val="nil"/>
            </w:tcBorders>
            <w:shd w:val="clear" w:color="FFFFFF" w:fill="FFFFFF"/>
            <w:noWrap/>
            <w:vAlign w:val="bottom"/>
            <w:hideMark/>
          </w:tcPr>
          <w:p w14:paraId="7E571FBD"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6F69A2E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16,895,192</w:t>
            </w:r>
          </w:p>
        </w:tc>
        <w:tc>
          <w:tcPr>
            <w:tcW w:w="236" w:type="dxa"/>
            <w:tcBorders>
              <w:top w:val="nil"/>
              <w:left w:val="nil"/>
              <w:bottom w:val="nil"/>
              <w:right w:val="nil"/>
            </w:tcBorders>
            <w:shd w:val="clear" w:color="FFFFFF" w:fill="FFFFFF"/>
            <w:noWrap/>
            <w:vAlign w:val="bottom"/>
            <w:hideMark/>
          </w:tcPr>
          <w:p w14:paraId="429B3A8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821395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11,664,304</w:t>
            </w:r>
          </w:p>
        </w:tc>
        <w:tc>
          <w:tcPr>
            <w:tcW w:w="236" w:type="dxa"/>
            <w:tcBorders>
              <w:top w:val="nil"/>
              <w:left w:val="nil"/>
              <w:bottom w:val="nil"/>
              <w:right w:val="nil"/>
            </w:tcBorders>
            <w:shd w:val="clear" w:color="FFFFFF" w:fill="FFFFFF"/>
            <w:noWrap/>
            <w:vAlign w:val="bottom"/>
            <w:hideMark/>
          </w:tcPr>
          <w:p w14:paraId="0DA09DF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65D8AF6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16,308,957</w:t>
            </w:r>
          </w:p>
        </w:tc>
      </w:tr>
      <w:tr w:rsidR="00361BA1" w:rsidRPr="00361BA1" w14:paraId="71C7BC10" w14:textId="77777777" w:rsidTr="00084A73">
        <w:trPr>
          <w:trHeight w:val="124"/>
        </w:trPr>
        <w:tc>
          <w:tcPr>
            <w:tcW w:w="5387" w:type="dxa"/>
            <w:tcBorders>
              <w:top w:val="nil"/>
              <w:left w:val="nil"/>
              <w:bottom w:val="nil"/>
              <w:right w:val="nil"/>
            </w:tcBorders>
            <w:shd w:val="clear" w:color="FFFFFF" w:fill="FFFFFF"/>
            <w:noWrap/>
            <w:vAlign w:val="bottom"/>
            <w:hideMark/>
          </w:tcPr>
          <w:p w14:paraId="45D8EFFB"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c>
          <w:tcPr>
            <w:tcW w:w="1022" w:type="dxa"/>
            <w:tcBorders>
              <w:top w:val="nil"/>
              <w:left w:val="nil"/>
              <w:bottom w:val="nil"/>
              <w:right w:val="nil"/>
            </w:tcBorders>
            <w:shd w:val="clear" w:color="FFFFFF" w:fill="FFFFFF"/>
            <w:noWrap/>
            <w:vAlign w:val="bottom"/>
            <w:hideMark/>
          </w:tcPr>
          <w:p w14:paraId="2E7B3738"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48021A5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3B8470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1F89BAD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1D0FDF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49AC4B0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67661C1" w14:textId="77777777" w:rsidTr="00084A73">
        <w:trPr>
          <w:trHeight w:val="255"/>
        </w:trPr>
        <w:tc>
          <w:tcPr>
            <w:tcW w:w="5387" w:type="dxa"/>
            <w:tcBorders>
              <w:top w:val="nil"/>
              <w:left w:val="nil"/>
              <w:bottom w:val="nil"/>
              <w:right w:val="nil"/>
            </w:tcBorders>
            <w:shd w:val="clear" w:color="FFFFFF" w:fill="FFFFFF"/>
            <w:vAlign w:val="bottom"/>
            <w:hideMark/>
          </w:tcPr>
          <w:p w14:paraId="1686A534"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used</w:t>
            </w:r>
          </w:p>
        </w:tc>
        <w:tc>
          <w:tcPr>
            <w:tcW w:w="1022" w:type="dxa"/>
            <w:tcBorders>
              <w:top w:val="nil"/>
              <w:left w:val="nil"/>
              <w:bottom w:val="nil"/>
              <w:right w:val="nil"/>
            </w:tcBorders>
            <w:shd w:val="clear" w:color="FFFFFF" w:fill="FFFFFF"/>
            <w:noWrap/>
            <w:vAlign w:val="bottom"/>
            <w:hideMark/>
          </w:tcPr>
          <w:p w14:paraId="467C8B3D"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32F68AB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73443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AFB63D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93301B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44D5504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22660EB9" w14:textId="77777777" w:rsidTr="00084A73">
        <w:trPr>
          <w:trHeight w:val="240"/>
        </w:trPr>
        <w:tc>
          <w:tcPr>
            <w:tcW w:w="5387" w:type="dxa"/>
            <w:tcBorders>
              <w:top w:val="nil"/>
              <w:left w:val="nil"/>
              <w:bottom w:val="nil"/>
              <w:right w:val="nil"/>
            </w:tcBorders>
            <w:shd w:val="clear" w:color="FFFFFF" w:fill="FFFFFF"/>
            <w:vAlign w:val="bottom"/>
            <w:hideMark/>
          </w:tcPr>
          <w:p w14:paraId="46910367"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Employee benefits</w:t>
            </w:r>
          </w:p>
        </w:tc>
        <w:tc>
          <w:tcPr>
            <w:tcW w:w="1022" w:type="dxa"/>
            <w:tcBorders>
              <w:top w:val="nil"/>
              <w:left w:val="nil"/>
              <w:bottom w:val="nil"/>
              <w:right w:val="nil"/>
            </w:tcBorders>
            <w:shd w:val="clear" w:color="FFFFFF" w:fill="FFFFFF"/>
            <w:noWrap/>
            <w:vAlign w:val="bottom"/>
            <w:hideMark/>
          </w:tcPr>
          <w:p w14:paraId="443C5B89"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5A907DC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385,279</w:t>
            </w:r>
          </w:p>
        </w:tc>
        <w:tc>
          <w:tcPr>
            <w:tcW w:w="236" w:type="dxa"/>
            <w:tcBorders>
              <w:top w:val="nil"/>
              <w:left w:val="nil"/>
              <w:bottom w:val="nil"/>
              <w:right w:val="nil"/>
            </w:tcBorders>
            <w:shd w:val="clear" w:color="FFFFFF" w:fill="FFFFFF"/>
            <w:noWrap/>
            <w:vAlign w:val="bottom"/>
            <w:hideMark/>
          </w:tcPr>
          <w:p w14:paraId="7436CB9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52CF01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295,787</w:t>
            </w:r>
          </w:p>
        </w:tc>
        <w:tc>
          <w:tcPr>
            <w:tcW w:w="236" w:type="dxa"/>
            <w:tcBorders>
              <w:top w:val="nil"/>
              <w:left w:val="nil"/>
              <w:bottom w:val="nil"/>
              <w:right w:val="nil"/>
            </w:tcBorders>
            <w:shd w:val="clear" w:color="FFFFFF" w:fill="FFFFFF"/>
            <w:noWrap/>
            <w:vAlign w:val="bottom"/>
            <w:hideMark/>
          </w:tcPr>
          <w:p w14:paraId="5804726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DA5F2F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318,476</w:t>
            </w:r>
          </w:p>
        </w:tc>
      </w:tr>
      <w:tr w:rsidR="00361BA1" w:rsidRPr="00361BA1" w14:paraId="1198F814" w14:textId="77777777" w:rsidTr="00084A73">
        <w:trPr>
          <w:trHeight w:val="255"/>
        </w:trPr>
        <w:tc>
          <w:tcPr>
            <w:tcW w:w="5387" w:type="dxa"/>
            <w:tcBorders>
              <w:top w:val="nil"/>
              <w:left w:val="nil"/>
              <w:bottom w:val="nil"/>
              <w:right w:val="nil"/>
            </w:tcBorders>
            <w:shd w:val="clear" w:color="FFFFFF" w:fill="FFFFFF"/>
            <w:vAlign w:val="bottom"/>
            <w:hideMark/>
          </w:tcPr>
          <w:p w14:paraId="404F9CC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Supplier expenses</w:t>
            </w:r>
          </w:p>
        </w:tc>
        <w:tc>
          <w:tcPr>
            <w:tcW w:w="1022" w:type="dxa"/>
            <w:tcBorders>
              <w:top w:val="nil"/>
              <w:left w:val="nil"/>
              <w:bottom w:val="nil"/>
              <w:right w:val="nil"/>
            </w:tcBorders>
            <w:shd w:val="clear" w:color="FFFFFF" w:fill="FFFFFF"/>
            <w:noWrap/>
            <w:vAlign w:val="bottom"/>
            <w:hideMark/>
          </w:tcPr>
          <w:p w14:paraId="493D983E"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5B064D3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417,191</w:t>
            </w:r>
          </w:p>
        </w:tc>
        <w:tc>
          <w:tcPr>
            <w:tcW w:w="236" w:type="dxa"/>
            <w:tcBorders>
              <w:top w:val="nil"/>
              <w:left w:val="nil"/>
              <w:bottom w:val="nil"/>
              <w:right w:val="nil"/>
            </w:tcBorders>
            <w:shd w:val="clear" w:color="FFFFFF" w:fill="FFFFFF"/>
            <w:noWrap/>
            <w:vAlign w:val="bottom"/>
            <w:hideMark/>
          </w:tcPr>
          <w:p w14:paraId="1BCD879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36D72CF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662,239</w:t>
            </w:r>
          </w:p>
        </w:tc>
        <w:tc>
          <w:tcPr>
            <w:tcW w:w="236" w:type="dxa"/>
            <w:tcBorders>
              <w:top w:val="nil"/>
              <w:left w:val="nil"/>
              <w:bottom w:val="nil"/>
              <w:right w:val="nil"/>
            </w:tcBorders>
            <w:shd w:val="clear" w:color="FFFFFF" w:fill="FFFFFF"/>
            <w:noWrap/>
            <w:vAlign w:val="bottom"/>
            <w:hideMark/>
          </w:tcPr>
          <w:p w14:paraId="77E5687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6E5311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1,318,904</w:t>
            </w:r>
          </w:p>
        </w:tc>
      </w:tr>
      <w:tr w:rsidR="00361BA1" w:rsidRPr="00361BA1" w14:paraId="6C930A3A" w14:textId="77777777" w:rsidTr="00084A73">
        <w:trPr>
          <w:trHeight w:val="255"/>
        </w:trPr>
        <w:tc>
          <w:tcPr>
            <w:tcW w:w="5387" w:type="dxa"/>
            <w:tcBorders>
              <w:top w:val="nil"/>
              <w:left w:val="nil"/>
              <w:bottom w:val="nil"/>
              <w:right w:val="nil"/>
            </w:tcBorders>
            <w:shd w:val="clear" w:color="FFFFFF" w:fill="FFFFFF"/>
            <w:vAlign w:val="bottom"/>
            <w:hideMark/>
          </w:tcPr>
          <w:p w14:paraId="3471DE00"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Interest payments on lease liabilities</w:t>
            </w:r>
          </w:p>
        </w:tc>
        <w:tc>
          <w:tcPr>
            <w:tcW w:w="1022" w:type="dxa"/>
            <w:tcBorders>
              <w:top w:val="nil"/>
              <w:left w:val="nil"/>
              <w:bottom w:val="nil"/>
              <w:right w:val="nil"/>
            </w:tcBorders>
            <w:shd w:val="clear" w:color="FFFFFF" w:fill="FFFFFF"/>
            <w:noWrap/>
            <w:vAlign w:val="bottom"/>
            <w:hideMark/>
          </w:tcPr>
          <w:p w14:paraId="0F5E6B76"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344D4FF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2,147</w:t>
            </w:r>
          </w:p>
        </w:tc>
        <w:tc>
          <w:tcPr>
            <w:tcW w:w="236" w:type="dxa"/>
            <w:tcBorders>
              <w:top w:val="nil"/>
              <w:left w:val="nil"/>
              <w:bottom w:val="nil"/>
              <w:right w:val="nil"/>
            </w:tcBorders>
            <w:shd w:val="clear" w:color="FFFFFF" w:fill="FFFFFF"/>
            <w:noWrap/>
            <w:vAlign w:val="bottom"/>
            <w:hideMark/>
          </w:tcPr>
          <w:p w14:paraId="1501256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8057BA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356559D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C351C8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3AA49BB3" w14:textId="77777777" w:rsidTr="00084A73">
        <w:trPr>
          <w:trHeight w:val="255"/>
        </w:trPr>
        <w:tc>
          <w:tcPr>
            <w:tcW w:w="5387" w:type="dxa"/>
            <w:tcBorders>
              <w:top w:val="nil"/>
              <w:left w:val="nil"/>
              <w:bottom w:val="nil"/>
              <w:right w:val="nil"/>
            </w:tcBorders>
            <w:shd w:val="clear" w:color="FFFFFF" w:fill="FFFFFF"/>
            <w:vAlign w:val="bottom"/>
            <w:hideMark/>
          </w:tcPr>
          <w:p w14:paraId="5FFC47F5"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Community partnership costs</w:t>
            </w:r>
          </w:p>
        </w:tc>
        <w:tc>
          <w:tcPr>
            <w:tcW w:w="1022" w:type="dxa"/>
            <w:tcBorders>
              <w:top w:val="nil"/>
              <w:left w:val="nil"/>
              <w:bottom w:val="nil"/>
              <w:right w:val="nil"/>
            </w:tcBorders>
            <w:shd w:val="clear" w:color="FFFFFF" w:fill="FFFFFF"/>
            <w:noWrap/>
            <w:vAlign w:val="bottom"/>
            <w:hideMark/>
          </w:tcPr>
          <w:p w14:paraId="6C6169A1"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01E275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562,506</w:t>
            </w:r>
          </w:p>
        </w:tc>
        <w:tc>
          <w:tcPr>
            <w:tcW w:w="236" w:type="dxa"/>
            <w:tcBorders>
              <w:top w:val="nil"/>
              <w:left w:val="nil"/>
              <w:bottom w:val="nil"/>
              <w:right w:val="nil"/>
            </w:tcBorders>
            <w:shd w:val="clear" w:color="FFFFFF" w:fill="FFFFFF"/>
            <w:noWrap/>
            <w:vAlign w:val="bottom"/>
            <w:hideMark/>
          </w:tcPr>
          <w:p w14:paraId="4FD83D8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35BC2BF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484,210</w:t>
            </w:r>
          </w:p>
        </w:tc>
        <w:tc>
          <w:tcPr>
            <w:tcW w:w="236" w:type="dxa"/>
            <w:tcBorders>
              <w:top w:val="nil"/>
              <w:left w:val="nil"/>
              <w:bottom w:val="nil"/>
              <w:right w:val="nil"/>
            </w:tcBorders>
            <w:shd w:val="clear" w:color="FFFFFF" w:fill="FFFFFF"/>
            <w:noWrap/>
            <w:vAlign w:val="bottom"/>
            <w:hideMark/>
          </w:tcPr>
          <w:p w14:paraId="0EEEB19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761FBD0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526F1B15" w14:textId="77777777" w:rsidTr="00084A73">
        <w:trPr>
          <w:trHeight w:val="255"/>
        </w:trPr>
        <w:tc>
          <w:tcPr>
            <w:tcW w:w="5387" w:type="dxa"/>
            <w:tcBorders>
              <w:top w:val="nil"/>
              <w:left w:val="nil"/>
              <w:bottom w:val="nil"/>
              <w:right w:val="nil"/>
            </w:tcBorders>
            <w:shd w:val="clear" w:color="FFFFFF" w:fill="FFFFFF"/>
            <w:vAlign w:val="bottom"/>
            <w:hideMark/>
          </w:tcPr>
          <w:p w14:paraId="57F60528"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Participant plan expenses</w:t>
            </w:r>
          </w:p>
        </w:tc>
        <w:tc>
          <w:tcPr>
            <w:tcW w:w="1022" w:type="dxa"/>
            <w:tcBorders>
              <w:top w:val="nil"/>
              <w:left w:val="nil"/>
              <w:bottom w:val="nil"/>
              <w:right w:val="nil"/>
            </w:tcBorders>
            <w:shd w:val="clear" w:color="FFFFFF" w:fill="FFFFFF"/>
            <w:noWrap/>
            <w:vAlign w:val="bottom"/>
            <w:hideMark/>
          </w:tcPr>
          <w:p w14:paraId="1430B549"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2BA77E9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16,542,971</w:t>
            </w:r>
          </w:p>
        </w:tc>
        <w:tc>
          <w:tcPr>
            <w:tcW w:w="236" w:type="dxa"/>
            <w:tcBorders>
              <w:top w:val="nil"/>
              <w:left w:val="nil"/>
              <w:bottom w:val="nil"/>
              <w:right w:val="nil"/>
            </w:tcBorders>
            <w:shd w:val="clear" w:color="FFFFFF" w:fill="FFFFFF"/>
            <w:noWrap/>
            <w:vAlign w:val="bottom"/>
            <w:hideMark/>
          </w:tcPr>
          <w:p w14:paraId="53B1701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592592B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8,533,165</w:t>
            </w:r>
          </w:p>
        </w:tc>
        <w:tc>
          <w:tcPr>
            <w:tcW w:w="236" w:type="dxa"/>
            <w:tcBorders>
              <w:top w:val="nil"/>
              <w:left w:val="nil"/>
              <w:bottom w:val="nil"/>
              <w:right w:val="nil"/>
            </w:tcBorders>
            <w:shd w:val="clear" w:color="FFFFFF" w:fill="FFFFFF"/>
            <w:noWrap/>
            <w:vAlign w:val="bottom"/>
            <w:hideMark/>
          </w:tcPr>
          <w:p w14:paraId="117991E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7FE0141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14,536,328</w:t>
            </w:r>
          </w:p>
        </w:tc>
      </w:tr>
      <w:tr w:rsidR="00361BA1" w:rsidRPr="00361BA1" w14:paraId="58119DDD" w14:textId="77777777" w:rsidTr="00084A73">
        <w:trPr>
          <w:trHeight w:val="255"/>
        </w:trPr>
        <w:tc>
          <w:tcPr>
            <w:tcW w:w="5387" w:type="dxa"/>
            <w:tcBorders>
              <w:top w:val="nil"/>
              <w:left w:val="nil"/>
              <w:bottom w:val="nil"/>
              <w:right w:val="nil"/>
            </w:tcBorders>
            <w:shd w:val="clear" w:color="FFFFFF" w:fill="FFFFFF"/>
            <w:vAlign w:val="bottom"/>
            <w:hideMark/>
          </w:tcPr>
          <w:p w14:paraId="0B6EC9F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Grant payments</w:t>
            </w:r>
          </w:p>
        </w:tc>
        <w:tc>
          <w:tcPr>
            <w:tcW w:w="1022" w:type="dxa"/>
            <w:tcBorders>
              <w:top w:val="nil"/>
              <w:left w:val="nil"/>
              <w:bottom w:val="nil"/>
              <w:right w:val="nil"/>
            </w:tcBorders>
            <w:shd w:val="clear" w:color="FFFFFF" w:fill="FFFFFF"/>
            <w:noWrap/>
            <w:vAlign w:val="bottom"/>
            <w:hideMark/>
          </w:tcPr>
          <w:p w14:paraId="34472B0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294A6FA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147,368</w:t>
            </w:r>
          </w:p>
        </w:tc>
        <w:tc>
          <w:tcPr>
            <w:tcW w:w="236" w:type="dxa"/>
            <w:tcBorders>
              <w:top w:val="nil"/>
              <w:left w:val="nil"/>
              <w:bottom w:val="nil"/>
              <w:right w:val="nil"/>
            </w:tcBorders>
            <w:shd w:val="clear" w:color="FFFFFF" w:fill="FFFFFF"/>
            <w:noWrap/>
            <w:vAlign w:val="bottom"/>
            <w:hideMark/>
          </w:tcPr>
          <w:p w14:paraId="27AA37C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482AAC8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115,941</w:t>
            </w:r>
          </w:p>
        </w:tc>
        <w:tc>
          <w:tcPr>
            <w:tcW w:w="236" w:type="dxa"/>
            <w:tcBorders>
              <w:top w:val="nil"/>
              <w:left w:val="nil"/>
              <w:bottom w:val="nil"/>
              <w:right w:val="nil"/>
            </w:tcBorders>
            <w:shd w:val="clear" w:color="FFFFFF" w:fill="FFFFFF"/>
            <w:noWrap/>
            <w:vAlign w:val="bottom"/>
            <w:hideMark/>
          </w:tcPr>
          <w:p w14:paraId="28298BB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5CE1A8B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131,615</w:t>
            </w:r>
          </w:p>
        </w:tc>
      </w:tr>
      <w:tr w:rsidR="00361BA1" w:rsidRPr="00361BA1" w14:paraId="4D8F402F" w14:textId="77777777" w:rsidTr="00084A73">
        <w:trPr>
          <w:trHeight w:val="255"/>
        </w:trPr>
        <w:tc>
          <w:tcPr>
            <w:tcW w:w="5387" w:type="dxa"/>
            <w:tcBorders>
              <w:top w:val="nil"/>
              <w:left w:val="nil"/>
              <w:bottom w:val="nil"/>
              <w:right w:val="nil"/>
            </w:tcBorders>
            <w:shd w:val="clear" w:color="FFFFFF" w:fill="FFFFFF"/>
            <w:vAlign w:val="bottom"/>
            <w:hideMark/>
          </w:tcPr>
          <w:p w14:paraId="36E2020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used</w:t>
            </w:r>
          </w:p>
        </w:tc>
        <w:tc>
          <w:tcPr>
            <w:tcW w:w="1022" w:type="dxa"/>
            <w:tcBorders>
              <w:top w:val="nil"/>
              <w:left w:val="nil"/>
              <w:bottom w:val="nil"/>
              <w:right w:val="nil"/>
            </w:tcBorders>
            <w:shd w:val="clear" w:color="FFFFFF" w:fill="FFFFFF"/>
            <w:noWrap/>
            <w:vAlign w:val="bottom"/>
            <w:hideMark/>
          </w:tcPr>
          <w:p w14:paraId="177478BF"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6A4905A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18,057,462</w:t>
            </w:r>
          </w:p>
        </w:tc>
        <w:tc>
          <w:tcPr>
            <w:tcW w:w="236" w:type="dxa"/>
            <w:tcBorders>
              <w:top w:val="nil"/>
              <w:left w:val="nil"/>
              <w:bottom w:val="nil"/>
              <w:right w:val="nil"/>
            </w:tcBorders>
            <w:shd w:val="clear" w:color="FFFFFF" w:fill="FFFFFF"/>
            <w:noWrap/>
            <w:vAlign w:val="bottom"/>
            <w:hideMark/>
          </w:tcPr>
          <w:p w14:paraId="0E6C03A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60D5324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10,091,342</w:t>
            </w:r>
          </w:p>
        </w:tc>
        <w:tc>
          <w:tcPr>
            <w:tcW w:w="236" w:type="dxa"/>
            <w:tcBorders>
              <w:top w:val="nil"/>
              <w:left w:val="nil"/>
              <w:bottom w:val="nil"/>
              <w:right w:val="nil"/>
            </w:tcBorders>
            <w:shd w:val="clear" w:color="FFFFFF" w:fill="FFFFFF"/>
            <w:noWrap/>
            <w:vAlign w:val="bottom"/>
            <w:hideMark/>
          </w:tcPr>
          <w:p w14:paraId="6DF5A28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0368263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16,305,323</w:t>
            </w:r>
          </w:p>
        </w:tc>
      </w:tr>
      <w:tr w:rsidR="00361BA1" w:rsidRPr="00361BA1" w14:paraId="60770DD3" w14:textId="77777777" w:rsidTr="00084A73">
        <w:trPr>
          <w:trHeight w:val="270"/>
        </w:trPr>
        <w:tc>
          <w:tcPr>
            <w:tcW w:w="5387" w:type="dxa"/>
            <w:tcBorders>
              <w:top w:val="nil"/>
              <w:left w:val="nil"/>
              <w:bottom w:val="nil"/>
              <w:right w:val="nil"/>
            </w:tcBorders>
            <w:shd w:val="clear" w:color="FFFFFF" w:fill="FFFFFF"/>
            <w:vAlign w:val="bottom"/>
            <w:hideMark/>
          </w:tcPr>
          <w:p w14:paraId="0B9E1EFF"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cash from / (used by) operating activities</w:t>
            </w:r>
          </w:p>
        </w:tc>
        <w:tc>
          <w:tcPr>
            <w:tcW w:w="1022" w:type="dxa"/>
            <w:tcBorders>
              <w:top w:val="nil"/>
              <w:left w:val="nil"/>
              <w:bottom w:val="nil"/>
              <w:right w:val="nil"/>
            </w:tcBorders>
            <w:shd w:val="clear" w:color="FFFFFF" w:fill="FFFFFF"/>
            <w:noWrap/>
            <w:vAlign w:val="bottom"/>
            <w:hideMark/>
          </w:tcPr>
          <w:p w14:paraId="4C17E0E5"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single" w:sz="4" w:space="0" w:color="auto"/>
              <w:right w:val="nil"/>
            </w:tcBorders>
            <w:shd w:val="clear" w:color="FFFFFF" w:fill="FFFFFF"/>
            <w:noWrap/>
            <w:vAlign w:val="bottom"/>
            <w:hideMark/>
          </w:tcPr>
          <w:p w14:paraId="4B1B9D3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(1,162,270)</w:t>
            </w:r>
          </w:p>
        </w:tc>
        <w:tc>
          <w:tcPr>
            <w:tcW w:w="236" w:type="dxa"/>
            <w:tcBorders>
              <w:top w:val="nil"/>
              <w:left w:val="nil"/>
              <w:bottom w:val="nil"/>
              <w:right w:val="nil"/>
            </w:tcBorders>
            <w:shd w:val="clear" w:color="FFFFFF" w:fill="FFFFFF"/>
            <w:noWrap/>
            <w:vAlign w:val="bottom"/>
            <w:hideMark/>
          </w:tcPr>
          <w:p w14:paraId="7D6C042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single" w:sz="4" w:space="0" w:color="auto"/>
              <w:right w:val="nil"/>
            </w:tcBorders>
            <w:shd w:val="clear" w:color="FFFFFF" w:fill="FFFFFF"/>
            <w:noWrap/>
            <w:vAlign w:val="bottom"/>
            <w:hideMark/>
          </w:tcPr>
          <w:p w14:paraId="33E8219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1,572,962</w:t>
            </w:r>
          </w:p>
        </w:tc>
        <w:tc>
          <w:tcPr>
            <w:tcW w:w="236" w:type="dxa"/>
            <w:tcBorders>
              <w:top w:val="nil"/>
              <w:left w:val="nil"/>
              <w:bottom w:val="nil"/>
              <w:right w:val="nil"/>
            </w:tcBorders>
            <w:shd w:val="clear" w:color="FFFFFF" w:fill="FFFFFF"/>
            <w:noWrap/>
            <w:vAlign w:val="bottom"/>
            <w:hideMark/>
          </w:tcPr>
          <w:p w14:paraId="6B5D540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single" w:sz="4" w:space="0" w:color="auto"/>
              <w:right w:val="nil"/>
            </w:tcBorders>
            <w:shd w:val="clear" w:color="FFFFFF" w:fill="FFFFFF"/>
            <w:noWrap/>
            <w:vAlign w:val="bottom"/>
            <w:hideMark/>
          </w:tcPr>
          <w:p w14:paraId="766D76E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3,634</w:t>
            </w:r>
          </w:p>
        </w:tc>
      </w:tr>
      <w:tr w:rsidR="00361BA1" w:rsidRPr="00361BA1" w14:paraId="0D3829D0" w14:textId="77777777" w:rsidTr="00084A73">
        <w:trPr>
          <w:trHeight w:val="222"/>
        </w:trPr>
        <w:tc>
          <w:tcPr>
            <w:tcW w:w="5387" w:type="dxa"/>
            <w:tcBorders>
              <w:top w:val="nil"/>
              <w:left w:val="nil"/>
              <w:bottom w:val="nil"/>
              <w:right w:val="nil"/>
            </w:tcBorders>
            <w:shd w:val="clear" w:color="FFFFFF" w:fill="FFFFFF"/>
            <w:noWrap/>
            <w:vAlign w:val="bottom"/>
            <w:hideMark/>
          </w:tcPr>
          <w:p w14:paraId="525A416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22" w:type="dxa"/>
            <w:tcBorders>
              <w:top w:val="nil"/>
              <w:left w:val="nil"/>
              <w:bottom w:val="nil"/>
              <w:right w:val="nil"/>
            </w:tcBorders>
            <w:shd w:val="clear" w:color="FFFFFF" w:fill="FFFFFF"/>
            <w:noWrap/>
            <w:vAlign w:val="bottom"/>
            <w:hideMark/>
          </w:tcPr>
          <w:p w14:paraId="6B8AE50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4A811FA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6A70E1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1D5A2A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BCE20B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DC9AE8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65626B79" w14:textId="77777777" w:rsidTr="00084A73">
        <w:trPr>
          <w:trHeight w:val="255"/>
        </w:trPr>
        <w:tc>
          <w:tcPr>
            <w:tcW w:w="5387" w:type="dxa"/>
            <w:tcBorders>
              <w:top w:val="nil"/>
              <w:left w:val="nil"/>
              <w:bottom w:val="nil"/>
              <w:right w:val="nil"/>
            </w:tcBorders>
            <w:shd w:val="clear" w:color="FFFFFF" w:fill="FFFFFF"/>
            <w:vAlign w:val="bottom"/>
            <w:hideMark/>
          </w:tcPr>
          <w:p w14:paraId="3EA8C4B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INVESTING ACTIVITIES</w:t>
            </w:r>
          </w:p>
        </w:tc>
        <w:tc>
          <w:tcPr>
            <w:tcW w:w="1022" w:type="dxa"/>
            <w:tcBorders>
              <w:top w:val="nil"/>
              <w:left w:val="nil"/>
              <w:bottom w:val="nil"/>
              <w:right w:val="nil"/>
            </w:tcBorders>
            <w:shd w:val="clear" w:color="FFFFFF" w:fill="FFFFFF"/>
            <w:noWrap/>
            <w:vAlign w:val="bottom"/>
            <w:hideMark/>
          </w:tcPr>
          <w:p w14:paraId="6B8F6423"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70193B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28DB1C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0E9B2F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084D81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36218E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66B9B50" w14:textId="77777777" w:rsidTr="00084A73">
        <w:trPr>
          <w:trHeight w:val="255"/>
        </w:trPr>
        <w:tc>
          <w:tcPr>
            <w:tcW w:w="5387" w:type="dxa"/>
            <w:tcBorders>
              <w:top w:val="nil"/>
              <w:left w:val="nil"/>
              <w:bottom w:val="nil"/>
              <w:right w:val="nil"/>
            </w:tcBorders>
            <w:shd w:val="clear" w:color="FFFFFF" w:fill="FFFFFF"/>
            <w:vAlign w:val="bottom"/>
            <w:hideMark/>
          </w:tcPr>
          <w:p w14:paraId="0BC1FB9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received</w:t>
            </w:r>
          </w:p>
        </w:tc>
        <w:tc>
          <w:tcPr>
            <w:tcW w:w="1022" w:type="dxa"/>
            <w:tcBorders>
              <w:top w:val="nil"/>
              <w:left w:val="nil"/>
              <w:bottom w:val="nil"/>
              <w:right w:val="nil"/>
            </w:tcBorders>
            <w:shd w:val="clear" w:color="FFFFFF" w:fill="FFFFFF"/>
            <w:noWrap/>
            <w:vAlign w:val="bottom"/>
            <w:hideMark/>
          </w:tcPr>
          <w:p w14:paraId="2BDCFF3C"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5838698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7362E6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449DDEC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7788A8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666832A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6815C7FC" w14:textId="77777777" w:rsidTr="00084A73">
        <w:trPr>
          <w:trHeight w:val="255"/>
        </w:trPr>
        <w:tc>
          <w:tcPr>
            <w:tcW w:w="5387" w:type="dxa"/>
            <w:tcBorders>
              <w:top w:val="nil"/>
              <w:left w:val="nil"/>
              <w:bottom w:val="nil"/>
              <w:right w:val="nil"/>
            </w:tcBorders>
            <w:shd w:val="clear" w:color="FFFFFF" w:fill="FFFFFF"/>
            <w:vAlign w:val="bottom"/>
            <w:hideMark/>
          </w:tcPr>
          <w:p w14:paraId="29322ED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Proceeds from sales of property, plant and</w:t>
            </w:r>
            <w:r w:rsidRPr="00361BA1">
              <w:rPr>
                <w:rFonts w:eastAsia="Times New Roman"/>
                <w:sz w:val="18"/>
                <w:szCs w:val="18"/>
                <w:lang w:eastAsia="en-US"/>
              </w:rPr>
              <w:br/>
              <w:t xml:space="preserve">    equipment</w:t>
            </w:r>
          </w:p>
        </w:tc>
        <w:tc>
          <w:tcPr>
            <w:tcW w:w="1022" w:type="dxa"/>
            <w:tcBorders>
              <w:top w:val="nil"/>
              <w:left w:val="nil"/>
              <w:bottom w:val="nil"/>
              <w:right w:val="nil"/>
            </w:tcBorders>
            <w:shd w:val="clear" w:color="FFFFFF" w:fill="FFFFFF"/>
            <w:noWrap/>
            <w:vAlign w:val="bottom"/>
            <w:hideMark/>
          </w:tcPr>
          <w:p w14:paraId="053AF134"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4144133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w:t>
            </w:r>
          </w:p>
        </w:tc>
        <w:tc>
          <w:tcPr>
            <w:tcW w:w="236" w:type="dxa"/>
            <w:tcBorders>
              <w:top w:val="nil"/>
              <w:left w:val="nil"/>
              <w:bottom w:val="nil"/>
              <w:right w:val="nil"/>
            </w:tcBorders>
            <w:shd w:val="clear" w:color="FFFFFF" w:fill="FFFFFF"/>
            <w:noWrap/>
            <w:vAlign w:val="bottom"/>
            <w:hideMark/>
          </w:tcPr>
          <w:p w14:paraId="6BA2B93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5CA94E3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6629C9E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6C327DE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1D2B9F75" w14:textId="77777777" w:rsidTr="00084A73">
        <w:trPr>
          <w:trHeight w:val="255"/>
        </w:trPr>
        <w:tc>
          <w:tcPr>
            <w:tcW w:w="5387" w:type="dxa"/>
            <w:tcBorders>
              <w:top w:val="nil"/>
              <w:left w:val="nil"/>
              <w:bottom w:val="nil"/>
              <w:right w:val="nil"/>
            </w:tcBorders>
            <w:shd w:val="clear" w:color="FFFFFF" w:fill="FFFFFF"/>
            <w:vAlign w:val="bottom"/>
            <w:hideMark/>
          </w:tcPr>
          <w:p w14:paraId="26A5F52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received</w:t>
            </w:r>
          </w:p>
        </w:tc>
        <w:tc>
          <w:tcPr>
            <w:tcW w:w="1022" w:type="dxa"/>
            <w:tcBorders>
              <w:top w:val="nil"/>
              <w:left w:val="nil"/>
              <w:bottom w:val="nil"/>
              <w:right w:val="nil"/>
            </w:tcBorders>
            <w:shd w:val="clear" w:color="FFFFFF" w:fill="FFFFFF"/>
            <w:noWrap/>
            <w:vAlign w:val="bottom"/>
            <w:hideMark/>
          </w:tcPr>
          <w:p w14:paraId="47B999A7"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36486B0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w:t>
            </w:r>
          </w:p>
        </w:tc>
        <w:tc>
          <w:tcPr>
            <w:tcW w:w="236" w:type="dxa"/>
            <w:tcBorders>
              <w:top w:val="nil"/>
              <w:left w:val="nil"/>
              <w:bottom w:val="nil"/>
              <w:right w:val="nil"/>
            </w:tcBorders>
            <w:shd w:val="clear" w:color="FFFFFF" w:fill="FFFFFF"/>
            <w:noWrap/>
            <w:vAlign w:val="bottom"/>
            <w:hideMark/>
          </w:tcPr>
          <w:p w14:paraId="133E60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AF5E14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25CF3AC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A0DC42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3D8369B7" w14:textId="77777777" w:rsidTr="00084A73">
        <w:trPr>
          <w:trHeight w:val="60"/>
        </w:trPr>
        <w:tc>
          <w:tcPr>
            <w:tcW w:w="5387" w:type="dxa"/>
            <w:tcBorders>
              <w:top w:val="nil"/>
              <w:left w:val="nil"/>
              <w:bottom w:val="nil"/>
              <w:right w:val="nil"/>
            </w:tcBorders>
            <w:shd w:val="clear" w:color="FFFFFF" w:fill="FFFFFF"/>
            <w:noWrap/>
            <w:vAlign w:val="bottom"/>
            <w:hideMark/>
          </w:tcPr>
          <w:p w14:paraId="2D910C5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received</w:t>
            </w:r>
          </w:p>
        </w:tc>
        <w:tc>
          <w:tcPr>
            <w:tcW w:w="1022" w:type="dxa"/>
            <w:tcBorders>
              <w:top w:val="nil"/>
              <w:left w:val="nil"/>
              <w:bottom w:val="nil"/>
              <w:right w:val="nil"/>
            </w:tcBorders>
            <w:shd w:val="clear" w:color="FFFFFF" w:fill="FFFFFF"/>
            <w:noWrap/>
            <w:vAlign w:val="bottom"/>
            <w:hideMark/>
          </w:tcPr>
          <w:p w14:paraId="30925DD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A26AF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927129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2B01367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8929C7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5B894E0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58F0078E" w14:textId="77777777" w:rsidTr="00084A73">
        <w:trPr>
          <w:trHeight w:val="15"/>
        </w:trPr>
        <w:tc>
          <w:tcPr>
            <w:tcW w:w="5387" w:type="dxa"/>
            <w:tcBorders>
              <w:top w:val="nil"/>
              <w:left w:val="nil"/>
              <w:bottom w:val="nil"/>
              <w:right w:val="nil"/>
            </w:tcBorders>
            <w:shd w:val="clear" w:color="FFFFFF" w:fill="FFFFFF"/>
            <w:vAlign w:val="bottom"/>
            <w:hideMark/>
          </w:tcPr>
          <w:p w14:paraId="757B5F07"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Proceeds from sales of long-term deposits</w:t>
            </w:r>
          </w:p>
        </w:tc>
        <w:tc>
          <w:tcPr>
            <w:tcW w:w="1022" w:type="dxa"/>
            <w:tcBorders>
              <w:top w:val="nil"/>
              <w:left w:val="nil"/>
              <w:bottom w:val="nil"/>
              <w:right w:val="nil"/>
            </w:tcBorders>
            <w:shd w:val="clear" w:color="FFFFFF" w:fill="FFFFFF"/>
            <w:noWrap/>
            <w:vAlign w:val="bottom"/>
            <w:hideMark/>
          </w:tcPr>
          <w:p w14:paraId="18F98FAC"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3909845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3D26C2B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1307C5E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2C404BA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9A3B8A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6C3D9112" w14:textId="77777777" w:rsidTr="00084A73">
        <w:trPr>
          <w:trHeight w:val="255"/>
        </w:trPr>
        <w:tc>
          <w:tcPr>
            <w:tcW w:w="5387" w:type="dxa"/>
            <w:tcBorders>
              <w:top w:val="nil"/>
              <w:left w:val="nil"/>
              <w:bottom w:val="nil"/>
              <w:right w:val="nil"/>
            </w:tcBorders>
            <w:shd w:val="clear" w:color="FFFFFF" w:fill="FFFFFF"/>
            <w:vAlign w:val="bottom"/>
            <w:hideMark/>
          </w:tcPr>
          <w:p w14:paraId="0B5EBC7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used</w:t>
            </w:r>
          </w:p>
        </w:tc>
        <w:tc>
          <w:tcPr>
            <w:tcW w:w="1022" w:type="dxa"/>
            <w:tcBorders>
              <w:top w:val="nil"/>
              <w:left w:val="nil"/>
              <w:bottom w:val="nil"/>
              <w:right w:val="nil"/>
            </w:tcBorders>
            <w:shd w:val="clear" w:color="FFFFFF" w:fill="FFFFFF"/>
            <w:noWrap/>
            <w:vAlign w:val="bottom"/>
            <w:hideMark/>
          </w:tcPr>
          <w:p w14:paraId="4C70C798"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1DA5EC0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15DCD2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0692F7A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F338FE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08241B7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542BB5E" w14:textId="77777777" w:rsidTr="00084A73">
        <w:trPr>
          <w:trHeight w:val="255"/>
        </w:trPr>
        <w:tc>
          <w:tcPr>
            <w:tcW w:w="5387" w:type="dxa"/>
            <w:tcBorders>
              <w:top w:val="nil"/>
              <w:left w:val="nil"/>
              <w:bottom w:val="nil"/>
              <w:right w:val="nil"/>
            </w:tcBorders>
            <w:shd w:val="clear" w:color="FFFFFF" w:fill="FFFFFF"/>
            <w:vAlign w:val="bottom"/>
            <w:hideMark/>
          </w:tcPr>
          <w:p w14:paraId="10F3434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Purchase of leasehold improvements</w:t>
            </w:r>
          </w:p>
        </w:tc>
        <w:tc>
          <w:tcPr>
            <w:tcW w:w="1022" w:type="dxa"/>
            <w:tcBorders>
              <w:top w:val="nil"/>
              <w:left w:val="nil"/>
              <w:bottom w:val="nil"/>
              <w:right w:val="nil"/>
            </w:tcBorders>
            <w:shd w:val="clear" w:color="FFFFFF" w:fill="FFFFFF"/>
            <w:noWrap/>
            <w:vAlign w:val="bottom"/>
            <w:hideMark/>
          </w:tcPr>
          <w:p w14:paraId="5F687EEA"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46D9B07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23,136</w:t>
            </w:r>
          </w:p>
        </w:tc>
        <w:tc>
          <w:tcPr>
            <w:tcW w:w="236" w:type="dxa"/>
            <w:tcBorders>
              <w:top w:val="nil"/>
              <w:left w:val="nil"/>
              <w:bottom w:val="nil"/>
              <w:right w:val="nil"/>
            </w:tcBorders>
            <w:shd w:val="clear" w:color="FFFFFF" w:fill="FFFFFF"/>
            <w:noWrap/>
            <w:vAlign w:val="bottom"/>
            <w:hideMark/>
          </w:tcPr>
          <w:p w14:paraId="2853E72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35D78AC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36,294</w:t>
            </w:r>
          </w:p>
        </w:tc>
        <w:tc>
          <w:tcPr>
            <w:tcW w:w="236" w:type="dxa"/>
            <w:tcBorders>
              <w:top w:val="nil"/>
              <w:left w:val="nil"/>
              <w:bottom w:val="nil"/>
              <w:right w:val="nil"/>
            </w:tcBorders>
            <w:shd w:val="clear" w:color="FFFFFF" w:fill="FFFFFF"/>
            <w:noWrap/>
            <w:vAlign w:val="bottom"/>
            <w:hideMark/>
          </w:tcPr>
          <w:p w14:paraId="28F4A6D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4CB0CA0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8,192</w:t>
            </w:r>
          </w:p>
        </w:tc>
      </w:tr>
      <w:tr w:rsidR="00361BA1" w:rsidRPr="00361BA1" w14:paraId="22DAEAC0" w14:textId="77777777" w:rsidTr="00084A73">
        <w:trPr>
          <w:trHeight w:val="255"/>
        </w:trPr>
        <w:tc>
          <w:tcPr>
            <w:tcW w:w="5387" w:type="dxa"/>
            <w:tcBorders>
              <w:top w:val="nil"/>
              <w:left w:val="nil"/>
              <w:bottom w:val="nil"/>
              <w:right w:val="nil"/>
            </w:tcBorders>
            <w:shd w:val="clear" w:color="FFFFFF" w:fill="FFFFFF"/>
            <w:vAlign w:val="bottom"/>
            <w:hideMark/>
          </w:tcPr>
          <w:p w14:paraId="5C1ADCA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Purchase of financial instruments</w:t>
            </w:r>
          </w:p>
        </w:tc>
        <w:tc>
          <w:tcPr>
            <w:tcW w:w="1022" w:type="dxa"/>
            <w:tcBorders>
              <w:top w:val="nil"/>
              <w:left w:val="nil"/>
              <w:bottom w:val="nil"/>
              <w:right w:val="nil"/>
            </w:tcBorders>
            <w:shd w:val="clear" w:color="FFFFFF" w:fill="FFFFFF"/>
            <w:noWrap/>
            <w:vAlign w:val="bottom"/>
            <w:hideMark/>
          </w:tcPr>
          <w:p w14:paraId="0D904598"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72CA97E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hideMark/>
          </w:tcPr>
          <w:p w14:paraId="6132884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6AA211E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694F6F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7BD4840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7899D8C0" w14:textId="77777777" w:rsidTr="00084A73">
        <w:trPr>
          <w:trHeight w:val="255"/>
        </w:trPr>
        <w:tc>
          <w:tcPr>
            <w:tcW w:w="5387" w:type="dxa"/>
            <w:tcBorders>
              <w:top w:val="nil"/>
              <w:left w:val="nil"/>
              <w:bottom w:val="nil"/>
              <w:right w:val="nil"/>
            </w:tcBorders>
            <w:shd w:val="clear" w:color="FFFFFF" w:fill="FFFFFF"/>
            <w:vAlign w:val="bottom"/>
            <w:hideMark/>
          </w:tcPr>
          <w:p w14:paraId="436C7D5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used</w:t>
            </w:r>
          </w:p>
        </w:tc>
        <w:tc>
          <w:tcPr>
            <w:tcW w:w="1022" w:type="dxa"/>
            <w:tcBorders>
              <w:top w:val="nil"/>
              <w:left w:val="nil"/>
              <w:bottom w:val="nil"/>
              <w:right w:val="nil"/>
            </w:tcBorders>
            <w:shd w:val="clear" w:color="FFFFFF" w:fill="FFFFFF"/>
            <w:noWrap/>
            <w:vAlign w:val="bottom"/>
            <w:hideMark/>
          </w:tcPr>
          <w:p w14:paraId="3410AE1F"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7EF4B45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163,136</w:t>
            </w:r>
          </w:p>
        </w:tc>
        <w:tc>
          <w:tcPr>
            <w:tcW w:w="236" w:type="dxa"/>
            <w:tcBorders>
              <w:top w:val="nil"/>
              <w:left w:val="nil"/>
              <w:bottom w:val="nil"/>
              <w:right w:val="nil"/>
            </w:tcBorders>
            <w:shd w:val="clear" w:color="FFFFFF" w:fill="FFFFFF"/>
            <w:noWrap/>
            <w:vAlign w:val="bottom"/>
            <w:hideMark/>
          </w:tcPr>
          <w:p w14:paraId="0CB7B96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7F50CD6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36,294</w:t>
            </w:r>
          </w:p>
        </w:tc>
        <w:tc>
          <w:tcPr>
            <w:tcW w:w="236" w:type="dxa"/>
            <w:tcBorders>
              <w:top w:val="nil"/>
              <w:left w:val="nil"/>
              <w:bottom w:val="nil"/>
              <w:right w:val="nil"/>
            </w:tcBorders>
            <w:shd w:val="clear" w:color="FFFFFF" w:fill="FFFFFF"/>
            <w:noWrap/>
            <w:vAlign w:val="bottom"/>
            <w:hideMark/>
          </w:tcPr>
          <w:p w14:paraId="59E3F31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8F1356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8,192</w:t>
            </w:r>
          </w:p>
        </w:tc>
      </w:tr>
      <w:tr w:rsidR="00361BA1" w:rsidRPr="00361BA1" w14:paraId="33D25B46" w14:textId="77777777" w:rsidTr="00084A73">
        <w:trPr>
          <w:trHeight w:val="255"/>
        </w:trPr>
        <w:tc>
          <w:tcPr>
            <w:tcW w:w="5387" w:type="dxa"/>
            <w:tcBorders>
              <w:top w:val="nil"/>
              <w:left w:val="nil"/>
              <w:bottom w:val="nil"/>
              <w:right w:val="nil"/>
            </w:tcBorders>
            <w:shd w:val="clear" w:color="FFFFFF" w:fill="FFFFFF"/>
            <w:vAlign w:val="bottom"/>
            <w:hideMark/>
          </w:tcPr>
          <w:p w14:paraId="411D2A0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cash from / (used by) investing activities</w:t>
            </w:r>
          </w:p>
        </w:tc>
        <w:tc>
          <w:tcPr>
            <w:tcW w:w="1022" w:type="dxa"/>
            <w:tcBorders>
              <w:top w:val="nil"/>
              <w:left w:val="nil"/>
              <w:bottom w:val="nil"/>
              <w:right w:val="nil"/>
            </w:tcBorders>
            <w:shd w:val="clear" w:color="FFFFFF" w:fill="FFFFFF"/>
            <w:noWrap/>
            <w:vAlign w:val="bottom"/>
            <w:hideMark/>
          </w:tcPr>
          <w:p w14:paraId="16E1EDCA"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single" w:sz="4" w:space="0" w:color="auto"/>
              <w:right w:val="nil"/>
            </w:tcBorders>
            <w:shd w:val="clear" w:color="FFFFFF" w:fill="FFFFFF"/>
            <w:noWrap/>
            <w:vAlign w:val="bottom"/>
            <w:hideMark/>
          </w:tcPr>
          <w:p w14:paraId="746C2E6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(163,127)</w:t>
            </w:r>
          </w:p>
        </w:tc>
        <w:tc>
          <w:tcPr>
            <w:tcW w:w="236" w:type="dxa"/>
            <w:tcBorders>
              <w:top w:val="nil"/>
              <w:left w:val="nil"/>
              <w:bottom w:val="nil"/>
              <w:right w:val="nil"/>
            </w:tcBorders>
            <w:shd w:val="clear" w:color="FFFFFF" w:fill="FFFFFF"/>
            <w:noWrap/>
            <w:vAlign w:val="bottom"/>
            <w:hideMark/>
          </w:tcPr>
          <w:p w14:paraId="753D255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single" w:sz="4" w:space="0" w:color="auto"/>
              <w:right w:val="nil"/>
            </w:tcBorders>
            <w:shd w:val="clear" w:color="FFFFFF" w:fill="FFFFFF"/>
            <w:noWrap/>
            <w:vAlign w:val="bottom"/>
            <w:hideMark/>
          </w:tcPr>
          <w:p w14:paraId="45CD970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(36,294)</w:t>
            </w:r>
          </w:p>
        </w:tc>
        <w:tc>
          <w:tcPr>
            <w:tcW w:w="236" w:type="dxa"/>
            <w:tcBorders>
              <w:top w:val="nil"/>
              <w:left w:val="nil"/>
              <w:bottom w:val="nil"/>
              <w:right w:val="nil"/>
            </w:tcBorders>
            <w:shd w:val="clear" w:color="FFFFFF" w:fill="FFFFFF"/>
            <w:noWrap/>
            <w:vAlign w:val="bottom"/>
            <w:hideMark/>
          </w:tcPr>
          <w:p w14:paraId="7B27B21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single" w:sz="4" w:space="0" w:color="auto"/>
              <w:right w:val="nil"/>
            </w:tcBorders>
            <w:shd w:val="clear" w:color="FFFFFF" w:fill="FFFFFF"/>
            <w:noWrap/>
            <w:vAlign w:val="bottom"/>
            <w:hideMark/>
          </w:tcPr>
          <w:p w14:paraId="3CE838A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(8,192)</w:t>
            </w:r>
          </w:p>
        </w:tc>
      </w:tr>
      <w:tr w:rsidR="00361BA1" w:rsidRPr="00361BA1" w14:paraId="7080805F" w14:textId="77777777" w:rsidTr="00084A73">
        <w:trPr>
          <w:trHeight w:val="124"/>
        </w:trPr>
        <w:tc>
          <w:tcPr>
            <w:tcW w:w="5387" w:type="dxa"/>
            <w:tcBorders>
              <w:top w:val="nil"/>
              <w:left w:val="nil"/>
              <w:bottom w:val="nil"/>
              <w:right w:val="nil"/>
            </w:tcBorders>
            <w:shd w:val="clear" w:color="FFFFFF" w:fill="FFFFFF"/>
            <w:noWrap/>
            <w:vAlign w:val="bottom"/>
            <w:hideMark/>
          </w:tcPr>
          <w:p w14:paraId="280468E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22" w:type="dxa"/>
            <w:tcBorders>
              <w:top w:val="nil"/>
              <w:left w:val="nil"/>
              <w:bottom w:val="nil"/>
              <w:right w:val="nil"/>
            </w:tcBorders>
            <w:shd w:val="clear" w:color="FFFFFF" w:fill="FFFFFF"/>
            <w:noWrap/>
            <w:vAlign w:val="bottom"/>
            <w:hideMark/>
          </w:tcPr>
          <w:p w14:paraId="4C38D236"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3AE5443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8771A0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5C2F01F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26A749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19085A6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E26B4AC" w14:textId="77777777" w:rsidTr="00084A73">
        <w:trPr>
          <w:trHeight w:val="255"/>
        </w:trPr>
        <w:tc>
          <w:tcPr>
            <w:tcW w:w="5387" w:type="dxa"/>
            <w:tcBorders>
              <w:top w:val="nil"/>
              <w:left w:val="nil"/>
              <w:bottom w:val="nil"/>
              <w:right w:val="nil"/>
            </w:tcBorders>
            <w:shd w:val="clear" w:color="FFFFFF" w:fill="FFFFFF"/>
            <w:vAlign w:val="bottom"/>
            <w:hideMark/>
          </w:tcPr>
          <w:p w14:paraId="0CC9B8BF"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FINANCING ACTIVITIES</w:t>
            </w:r>
          </w:p>
        </w:tc>
        <w:tc>
          <w:tcPr>
            <w:tcW w:w="1022" w:type="dxa"/>
            <w:tcBorders>
              <w:top w:val="nil"/>
              <w:left w:val="nil"/>
              <w:bottom w:val="nil"/>
              <w:right w:val="nil"/>
            </w:tcBorders>
            <w:shd w:val="clear" w:color="FFFFFF" w:fill="FFFFFF"/>
            <w:noWrap/>
            <w:vAlign w:val="bottom"/>
            <w:hideMark/>
          </w:tcPr>
          <w:p w14:paraId="31C13128"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5B87A71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E221C3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DA10AF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62DE31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496EE3D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2E8B0B5F" w14:textId="77777777" w:rsidTr="00084A73">
        <w:trPr>
          <w:trHeight w:val="255"/>
        </w:trPr>
        <w:tc>
          <w:tcPr>
            <w:tcW w:w="5387" w:type="dxa"/>
            <w:tcBorders>
              <w:top w:val="nil"/>
              <w:left w:val="nil"/>
              <w:bottom w:val="nil"/>
              <w:right w:val="nil"/>
            </w:tcBorders>
            <w:shd w:val="clear" w:color="FFFFFF" w:fill="FFFFFF"/>
            <w:vAlign w:val="bottom"/>
            <w:hideMark/>
          </w:tcPr>
          <w:p w14:paraId="6DEE0BF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used</w:t>
            </w:r>
          </w:p>
        </w:tc>
        <w:tc>
          <w:tcPr>
            <w:tcW w:w="1022" w:type="dxa"/>
            <w:tcBorders>
              <w:top w:val="nil"/>
              <w:left w:val="nil"/>
              <w:bottom w:val="nil"/>
              <w:right w:val="nil"/>
            </w:tcBorders>
            <w:shd w:val="clear" w:color="FFFFFF" w:fill="FFFFFF"/>
            <w:noWrap/>
            <w:vAlign w:val="bottom"/>
            <w:hideMark/>
          </w:tcPr>
          <w:p w14:paraId="604DE8A2"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27E269E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4051DE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43590B1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A0B924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8F8741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28AE8B2D" w14:textId="77777777" w:rsidTr="00084A73">
        <w:trPr>
          <w:trHeight w:val="255"/>
        </w:trPr>
        <w:tc>
          <w:tcPr>
            <w:tcW w:w="5387" w:type="dxa"/>
            <w:tcBorders>
              <w:top w:val="nil"/>
              <w:left w:val="nil"/>
              <w:bottom w:val="nil"/>
              <w:right w:val="nil"/>
            </w:tcBorders>
            <w:shd w:val="clear" w:color="FFFFFF" w:fill="FFFFFF"/>
            <w:vAlign w:val="bottom"/>
            <w:hideMark/>
          </w:tcPr>
          <w:p w14:paraId="27401401"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Principal payments of lease liabilities</w:t>
            </w:r>
          </w:p>
        </w:tc>
        <w:tc>
          <w:tcPr>
            <w:tcW w:w="1022" w:type="dxa"/>
            <w:tcBorders>
              <w:top w:val="nil"/>
              <w:left w:val="nil"/>
              <w:bottom w:val="nil"/>
              <w:right w:val="nil"/>
            </w:tcBorders>
            <w:shd w:val="clear" w:color="FFFFFF" w:fill="FFFFFF"/>
            <w:noWrap/>
            <w:vAlign w:val="bottom"/>
            <w:hideMark/>
          </w:tcPr>
          <w:p w14:paraId="604C31B2"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661B508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37,223</w:t>
            </w:r>
          </w:p>
        </w:tc>
        <w:tc>
          <w:tcPr>
            <w:tcW w:w="236" w:type="dxa"/>
            <w:tcBorders>
              <w:top w:val="nil"/>
              <w:left w:val="nil"/>
              <w:bottom w:val="nil"/>
              <w:right w:val="nil"/>
            </w:tcBorders>
            <w:shd w:val="clear" w:color="FFFFFF" w:fill="FFFFFF"/>
            <w:noWrap/>
            <w:vAlign w:val="bottom"/>
            <w:hideMark/>
          </w:tcPr>
          <w:p w14:paraId="40EC52B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452DCE8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09591D0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ABABB4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0E6FC0A5" w14:textId="77777777" w:rsidTr="00084A73">
        <w:trPr>
          <w:trHeight w:val="255"/>
        </w:trPr>
        <w:tc>
          <w:tcPr>
            <w:tcW w:w="5387" w:type="dxa"/>
            <w:tcBorders>
              <w:top w:val="nil"/>
              <w:left w:val="nil"/>
              <w:bottom w:val="nil"/>
              <w:right w:val="nil"/>
            </w:tcBorders>
            <w:shd w:val="clear" w:color="FFFFFF" w:fill="FFFFFF"/>
            <w:vAlign w:val="bottom"/>
            <w:hideMark/>
          </w:tcPr>
          <w:p w14:paraId="4B1DF9A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used</w:t>
            </w:r>
          </w:p>
        </w:tc>
        <w:tc>
          <w:tcPr>
            <w:tcW w:w="1022" w:type="dxa"/>
            <w:tcBorders>
              <w:top w:val="nil"/>
              <w:left w:val="nil"/>
              <w:bottom w:val="nil"/>
              <w:right w:val="nil"/>
            </w:tcBorders>
            <w:shd w:val="clear" w:color="FFFFFF" w:fill="FFFFFF"/>
            <w:noWrap/>
            <w:vAlign w:val="bottom"/>
            <w:hideMark/>
          </w:tcPr>
          <w:p w14:paraId="57FFD110"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0C0438A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37,223</w:t>
            </w:r>
          </w:p>
        </w:tc>
        <w:tc>
          <w:tcPr>
            <w:tcW w:w="236" w:type="dxa"/>
            <w:tcBorders>
              <w:top w:val="nil"/>
              <w:left w:val="nil"/>
              <w:bottom w:val="nil"/>
              <w:right w:val="nil"/>
            </w:tcBorders>
            <w:shd w:val="clear" w:color="FFFFFF" w:fill="FFFFFF"/>
            <w:noWrap/>
            <w:vAlign w:val="bottom"/>
            <w:hideMark/>
          </w:tcPr>
          <w:p w14:paraId="18FDBFA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9AE158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067BB34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529A8F1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080732BF" w14:textId="77777777" w:rsidTr="00084A73">
        <w:trPr>
          <w:trHeight w:val="255"/>
        </w:trPr>
        <w:tc>
          <w:tcPr>
            <w:tcW w:w="5387" w:type="dxa"/>
            <w:tcBorders>
              <w:top w:val="nil"/>
              <w:left w:val="nil"/>
              <w:bottom w:val="nil"/>
              <w:right w:val="nil"/>
            </w:tcBorders>
            <w:shd w:val="clear" w:color="FFFFFF" w:fill="FFFFFF"/>
            <w:vAlign w:val="bottom"/>
            <w:hideMark/>
          </w:tcPr>
          <w:p w14:paraId="703E2D44"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cash from / (used by) financing activities</w:t>
            </w:r>
          </w:p>
        </w:tc>
        <w:tc>
          <w:tcPr>
            <w:tcW w:w="1022" w:type="dxa"/>
            <w:tcBorders>
              <w:top w:val="nil"/>
              <w:left w:val="nil"/>
              <w:bottom w:val="nil"/>
              <w:right w:val="nil"/>
            </w:tcBorders>
            <w:shd w:val="clear" w:color="FFFFFF" w:fill="FFFFFF"/>
            <w:noWrap/>
            <w:vAlign w:val="bottom"/>
            <w:hideMark/>
          </w:tcPr>
          <w:p w14:paraId="1C5B73CE"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single" w:sz="4" w:space="0" w:color="auto"/>
              <w:right w:val="nil"/>
            </w:tcBorders>
            <w:shd w:val="clear" w:color="FFFFFF" w:fill="FFFFFF"/>
            <w:noWrap/>
            <w:vAlign w:val="bottom"/>
            <w:hideMark/>
          </w:tcPr>
          <w:p w14:paraId="7B76611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(37,223)</w:t>
            </w:r>
          </w:p>
        </w:tc>
        <w:tc>
          <w:tcPr>
            <w:tcW w:w="236" w:type="dxa"/>
            <w:tcBorders>
              <w:top w:val="nil"/>
              <w:left w:val="nil"/>
              <w:bottom w:val="nil"/>
              <w:right w:val="nil"/>
            </w:tcBorders>
            <w:shd w:val="clear" w:color="FFFFFF" w:fill="FFFFFF"/>
            <w:noWrap/>
            <w:vAlign w:val="bottom"/>
            <w:hideMark/>
          </w:tcPr>
          <w:p w14:paraId="0778164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single" w:sz="4" w:space="0" w:color="auto"/>
              <w:right w:val="nil"/>
            </w:tcBorders>
            <w:shd w:val="clear" w:color="FFFFFF" w:fill="FFFFFF"/>
            <w:noWrap/>
            <w:vAlign w:val="bottom"/>
            <w:hideMark/>
          </w:tcPr>
          <w:p w14:paraId="24FBC17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6939CEF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single" w:sz="4" w:space="0" w:color="auto"/>
              <w:right w:val="nil"/>
            </w:tcBorders>
            <w:shd w:val="clear" w:color="FFFFFF" w:fill="FFFFFF"/>
            <w:noWrap/>
            <w:vAlign w:val="bottom"/>
            <w:hideMark/>
          </w:tcPr>
          <w:p w14:paraId="69C6BB2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638FA375" w14:textId="77777777" w:rsidTr="00084A73">
        <w:trPr>
          <w:trHeight w:val="124"/>
        </w:trPr>
        <w:tc>
          <w:tcPr>
            <w:tcW w:w="5387" w:type="dxa"/>
            <w:tcBorders>
              <w:top w:val="nil"/>
              <w:left w:val="nil"/>
              <w:bottom w:val="nil"/>
              <w:right w:val="nil"/>
            </w:tcBorders>
            <w:shd w:val="clear" w:color="FFFFFF" w:fill="FFFFFF"/>
            <w:noWrap/>
            <w:vAlign w:val="bottom"/>
            <w:hideMark/>
          </w:tcPr>
          <w:p w14:paraId="17327FD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22" w:type="dxa"/>
            <w:tcBorders>
              <w:top w:val="nil"/>
              <w:left w:val="nil"/>
              <w:bottom w:val="nil"/>
              <w:right w:val="nil"/>
            </w:tcBorders>
            <w:shd w:val="clear" w:color="FFFFFF" w:fill="FFFFFF"/>
            <w:noWrap/>
            <w:vAlign w:val="bottom"/>
            <w:hideMark/>
          </w:tcPr>
          <w:p w14:paraId="075FF6CA"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078B4B0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5C9DC0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2C0AD0E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5FC4DD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2B43D0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1057073F" w14:textId="77777777" w:rsidTr="00084A73">
        <w:trPr>
          <w:trHeight w:val="255"/>
        </w:trPr>
        <w:tc>
          <w:tcPr>
            <w:tcW w:w="5387" w:type="dxa"/>
            <w:tcBorders>
              <w:top w:val="nil"/>
              <w:left w:val="nil"/>
              <w:bottom w:val="nil"/>
              <w:right w:val="nil"/>
            </w:tcBorders>
            <w:shd w:val="clear" w:color="FFFFFF" w:fill="FFFFFF"/>
            <w:vAlign w:val="bottom"/>
            <w:hideMark/>
          </w:tcPr>
          <w:p w14:paraId="187EAB54"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increase / (decrease) in cash held</w:t>
            </w:r>
          </w:p>
        </w:tc>
        <w:tc>
          <w:tcPr>
            <w:tcW w:w="1022" w:type="dxa"/>
            <w:tcBorders>
              <w:top w:val="nil"/>
              <w:left w:val="nil"/>
              <w:bottom w:val="nil"/>
              <w:right w:val="nil"/>
            </w:tcBorders>
            <w:shd w:val="clear" w:color="FFFFFF" w:fill="FFFFFF"/>
            <w:noWrap/>
            <w:vAlign w:val="bottom"/>
            <w:hideMark/>
          </w:tcPr>
          <w:p w14:paraId="4E7F779A"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single" w:sz="4" w:space="0" w:color="auto"/>
              <w:left w:val="nil"/>
              <w:bottom w:val="single" w:sz="4" w:space="0" w:color="auto"/>
              <w:right w:val="nil"/>
            </w:tcBorders>
            <w:shd w:val="clear" w:color="FFFFFF" w:fill="FFFFFF"/>
            <w:noWrap/>
            <w:vAlign w:val="bottom"/>
            <w:hideMark/>
          </w:tcPr>
          <w:p w14:paraId="0B1C30B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(1,362,620)</w:t>
            </w:r>
          </w:p>
        </w:tc>
        <w:tc>
          <w:tcPr>
            <w:tcW w:w="236" w:type="dxa"/>
            <w:tcBorders>
              <w:top w:val="nil"/>
              <w:left w:val="nil"/>
              <w:bottom w:val="nil"/>
              <w:right w:val="nil"/>
            </w:tcBorders>
            <w:shd w:val="clear" w:color="FFFFFF" w:fill="FFFFFF"/>
            <w:noWrap/>
            <w:vAlign w:val="bottom"/>
            <w:hideMark/>
          </w:tcPr>
          <w:p w14:paraId="53862AF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D2BD01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1,536,668</w:t>
            </w:r>
          </w:p>
        </w:tc>
        <w:tc>
          <w:tcPr>
            <w:tcW w:w="236" w:type="dxa"/>
            <w:tcBorders>
              <w:top w:val="nil"/>
              <w:left w:val="nil"/>
              <w:bottom w:val="nil"/>
              <w:right w:val="nil"/>
            </w:tcBorders>
            <w:shd w:val="clear" w:color="FFFFFF" w:fill="FFFFFF"/>
            <w:noWrap/>
            <w:vAlign w:val="bottom"/>
            <w:hideMark/>
          </w:tcPr>
          <w:p w14:paraId="74DB450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AF3A6E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(4,558)</w:t>
            </w:r>
          </w:p>
        </w:tc>
      </w:tr>
      <w:tr w:rsidR="00361BA1" w:rsidRPr="00361BA1" w14:paraId="1F79A1A5" w14:textId="77777777" w:rsidTr="00084A73">
        <w:trPr>
          <w:trHeight w:val="255"/>
        </w:trPr>
        <w:tc>
          <w:tcPr>
            <w:tcW w:w="5387" w:type="dxa"/>
            <w:tcBorders>
              <w:top w:val="nil"/>
              <w:left w:val="nil"/>
              <w:bottom w:val="nil"/>
              <w:right w:val="nil"/>
            </w:tcBorders>
            <w:shd w:val="clear" w:color="FFFFFF" w:fill="FFFFFF"/>
            <w:vAlign w:val="bottom"/>
            <w:hideMark/>
          </w:tcPr>
          <w:p w14:paraId="75BDC41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Cash and cash equivalents at the beginning of the reporting period</w:t>
            </w:r>
          </w:p>
        </w:tc>
        <w:tc>
          <w:tcPr>
            <w:tcW w:w="1022" w:type="dxa"/>
            <w:tcBorders>
              <w:top w:val="nil"/>
              <w:left w:val="nil"/>
              <w:bottom w:val="nil"/>
              <w:right w:val="nil"/>
            </w:tcBorders>
            <w:shd w:val="clear" w:color="FFFFFF" w:fill="FFFFFF"/>
            <w:noWrap/>
            <w:vAlign w:val="bottom"/>
            <w:hideMark/>
          </w:tcPr>
          <w:p w14:paraId="0C1990A3"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 </w:t>
            </w:r>
          </w:p>
        </w:tc>
        <w:tc>
          <w:tcPr>
            <w:tcW w:w="1060" w:type="dxa"/>
            <w:tcBorders>
              <w:top w:val="nil"/>
              <w:left w:val="nil"/>
              <w:bottom w:val="nil"/>
              <w:right w:val="nil"/>
            </w:tcBorders>
            <w:shd w:val="clear" w:color="FFFFFF" w:fill="FFFFFF"/>
            <w:noWrap/>
            <w:vAlign w:val="bottom"/>
            <w:hideMark/>
          </w:tcPr>
          <w:p w14:paraId="4BCE79A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3,859,860</w:t>
            </w:r>
          </w:p>
        </w:tc>
        <w:tc>
          <w:tcPr>
            <w:tcW w:w="236" w:type="dxa"/>
            <w:tcBorders>
              <w:top w:val="nil"/>
              <w:left w:val="nil"/>
              <w:bottom w:val="nil"/>
              <w:right w:val="nil"/>
            </w:tcBorders>
            <w:shd w:val="clear" w:color="FFFFFF" w:fill="FFFFFF"/>
            <w:noWrap/>
            <w:vAlign w:val="bottom"/>
            <w:hideMark/>
          </w:tcPr>
          <w:p w14:paraId="4B1EF87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nil"/>
              <w:left w:val="nil"/>
              <w:bottom w:val="nil"/>
              <w:right w:val="nil"/>
            </w:tcBorders>
            <w:shd w:val="clear" w:color="FFFFFF" w:fill="FFFFFF"/>
            <w:noWrap/>
            <w:vAlign w:val="bottom"/>
            <w:hideMark/>
          </w:tcPr>
          <w:p w14:paraId="7E2E57B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2,323,192</w:t>
            </w:r>
          </w:p>
        </w:tc>
        <w:tc>
          <w:tcPr>
            <w:tcW w:w="236" w:type="dxa"/>
            <w:tcBorders>
              <w:top w:val="nil"/>
              <w:left w:val="nil"/>
              <w:bottom w:val="nil"/>
              <w:right w:val="nil"/>
            </w:tcBorders>
            <w:shd w:val="clear" w:color="FFFFFF" w:fill="FFFFFF"/>
            <w:noWrap/>
            <w:vAlign w:val="bottom"/>
            <w:hideMark/>
          </w:tcPr>
          <w:p w14:paraId="52E84F6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nil"/>
              <w:left w:val="nil"/>
              <w:bottom w:val="nil"/>
              <w:right w:val="nil"/>
            </w:tcBorders>
            <w:shd w:val="clear" w:color="FFFFFF" w:fill="FFFFFF"/>
            <w:noWrap/>
            <w:vAlign w:val="bottom"/>
            <w:hideMark/>
          </w:tcPr>
          <w:p w14:paraId="353A7A7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2,358,524</w:t>
            </w:r>
          </w:p>
        </w:tc>
      </w:tr>
      <w:tr w:rsidR="00361BA1" w:rsidRPr="00361BA1" w14:paraId="50F5497E" w14:textId="77777777" w:rsidTr="00084A73">
        <w:trPr>
          <w:trHeight w:val="255"/>
        </w:trPr>
        <w:tc>
          <w:tcPr>
            <w:tcW w:w="5387" w:type="dxa"/>
            <w:tcBorders>
              <w:top w:val="nil"/>
              <w:left w:val="nil"/>
              <w:bottom w:val="nil"/>
              <w:right w:val="nil"/>
            </w:tcBorders>
            <w:shd w:val="clear" w:color="FFFFFF" w:fill="FFFFFF"/>
            <w:vAlign w:val="bottom"/>
            <w:hideMark/>
          </w:tcPr>
          <w:p w14:paraId="183AEC1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Cash and cash equivalents at the end of the reporting period</w:t>
            </w:r>
          </w:p>
        </w:tc>
        <w:tc>
          <w:tcPr>
            <w:tcW w:w="1022" w:type="dxa"/>
            <w:tcBorders>
              <w:top w:val="nil"/>
              <w:left w:val="nil"/>
              <w:bottom w:val="nil"/>
              <w:right w:val="nil"/>
            </w:tcBorders>
            <w:shd w:val="clear" w:color="FFFFFF" w:fill="FFFFFF"/>
            <w:noWrap/>
            <w:vAlign w:val="bottom"/>
            <w:hideMark/>
          </w:tcPr>
          <w:p w14:paraId="277F19B3" w14:textId="77777777" w:rsidR="00361BA1" w:rsidRPr="00361BA1" w:rsidRDefault="00361BA1" w:rsidP="00361BA1">
            <w:pPr>
              <w:spacing w:before="0" w:after="0" w:line="260" w:lineRule="atLeast"/>
              <w:ind w:left="0"/>
              <w:jc w:val="center"/>
              <w:rPr>
                <w:rFonts w:eastAsia="Times New Roman"/>
                <w:sz w:val="18"/>
                <w:szCs w:val="18"/>
                <w:lang w:eastAsia="en-US"/>
              </w:rPr>
            </w:pPr>
            <w:r w:rsidRPr="00361BA1">
              <w:rPr>
                <w:rFonts w:eastAsia="Times New Roman"/>
                <w:sz w:val="18"/>
                <w:szCs w:val="18"/>
                <w:lang w:eastAsia="en-US"/>
              </w:rPr>
              <w:t>2.1A</w:t>
            </w:r>
          </w:p>
        </w:tc>
        <w:tc>
          <w:tcPr>
            <w:tcW w:w="1060" w:type="dxa"/>
            <w:tcBorders>
              <w:top w:val="single" w:sz="4" w:space="0" w:color="auto"/>
              <w:left w:val="nil"/>
              <w:bottom w:val="single" w:sz="4" w:space="0" w:color="auto"/>
              <w:right w:val="nil"/>
            </w:tcBorders>
            <w:shd w:val="clear" w:color="FFFFFF" w:fill="FFFFFF"/>
            <w:noWrap/>
            <w:vAlign w:val="bottom"/>
            <w:hideMark/>
          </w:tcPr>
          <w:p w14:paraId="5209B37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2,497,240</w:t>
            </w:r>
          </w:p>
        </w:tc>
        <w:tc>
          <w:tcPr>
            <w:tcW w:w="236" w:type="dxa"/>
            <w:tcBorders>
              <w:top w:val="nil"/>
              <w:left w:val="nil"/>
              <w:bottom w:val="nil"/>
              <w:right w:val="nil"/>
            </w:tcBorders>
            <w:shd w:val="clear" w:color="FFFFFF" w:fill="FFFFFF"/>
            <w:noWrap/>
            <w:vAlign w:val="bottom"/>
            <w:hideMark/>
          </w:tcPr>
          <w:p w14:paraId="59374C2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39713F2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3,859,860</w:t>
            </w:r>
          </w:p>
        </w:tc>
        <w:tc>
          <w:tcPr>
            <w:tcW w:w="236" w:type="dxa"/>
            <w:tcBorders>
              <w:top w:val="nil"/>
              <w:left w:val="nil"/>
              <w:bottom w:val="nil"/>
              <w:right w:val="nil"/>
            </w:tcBorders>
            <w:shd w:val="clear" w:color="FFFFFF" w:fill="FFFFFF"/>
            <w:noWrap/>
            <w:vAlign w:val="bottom"/>
            <w:hideMark/>
          </w:tcPr>
          <w:p w14:paraId="48914E0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096A601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2,353,966</w:t>
            </w:r>
          </w:p>
        </w:tc>
      </w:tr>
    </w:tbl>
    <w:p w14:paraId="787090F8" w14:textId="11F89C6A" w:rsidR="00361BA1" w:rsidRPr="00361BA1" w:rsidRDefault="00361BA1" w:rsidP="00361BA1">
      <w:pPr>
        <w:spacing w:before="0" w:after="80"/>
        <w:ind w:left="0"/>
        <w:rPr>
          <w:rFonts w:eastAsia="Times New Roman"/>
          <w:sz w:val="18"/>
          <w:szCs w:val="18"/>
          <w:lang w:eastAsia="en-AU"/>
        </w:rPr>
      </w:pPr>
    </w:p>
    <w:p w14:paraId="12C2BAF6" w14:textId="77777777" w:rsidR="00361BA1" w:rsidRPr="00361BA1" w:rsidRDefault="00361BA1" w:rsidP="00361BA1">
      <w:pPr>
        <w:spacing w:before="0" w:after="80"/>
        <w:ind w:left="0" w:firstLine="142"/>
        <w:rPr>
          <w:rFonts w:eastAsia="Times New Roman" w:cs="Times New Roman"/>
          <w:sz w:val="12"/>
          <w:szCs w:val="12"/>
          <w:vertAlign w:val="superscript"/>
          <w:lang w:eastAsia="en-AU"/>
        </w:rPr>
      </w:pPr>
      <w:r w:rsidRPr="00361BA1">
        <w:rPr>
          <w:rFonts w:eastAsia="Times New Roman" w:cs="Times New Roman"/>
          <w:sz w:val="18"/>
          <w:szCs w:val="20"/>
          <w:lang w:eastAsia="en-AU"/>
        </w:rPr>
        <w:t>The above statement should be read in conjunction with the accompanying notes.</w:t>
      </w:r>
      <w:r w:rsidRPr="00361BA1">
        <w:rPr>
          <w:rFonts w:eastAsia="Times New Roman" w:cs="Times New Roman"/>
          <w:sz w:val="18"/>
          <w:szCs w:val="20"/>
          <w:vertAlign w:val="superscript"/>
          <w:lang w:eastAsia="en-AU"/>
        </w:rPr>
        <w:t xml:space="preserve"> </w:t>
      </w:r>
    </w:p>
    <w:p w14:paraId="538B3DF7" w14:textId="77777777" w:rsidR="00361BA1" w:rsidRPr="00361BA1" w:rsidRDefault="00361BA1" w:rsidP="00361BA1">
      <w:pPr>
        <w:spacing w:before="0" w:after="80"/>
        <w:ind w:left="0" w:firstLine="142"/>
        <w:rPr>
          <w:rFonts w:eastAsia="Times New Roman" w:cs="Times New Roman"/>
          <w:sz w:val="18"/>
          <w:szCs w:val="20"/>
          <w:lang w:eastAsia="en-AU"/>
        </w:rPr>
      </w:pPr>
      <w:r w:rsidRPr="00361BA1">
        <w:rPr>
          <w:rFonts w:eastAsia="Times New Roman" w:cs="Times New Roman"/>
          <w:sz w:val="18"/>
          <w:szCs w:val="20"/>
          <w:vertAlign w:val="superscript"/>
          <w:lang w:eastAsia="en-AU"/>
        </w:rPr>
        <w:t>1</w:t>
      </w:r>
      <w:r w:rsidRPr="00361BA1">
        <w:rPr>
          <w:rFonts w:eastAsia="Times New Roman" w:cs="Times New Roman"/>
          <w:sz w:val="18"/>
          <w:szCs w:val="20"/>
          <w:lang w:eastAsia="en-AU"/>
        </w:rPr>
        <w:t xml:space="preserve"> Original Budget refers to the figures published in the Portfolio Budget Statements 2019–20.</w:t>
      </w:r>
    </w:p>
    <w:p w14:paraId="1CAFD0F7" w14:textId="77777777" w:rsidR="000F3E58" w:rsidRDefault="000F3E58">
      <w:pPr>
        <w:spacing w:before="0" w:after="160" w:line="259" w:lineRule="auto"/>
        <w:ind w:left="0"/>
        <w:rPr>
          <w:rFonts w:eastAsia="Times New Roman"/>
          <w:b/>
          <w:bCs/>
          <w:sz w:val="18"/>
          <w:szCs w:val="18"/>
          <w:lang w:eastAsia="en-US"/>
        </w:rPr>
      </w:pPr>
      <w:r>
        <w:rPr>
          <w:rFonts w:eastAsia="Times New Roman"/>
          <w:b/>
          <w:bCs/>
          <w:sz w:val="18"/>
          <w:szCs w:val="18"/>
          <w:lang w:eastAsia="en-US"/>
        </w:rPr>
        <w:br w:type="page"/>
      </w:r>
    </w:p>
    <w:p w14:paraId="7DEFCBFF" w14:textId="0795E646" w:rsidR="00361BA1" w:rsidRPr="00361BA1" w:rsidRDefault="00361BA1" w:rsidP="00361BA1">
      <w:pPr>
        <w:spacing w:before="0" w:line="120" w:lineRule="atLeast"/>
        <w:ind w:left="0"/>
        <w:rPr>
          <w:rFonts w:eastAsia="Times New Roman"/>
          <w:b/>
          <w:bCs/>
          <w:sz w:val="18"/>
          <w:szCs w:val="18"/>
          <w:lang w:eastAsia="en-US"/>
        </w:rPr>
      </w:pPr>
      <w:r w:rsidRPr="00361BA1">
        <w:rPr>
          <w:rFonts w:eastAsia="Times New Roman"/>
          <w:b/>
          <w:bCs/>
          <w:sz w:val="18"/>
          <w:szCs w:val="18"/>
          <w:lang w:eastAsia="en-US"/>
        </w:rPr>
        <w:lastRenderedPageBreak/>
        <w:t xml:space="preserve">Budget Variances Commentary </w:t>
      </w:r>
    </w:p>
    <w:p w14:paraId="7371FA42" w14:textId="77777777" w:rsidR="00361BA1" w:rsidRPr="00361BA1" w:rsidRDefault="00361BA1" w:rsidP="00361BA1">
      <w:pPr>
        <w:spacing w:before="0" w:line="120" w:lineRule="atLeast"/>
        <w:ind w:left="0"/>
        <w:rPr>
          <w:rFonts w:eastAsia="Times New Roman"/>
          <w:b/>
          <w:bCs/>
          <w:sz w:val="18"/>
          <w:szCs w:val="18"/>
          <w:lang w:eastAsia="en-US"/>
        </w:rPr>
      </w:pPr>
      <w:r w:rsidRPr="00361BA1">
        <w:rPr>
          <w:rFonts w:eastAsia="Times New Roman"/>
          <w:b/>
          <w:bCs/>
          <w:sz w:val="18"/>
          <w:szCs w:val="18"/>
          <w:lang w:eastAsia="en-US"/>
        </w:rPr>
        <w:t>Cash Flow Statement</w:t>
      </w:r>
    </w:p>
    <w:tbl>
      <w:tblPr>
        <w:tblW w:w="9975"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40"/>
        <w:gridCol w:w="7235"/>
      </w:tblGrid>
      <w:tr w:rsidR="00361BA1" w:rsidRPr="00361BA1" w14:paraId="72D2307D" w14:textId="77777777" w:rsidTr="00084A73">
        <w:trPr>
          <w:cantSplit/>
          <w:trHeight w:val="255"/>
          <w:tblHeader/>
        </w:trPr>
        <w:tc>
          <w:tcPr>
            <w:tcW w:w="2740" w:type="dxa"/>
            <w:shd w:val="clear" w:color="FFFFFF" w:fill="FFFFFF"/>
            <w:noWrap/>
            <w:vAlign w:val="center"/>
          </w:tcPr>
          <w:p w14:paraId="769AA34B" w14:textId="77777777" w:rsidR="00361BA1" w:rsidRPr="00361BA1" w:rsidRDefault="00361BA1" w:rsidP="00361BA1">
            <w:pPr>
              <w:spacing w:before="0" w:after="0" w:line="260" w:lineRule="atLeast"/>
              <w:ind w:left="0"/>
              <w:rPr>
                <w:rFonts w:eastAsia="Times New Roman"/>
                <w:b/>
                <w:sz w:val="18"/>
                <w:szCs w:val="18"/>
                <w:lang w:eastAsia="en-US"/>
              </w:rPr>
            </w:pPr>
            <w:r w:rsidRPr="00361BA1">
              <w:rPr>
                <w:rFonts w:eastAsia="Times New Roman"/>
                <w:b/>
                <w:sz w:val="18"/>
                <w:szCs w:val="18"/>
                <w:lang w:eastAsia="en-US"/>
              </w:rPr>
              <w:t>Affected line items</w:t>
            </w:r>
          </w:p>
        </w:tc>
        <w:tc>
          <w:tcPr>
            <w:tcW w:w="7235" w:type="dxa"/>
            <w:shd w:val="clear" w:color="FFFFFF" w:fill="FFFFFF"/>
            <w:vAlign w:val="center"/>
          </w:tcPr>
          <w:p w14:paraId="2577750D" w14:textId="77777777" w:rsidR="00361BA1" w:rsidRPr="00361BA1" w:rsidRDefault="00361BA1" w:rsidP="00361BA1">
            <w:pPr>
              <w:spacing w:before="0" w:after="0" w:line="260" w:lineRule="atLeast"/>
              <w:ind w:left="0"/>
              <w:rPr>
                <w:rFonts w:eastAsia="Times New Roman"/>
                <w:b/>
                <w:sz w:val="18"/>
                <w:szCs w:val="18"/>
                <w:lang w:eastAsia="en-US"/>
              </w:rPr>
            </w:pPr>
            <w:r w:rsidRPr="00361BA1">
              <w:rPr>
                <w:rFonts w:eastAsia="Times New Roman"/>
                <w:b/>
                <w:sz w:val="18"/>
                <w:szCs w:val="18"/>
                <w:lang w:eastAsia="en-US"/>
              </w:rPr>
              <w:t>Explanations of major variances</w:t>
            </w:r>
          </w:p>
        </w:tc>
      </w:tr>
      <w:tr w:rsidR="00361BA1" w:rsidRPr="00361BA1" w14:paraId="2E7EBC06" w14:textId="77777777" w:rsidTr="00084A73">
        <w:trPr>
          <w:cantSplit/>
          <w:trHeight w:val="255"/>
        </w:trPr>
        <w:tc>
          <w:tcPr>
            <w:tcW w:w="2740" w:type="dxa"/>
            <w:shd w:val="clear" w:color="FFFFFF" w:fill="FFFFFF"/>
            <w:noWrap/>
          </w:tcPr>
          <w:p w14:paraId="049B112B"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4BEE4582" w14:textId="77777777" w:rsidR="00361BA1" w:rsidRPr="00361BA1" w:rsidRDefault="00361BA1" w:rsidP="00361BA1">
            <w:pPr>
              <w:spacing w:before="0" w:after="0" w:line="260" w:lineRule="atLeast"/>
              <w:ind w:left="0"/>
              <w:rPr>
                <w:rFonts w:eastAsia="Times New Roman"/>
                <w:i/>
                <w:sz w:val="18"/>
                <w:szCs w:val="18"/>
                <w:lang w:eastAsia="en-US"/>
              </w:rPr>
            </w:pPr>
            <w:r w:rsidRPr="00361BA1">
              <w:rPr>
                <w:rFonts w:eastAsia="Times New Roman"/>
                <w:i/>
                <w:sz w:val="18"/>
                <w:szCs w:val="18"/>
                <w:lang w:eastAsia="en-US"/>
              </w:rPr>
              <w:t>Rendering of Services</w:t>
            </w:r>
          </w:p>
          <w:p w14:paraId="0EED707C" w14:textId="77777777" w:rsidR="00361BA1" w:rsidRPr="00361BA1" w:rsidRDefault="00361BA1" w:rsidP="00361BA1">
            <w:pPr>
              <w:spacing w:before="0" w:after="0" w:line="260" w:lineRule="atLeast"/>
              <w:ind w:left="0"/>
              <w:rPr>
                <w:rFonts w:eastAsia="Times New Roman"/>
                <w:bCs/>
                <w:i/>
                <w:sz w:val="18"/>
                <w:szCs w:val="18"/>
                <w:lang w:eastAsia="en-US"/>
              </w:rPr>
            </w:pPr>
          </w:p>
        </w:tc>
        <w:tc>
          <w:tcPr>
            <w:tcW w:w="7235" w:type="dxa"/>
            <w:shd w:val="clear" w:color="FFFFFF" w:fill="FFFFFF"/>
            <w:noWrap/>
          </w:tcPr>
          <w:p w14:paraId="4600F9DF"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Cash from the rendering of services is higher than predicted in the Budget. The Budget anticipated faster phasing of participants in accordance with Bilateral Agreements. Both state and territory and Commonwealth governments’ contributions have increased in line with the growth in the number of active participants in the Scheme and the increase in the utilisation rate over the year. Revenue is higher than Budget due to lower than budgeted in-kind services being utilised which has resulted in a net higher cash receipts from state and territory governments and the Commonwealth.</w:t>
            </w:r>
          </w:p>
        </w:tc>
      </w:tr>
      <w:tr w:rsidR="00361BA1" w:rsidRPr="00361BA1" w14:paraId="6B09255F" w14:textId="77777777" w:rsidTr="00084A73">
        <w:trPr>
          <w:cantSplit/>
          <w:trHeight w:val="255"/>
        </w:trPr>
        <w:tc>
          <w:tcPr>
            <w:tcW w:w="2740" w:type="dxa"/>
            <w:shd w:val="clear" w:color="FFFFFF" w:fill="FFFFFF"/>
            <w:noWrap/>
          </w:tcPr>
          <w:p w14:paraId="4F000E1E"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502A69DE"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i/>
                <w:sz w:val="18"/>
                <w:szCs w:val="18"/>
                <w:lang w:eastAsia="en-US"/>
              </w:rPr>
              <w:t>Interest received</w:t>
            </w:r>
          </w:p>
        </w:tc>
        <w:tc>
          <w:tcPr>
            <w:tcW w:w="7235" w:type="dxa"/>
            <w:shd w:val="clear" w:color="FFFFFF" w:fill="FFFFFF"/>
            <w:noWrap/>
          </w:tcPr>
          <w:p w14:paraId="062C42BE"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Interest received is derived from the Agency investing cash in short-term deposits. The variance to Budget is due to a significant amount of surplus cash which was held and invested during the year.</w:t>
            </w:r>
          </w:p>
        </w:tc>
      </w:tr>
      <w:tr w:rsidR="00361BA1" w:rsidRPr="00361BA1" w14:paraId="4C24088E" w14:textId="77777777" w:rsidTr="00084A73">
        <w:trPr>
          <w:cantSplit/>
          <w:trHeight w:val="255"/>
        </w:trPr>
        <w:tc>
          <w:tcPr>
            <w:tcW w:w="2740" w:type="dxa"/>
            <w:shd w:val="clear" w:color="FFFFFF" w:fill="FFFFFF"/>
            <w:noWrap/>
          </w:tcPr>
          <w:p w14:paraId="58EBB01C"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64D01316"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i/>
                <w:sz w:val="18"/>
                <w:szCs w:val="18"/>
                <w:lang w:eastAsia="en-US"/>
              </w:rPr>
              <w:t>Employee benefits</w:t>
            </w:r>
          </w:p>
        </w:tc>
        <w:tc>
          <w:tcPr>
            <w:tcW w:w="7235" w:type="dxa"/>
            <w:shd w:val="clear" w:color="FFFFFF" w:fill="FFFFFF"/>
            <w:noWrap/>
          </w:tcPr>
          <w:p w14:paraId="1D7928EF"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The increase is attributable to the average staffing levels cap for employees being increased more than estimated in the Budget.</w:t>
            </w:r>
          </w:p>
        </w:tc>
      </w:tr>
      <w:tr w:rsidR="00361BA1" w:rsidRPr="00361BA1" w14:paraId="676B441C" w14:textId="77777777" w:rsidTr="00084A73">
        <w:trPr>
          <w:cantSplit/>
          <w:trHeight w:val="255"/>
        </w:trPr>
        <w:tc>
          <w:tcPr>
            <w:tcW w:w="2740" w:type="dxa"/>
            <w:shd w:val="clear" w:color="FFFFFF" w:fill="FFFFFF"/>
            <w:noWrap/>
          </w:tcPr>
          <w:p w14:paraId="1D68FE1D"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5FE95FCC" w14:textId="77777777" w:rsidR="00361BA1" w:rsidRPr="00361BA1" w:rsidRDefault="00361BA1" w:rsidP="00361BA1">
            <w:pPr>
              <w:spacing w:before="0" w:after="0" w:line="260" w:lineRule="atLeast"/>
              <w:ind w:left="0"/>
              <w:rPr>
                <w:rFonts w:eastAsia="Times New Roman"/>
                <w:bCs/>
                <w:i/>
                <w:sz w:val="18"/>
                <w:szCs w:val="18"/>
                <w:lang w:eastAsia="en-US"/>
              </w:rPr>
            </w:pPr>
            <w:r w:rsidRPr="00361BA1">
              <w:rPr>
                <w:rFonts w:eastAsia="Times New Roman"/>
                <w:bCs/>
                <w:i/>
                <w:sz w:val="18"/>
                <w:szCs w:val="18"/>
                <w:lang w:eastAsia="en-US"/>
              </w:rPr>
              <w:t>Supplier expenses, Interest payments on lease liabilities, Community partnership costs</w:t>
            </w:r>
          </w:p>
        </w:tc>
        <w:tc>
          <w:tcPr>
            <w:tcW w:w="7235" w:type="dxa"/>
            <w:shd w:val="clear" w:color="FFFFFF" w:fill="FFFFFF"/>
            <w:noWrap/>
          </w:tcPr>
          <w:p w14:paraId="170CF6F8"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 xml:space="preserve">The Budget aggregates supplier expenses and community partnership payments. The variance to Budget for supplier and community partnership payments is linked to the lower amount of cash outflows pertaining to consultancy costs, operating leases and travel activity.  Consultancy costs reduced as a number of consultancies were internally sourced within the Agency. Operating lease costs decreased with the implementation of AASB 16 </w:t>
            </w:r>
            <w:r w:rsidRPr="00361BA1">
              <w:rPr>
                <w:rFonts w:eastAsia="Times New Roman"/>
                <w:i/>
                <w:sz w:val="18"/>
                <w:szCs w:val="18"/>
                <w:lang w:eastAsia="en-US"/>
              </w:rPr>
              <w:t>Leases</w:t>
            </w:r>
            <w:r w:rsidRPr="00361BA1">
              <w:rPr>
                <w:rFonts w:eastAsia="Times New Roman"/>
                <w:sz w:val="18"/>
                <w:szCs w:val="18"/>
                <w:lang w:eastAsia="en-US"/>
              </w:rPr>
              <w:t>, which resulted in operating lease expenses being replaced by depreciation on right-of-use asset. The agency's travel costs reduced significantly since March 2020 due to travel restrictions owing to the COVID-19 pandemic.</w:t>
            </w:r>
          </w:p>
        </w:tc>
      </w:tr>
      <w:tr w:rsidR="00361BA1" w:rsidRPr="00361BA1" w14:paraId="12B796F6" w14:textId="77777777" w:rsidTr="00084A73">
        <w:trPr>
          <w:cantSplit/>
          <w:trHeight w:val="255"/>
        </w:trPr>
        <w:tc>
          <w:tcPr>
            <w:tcW w:w="2740" w:type="dxa"/>
            <w:shd w:val="clear" w:color="FFFFFF" w:fill="FFFFFF"/>
            <w:noWrap/>
          </w:tcPr>
          <w:p w14:paraId="1920D2F8"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1B4A440B" w14:textId="77777777" w:rsidR="00361BA1" w:rsidRPr="00361BA1" w:rsidRDefault="00361BA1" w:rsidP="00361BA1">
            <w:pPr>
              <w:spacing w:before="0" w:after="0" w:line="260" w:lineRule="atLeast"/>
              <w:ind w:left="0"/>
              <w:rPr>
                <w:rFonts w:eastAsia="Times New Roman"/>
                <w:bCs/>
                <w:i/>
                <w:sz w:val="18"/>
                <w:szCs w:val="18"/>
                <w:lang w:eastAsia="en-US"/>
              </w:rPr>
            </w:pPr>
            <w:r w:rsidRPr="00361BA1">
              <w:rPr>
                <w:rFonts w:eastAsia="Times New Roman"/>
                <w:bCs/>
                <w:i/>
                <w:sz w:val="18"/>
                <w:szCs w:val="18"/>
                <w:lang w:eastAsia="en-US"/>
              </w:rPr>
              <w:t>Participant plan expenses</w:t>
            </w:r>
          </w:p>
        </w:tc>
        <w:tc>
          <w:tcPr>
            <w:tcW w:w="7235" w:type="dxa"/>
            <w:shd w:val="clear" w:color="FFFFFF" w:fill="FFFFFF"/>
            <w:noWrap/>
          </w:tcPr>
          <w:p w14:paraId="0B212C92"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Participant plan payments are more than projected in the Budget, primarily due to a larger than projected increase in participant numbers in the Scheme and higher than projected utilisation of committed supports.</w:t>
            </w:r>
          </w:p>
        </w:tc>
      </w:tr>
      <w:tr w:rsidR="00361BA1" w:rsidRPr="00361BA1" w14:paraId="2FDEC059" w14:textId="77777777" w:rsidTr="00084A73">
        <w:trPr>
          <w:cantSplit/>
          <w:trHeight w:val="25"/>
        </w:trPr>
        <w:tc>
          <w:tcPr>
            <w:tcW w:w="2740" w:type="dxa"/>
            <w:shd w:val="clear" w:color="FFFFFF" w:fill="FFFFFF"/>
            <w:noWrap/>
          </w:tcPr>
          <w:p w14:paraId="28271E81"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Operating activities</w:t>
            </w:r>
          </w:p>
          <w:p w14:paraId="7FCA0B1C"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i/>
                <w:sz w:val="18"/>
                <w:szCs w:val="18"/>
                <w:lang w:eastAsia="en-US"/>
              </w:rPr>
              <w:t>Grant payments</w:t>
            </w:r>
          </w:p>
        </w:tc>
        <w:tc>
          <w:tcPr>
            <w:tcW w:w="7235" w:type="dxa"/>
            <w:shd w:val="clear" w:color="FFFFFF" w:fill="FFFFFF"/>
            <w:noWrap/>
          </w:tcPr>
          <w:p w14:paraId="05191F9F"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The Budget did not anticipate the carry forward of some grant payments from the prior year.</w:t>
            </w:r>
          </w:p>
        </w:tc>
      </w:tr>
      <w:tr w:rsidR="00361BA1" w:rsidRPr="00361BA1" w14:paraId="0BC6E8CB" w14:textId="77777777" w:rsidTr="00084A73">
        <w:trPr>
          <w:cantSplit/>
          <w:trHeight w:val="255"/>
        </w:trPr>
        <w:tc>
          <w:tcPr>
            <w:tcW w:w="2740" w:type="dxa"/>
            <w:shd w:val="clear" w:color="FFFFFF" w:fill="FFFFFF"/>
            <w:noWrap/>
          </w:tcPr>
          <w:p w14:paraId="0F85E8E8"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Investing activities</w:t>
            </w:r>
          </w:p>
          <w:p w14:paraId="1F44C634" w14:textId="77777777" w:rsidR="00361BA1" w:rsidRPr="00361BA1" w:rsidRDefault="00361BA1" w:rsidP="00361BA1">
            <w:pPr>
              <w:spacing w:before="0" w:after="0" w:line="260" w:lineRule="atLeast"/>
              <w:ind w:left="0"/>
              <w:rPr>
                <w:rFonts w:eastAsia="Times New Roman"/>
                <w:bCs/>
                <w:i/>
                <w:sz w:val="18"/>
                <w:szCs w:val="18"/>
                <w:lang w:eastAsia="en-US"/>
              </w:rPr>
            </w:pPr>
            <w:r w:rsidRPr="00361BA1">
              <w:rPr>
                <w:rFonts w:eastAsia="Times New Roman"/>
                <w:bCs/>
                <w:i/>
                <w:sz w:val="18"/>
                <w:szCs w:val="18"/>
                <w:lang w:eastAsia="en-US"/>
              </w:rPr>
              <w:t>Purchase of leasehold improvements</w:t>
            </w:r>
          </w:p>
        </w:tc>
        <w:tc>
          <w:tcPr>
            <w:tcW w:w="7235" w:type="dxa"/>
            <w:shd w:val="clear" w:color="FFFFFF" w:fill="FFFFFF"/>
            <w:noWrap/>
          </w:tcPr>
          <w:p w14:paraId="2C747C07"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Whilst the Agency has adopted whole-of-government policies for co-locating service delivery sites within existing Commonwealth property infrastructure, where feasible, the 'Purchase of leasehold improvements' is higher than budget mainly due an increase in the Agency's property footprint during the year.</w:t>
            </w:r>
          </w:p>
        </w:tc>
      </w:tr>
      <w:tr w:rsidR="00361BA1" w:rsidRPr="00361BA1" w14:paraId="2619EF7A" w14:textId="77777777" w:rsidTr="00084A73">
        <w:trPr>
          <w:cantSplit/>
          <w:trHeight w:val="255"/>
        </w:trPr>
        <w:tc>
          <w:tcPr>
            <w:tcW w:w="2740" w:type="dxa"/>
            <w:shd w:val="clear" w:color="FFFFFF" w:fill="FFFFFF"/>
            <w:noWrap/>
          </w:tcPr>
          <w:p w14:paraId="68DD7BD3"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Investing activities</w:t>
            </w:r>
          </w:p>
          <w:p w14:paraId="13E443D1" w14:textId="77777777" w:rsidR="00361BA1" w:rsidRPr="00361BA1" w:rsidRDefault="00361BA1" w:rsidP="00361BA1">
            <w:pPr>
              <w:spacing w:before="0" w:after="0" w:line="260" w:lineRule="atLeast"/>
              <w:ind w:left="0"/>
              <w:rPr>
                <w:rFonts w:eastAsia="Times New Roman"/>
                <w:bCs/>
                <w:i/>
                <w:sz w:val="18"/>
                <w:szCs w:val="18"/>
                <w:lang w:eastAsia="en-US"/>
              </w:rPr>
            </w:pPr>
            <w:r w:rsidRPr="00361BA1">
              <w:rPr>
                <w:rFonts w:eastAsia="Times New Roman"/>
                <w:bCs/>
                <w:i/>
                <w:sz w:val="18"/>
                <w:szCs w:val="18"/>
                <w:lang w:eastAsia="en-US"/>
              </w:rPr>
              <w:t>Purchase of financial instruments</w:t>
            </w:r>
          </w:p>
        </w:tc>
        <w:tc>
          <w:tcPr>
            <w:tcW w:w="7235" w:type="dxa"/>
            <w:shd w:val="clear" w:color="FFFFFF" w:fill="FFFFFF"/>
            <w:noWrap/>
          </w:tcPr>
          <w:p w14:paraId="370A6D90"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The Budget did not anticipate other financial assets which are represented by term deposits with a maturity upon issue greater than 3 months.</w:t>
            </w:r>
          </w:p>
        </w:tc>
      </w:tr>
      <w:tr w:rsidR="00361BA1" w:rsidRPr="00361BA1" w14:paraId="264AFDF0" w14:textId="77777777" w:rsidTr="00084A73">
        <w:trPr>
          <w:cantSplit/>
          <w:trHeight w:val="255"/>
        </w:trPr>
        <w:tc>
          <w:tcPr>
            <w:tcW w:w="2740" w:type="dxa"/>
            <w:shd w:val="clear" w:color="FFFFFF" w:fill="FFFFFF"/>
            <w:noWrap/>
          </w:tcPr>
          <w:p w14:paraId="4C04DDB5" w14:textId="77777777" w:rsidR="00361BA1" w:rsidRPr="00361BA1" w:rsidRDefault="00361BA1" w:rsidP="00361BA1">
            <w:pPr>
              <w:spacing w:before="0" w:after="0" w:line="260" w:lineRule="atLeast"/>
              <w:ind w:left="0"/>
              <w:rPr>
                <w:rFonts w:eastAsia="Times New Roman"/>
                <w:bCs/>
                <w:sz w:val="18"/>
                <w:szCs w:val="18"/>
                <w:lang w:eastAsia="en-US"/>
              </w:rPr>
            </w:pPr>
            <w:r w:rsidRPr="00361BA1">
              <w:rPr>
                <w:rFonts w:eastAsia="Times New Roman"/>
                <w:bCs/>
                <w:sz w:val="18"/>
                <w:szCs w:val="18"/>
                <w:lang w:eastAsia="en-US"/>
              </w:rPr>
              <w:t>Financing activities</w:t>
            </w:r>
          </w:p>
          <w:p w14:paraId="71BA400B" w14:textId="77777777" w:rsidR="00361BA1" w:rsidRPr="00361BA1" w:rsidRDefault="00361BA1" w:rsidP="00361BA1">
            <w:pPr>
              <w:spacing w:before="0" w:after="0" w:line="260" w:lineRule="atLeast"/>
              <w:ind w:left="0"/>
              <w:rPr>
                <w:rFonts w:eastAsia="Times New Roman"/>
                <w:bCs/>
                <w:i/>
                <w:sz w:val="18"/>
                <w:szCs w:val="18"/>
                <w:lang w:eastAsia="en-US"/>
              </w:rPr>
            </w:pPr>
            <w:r w:rsidRPr="00361BA1">
              <w:rPr>
                <w:rFonts w:eastAsia="Times New Roman"/>
                <w:bCs/>
                <w:i/>
                <w:sz w:val="18"/>
                <w:szCs w:val="18"/>
                <w:lang w:eastAsia="en-US"/>
              </w:rPr>
              <w:t>Principal payments of lease liabilities</w:t>
            </w:r>
          </w:p>
        </w:tc>
        <w:tc>
          <w:tcPr>
            <w:tcW w:w="7235" w:type="dxa"/>
            <w:shd w:val="clear" w:color="FFFFFF" w:fill="FFFFFF"/>
            <w:noWrap/>
          </w:tcPr>
          <w:p w14:paraId="1137D74A" w14:textId="77777777" w:rsidR="00361BA1" w:rsidRPr="00361BA1" w:rsidRDefault="00361BA1" w:rsidP="00361BA1">
            <w:pPr>
              <w:spacing w:before="0" w:after="0" w:line="260" w:lineRule="atLeast"/>
              <w:ind w:left="0"/>
              <w:jc w:val="both"/>
              <w:rPr>
                <w:rFonts w:eastAsia="Times New Roman"/>
                <w:sz w:val="18"/>
                <w:szCs w:val="18"/>
                <w:lang w:eastAsia="en-US"/>
              </w:rPr>
            </w:pPr>
            <w:r w:rsidRPr="00361BA1">
              <w:rPr>
                <w:rFonts w:eastAsia="Times New Roman"/>
                <w:sz w:val="18"/>
                <w:szCs w:val="18"/>
                <w:lang w:eastAsia="en-US"/>
              </w:rPr>
              <w:t xml:space="preserve">The payment of principal for lease liabilities under AASB 16 </w:t>
            </w:r>
            <w:r w:rsidRPr="00361BA1">
              <w:rPr>
                <w:rFonts w:eastAsia="Times New Roman"/>
                <w:i/>
                <w:sz w:val="18"/>
                <w:szCs w:val="18"/>
                <w:lang w:eastAsia="en-US"/>
              </w:rPr>
              <w:t>Leases</w:t>
            </w:r>
            <w:r w:rsidRPr="00361BA1">
              <w:rPr>
                <w:rFonts w:eastAsia="Times New Roman"/>
                <w:sz w:val="18"/>
                <w:szCs w:val="18"/>
                <w:lang w:eastAsia="en-US"/>
              </w:rPr>
              <w:t xml:space="preserve"> was not reflected in the Budget.</w:t>
            </w:r>
          </w:p>
        </w:tc>
      </w:tr>
    </w:tbl>
    <w:p w14:paraId="25FCA1AD" w14:textId="77777777" w:rsidR="00361BA1" w:rsidRPr="00361BA1" w:rsidRDefault="00361BA1" w:rsidP="00361BA1">
      <w:pPr>
        <w:spacing w:before="0" w:line="120" w:lineRule="atLeast"/>
        <w:ind w:left="0"/>
        <w:rPr>
          <w:rFonts w:eastAsia="Times New Roman"/>
          <w:bCs/>
          <w:sz w:val="18"/>
          <w:szCs w:val="18"/>
          <w:lang w:eastAsia="en-US"/>
        </w:rPr>
      </w:pPr>
    </w:p>
    <w:p w14:paraId="15DB7E4D" w14:textId="77777777" w:rsidR="00361BA1" w:rsidRDefault="00361BA1" w:rsidP="00361BA1">
      <w:pPr>
        <w:ind w:left="0"/>
        <w:rPr>
          <w:highlight w:val="yellow"/>
          <w:lang w:eastAsia="en-US"/>
        </w:rPr>
        <w:sectPr w:rsidR="00361BA1" w:rsidSect="00361BA1">
          <w:headerReference w:type="default" r:id="rId49"/>
          <w:headerReference w:type="first" r:id="rId50"/>
          <w:pgSz w:w="11906" w:h="16838"/>
          <w:pgMar w:top="1021" w:right="907" w:bottom="1440" w:left="964" w:header="708" w:footer="708" w:gutter="0"/>
          <w:cols w:space="708"/>
          <w:titlePg/>
          <w:docGrid w:linePitch="360"/>
        </w:sectPr>
      </w:pPr>
    </w:p>
    <w:p w14:paraId="591DCE86" w14:textId="77777777" w:rsidR="00361BA1" w:rsidRPr="00361BA1" w:rsidRDefault="00361BA1" w:rsidP="00361BA1">
      <w:pPr>
        <w:tabs>
          <w:tab w:val="left" w:pos="9214"/>
        </w:tabs>
        <w:spacing w:after="220" w:line="260" w:lineRule="atLeast"/>
        <w:ind w:left="0"/>
        <w:rPr>
          <w:rFonts w:ascii="Arial Bold" w:eastAsia="Times New Roman" w:hAnsi="Arial Bold" w:cs="Times New Roman"/>
          <w:noProof/>
          <w:sz w:val="18"/>
          <w:szCs w:val="20"/>
          <w:u w:val="single"/>
          <w:lang w:eastAsia="en-US"/>
        </w:rPr>
      </w:pPr>
      <w:r w:rsidRPr="00361BA1">
        <w:rPr>
          <w:rFonts w:ascii="Arial Bold" w:eastAsia="Times New Roman" w:hAnsi="Arial Bold" w:cs="Times New Roman"/>
          <w:noProof/>
          <w:sz w:val="18"/>
          <w:szCs w:val="20"/>
          <w:u w:val="single"/>
          <w:lang w:eastAsia="en-US"/>
        </w:rPr>
        <w:lastRenderedPageBreak/>
        <w:t>Table of Contents</w:t>
      </w:r>
    </w:p>
    <w:p w14:paraId="6788CE1C" w14:textId="2B4744A3" w:rsidR="00361BA1" w:rsidRPr="0024339B" w:rsidRDefault="00361BA1" w:rsidP="00361BA1">
      <w:pPr>
        <w:tabs>
          <w:tab w:val="left" w:pos="9214"/>
        </w:tabs>
        <w:spacing w:after="220" w:line="260" w:lineRule="atLeast"/>
        <w:ind w:left="0"/>
        <w:rPr>
          <w:rFonts w:ascii="Calibri" w:eastAsia="Times New Roman" w:hAnsi="Calibri" w:cs="Times New Roman"/>
          <w:noProof/>
          <w:lang w:eastAsia="en-AU"/>
        </w:rPr>
      </w:pPr>
      <w:r w:rsidRPr="0024339B">
        <w:rPr>
          <w:rFonts w:ascii="Arial Bold" w:eastAsia="Times New Roman" w:hAnsi="Arial Bold" w:cs="Times New Roman"/>
          <w:noProof/>
          <w:color w:val="000000"/>
          <w:sz w:val="18"/>
          <w:szCs w:val="20"/>
          <w:lang w:eastAsia="en-US"/>
        </w:rPr>
        <w:fldChar w:fldCharType="begin"/>
      </w:r>
      <w:r w:rsidRPr="0024339B">
        <w:rPr>
          <w:rFonts w:ascii="Arial Bold" w:eastAsia="Times New Roman" w:hAnsi="Arial Bold" w:cs="Times New Roman"/>
          <w:noProof/>
          <w:color w:val="000000"/>
          <w:sz w:val="18"/>
          <w:szCs w:val="20"/>
          <w:lang w:eastAsia="en-US"/>
        </w:rPr>
        <w:instrText xml:space="preserve"> TOC \o "1-3" \h \z \u </w:instrText>
      </w:r>
      <w:r w:rsidRPr="0024339B">
        <w:rPr>
          <w:rFonts w:ascii="Arial Bold" w:eastAsia="Times New Roman" w:hAnsi="Arial Bold" w:cs="Times New Roman"/>
          <w:noProof/>
          <w:color w:val="000000"/>
          <w:sz w:val="18"/>
          <w:szCs w:val="20"/>
          <w:lang w:eastAsia="en-US"/>
        </w:rPr>
        <w:fldChar w:fldCharType="separate"/>
      </w:r>
      <w:hyperlink w:anchor="_Toc41479158" w:history="1">
        <w:r w:rsidRPr="0024339B">
          <w:rPr>
            <w:rFonts w:ascii="Arial Bold" w:eastAsia="Times New Roman" w:hAnsi="Arial Bold" w:cs="Times New Roman"/>
            <w:noProof/>
            <w:sz w:val="18"/>
            <w:szCs w:val="20"/>
            <w:lang w:eastAsia="en-US"/>
          </w:rPr>
          <w:t>Overview</w:t>
        </w:r>
        <w:r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55</w:t>
        </w:r>
      </w:hyperlink>
    </w:p>
    <w:p w14:paraId="0657E370" w14:textId="437F7936" w:rsidR="00361BA1" w:rsidRPr="0024339B" w:rsidRDefault="000B6734" w:rsidP="00361BA1">
      <w:pPr>
        <w:tabs>
          <w:tab w:val="left" w:pos="9214"/>
        </w:tabs>
        <w:spacing w:after="220" w:line="260" w:lineRule="atLeast"/>
        <w:ind w:left="0"/>
        <w:rPr>
          <w:rFonts w:ascii="Calibri" w:eastAsia="Times New Roman" w:hAnsi="Calibri" w:cs="Times New Roman"/>
          <w:noProof/>
          <w:lang w:eastAsia="en-AU"/>
        </w:rPr>
      </w:pPr>
      <w:hyperlink w:anchor="_Toc41479159" w:history="1">
        <w:r w:rsidR="00361BA1" w:rsidRPr="0024339B">
          <w:rPr>
            <w:rFonts w:ascii="Arial Bold" w:eastAsia="Times New Roman" w:hAnsi="Arial Bold" w:cs="Times New Roman"/>
            <w:noProof/>
            <w:sz w:val="18"/>
            <w:szCs w:val="20"/>
            <w:lang w:eastAsia="en-US"/>
          </w:rPr>
          <w:t>1. Financial Performance</w:t>
        </w:r>
        <w:r w:rsidR="00361BA1"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58</w:t>
        </w:r>
      </w:hyperlink>
    </w:p>
    <w:p w14:paraId="74BCFC4D" w14:textId="709AA0E8"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0"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1.1.</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Expenses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58</w:t>
        </w:r>
      </w:hyperlink>
    </w:p>
    <w:p w14:paraId="11281428" w14:textId="61B0529C"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1"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1.2.</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Own-Source Revenue and Gains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61</w:t>
        </w:r>
      </w:hyperlink>
    </w:p>
    <w:p w14:paraId="4999F183" w14:textId="32DBAB9D" w:rsidR="00361BA1" w:rsidRPr="0024339B" w:rsidRDefault="000B6734" w:rsidP="00361BA1">
      <w:pPr>
        <w:tabs>
          <w:tab w:val="left" w:pos="440"/>
          <w:tab w:val="left" w:pos="9214"/>
        </w:tabs>
        <w:spacing w:after="220" w:line="260" w:lineRule="atLeast"/>
        <w:ind w:left="0"/>
        <w:rPr>
          <w:rFonts w:ascii="Calibri" w:eastAsia="Times New Roman" w:hAnsi="Calibri" w:cs="Times New Roman"/>
          <w:noProof/>
          <w:lang w:eastAsia="en-AU"/>
        </w:rPr>
      </w:pPr>
      <w:hyperlink w:anchor="_Toc41479162" w:history="1">
        <w:r w:rsidR="00361BA1" w:rsidRPr="0024339B">
          <w:rPr>
            <w:rFonts w:ascii="Arial Bold" w:eastAsia="Times New Roman" w:hAnsi="Arial Bold" w:cs="Times New Roman"/>
            <w:noProof/>
            <w:sz w:val="18"/>
            <w:szCs w:val="20"/>
            <w:lang w:eastAsia="en-US"/>
          </w:rPr>
          <w:t>2.</w:t>
        </w:r>
        <w:r w:rsidR="00361BA1" w:rsidRPr="0024339B">
          <w:rPr>
            <w:rFonts w:ascii="Calibri" w:eastAsia="Times New Roman" w:hAnsi="Calibri" w:cs="Times New Roman"/>
            <w:noProof/>
            <w:lang w:eastAsia="en-AU"/>
          </w:rPr>
          <w:tab/>
        </w:r>
        <w:r w:rsidR="00361BA1" w:rsidRPr="0024339B">
          <w:rPr>
            <w:rFonts w:ascii="Arial Bold" w:eastAsia="Times New Roman" w:hAnsi="Arial Bold" w:cs="Times New Roman"/>
            <w:noProof/>
            <w:sz w:val="18"/>
            <w:szCs w:val="20"/>
            <w:lang w:eastAsia="en-US"/>
          </w:rPr>
          <w:t>Financial Position</w:t>
        </w:r>
        <w:r w:rsidR="00361BA1"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64</w:t>
        </w:r>
      </w:hyperlink>
    </w:p>
    <w:p w14:paraId="31D30429" w14:textId="085E217C"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3"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2.1.</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Financial Assets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64</w:t>
        </w:r>
      </w:hyperlink>
    </w:p>
    <w:p w14:paraId="07535D02" w14:textId="43AAA9F1"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4"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2.2.</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Non-Financial Assets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66</w:t>
        </w:r>
      </w:hyperlink>
    </w:p>
    <w:p w14:paraId="2423CD7A" w14:textId="20CED376"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5"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2.3.</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Payables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69</w:t>
        </w:r>
      </w:hyperlink>
    </w:p>
    <w:p w14:paraId="0C8E7A32" w14:textId="7926E569"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6"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2.4.</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Unearned Income</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69</w:t>
        </w:r>
      </w:hyperlink>
    </w:p>
    <w:p w14:paraId="50F27E78" w14:textId="1312A20A"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7"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2.5.</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Interest Bearing Liabilities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69</w:t>
        </w:r>
      </w:hyperlink>
    </w:p>
    <w:p w14:paraId="01EAA52D" w14:textId="541F0551"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68"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2.6.</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Provisions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70</w:t>
        </w:r>
      </w:hyperlink>
    </w:p>
    <w:p w14:paraId="21CF7230" w14:textId="62612BA9" w:rsidR="00361BA1" w:rsidRPr="0024339B" w:rsidRDefault="000B6734" w:rsidP="00361BA1">
      <w:pPr>
        <w:tabs>
          <w:tab w:val="left" w:pos="440"/>
          <w:tab w:val="left" w:pos="9214"/>
        </w:tabs>
        <w:spacing w:after="220" w:line="260" w:lineRule="atLeast"/>
        <w:ind w:left="0"/>
        <w:rPr>
          <w:rFonts w:ascii="Calibri" w:eastAsia="Times New Roman" w:hAnsi="Calibri" w:cs="Times New Roman"/>
          <w:noProof/>
          <w:lang w:eastAsia="en-AU"/>
        </w:rPr>
      </w:pPr>
      <w:hyperlink w:anchor="_Toc41479169" w:history="1">
        <w:r w:rsidR="00361BA1" w:rsidRPr="0024339B">
          <w:rPr>
            <w:rFonts w:ascii="Arial Bold" w:eastAsia="Times New Roman" w:hAnsi="Arial Bold" w:cs="Times New Roman"/>
            <w:noProof/>
            <w:sz w:val="18"/>
            <w:szCs w:val="20"/>
            <w:lang w:eastAsia="en-US"/>
          </w:rPr>
          <w:t>3.</w:t>
        </w:r>
        <w:r w:rsidR="00361BA1" w:rsidRPr="0024339B">
          <w:rPr>
            <w:rFonts w:ascii="Calibri" w:eastAsia="Times New Roman" w:hAnsi="Calibri" w:cs="Times New Roman"/>
            <w:noProof/>
            <w:lang w:eastAsia="en-AU"/>
          </w:rPr>
          <w:tab/>
        </w:r>
        <w:r w:rsidR="00361BA1" w:rsidRPr="0024339B">
          <w:rPr>
            <w:rFonts w:ascii="Arial Bold" w:eastAsia="Times New Roman" w:hAnsi="Arial Bold" w:cs="Times New Roman"/>
            <w:noProof/>
            <w:sz w:val="18"/>
            <w:szCs w:val="20"/>
            <w:lang w:eastAsia="en-US"/>
          </w:rPr>
          <w:t>People and Relationship</w:t>
        </w:r>
        <w:r w:rsidR="00361BA1"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71</w:t>
        </w:r>
      </w:hyperlink>
    </w:p>
    <w:p w14:paraId="2E5C4FD1" w14:textId="417BAA23"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0"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3.1.</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Employee Provisions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71</w:t>
        </w:r>
      </w:hyperlink>
    </w:p>
    <w:p w14:paraId="266ECE22" w14:textId="78747B41"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1"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3.2.</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Board and Other Key Management Personnel Remuneration</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72</w:t>
        </w:r>
      </w:hyperlink>
    </w:p>
    <w:p w14:paraId="03E6B397" w14:textId="29F60518"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2"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3.3.</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Related Party Disclosures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72</w:t>
        </w:r>
      </w:hyperlink>
    </w:p>
    <w:p w14:paraId="4484550A" w14:textId="0C1E2375" w:rsidR="00361BA1" w:rsidRPr="0024339B" w:rsidRDefault="000B6734" w:rsidP="00361BA1">
      <w:pPr>
        <w:tabs>
          <w:tab w:val="left" w:pos="440"/>
          <w:tab w:val="left" w:pos="9214"/>
        </w:tabs>
        <w:spacing w:after="220" w:line="260" w:lineRule="atLeast"/>
        <w:ind w:left="0"/>
        <w:rPr>
          <w:rFonts w:ascii="Calibri" w:eastAsia="Times New Roman" w:hAnsi="Calibri" w:cs="Times New Roman"/>
          <w:noProof/>
          <w:lang w:eastAsia="en-AU"/>
        </w:rPr>
      </w:pPr>
      <w:hyperlink w:anchor="_Toc41479173" w:history="1">
        <w:r w:rsidR="00361BA1" w:rsidRPr="0024339B">
          <w:rPr>
            <w:rFonts w:ascii="Arial Bold" w:eastAsia="Times New Roman" w:hAnsi="Arial Bold" w:cs="Times New Roman"/>
            <w:noProof/>
            <w:sz w:val="18"/>
            <w:szCs w:val="20"/>
            <w:lang w:eastAsia="en-US"/>
          </w:rPr>
          <w:t>4.</w:t>
        </w:r>
        <w:r w:rsidR="00361BA1" w:rsidRPr="0024339B">
          <w:rPr>
            <w:rFonts w:ascii="Calibri" w:eastAsia="Times New Roman" w:hAnsi="Calibri" w:cs="Times New Roman"/>
            <w:noProof/>
            <w:lang w:eastAsia="en-AU"/>
          </w:rPr>
          <w:tab/>
        </w:r>
        <w:r w:rsidR="00361BA1" w:rsidRPr="0024339B">
          <w:rPr>
            <w:rFonts w:ascii="Arial Bold" w:eastAsia="Times New Roman" w:hAnsi="Arial Bold" w:cs="Times New Roman"/>
            <w:noProof/>
            <w:sz w:val="18"/>
            <w:szCs w:val="20"/>
            <w:lang w:eastAsia="en-US"/>
          </w:rPr>
          <w:t>Managing Uncertainties</w:t>
        </w:r>
        <w:r w:rsidR="00361BA1"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74</w:t>
        </w:r>
      </w:hyperlink>
    </w:p>
    <w:p w14:paraId="23BF286B" w14:textId="7D7585D2"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4"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4.1.</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Contingent Assets and Liabilities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74</w:t>
        </w:r>
      </w:hyperlink>
    </w:p>
    <w:p w14:paraId="777E44CB" w14:textId="4AA5F1C9"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5"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4.2.</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Financial Instruments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75</w:t>
        </w:r>
      </w:hyperlink>
    </w:p>
    <w:p w14:paraId="42221B3A" w14:textId="35FE7C54" w:rsidR="00361BA1" w:rsidRPr="0024339B" w:rsidRDefault="000B6734" w:rsidP="00361BA1">
      <w:pPr>
        <w:tabs>
          <w:tab w:val="left" w:pos="440"/>
          <w:tab w:val="left" w:pos="9214"/>
        </w:tabs>
        <w:spacing w:after="220" w:line="260" w:lineRule="atLeast"/>
        <w:ind w:left="0"/>
        <w:rPr>
          <w:rFonts w:ascii="Calibri" w:eastAsia="Times New Roman" w:hAnsi="Calibri" w:cs="Times New Roman"/>
          <w:noProof/>
          <w:lang w:eastAsia="en-AU"/>
        </w:rPr>
      </w:pPr>
      <w:hyperlink w:anchor="_Toc41479176" w:history="1">
        <w:r w:rsidR="00361BA1" w:rsidRPr="0024339B">
          <w:rPr>
            <w:rFonts w:ascii="Arial Bold" w:eastAsia="Times New Roman" w:hAnsi="Arial Bold" w:cs="Times New Roman"/>
            <w:noProof/>
            <w:sz w:val="18"/>
            <w:szCs w:val="20"/>
            <w:lang w:eastAsia="en-US"/>
          </w:rPr>
          <w:t>5.</w:t>
        </w:r>
        <w:r w:rsidR="00361BA1" w:rsidRPr="0024339B">
          <w:rPr>
            <w:rFonts w:ascii="Calibri" w:eastAsia="Times New Roman" w:hAnsi="Calibri" w:cs="Times New Roman"/>
            <w:noProof/>
            <w:lang w:eastAsia="en-AU"/>
          </w:rPr>
          <w:tab/>
        </w:r>
        <w:r w:rsidR="00361BA1" w:rsidRPr="0024339B">
          <w:rPr>
            <w:rFonts w:ascii="Arial Bold" w:eastAsia="Times New Roman" w:hAnsi="Arial Bold" w:cs="Times New Roman"/>
            <w:noProof/>
            <w:sz w:val="18"/>
            <w:szCs w:val="20"/>
            <w:lang w:eastAsia="en-US"/>
          </w:rPr>
          <w:t>Other Information</w:t>
        </w:r>
        <w:r w:rsidR="00361BA1" w:rsidRPr="0024339B">
          <w:rPr>
            <w:rFonts w:ascii="Arial Bold" w:eastAsia="Times New Roman" w:hAnsi="Arial Bold" w:cs="Times New Roman"/>
            <w:noProof/>
            <w:webHidden/>
            <w:sz w:val="18"/>
            <w:szCs w:val="20"/>
            <w:lang w:eastAsia="en-US"/>
          </w:rPr>
          <w:tab/>
        </w:r>
        <w:r w:rsidR="00C34122" w:rsidRPr="0024339B">
          <w:rPr>
            <w:rFonts w:ascii="Arial Bold" w:eastAsia="Times New Roman" w:hAnsi="Arial Bold" w:cs="Times New Roman"/>
            <w:noProof/>
            <w:webHidden/>
            <w:sz w:val="18"/>
            <w:szCs w:val="20"/>
            <w:lang w:eastAsia="en-US"/>
          </w:rPr>
          <w:t>76</w:t>
        </w:r>
      </w:hyperlink>
    </w:p>
    <w:p w14:paraId="317B6719" w14:textId="44D56C65" w:rsidR="00361BA1" w:rsidRPr="0024339B" w:rsidRDefault="000B6734" w:rsidP="00361BA1">
      <w:pPr>
        <w:tabs>
          <w:tab w:val="left" w:pos="880"/>
          <w:tab w:val="left" w:pos="9214"/>
          <w:tab w:val="right" w:pos="9356"/>
          <w:tab w:val="left" w:pos="9638"/>
        </w:tabs>
        <w:spacing w:after="0" w:line="260" w:lineRule="atLeast"/>
        <w:ind w:left="220"/>
        <w:rPr>
          <w:rFonts w:ascii="Calibri" w:eastAsia="Times New Roman" w:hAnsi="Calibri" w:cs="Times New Roman"/>
          <w:noProof/>
          <w:lang w:eastAsia="en-AU"/>
        </w:rPr>
      </w:pPr>
      <w:hyperlink w:anchor="_Toc41479177" w:history="1">
        <w:r w:rsidR="00361BA1" w:rsidRPr="0024339B">
          <w:rPr>
            <w:rFonts w:eastAsia="Times New Roman" w:cs="Times New Roman"/>
            <w:iCs/>
            <w:noProof/>
            <w:sz w:val="18"/>
            <w:szCs w:val="20"/>
            <w:lang w:eastAsia="en-US"/>
            <w14:scene3d>
              <w14:camera w14:prst="orthographicFront"/>
              <w14:lightRig w14:rig="threePt" w14:dir="t">
                <w14:rot w14:lat="0" w14:lon="0" w14:rev="0"/>
              </w14:lightRig>
            </w14:scene3d>
          </w:rPr>
          <w:t>5.1.</w:t>
        </w:r>
        <w:r w:rsidR="00361BA1" w:rsidRPr="0024339B">
          <w:rPr>
            <w:rFonts w:ascii="Calibri" w:eastAsia="Times New Roman" w:hAnsi="Calibri" w:cs="Times New Roman"/>
            <w:noProof/>
            <w:lang w:eastAsia="en-AU"/>
          </w:rPr>
          <w:tab/>
        </w:r>
        <w:r w:rsidR="00361BA1" w:rsidRPr="0024339B">
          <w:rPr>
            <w:rFonts w:eastAsia="Times New Roman" w:cs="Times New Roman"/>
            <w:iCs/>
            <w:noProof/>
            <w:sz w:val="18"/>
            <w:szCs w:val="20"/>
            <w:lang w:eastAsia="en-US"/>
          </w:rPr>
          <w:t>Aggregate Assets and Liabilities</w:t>
        </w:r>
        <w:r w:rsidR="00361BA1" w:rsidRPr="0024339B">
          <w:rPr>
            <w:rFonts w:eastAsia="Times New Roman" w:cs="Times New Roman"/>
            <w:iCs/>
            <w:noProof/>
            <w:webHidden/>
            <w:sz w:val="18"/>
            <w:szCs w:val="20"/>
            <w:lang w:eastAsia="en-US"/>
          </w:rPr>
          <w:tab/>
        </w:r>
        <w:r w:rsidR="00C34122" w:rsidRPr="0024339B">
          <w:rPr>
            <w:rFonts w:eastAsia="Times New Roman" w:cs="Times New Roman"/>
            <w:iCs/>
            <w:noProof/>
            <w:webHidden/>
            <w:sz w:val="18"/>
            <w:szCs w:val="20"/>
            <w:lang w:eastAsia="en-US"/>
          </w:rPr>
          <w:t>76</w:t>
        </w:r>
      </w:hyperlink>
    </w:p>
    <w:p w14:paraId="4922F7A2" w14:textId="77777777" w:rsidR="00361BA1" w:rsidRDefault="00361BA1" w:rsidP="00361BA1">
      <w:pPr>
        <w:ind w:left="0"/>
        <w:rPr>
          <w:rFonts w:ascii="Arial Bold" w:eastAsia="Times New Roman" w:hAnsi="Arial Bold" w:cs="Times New Roman"/>
          <w:noProof/>
          <w:color w:val="000000"/>
          <w:sz w:val="18"/>
          <w:szCs w:val="20"/>
          <w:lang w:eastAsia="en-US"/>
        </w:rPr>
        <w:sectPr w:rsidR="00361BA1" w:rsidSect="00361BA1">
          <w:headerReference w:type="first" r:id="rId51"/>
          <w:pgSz w:w="11906" w:h="16838"/>
          <w:pgMar w:top="1021" w:right="907" w:bottom="1440" w:left="964" w:header="708" w:footer="708" w:gutter="0"/>
          <w:cols w:space="708"/>
          <w:titlePg/>
          <w:docGrid w:linePitch="360"/>
        </w:sectPr>
      </w:pPr>
      <w:r w:rsidRPr="0024339B">
        <w:rPr>
          <w:rFonts w:ascii="Arial Bold" w:eastAsia="Times New Roman" w:hAnsi="Arial Bold" w:cs="Times New Roman"/>
          <w:noProof/>
          <w:color w:val="000000"/>
          <w:sz w:val="18"/>
          <w:szCs w:val="20"/>
          <w:lang w:eastAsia="en-US"/>
        </w:rPr>
        <w:fldChar w:fldCharType="end"/>
      </w:r>
    </w:p>
    <w:p w14:paraId="5A51D8A9" w14:textId="77777777" w:rsidR="00361BA1" w:rsidRPr="00361BA1" w:rsidRDefault="00361BA1" w:rsidP="00361BA1">
      <w:pPr>
        <w:shd w:val="clear" w:color="auto" w:fill="800080"/>
        <w:tabs>
          <w:tab w:val="right" w:pos="9072"/>
        </w:tabs>
        <w:spacing w:before="0" w:after="0" w:line="260" w:lineRule="atLeast"/>
        <w:ind w:left="0"/>
        <w:outlineLvl w:val="0"/>
        <w:rPr>
          <w:rFonts w:ascii="Arial Bold" w:eastAsia="Times New Roman" w:hAnsi="Arial Bold" w:cs="Times New Roman"/>
          <w:b/>
          <w:color w:val="FFFFFF"/>
          <w:sz w:val="24"/>
          <w:szCs w:val="20"/>
          <w:lang w:eastAsia="en-US"/>
        </w:rPr>
      </w:pPr>
      <w:bookmarkStart w:id="21" w:name="_Toc443469521"/>
      <w:bookmarkStart w:id="22" w:name="_Toc444065769"/>
      <w:bookmarkStart w:id="23" w:name="_Toc444077331"/>
      <w:bookmarkStart w:id="24" w:name="_Toc447030534"/>
      <w:bookmarkStart w:id="25" w:name="_Toc447030686"/>
      <w:bookmarkStart w:id="26" w:name="_Toc447030779"/>
      <w:bookmarkStart w:id="27" w:name="_Toc41479158"/>
      <w:r w:rsidRPr="00361BA1">
        <w:rPr>
          <w:rFonts w:ascii="Arial Bold" w:eastAsia="Times New Roman" w:hAnsi="Arial Bold" w:cs="Times New Roman"/>
          <w:b/>
          <w:color w:val="FFFFFF"/>
          <w:sz w:val="24"/>
          <w:szCs w:val="20"/>
          <w:lang w:eastAsia="en-US"/>
        </w:rPr>
        <w:lastRenderedPageBreak/>
        <w:t>Overview</w:t>
      </w:r>
      <w:bookmarkEnd w:id="21"/>
      <w:bookmarkEnd w:id="22"/>
      <w:bookmarkEnd w:id="23"/>
      <w:bookmarkEnd w:id="24"/>
      <w:bookmarkEnd w:id="25"/>
      <w:bookmarkEnd w:id="26"/>
      <w:bookmarkEnd w:id="27"/>
      <w:r w:rsidRPr="00361BA1">
        <w:rPr>
          <w:rFonts w:ascii="Arial Bold" w:eastAsia="Times New Roman" w:hAnsi="Arial Bold" w:cs="Times New Roman"/>
          <w:b/>
          <w:color w:val="FFFFFF"/>
          <w:sz w:val="24"/>
          <w:szCs w:val="20"/>
          <w:highlight w:val="darkMagenta"/>
          <w:lang w:eastAsia="en-US"/>
        </w:rPr>
        <w:tab/>
      </w:r>
    </w:p>
    <w:p w14:paraId="10F1BBDD" w14:textId="77777777" w:rsidR="00361BA1" w:rsidRPr="00361BA1" w:rsidRDefault="00361BA1" w:rsidP="00361BA1">
      <w:pPr>
        <w:spacing w:before="0" w:line="120" w:lineRule="atLeast"/>
        <w:ind w:left="0"/>
        <w:rPr>
          <w:rFonts w:eastAsia="Times New Roman" w:cs="Times New Roman"/>
          <w:b/>
          <w:bCs/>
          <w:sz w:val="4"/>
          <w:szCs w:val="4"/>
          <w:lang w:eastAsia="en-US"/>
        </w:rPr>
      </w:pPr>
    </w:p>
    <w:p w14:paraId="24C0D96A" w14:textId="77777777" w:rsidR="00361BA1" w:rsidRPr="00361BA1" w:rsidRDefault="00361BA1" w:rsidP="00361BA1">
      <w:pPr>
        <w:spacing w:before="0" w:after="0"/>
        <w:ind w:left="0"/>
        <w:jc w:val="both"/>
        <w:rPr>
          <w:rFonts w:eastAsia="Times New Roman"/>
          <w:b/>
          <w:bCs/>
          <w:color w:val="800080"/>
          <w:sz w:val="18"/>
          <w:szCs w:val="18"/>
          <w:lang w:eastAsia="en-AU"/>
        </w:rPr>
      </w:pPr>
      <w:r w:rsidRPr="00361BA1">
        <w:rPr>
          <w:rFonts w:eastAsia="Times New Roman"/>
          <w:b/>
          <w:bCs/>
          <w:color w:val="800080"/>
          <w:sz w:val="18"/>
          <w:szCs w:val="18"/>
          <w:lang w:eastAsia="en-AU"/>
        </w:rPr>
        <w:t>General information</w:t>
      </w:r>
    </w:p>
    <w:p w14:paraId="15617FF7" w14:textId="77777777" w:rsidR="00361BA1" w:rsidRPr="00361BA1" w:rsidRDefault="00361BA1" w:rsidP="00361BA1">
      <w:pPr>
        <w:spacing w:before="0" w:after="0"/>
        <w:ind w:left="0"/>
        <w:jc w:val="both"/>
        <w:rPr>
          <w:rFonts w:eastAsia="Times New Roman"/>
          <w:sz w:val="18"/>
          <w:szCs w:val="18"/>
          <w:lang w:eastAsia="en-AU"/>
        </w:rPr>
      </w:pPr>
    </w:p>
    <w:p w14:paraId="5876F302" w14:textId="77777777" w:rsidR="00361BA1" w:rsidRPr="00361BA1" w:rsidRDefault="00361BA1" w:rsidP="00361BA1">
      <w:pPr>
        <w:tabs>
          <w:tab w:val="left" w:pos="9504"/>
        </w:tabs>
        <w:spacing w:before="0" w:after="0"/>
        <w:ind w:left="0"/>
        <w:jc w:val="both"/>
        <w:rPr>
          <w:rFonts w:eastAsia="Times New Roman"/>
          <w:sz w:val="18"/>
          <w:szCs w:val="18"/>
          <w:lang w:eastAsia="en-AU"/>
        </w:rPr>
      </w:pPr>
      <w:r w:rsidRPr="00361BA1">
        <w:rPr>
          <w:rFonts w:eastAsia="Times New Roman"/>
          <w:sz w:val="18"/>
          <w:szCs w:val="18"/>
          <w:lang w:eastAsia="en-AU"/>
        </w:rPr>
        <w:t xml:space="preserve">The National Disability Insurance Scheme Launch Transition Agency (‘the Agency’) was established on 29 March 2013 by the </w:t>
      </w:r>
      <w:r w:rsidRPr="00361BA1">
        <w:rPr>
          <w:rFonts w:eastAsia="Times New Roman"/>
          <w:i/>
          <w:sz w:val="18"/>
          <w:szCs w:val="18"/>
          <w:lang w:eastAsia="en-AU"/>
        </w:rPr>
        <w:t>National Disability Insurance Scheme Act 2013</w:t>
      </w:r>
      <w:r w:rsidRPr="00361BA1">
        <w:rPr>
          <w:rFonts w:eastAsia="Times New Roman"/>
          <w:sz w:val="18"/>
          <w:szCs w:val="18"/>
          <w:lang w:eastAsia="en-AU"/>
        </w:rPr>
        <w:t xml:space="preserve"> (‘the Act’). The Agency is an Australian Government controlled not-for-profit entity.</w:t>
      </w:r>
    </w:p>
    <w:p w14:paraId="66556A1E" w14:textId="77777777" w:rsidR="00361BA1" w:rsidRPr="00361BA1" w:rsidRDefault="00361BA1" w:rsidP="00361BA1">
      <w:pPr>
        <w:tabs>
          <w:tab w:val="left" w:pos="9504"/>
        </w:tabs>
        <w:spacing w:before="0" w:after="0"/>
        <w:ind w:left="0"/>
        <w:jc w:val="both"/>
        <w:rPr>
          <w:rFonts w:eastAsia="Times New Roman"/>
          <w:sz w:val="18"/>
          <w:szCs w:val="18"/>
          <w:lang w:eastAsia="en-AU"/>
        </w:rPr>
      </w:pPr>
    </w:p>
    <w:p w14:paraId="75D4EB4B" w14:textId="77777777" w:rsidR="00361BA1" w:rsidRPr="00361BA1" w:rsidRDefault="00361BA1" w:rsidP="00361BA1">
      <w:pPr>
        <w:tabs>
          <w:tab w:val="left" w:pos="7230"/>
          <w:tab w:val="left" w:pos="9504"/>
        </w:tabs>
        <w:spacing w:before="0" w:after="0"/>
        <w:ind w:left="0"/>
        <w:jc w:val="both"/>
        <w:rPr>
          <w:rFonts w:eastAsia="Times New Roman"/>
          <w:sz w:val="18"/>
          <w:szCs w:val="18"/>
          <w:lang w:eastAsia="en-AU"/>
        </w:rPr>
      </w:pPr>
      <w:r w:rsidRPr="00361BA1">
        <w:rPr>
          <w:rFonts w:eastAsia="Times New Roman"/>
          <w:sz w:val="18"/>
          <w:szCs w:val="18"/>
          <w:lang w:eastAsia="en-AU"/>
        </w:rPr>
        <w:t>The Scheme has operations in all states and territories of Australia with full access to the Scheme commencing progressively from 1 July 2016.</w:t>
      </w:r>
    </w:p>
    <w:p w14:paraId="045399C1" w14:textId="77777777" w:rsidR="00361BA1" w:rsidRPr="00361BA1" w:rsidRDefault="00361BA1" w:rsidP="00361BA1">
      <w:pPr>
        <w:tabs>
          <w:tab w:val="left" w:pos="7230"/>
          <w:tab w:val="left" w:pos="9504"/>
        </w:tabs>
        <w:spacing w:before="0" w:after="0"/>
        <w:ind w:left="0"/>
        <w:jc w:val="both"/>
        <w:rPr>
          <w:rFonts w:eastAsia="Times New Roman"/>
          <w:sz w:val="18"/>
          <w:szCs w:val="18"/>
          <w:lang w:eastAsia="en-AU"/>
        </w:rPr>
      </w:pPr>
      <w:r w:rsidRPr="00361BA1">
        <w:rPr>
          <w:rFonts w:eastAsia="Times New Roman"/>
          <w:sz w:val="18"/>
          <w:szCs w:val="18"/>
          <w:lang w:eastAsia="en-AU"/>
        </w:rPr>
        <w:tab/>
      </w:r>
    </w:p>
    <w:p w14:paraId="163E3E2F" w14:textId="77777777" w:rsidR="00361BA1" w:rsidRPr="00361BA1" w:rsidRDefault="00361BA1" w:rsidP="00361BA1">
      <w:pPr>
        <w:spacing w:before="0" w:after="0"/>
        <w:ind w:left="0"/>
        <w:jc w:val="both"/>
        <w:rPr>
          <w:rFonts w:eastAsia="Times New Roman"/>
          <w:b/>
          <w:bCs/>
          <w:color w:val="800080"/>
          <w:sz w:val="18"/>
          <w:szCs w:val="18"/>
          <w:lang w:eastAsia="en-AU"/>
        </w:rPr>
      </w:pPr>
      <w:r w:rsidRPr="00361BA1">
        <w:rPr>
          <w:rFonts w:eastAsia="Times New Roman"/>
          <w:b/>
          <w:bCs/>
          <w:color w:val="800080"/>
          <w:sz w:val="18"/>
          <w:szCs w:val="18"/>
          <w:lang w:eastAsia="en-AU"/>
        </w:rPr>
        <w:t>Objectives of the Agency</w:t>
      </w:r>
    </w:p>
    <w:p w14:paraId="6CE445F9" w14:textId="77777777" w:rsidR="00361BA1" w:rsidRPr="00361BA1" w:rsidRDefault="00361BA1" w:rsidP="00361BA1">
      <w:pPr>
        <w:spacing w:before="0" w:after="0"/>
        <w:ind w:left="0"/>
        <w:jc w:val="both"/>
        <w:rPr>
          <w:rFonts w:eastAsia="Times New Roman"/>
          <w:sz w:val="18"/>
          <w:szCs w:val="18"/>
          <w:lang w:eastAsia="en-AU"/>
        </w:rPr>
      </w:pPr>
    </w:p>
    <w:p w14:paraId="0C5D4471" w14:textId="77777777" w:rsidR="00361BA1" w:rsidRPr="00361BA1" w:rsidRDefault="00361BA1" w:rsidP="00361BA1">
      <w:pPr>
        <w:spacing w:before="0" w:after="0"/>
        <w:ind w:left="0"/>
        <w:jc w:val="both"/>
        <w:rPr>
          <w:rFonts w:eastAsia="Times New Roman"/>
          <w:sz w:val="18"/>
          <w:szCs w:val="18"/>
          <w:highlight w:val="cyan"/>
          <w:lang w:eastAsia="en-AU"/>
        </w:rPr>
      </w:pPr>
      <w:r w:rsidRPr="00361BA1">
        <w:rPr>
          <w:rFonts w:eastAsia="Times New Roman"/>
          <w:sz w:val="18"/>
          <w:szCs w:val="18"/>
          <w:lang w:eastAsia="en-AU"/>
        </w:rPr>
        <w:t xml:space="preserve">The objective of the Agency is to operate under the Act, and in conjunction with other legislation, to give effect to Australia’s obligations under the Convention on the Rights of Persons with Disabilities. In doing so, the Agency supports the independence, social and economic participation of people with a disability.  </w:t>
      </w:r>
    </w:p>
    <w:p w14:paraId="71175493" w14:textId="77777777" w:rsidR="00361BA1" w:rsidRPr="00361BA1" w:rsidRDefault="00361BA1" w:rsidP="00361BA1">
      <w:pPr>
        <w:spacing w:before="0" w:after="0"/>
        <w:ind w:left="0"/>
        <w:jc w:val="both"/>
        <w:rPr>
          <w:rFonts w:eastAsia="Times New Roman"/>
          <w:sz w:val="18"/>
          <w:szCs w:val="18"/>
          <w:highlight w:val="cyan"/>
          <w:lang w:eastAsia="en-AU"/>
        </w:rPr>
      </w:pPr>
    </w:p>
    <w:p w14:paraId="27148E14"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Agency is structured to meet a single Government outcome (Outcome 1):</w:t>
      </w:r>
    </w:p>
    <w:p w14:paraId="5A9B66B6" w14:textId="77777777" w:rsidR="00361BA1" w:rsidRPr="00361BA1" w:rsidRDefault="00361BA1" w:rsidP="00361BA1">
      <w:pPr>
        <w:spacing w:before="0" w:after="0"/>
        <w:ind w:left="0"/>
        <w:jc w:val="both"/>
        <w:rPr>
          <w:rFonts w:eastAsia="Times New Roman"/>
          <w:sz w:val="18"/>
          <w:szCs w:val="18"/>
          <w:lang w:eastAsia="en-AU"/>
        </w:rPr>
      </w:pPr>
    </w:p>
    <w:p w14:paraId="16C03EF8" w14:textId="77777777" w:rsidR="00361BA1" w:rsidRPr="00361BA1" w:rsidRDefault="00361BA1" w:rsidP="00361BA1">
      <w:pPr>
        <w:spacing w:before="0" w:after="0"/>
        <w:ind w:left="0"/>
        <w:jc w:val="both"/>
        <w:rPr>
          <w:rFonts w:eastAsia="Times New Roman"/>
          <w:i/>
          <w:sz w:val="18"/>
          <w:szCs w:val="18"/>
          <w:lang w:eastAsia="en-AU"/>
        </w:rPr>
      </w:pPr>
      <w:r w:rsidRPr="00361BA1">
        <w:rPr>
          <w:rFonts w:eastAsia="Times New Roman"/>
          <w:i/>
          <w:sz w:val="18"/>
          <w:szCs w:val="18"/>
          <w:lang w:eastAsia="en-AU"/>
        </w:rPr>
        <w:t>To implement a National Disability Insurance Scheme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683C6451" w14:textId="77777777" w:rsidR="00361BA1" w:rsidRPr="00361BA1" w:rsidRDefault="00361BA1" w:rsidP="00361BA1">
      <w:pPr>
        <w:spacing w:before="0" w:after="0"/>
        <w:ind w:left="0"/>
        <w:jc w:val="both"/>
        <w:rPr>
          <w:rFonts w:eastAsia="Times New Roman"/>
          <w:sz w:val="18"/>
          <w:szCs w:val="18"/>
          <w:highlight w:val="cyan"/>
          <w:lang w:eastAsia="en-AU"/>
        </w:rPr>
      </w:pPr>
    </w:p>
    <w:p w14:paraId="6FE1686A"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Agency supports participants in the Scheme to exercise individual choice and control in respect to the delivery of reasonable and necessary supports. This allows people with disabilities, their families and carers to achieve improved outcomes in their lives. It also works to support the wider disability sector to promote better outcomes for people with a disability, in areas such as research and building community awareness.</w:t>
      </w:r>
    </w:p>
    <w:p w14:paraId="356FA76A" w14:textId="77777777" w:rsidR="00361BA1" w:rsidRPr="00361BA1" w:rsidRDefault="00361BA1" w:rsidP="00361BA1">
      <w:pPr>
        <w:spacing w:before="0" w:after="0"/>
        <w:ind w:left="0"/>
        <w:jc w:val="both"/>
        <w:rPr>
          <w:rFonts w:eastAsia="Times New Roman"/>
          <w:sz w:val="18"/>
          <w:szCs w:val="18"/>
          <w:lang w:eastAsia="en-AU"/>
        </w:rPr>
      </w:pPr>
    </w:p>
    <w:p w14:paraId="17765F8F"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Agency makes estimates of current and future expenditure as well as identifying and managing financial risks and issues relevant to the financial sustainability of the Scheme. This is achieved by adopting an insurance-based approach, informed by actuarial analysis, to the provision and funding of support for people with a disability. The Agency also regularly reports on the sustainability of the Scheme.</w:t>
      </w:r>
    </w:p>
    <w:p w14:paraId="333CA074" w14:textId="77777777" w:rsidR="00361BA1" w:rsidRPr="00361BA1" w:rsidRDefault="00361BA1" w:rsidP="00361BA1">
      <w:pPr>
        <w:spacing w:before="0" w:after="0"/>
        <w:ind w:left="0"/>
        <w:jc w:val="both"/>
        <w:rPr>
          <w:rFonts w:eastAsia="Times New Roman"/>
          <w:sz w:val="18"/>
          <w:szCs w:val="18"/>
          <w:lang w:eastAsia="en-AU"/>
        </w:rPr>
      </w:pPr>
    </w:p>
    <w:p w14:paraId="37E46220"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 States and territories have continued to provide funding as set out in the bilateral agreements between states and territories and the Commonwealth.</w:t>
      </w:r>
    </w:p>
    <w:p w14:paraId="4F953340" w14:textId="77777777" w:rsidR="00361BA1" w:rsidRPr="00361BA1" w:rsidRDefault="00361BA1" w:rsidP="00361BA1">
      <w:pPr>
        <w:spacing w:before="0" w:after="0"/>
        <w:ind w:left="0"/>
        <w:jc w:val="both"/>
        <w:rPr>
          <w:rFonts w:eastAsia="Times New Roman"/>
          <w:sz w:val="18"/>
          <w:szCs w:val="18"/>
          <w:lang w:eastAsia="en-AU"/>
        </w:rPr>
      </w:pPr>
    </w:p>
    <w:p w14:paraId="29DBFEFC"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Agency is not aware of any instances whereby the Australian Government will cease financial commitment with the 2019–20 Portfolio Additional Estimates Statements providing a clear Government commitment to fund the Scheme over the forward estimates period. In particular, the Commonwealth Treasurer as part of the July 2020 Economic and Fiscal Update noted that “payments relating to the National Disability Insurance Scheme, which are expected to increase by $2.3 billion over the two years to 2020</w:t>
      </w:r>
      <w:r w:rsidRPr="00361BA1">
        <w:rPr>
          <w:rFonts w:eastAsia="Times New Roman"/>
          <w:sz w:val="18"/>
          <w:szCs w:val="18"/>
          <w:lang w:eastAsia="en-AU"/>
        </w:rPr>
        <w:noBreakHyphen/>
        <w:t xml:space="preserve">21, largely reflecting higher than expected average participant costs”. </w:t>
      </w:r>
    </w:p>
    <w:p w14:paraId="77D1D020" w14:textId="77777777" w:rsidR="00361BA1" w:rsidRPr="00361BA1" w:rsidRDefault="00361BA1" w:rsidP="00361BA1">
      <w:pPr>
        <w:spacing w:before="0" w:after="0"/>
        <w:ind w:left="0"/>
        <w:jc w:val="both"/>
        <w:rPr>
          <w:rFonts w:eastAsia="Times New Roman"/>
          <w:sz w:val="18"/>
          <w:szCs w:val="18"/>
          <w:lang w:eastAsia="en-AU"/>
        </w:rPr>
      </w:pPr>
    </w:p>
    <w:p w14:paraId="472A5FE0" w14:textId="77777777" w:rsidR="00361BA1" w:rsidRPr="00361BA1" w:rsidRDefault="00361BA1" w:rsidP="00361BA1">
      <w:pPr>
        <w:spacing w:before="0" w:after="0"/>
        <w:ind w:left="0"/>
        <w:jc w:val="both"/>
        <w:rPr>
          <w:rFonts w:eastAsia="Times New Roman"/>
          <w:b/>
          <w:bCs/>
          <w:color w:val="800080"/>
          <w:sz w:val="18"/>
          <w:szCs w:val="18"/>
          <w:lang w:eastAsia="en-AU"/>
        </w:rPr>
      </w:pPr>
      <w:r w:rsidRPr="00361BA1">
        <w:rPr>
          <w:rFonts w:eastAsia="Times New Roman"/>
          <w:b/>
          <w:bCs/>
          <w:color w:val="800080"/>
          <w:sz w:val="18"/>
          <w:szCs w:val="18"/>
          <w:lang w:eastAsia="en-AU"/>
        </w:rPr>
        <w:t>The Basis of Preparation</w:t>
      </w:r>
    </w:p>
    <w:p w14:paraId="3FACDEC7" w14:textId="77777777" w:rsidR="00361BA1" w:rsidRPr="00361BA1" w:rsidRDefault="00361BA1" w:rsidP="00361BA1">
      <w:pPr>
        <w:spacing w:before="0" w:after="0"/>
        <w:ind w:left="0"/>
        <w:jc w:val="both"/>
        <w:rPr>
          <w:rFonts w:eastAsia="Times New Roman"/>
          <w:sz w:val="18"/>
          <w:szCs w:val="18"/>
          <w:lang w:eastAsia="en-AU"/>
        </w:rPr>
      </w:pPr>
    </w:p>
    <w:p w14:paraId="65EB604B" w14:textId="77777777" w:rsidR="00361BA1" w:rsidRPr="00361BA1" w:rsidRDefault="00361BA1" w:rsidP="00361BA1">
      <w:pPr>
        <w:spacing w:before="0" w:after="0"/>
        <w:ind w:left="0"/>
        <w:jc w:val="both"/>
        <w:rPr>
          <w:rFonts w:eastAsia="Times New Roman"/>
          <w:bCs/>
          <w:sz w:val="18"/>
          <w:szCs w:val="18"/>
          <w:lang w:eastAsia="en-AU"/>
        </w:rPr>
      </w:pPr>
      <w:r w:rsidRPr="00361BA1">
        <w:rPr>
          <w:rFonts w:eastAsia="Times New Roman"/>
          <w:bCs/>
          <w:sz w:val="18"/>
          <w:szCs w:val="18"/>
          <w:lang w:eastAsia="en-AU"/>
        </w:rPr>
        <w:t xml:space="preserve">The financial statements are general purpose financial statements as required by section 42 of the </w:t>
      </w:r>
      <w:r w:rsidRPr="00361BA1">
        <w:rPr>
          <w:rFonts w:eastAsia="Times New Roman"/>
          <w:bCs/>
          <w:i/>
          <w:sz w:val="18"/>
          <w:szCs w:val="18"/>
          <w:lang w:eastAsia="en-AU"/>
        </w:rPr>
        <w:t>Public Governance, Performance and Accountability Act 2013</w:t>
      </w:r>
      <w:r w:rsidRPr="00361BA1">
        <w:rPr>
          <w:rFonts w:eastAsia="Times New Roman"/>
          <w:bCs/>
          <w:sz w:val="18"/>
          <w:szCs w:val="18"/>
          <w:lang w:eastAsia="en-AU"/>
        </w:rPr>
        <w:t>.</w:t>
      </w:r>
    </w:p>
    <w:p w14:paraId="11D9FB95" w14:textId="77777777" w:rsidR="00361BA1" w:rsidRPr="00361BA1" w:rsidRDefault="00361BA1" w:rsidP="00361BA1">
      <w:pPr>
        <w:spacing w:before="0" w:after="0"/>
        <w:ind w:left="0"/>
        <w:jc w:val="both"/>
        <w:rPr>
          <w:rFonts w:eastAsia="Times New Roman"/>
          <w:sz w:val="18"/>
          <w:szCs w:val="18"/>
          <w:lang w:eastAsia="en-AU"/>
        </w:rPr>
      </w:pPr>
    </w:p>
    <w:p w14:paraId="729550E7"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financial statements have been prepared in accordance with:</w:t>
      </w:r>
    </w:p>
    <w:p w14:paraId="654D9C96" w14:textId="77777777" w:rsidR="00361BA1" w:rsidRPr="00361BA1" w:rsidRDefault="00361BA1" w:rsidP="00361BA1">
      <w:pPr>
        <w:numPr>
          <w:ilvl w:val="0"/>
          <w:numId w:val="50"/>
        </w:numPr>
        <w:spacing w:before="0" w:after="0" w:line="260" w:lineRule="atLeast"/>
        <w:contextualSpacing/>
        <w:jc w:val="both"/>
        <w:rPr>
          <w:rFonts w:eastAsia="Times New Roman"/>
          <w:sz w:val="18"/>
          <w:szCs w:val="18"/>
          <w:lang w:eastAsia="en-AU"/>
        </w:rPr>
      </w:pPr>
      <w:r w:rsidRPr="00361BA1">
        <w:rPr>
          <w:rFonts w:eastAsia="Times New Roman"/>
          <w:i/>
          <w:sz w:val="18"/>
          <w:szCs w:val="18"/>
          <w:lang w:eastAsia="en-AU"/>
        </w:rPr>
        <w:t>Public Governance, Performance and Accountability (Financial Reporting) Rule 2015</w:t>
      </w:r>
      <w:r w:rsidRPr="00361BA1">
        <w:rPr>
          <w:rFonts w:eastAsia="Times New Roman"/>
          <w:sz w:val="18"/>
          <w:szCs w:val="18"/>
          <w:lang w:eastAsia="en-AU"/>
        </w:rPr>
        <w:t xml:space="preserve"> (FRR); and  </w:t>
      </w:r>
    </w:p>
    <w:p w14:paraId="6D7D0B45" w14:textId="77777777" w:rsidR="00361BA1" w:rsidRPr="00361BA1" w:rsidRDefault="00361BA1" w:rsidP="00361BA1">
      <w:pPr>
        <w:numPr>
          <w:ilvl w:val="0"/>
          <w:numId w:val="50"/>
        </w:numPr>
        <w:spacing w:before="0" w:after="0" w:line="260" w:lineRule="atLeast"/>
        <w:contextualSpacing/>
        <w:jc w:val="both"/>
        <w:rPr>
          <w:rFonts w:eastAsia="Times New Roman"/>
          <w:sz w:val="18"/>
          <w:szCs w:val="18"/>
          <w:lang w:eastAsia="en-AU"/>
        </w:rPr>
      </w:pPr>
      <w:r w:rsidRPr="00361BA1">
        <w:rPr>
          <w:rFonts w:eastAsia="Times New Roman"/>
          <w:sz w:val="18"/>
          <w:szCs w:val="18"/>
          <w:lang w:eastAsia="en-AU"/>
        </w:rPr>
        <w:t>Australian Accounting Standards and Interpretations – Reduced Disclosure Requirements issued by the Australian Accounting Standards Board (AASB) that apply for the reporting period.</w:t>
      </w:r>
      <w:r w:rsidRPr="00361BA1">
        <w:rPr>
          <w:rFonts w:eastAsia="Times New Roman"/>
          <w:sz w:val="18"/>
          <w:szCs w:val="18"/>
          <w:lang w:eastAsia="en-AU"/>
        </w:rPr>
        <w:tab/>
      </w:r>
    </w:p>
    <w:p w14:paraId="71263BAB" w14:textId="77777777" w:rsidR="00361BA1" w:rsidRPr="00361BA1" w:rsidRDefault="00361BA1" w:rsidP="00361BA1">
      <w:pPr>
        <w:spacing w:before="0" w:after="0"/>
        <w:ind w:left="0"/>
        <w:jc w:val="both"/>
        <w:rPr>
          <w:rFonts w:eastAsia="Times New Roman"/>
          <w:sz w:val="18"/>
          <w:szCs w:val="18"/>
          <w:lang w:eastAsia="en-AU"/>
        </w:rPr>
      </w:pPr>
    </w:p>
    <w:p w14:paraId="62CBF4A6"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The financial statements have been prepared on an accrual basis and in accordance with the historical cost convention, except for certain assets and liabilities, which are measured at fair value. Except where stated, no allowance is made for the effect of changing prices on the results or the financial position. The financial statements are presented in Australian dollars and values are rounded to the nearest thousand dollars, unless otherwise specified.</w:t>
      </w:r>
    </w:p>
    <w:p w14:paraId="457562F0" w14:textId="77777777" w:rsidR="00361BA1" w:rsidRPr="00361BA1" w:rsidRDefault="00361BA1" w:rsidP="00361BA1">
      <w:pPr>
        <w:spacing w:before="0" w:after="0"/>
        <w:ind w:left="0"/>
        <w:jc w:val="both"/>
        <w:rPr>
          <w:rFonts w:eastAsia="Times New Roman"/>
          <w:sz w:val="18"/>
          <w:szCs w:val="18"/>
          <w:lang w:eastAsia="en-AU"/>
        </w:rPr>
      </w:pPr>
    </w:p>
    <w:p w14:paraId="43617AD6" w14:textId="77777777" w:rsidR="00361BA1" w:rsidRPr="00361BA1" w:rsidRDefault="00361BA1" w:rsidP="00361BA1">
      <w:pPr>
        <w:spacing w:before="0" w:after="0"/>
        <w:ind w:left="0"/>
        <w:jc w:val="both"/>
        <w:rPr>
          <w:rFonts w:eastAsia="Times New Roman"/>
          <w:b/>
          <w:bCs/>
          <w:color w:val="800080"/>
          <w:sz w:val="18"/>
          <w:szCs w:val="18"/>
          <w:lang w:eastAsia="en-AU"/>
        </w:rPr>
      </w:pPr>
      <w:r w:rsidRPr="00361BA1">
        <w:rPr>
          <w:rFonts w:eastAsia="Times New Roman"/>
          <w:b/>
          <w:bCs/>
          <w:color w:val="800080"/>
          <w:sz w:val="18"/>
          <w:szCs w:val="18"/>
          <w:lang w:eastAsia="en-AU"/>
        </w:rPr>
        <w:br w:type="page"/>
      </w:r>
    </w:p>
    <w:p w14:paraId="0DB241EE" w14:textId="77777777" w:rsidR="00361BA1" w:rsidRPr="00361BA1" w:rsidRDefault="00361BA1" w:rsidP="00361BA1">
      <w:pPr>
        <w:spacing w:before="0" w:after="0"/>
        <w:ind w:left="0"/>
        <w:jc w:val="both"/>
        <w:rPr>
          <w:rFonts w:eastAsia="Times New Roman"/>
          <w:b/>
          <w:bCs/>
          <w:color w:val="800080"/>
          <w:sz w:val="18"/>
          <w:szCs w:val="18"/>
          <w:lang w:eastAsia="en-AU"/>
        </w:rPr>
      </w:pPr>
      <w:r w:rsidRPr="00361BA1">
        <w:rPr>
          <w:rFonts w:eastAsia="Times New Roman"/>
          <w:b/>
          <w:bCs/>
          <w:color w:val="800080"/>
          <w:sz w:val="18"/>
          <w:szCs w:val="18"/>
          <w:lang w:eastAsia="en-AU"/>
        </w:rPr>
        <w:lastRenderedPageBreak/>
        <w:t>New Accounting Standards</w:t>
      </w:r>
    </w:p>
    <w:p w14:paraId="0A98074E" w14:textId="77777777" w:rsidR="00361BA1" w:rsidRPr="00361BA1" w:rsidRDefault="00361BA1" w:rsidP="00361BA1">
      <w:pPr>
        <w:spacing w:before="0" w:after="0" w:line="260" w:lineRule="atLeast"/>
        <w:ind w:left="0"/>
        <w:rPr>
          <w:rFonts w:eastAsia="Times New Roman"/>
          <w:sz w:val="18"/>
          <w:szCs w:val="18"/>
          <w:lang w:eastAsia="en-AU"/>
        </w:rPr>
      </w:pPr>
    </w:p>
    <w:p w14:paraId="055CE586" w14:textId="77777777" w:rsidR="00361BA1" w:rsidRPr="00361BA1" w:rsidRDefault="00361BA1" w:rsidP="00361BA1">
      <w:pPr>
        <w:autoSpaceDE w:val="0"/>
        <w:autoSpaceDN w:val="0"/>
        <w:adjustRightInd w:val="0"/>
        <w:spacing w:before="0" w:after="0"/>
        <w:ind w:left="0"/>
        <w:rPr>
          <w:rFonts w:eastAsia="Times New Roman"/>
          <w:sz w:val="18"/>
          <w:szCs w:val="18"/>
          <w:lang w:eastAsia="en-AU"/>
        </w:rPr>
      </w:pPr>
      <w:r w:rsidRPr="00361BA1">
        <w:rPr>
          <w:rFonts w:eastAsia="Times New Roman"/>
          <w:sz w:val="18"/>
          <w:szCs w:val="18"/>
          <w:lang w:eastAsia="en-AU"/>
        </w:rPr>
        <w:t xml:space="preserve">All new/revised/amending standards and/or interpretations that were issued prior to the sign-off date and are applicable to the current reporting period, other than AASB 16 </w:t>
      </w:r>
      <w:r w:rsidRPr="00361BA1">
        <w:rPr>
          <w:rFonts w:eastAsia="Times New Roman"/>
          <w:i/>
          <w:sz w:val="18"/>
          <w:szCs w:val="18"/>
          <w:lang w:eastAsia="en-AU"/>
        </w:rPr>
        <w:t>Leases</w:t>
      </w:r>
      <w:r w:rsidRPr="00361BA1">
        <w:rPr>
          <w:rFonts w:eastAsia="Times New Roman"/>
          <w:sz w:val="18"/>
          <w:szCs w:val="18"/>
          <w:lang w:eastAsia="en-AU"/>
        </w:rPr>
        <w:t xml:space="preserve">, did not have a material effect on the entity’s financial statements </w:t>
      </w:r>
    </w:p>
    <w:p w14:paraId="57DE0345" w14:textId="77777777" w:rsidR="00361BA1" w:rsidRPr="00361BA1" w:rsidRDefault="00361BA1" w:rsidP="00361BA1">
      <w:pPr>
        <w:spacing w:before="0" w:after="0" w:line="260" w:lineRule="atLeast"/>
        <w:ind w:left="0"/>
        <w:rPr>
          <w:rFonts w:eastAsia="Times New Roman"/>
          <w:sz w:val="18"/>
          <w:szCs w:val="18"/>
          <w:lang w:eastAsia="en-AU"/>
        </w:rPr>
      </w:pPr>
    </w:p>
    <w:tbl>
      <w:tblPr>
        <w:tblStyle w:val="TableGrid2"/>
        <w:tblW w:w="9067" w:type="dxa"/>
        <w:tblLook w:val="04A0" w:firstRow="1" w:lastRow="0" w:firstColumn="1" w:lastColumn="0" w:noHBand="0" w:noVBand="1"/>
        <w:tblDescription w:val="Nature of change in accounting policy, transitional provisions, and adjustment to financial statements"/>
      </w:tblPr>
      <w:tblGrid>
        <w:gridCol w:w="2689"/>
        <w:gridCol w:w="6378"/>
      </w:tblGrid>
      <w:tr w:rsidR="00361BA1" w:rsidRPr="00361BA1" w14:paraId="7160A4C1" w14:textId="77777777" w:rsidTr="00D97797">
        <w:trPr>
          <w:tblHeader/>
        </w:trPr>
        <w:tc>
          <w:tcPr>
            <w:tcW w:w="2689" w:type="dxa"/>
          </w:tcPr>
          <w:p w14:paraId="7B3053BE" w14:textId="77777777" w:rsidR="00361BA1" w:rsidRPr="00361BA1" w:rsidRDefault="00361BA1" w:rsidP="00361BA1">
            <w:pPr>
              <w:autoSpaceDE w:val="0"/>
              <w:autoSpaceDN w:val="0"/>
              <w:adjustRightInd w:val="0"/>
              <w:spacing w:before="0" w:after="0"/>
              <w:ind w:left="0"/>
              <w:rPr>
                <w:rFonts w:eastAsia="Times New Roman"/>
                <w:b/>
                <w:sz w:val="18"/>
                <w:szCs w:val="18"/>
                <w:lang w:eastAsia="en-US"/>
              </w:rPr>
            </w:pPr>
            <w:r w:rsidRPr="00361BA1">
              <w:rPr>
                <w:rFonts w:eastAsia="Times New Roman"/>
                <w:b/>
                <w:sz w:val="18"/>
                <w:szCs w:val="18"/>
                <w:lang w:eastAsia="en-AU"/>
              </w:rPr>
              <w:t xml:space="preserve">Standard/ Interpretation </w:t>
            </w:r>
          </w:p>
        </w:tc>
        <w:tc>
          <w:tcPr>
            <w:tcW w:w="6378" w:type="dxa"/>
          </w:tcPr>
          <w:p w14:paraId="08098C86" w14:textId="77777777" w:rsidR="00361BA1" w:rsidRPr="00361BA1" w:rsidRDefault="00361BA1" w:rsidP="00361BA1">
            <w:pPr>
              <w:autoSpaceDE w:val="0"/>
              <w:autoSpaceDN w:val="0"/>
              <w:adjustRightInd w:val="0"/>
              <w:spacing w:before="0" w:after="0"/>
              <w:ind w:left="0"/>
              <w:rPr>
                <w:rFonts w:eastAsia="Times New Roman"/>
                <w:b/>
                <w:sz w:val="18"/>
                <w:szCs w:val="18"/>
                <w:lang w:eastAsia="en-US"/>
              </w:rPr>
            </w:pPr>
            <w:r w:rsidRPr="00361BA1">
              <w:rPr>
                <w:rFonts w:eastAsia="Times New Roman"/>
                <w:b/>
                <w:sz w:val="18"/>
                <w:szCs w:val="18"/>
                <w:lang w:eastAsia="en-AU"/>
              </w:rPr>
              <w:t>Nature of change in accounting policy, transitional provisions, and adjustment to financial statements</w:t>
            </w:r>
          </w:p>
        </w:tc>
      </w:tr>
      <w:tr w:rsidR="00361BA1" w:rsidRPr="00361BA1" w14:paraId="515C05B1" w14:textId="77777777" w:rsidTr="00D97797">
        <w:trPr>
          <w:tblHeader/>
        </w:trPr>
        <w:tc>
          <w:tcPr>
            <w:tcW w:w="2689" w:type="dxa"/>
          </w:tcPr>
          <w:p w14:paraId="239D632C" w14:textId="77777777" w:rsidR="00361BA1" w:rsidRPr="00361BA1" w:rsidRDefault="00361BA1" w:rsidP="00361BA1">
            <w:pPr>
              <w:spacing w:before="0" w:after="0" w:line="260" w:lineRule="atLeast"/>
              <w:ind w:left="0"/>
              <w:rPr>
                <w:rFonts w:eastAsia="Times New Roman"/>
                <w:sz w:val="18"/>
                <w:szCs w:val="18"/>
                <w:lang w:eastAsia="en-AU"/>
              </w:rPr>
            </w:pPr>
            <w:r w:rsidRPr="00361BA1">
              <w:rPr>
                <w:rFonts w:eastAsia="Times New Roman"/>
                <w:sz w:val="18"/>
                <w:szCs w:val="18"/>
                <w:lang w:eastAsia="en-AU"/>
              </w:rPr>
              <w:t xml:space="preserve">AASB 16 </w:t>
            </w:r>
            <w:r w:rsidRPr="00361BA1">
              <w:rPr>
                <w:rFonts w:eastAsia="Times New Roman"/>
                <w:i/>
                <w:iCs/>
                <w:sz w:val="18"/>
                <w:szCs w:val="18"/>
                <w:lang w:eastAsia="en-AU"/>
              </w:rPr>
              <w:t>Leases</w:t>
            </w:r>
          </w:p>
        </w:tc>
        <w:tc>
          <w:tcPr>
            <w:tcW w:w="6378" w:type="dxa"/>
          </w:tcPr>
          <w:p w14:paraId="67F2478E" w14:textId="77777777" w:rsidR="00361BA1" w:rsidRPr="00361BA1" w:rsidRDefault="00361BA1" w:rsidP="00361BA1">
            <w:pPr>
              <w:autoSpaceDE w:val="0"/>
              <w:autoSpaceDN w:val="0"/>
              <w:adjustRightInd w:val="0"/>
              <w:spacing w:before="0" w:after="0"/>
              <w:ind w:left="0"/>
              <w:rPr>
                <w:rFonts w:eastAsia="Times New Roman"/>
                <w:i/>
                <w:sz w:val="18"/>
                <w:szCs w:val="18"/>
                <w:lang w:eastAsia="en-AU"/>
              </w:rPr>
            </w:pPr>
            <w:r w:rsidRPr="00361BA1">
              <w:rPr>
                <w:rFonts w:eastAsia="Times New Roman"/>
                <w:sz w:val="18"/>
                <w:szCs w:val="18"/>
                <w:lang w:eastAsia="en-AU"/>
              </w:rPr>
              <w:t xml:space="preserve">AASB 16 became effective on 1 July 2019. This new standard has replaced AASB 117 </w:t>
            </w:r>
            <w:r w:rsidRPr="00361BA1">
              <w:rPr>
                <w:rFonts w:eastAsia="Times New Roman"/>
                <w:i/>
                <w:sz w:val="18"/>
                <w:szCs w:val="18"/>
                <w:lang w:eastAsia="en-AU"/>
              </w:rPr>
              <w:t>Leases</w:t>
            </w:r>
            <w:r w:rsidRPr="00361BA1">
              <w:rPr>
                <w:rFonts w:eastAsia="Times New Roman"/>
                <w:sz w:val="18"/>
                <w:szCs w:val="18"/>
                <w:lang w:eastAsia="en-AU"/>
              </w:rPr>
              <w:t xml:space="preserve">, Interpretation 4 </w:t>
            </w:r>
            <w:r w:rsidRPr="00361BA1">
              <w:rPr>
                <w:rFonts w:eastAsia="Times New Roman"/>
                <w:i/>
                <w:sz w:val="18"/>
                <w:szCs w:val="18"/>
                <w:lang w:eastAsia="en-AU"/>
              </w:rPr>
              <w:t>Determining whether an Arrangement contains a Lease</w:t>
            </w:r>
            <w:r w:rsidRPr="00361BA1">
              <w:rPr>
                <w:rFonts w:eastAsia="Times New Roman"/>
                <w:sz w:val="18"/>
                <w:szCs w:val="18"/>
                <w:lang w:eastAsia="en-AU"/>
              </w:rPr>
              <w:t xml:space="preserve">, Interpretation 115 </w:t>
            </w:r>
            <w:r w:rsidRPr="00361BA1">
              <w:rPr>
                <w:rFonts w:eastAsia="Times New Roman"/>
                <w:i/>
                <w:sz w:val="18"/>
                <w:szCs w:val="18"/>
                <w:lang w:eastAsia="en-AU"/>
              </w:rPr>
              <w:t xml:space="preserve">Operating Leases—Incentives </w:t>
            </w:r>
            <w:r w:rsidRPr="00361BA1">
              <w:rPr>
                <w:rFonts w:eastAsia="Times New Roman"/>
                <w:sz w:val="18"/>
                <w:szCs w:val="18"/>
                <w:lang w:eastAsia="en-AU"/>
              </w:rPr>
              <w:t xml:space="preserve">and Interpretation 127 </w:t>
            </w:r>
            <w:r w:rsidRPr="00361BA1">
              <w:rPr>
                <w:rFonts w:eastAsia="Times New Roman"/>
                <w:i/>
                <w:sz w:val="18"/>
                <w:szCs w:val="18"/>
                <w:lang w:eastAsia="en-AU"/>
              </w:rPr>
              <w:t>Evaluating the Substance of Transactions Involving the Legal Form of a Lease.</w:t>
            </w:r>
          </w:p>
          <w:p w14:paraId="54AFF1BE" w14:textId="77777777" w:rsidR="00361BA1" w:rsidRPr="00361BA1" w:rsidRDefault="00361BA1" w:rsidP="00361BA1">
            <w:pPr>
              <w:autoSpaceDE w:val="0"/>
              <w:autoSpaceDN w:val="0"/>
              <w:adjustRightInd w:val="0"/>
              <w:spacing w:before="0" w:after="0"/>
              <w:ind w:left="0"/>
              <w:rPr>
                <w:rFonts w:eastAsia="Times New Roman"/>
                <w:i/>
                <w:sz w:val="18"/>
                <w:szCs w:val="18"/>
                <w:lang w:eastAsia="en-AU"/>
              </w:rPr>
            </w:pPr>
          </w:p>
          <w:p w14:paraId="7CD9FA15" w14:textId="77777777" w:rsidR="00361BA1" w:rsidRPr="00361BA1" w:rsidRDefault="00361BA1" w:rsidP="00361BA1">
            <w:pPr>
              <w:autoSpaceDE w:val="0"/>
              <w:autoSpaceDN w:val="0"/>
              <w:adjustRightInd w:val="0"/>
              <w:spacing w:before="0" w:after="0"/>
              <w:ind w:left="0"/>
              <w:rPr>
                <w:rFonts w:eastAsia="Times New Roman"/>
                <w:sz w:val="18"/>
                <w:szCs w:val="18"/>
                <w:lang w:eastAsia="en-AU"/>
              </w:rPr>
            </w:pPr>
            <w:r w:rsidRPr="00361BA1">
              <w:rPr>
                <w:rFonts w:eastAsia="Times New Roman"/>
                <w:sz w:val="18"/>
                <w:szCs w:val="18"/>
                <w:lang w:eastAsia="en-AU"/>
              </w:rPr>
              <w:t>AASB 16 provides a single lessee accounting model, requiring the recognition of assets and liabilities for all leases, together with options to exclude leases where the lease term is 12 months or less, or where the underlying asset is of low value. AASB 16 substantially carries forward the lessor accounting in AASB 117, with the distinction between operating leases and finance leases being retained. The details of the changes in accounting policies, transitional provisions and adjustments are disclosed below and in the relevant notes to the financial statements.</w:t>
            </w:r>
          </w:p>
        </w:tc>
      </w:tr>
    </w:tbl>
    <w:p w14:paraId="52534020" w14:textId="77777777" w:rsidR="00361BA1" w:rsidRPr="00361BA1" w:rsidRDefault="00361BA1" w:rsidP="00361BA1">
      <w:pPr>
        <w:spacing w:before="0" w:after="0" w:line="260" w:lineRule="atLeast"/>
        <w:ind w:left="0"/>
        <w:rPr>
          <w:rFonts w:eastAsia="Times New Roman"/>
          <w:sz w:val="18"/>
          <w:szCs w:val="18"/>
          <w:lang w:eastAsia="en-AU"/>
        </w:rPr>
      </w:pPr>
    </w:p>
    <w:p w14:paraId="5ECFE9E2" w14:textId="77777777" w:rsidR="00361BA1" w:rsidRPr="00361BA1" w:rsidRDefault="00361BA1" w:rsidP="00361BA1">
      <w:pPr>
        <w:autoSpaceDE w:val="0"/>
        <w:autoSpaceDN w:val="0"/>
        <w:adjustRightInd w:val="0"/>
        <w:spacing w:before="0" w:after="0"/>
        <w:ind w:left="0"/>
        <w:rPr>
          <w:rFonts w:eastAsia="Times New Roman"/>
          <w:i/>
          <w:iCs/>
          <w:sz w:val="18"/>
          <w:szCs w:val="18"/>
          <w:lang w:eastAsia="en-AU"/>
        </w:rPr>
      </w:pPr>
      <w:r w:rsidRPr="00361BA1">
        <w:rPr>
          <w:rFonts w:eastAsia="Times New Roman"/>
          <w:i/>
          <w:iCs/>
          <w:sz w:val="18"/>
          <w:szCs w:val="18"/>
          <w:lang w:eastAsia="en-AU"/>
        </w:rPr>
        <w:t>Application of AASB 16 Leases</w:t>
      </w:r>
    </w:p>
    <w:p w14:paraId="694C7045" w14:textId="77777777" w:rsidR="00361BA1" w:rsidRPr="00361BA1" w:rsidRDefault="00361BA1" w:rsidP="00361BA1">
      <w:pPr>
        <w:autoSpaceDE w:val="0"/>
        <w:autoSpaceDN w:val="0"/>
        <w:adjustRightInd w:val="0"/>
        <w:spacing w:before="0" w:after="0"/>
        <w:ind w:left="0"/>
        <w:rPr>
          <w:rFonts w:eastAsia="Times New Roman"/>
          <w:sz w:val="18"/>
          <w:szCs w:val="18"/>
          <w:lang w:eastAsia="en-AU"/>
        </w:rPr>
      </w:pPr>
      <w:r w:rsidRPr="00361BA1">
        <w:rPr>
          <w:rFonts w:eastAsia="Times New Roman"/>
          <w:sz w:val="18"/>
          <w:szCs w:val="18"/>
          <w:lang w:eastAsia="en-AU"/>
        </w:rPr>
        <w:t xml:space="preserve">The Agency adopted AASB 16 using the modified retrospective approach, under which the cumulative effect of initial application is recognised in retained earnings at 1 July 2019. Accordingly, the comparative information presented for 2019 is not restated, that is, it is presented as previously reported under AASB 117 and related interpretations. </w:t>
      </w:r>
    </w:p>
    <w:p w14:paraId="347BF9DC" w14:textId="77777777" w:rsidR="00361BA1" w:rsidRPr="00361BA1" w:rsidRDefault="00361BA1" w:rsidP="00361BA1">
      <w:pPr>
        <w:autoSpaceDE w:val="0"/>
        <w:autoSpaceDN w:val="0"/>
        <w:adjustRightInd w:val="0"/>
        <w:ind w:left="0"/>
        <w:rPr>
          <w:rFonts w:eastAsia="Times New Roman"/>
          <w:sz w:val="18"/>
          <w:szCs w:val="18"/>
          <w:lang w:eastAsia="en-AU"/>
        </w:rPr>
      </w:pPr>
      <w:r w:rsidRPr="00361BA1">
        <w:rPr>
          <w:rFonts w:eastAsia="Times New Roman"/>
          <w:sz w:val="18"/>
          <w:szCs w:val="18"/>
          <w:lang w:eastAsia="en-AU"/>
        </w:rPr>
        <w:t>The Agency elected to apply the practical expedient to not reassess whether a contract is, or contains a lease at the date of initial application. Contracts entered into before the transition date that were not identified as leases under AASB 117 were not reassessed. The definition of a lease under AASB 16 was applied only to contracts entered into or changed on or after 1 July 2019.</w:t>
      </w:r>
    </w:p>
    <w:p w14:paraId="132D2AE4" w14:textId="77777777" w:rsidR="00361BA1" w:rsidRPr="00361BA1" w:rsidRDefault="00361BA1" w:rsidP="00361BA1">
      <w:pPr>
        <w:autoSpaceDE w:val="0"/>
        <w:autoSpaceDN w:val="0"/>
        <w:adjustRightInd w:val="0"/>
        <w:spacing w:before="0" w:after="0"/>
        <w:ind w:left="0"/>
        <w:rPr>
          <w:rFonts w:eastAsia="Times New Roman"/>
          <w:sz w:val="18"/>
          <w:szCs w:val="18"/>
          <w:lang w:eastAsia="en-AU"/>
        </w:rPr>
      </w:pPr>
      <w:r w:rsidRPr="00361BA1">
        <w:rPr>
          <w:rFonts w:eastAsia="Times New Roman"/>
          <w:sz w:val="18"/>
          <w:szCs w:val="18"/>
          <w:lang w:eastAsia="en-AU"/>
        </w:rPr>
        <w:t>AASB 16 provides for certain optional practical expedients, including those related to the initial adoption of the standard. The Agency applied the following practical expedients when applying AASB 16 to leases previously classified as operating leases under AASB 117:</w:t>
      </w:r>
    </w:p>
    <w:p w14:paraId="46D3289F" w14:textId="77777777" w:rsidR="00361BA1" w:rsidRPr="00361BA1" w:rsidRDefault="00361BA1" w:rsidP="00361BA1">
      <w:pPr>
        <w:numPr>
          <w:ilvl w:val="1"/>
          <w:numId w:val="61"/>
        </w:numPr>
        <w:autoSpaceDE w:val="0"/>
        <w:autoSpaceDN w:val="0"/>
        <w:adjustRightInd w:val="0"/>
        <w:spacing w:before="0" w:after="200" w:line="260" w:lineRule="atLeast"/>
        <w:ind w:left="851" w:hanging="567"/>
        <w:contextualSpacing/>
        <w:rPr>
          <w:rFonts w:eastAsia="Calibri"/>
          <w:sz w:val="18"/>
          <w:szCs w:val="18"/>
          <w:lang w:eastAsia="en-US"/>
        </w:rPr>
      </w:pPr>
      <w:r w:rsidRPr="00361BA1">
        <w:rPr>
          <w:rFonts w:eastAsia="Calibri"/>
          <w:sz w:val="18"/>
          <w:szCs w:val="18"/>
          <w:lang w:eastAsia="en-AU"/>
        </w:rPr>
        <w:t xml:space="preserve">exclude initial direct costs from the measurement of right-of-use assets at the date of initial application for </w:t>
      </w:r>
      <w:r w:rsidRPr="00361BA1">
        <w:rPr>
          <w:rFonts w:eastAsia="Calibri"/>
          <w:sz w:val="18"/>
          <w:szCs w:val="18"/>
          <w:lang w:eastAsia="en-US"/>
        </w:rPr>
        <w:t>leases where the right-of-use asset was determined as if AASB 16 had been applied since the commencement date;</w:t>
      </w:r>
    </w:p>
    <w:p w14:paraId="2DCA33A7" w14:textId="77777777" w:rsidR="00361BA1" w:rsidRPr="00361BA1" w:rsidRDefault="00361BA1" w:rsidP="00361BA1">
      <w:pPr>
        <w:numPr>
          <w:ilvl w:val="1"/>
          <w:numId w:val="61"/>
        </w:numPr>
        <w:autoSpaceDE w:val="0"/>
        <w:autoSpaceDN w:val="0"/>
        <w:adjustRightInd w:val="0"/>
        <w:spacing w:before="0" w:after="200" w:line="260" w:lineRule="atLeast"/>
        <w:ind w:left="851" w:hanging="567"/>
        <w:contextualSpacing/>
        <w:rPr>
          <w:rFonts w:eastAsia="Calibri"/>
          <w:sz w:val="18"/>
          <w:szCs w:val="18"/>
          <w:lang w:eastAsia="en-US"/>
        </w:rPr>
      </w:pPr>
      <w:r w:rsidRPr="00361BA1">
        <w:rPr>
          <w:rFonts w:eastAsia="Calibri"/>
          <w:sz w:val="18"/>
          <w:szCs w:val="18"/>
          <w:lang w:eastAsia="en-AU"/>
        </w:rPr>
        <w:t xml:space="preserve">reliance on previous assessments on whether leases are onerous as opposed to preparing an impairment </w:t>
      </w:r>
      <w:r w:rsidRPr="00361BA1">
        <w:rPr>
          <w:rFonts w:eastAsia="Calibri"/>
          <w:sz w:val="18"/>
          <w:szCs w:val="18"/>
          <w:lang w:eastAsia="en-US"/>
        </w:rPr>
        <w:t>review under AASB 136 Impairment of assets as at the date of initial application; and</w:t>
      </w:r>
    </w:p>
    <w:p w14:paraId="412C69FB" w14:textId="77777777" w:rsidR="00361BA1" w:rsidRPr="00361BA1" w:rsidRDefault="00361BA1" w:rsidP="00361BA1">
      <w:pPr>
        <w:numPr>
          <w:ilvl w:val="1"/>
          <w:numId w:val="61"/>
        </w:numPr>
        <w:autoSpaceDE w:val="0"/>
        <w:autoSpaceDN w:val="0"/>
        <w:adjustRightInd w:val="0"/>
        <w:spacing w:before="0" w:after="200" w:line="260" w:lineRule="atLeast"/>
        <w:ind w:left="851" w:hanging="567"/>
        <w:contextualSpacing/>
        <w:rPr>
          <w:rFonts w:eastAsia="Calibri"/>
          <w:sz w:val="18"/>
          <w:szCs w:val="18"/>
          <w:lang w:eastAsia="en-US"/>
        </w:rPr>
      </w:pPr>
      <w:r w:rsidRPr="00361BA1">
        <w:rPr>
          <w:rFonts w:eastAsia="Calibri"/>
          <w:sz w:val="18"/>
          <w:szCs w:val="18"/>
          <w:lang w:eastAsia="en-AU"/>
        </w:rPr>
        <w:t xml:space="preserve">applied the exemption not to recognise right-of-use assets and liabilities for leases with less than 12 months of </w:t>
      </w:r>
      <w:r w:rsidRPr="00361BA1">
        <w:rPr>
          <w:rFonts w:eastAsia="Calibri"/>
          <w:sz w:val="18"/>
          <w:szCs w:val="18"/>
          <w:lang w:eastAsia="en-US"/>
        </w:rPr>
        <w:t>lease term remaining as of the date of initial application.</w:t>
      </w:r>
    </w:p>
    <w:p w14:paraId="5FEA93A1" w14:textId="77777777" w:rsidR="00361BA1" w:rsidRPr="00361BA1" w:rsidRDefault="00361BA1" w:rsidP="00361BA1">
      <w:pPr>
        <w:autoSpaceDE w:val="0"/>
        <w:autoSpaceDN w:val="0"/>
        <w:adjustRightInd w:val="0"/>
        <w:ind w:left="0"/>
        <w:rPr>
          <w:rFonts w:eastAsia="Times New Roman"/>
          <w:sz w:val="18"/>
          <w:szCs w:val="18"/>
          <w:lang w:eastAsia="en-AU"/>
        </w:rPr>
      </w:pPr>
      <w:r w:rsidRPr="00361BA1">
        <w:rPr>
          <w:rFonts w:eastAsia="Times New Roman"/>
          <w:sz w:val="18"/>
          <w:szCs w:val="18"/>
          <w:lang w:eastAsia="en-AU"/>
        </w:rPr>
        <w:t>As a lessee, the Agency previously classified leases as operating or finance leases based on its assessment of whether the lease transferred substantially all of the risks and rewards of ownership. Under AASB 16, the Agency recognises right-of-use assets and lease liabilities for most leases. However, the Agency has elected not to recognise right-of-use assets and lease liabilities for some leases of low value assets based on the value of the underlying asset for new or for short-term leases with a lease term of 12 months or less.</w:t>
      </w:r>
    </w:p>
    <w:p w14:paraId="452E7256" w14:textId="77777777" w:rsidR="00361BA1" w:rsidRPr="00361BA1" w:rsidRDefault="00361BA1" w:rsidP="00361BA1">
      <w:pPr>
        <w:autoSpaceDE w:val="0"/>
        <w:autoSpaceDN w:val="0"/>
        <w:adjustRightInd w:val="0"/>
        <w:ind w:left="0"/>
        <w:rPr>
          <w:rFonts w:eastAsia="Times New Roman"/>
          <w:sz w:val="18"/>
          <w:szCs w:val="18"/>
          <w:lang w:eastAsia="en-AU"/>
        </w:rPr>
      </w:pPr>
      <w:r w:rsidRPr="00361BA1">
        <w:rPr>
          <w:rFonts w:eastAsia="Times New Roman"/>
          <w:sz w:val="18"/>
          <w:szCs w:val="18"/>
          <w:lang w:eastAsia="en-AU"/>
        </w:rPr>
        <w:t>On adoption of AASB 16, the Agency recognised right-of-use assets and lease liabilities in relation to leases of office space and motor vehicles, which had previously been classified as operating leases.</w:t>
      </w:r>
    </w:p>
    <w:p w14:paraId="21E527D5" w14:textId="77777777" w:rsidR="00361BA1" w:rsidRPr="00361BA1" w:rsidRDefault="00361BA1" w:rsidP="00361BA1">
      <w:pPr>
        <w:autoSpaceDE w:val="0"/>
        <w:autoSpaceDN w:val="0"/>
        <w:adjustRightInd w:val="0"/>
        <w:ind w:left="0"/>
        <w:rPr>
          <w:rFonts w:eastAsia="Times New Roman"/>
          <w:sz w:val="18"/>
          <w:szCs w:val="18"/>
          <w:lang w:eastAsia="en-AU"/>
        </w:rPr>
      </w:pPr>
      <w:r w:rsidRPr="00361BA1">
        <w:rPr>
          <w:rFonts w:eastAsia="Times New Roman"/>
          <w:sz w:val="18"/>
          <w:szCs w:val="18"/>
          <w:lang w:eastAsia="en-AU"/>
        </w:rPr>
        <w:t>The lease liabilities were measured at the present value of the remaining lease payments, discounted using the Agency’s incremental borrowing rate as at 1 July 2019. The Agency’s incremental borrowing rate is the rate at which a similar borrowing could be obtained from an independent creditor under comparable terms and conditions. The weighted-average rate applied was 3.1 per cent.</w:t>
      </w:r>
    </w:p>
    <w:p w14:paraId="6F35E101" w14:textId="77777777" w:rsidR="00361BA1" w:rsidRPr="00361BA1" w:rsidRDefault="00361BA1" w:rsidP="00361BA1">
      <w:pPr>
        <w:autoSpaceDE w:val="0"/>
        <w:autoSpaceDN w:val="0"/>
        <w:adjustRightInd w:val="0"/>
        <w:ind w:left="0"/>
        <w:rPr>
          <w:rFonts w:eastAsia="Times New Roman"/>
          <w:sz w:val="18"/>
          <w:szCs w:val="20"/>
          <w:lang w:eastAsia="en-AU"/>
        </w:rPr>
      </w:pPr>
      <w:r w:rsidRPr="00361BA1">
        <w:rPr>
          <w:rFonts w:eastAsia="Times New Roman"/>
          <w:sz w:val="18"/>
          <w:szCs w:val="18"/>
          <w:lang w:eastAsia="en-AU"/>
        </w:rPr>
        <w:t>The right-of-use assets were measured as follows</w:t>
      </w:r>
      <w:r w:rsidRPr="00361BA1">
        <w:rPr>
          <w:rFonts w:eastAsia="Times New Roman"/>
          <w:sz w:val="18"/>
          <w:szCs w:val="20"/>
          <w:lang w:eastAsia="en-AU"/>
        </w:rPr>
        <w:t>:</w:t>
      </w:r>
    </w:p>
    <w:p w14:paraId="0105E046" w14:textId="77777777" w:rsidR="00361BA1" w:rsidRPr="00361BA1" w:rsidRDefault="00361BA1" w:rsidP="00361BA1">
      <w:pPr>
        <w:numPr>
          <w:ilvl w:val="0"/>
          <w:numId w:val="62"/>
        </w:numPr>
        <w:autoSpaceDE w:val="0"/>
        <w:autoSpaceDN w:val="0"/>
        <w:adjustRightInd w:val="0"/>
        <w:spacing w:before="0" w:after="200" w:line="260" w:lineRule="atLeast"/>
        <w:contextualSpacing/>
        <w:rPr>
          <w:rFonts w:eastAsia="Calibri"/>
          <w:lang w:eastAsia="en-US"/>
        </w:rPr>
      </w:pPr>
      <w:r w:rsidRPr="00361BA1">
        <w:rPr>
          <w:rFonts w:eastAsia="Calibri"/>
          <w:sz w:val="18"/>
          <w:lang w:eastAsia="en-AU"/>
        </w:rPr>
        <w:t xml:space="preserve">Office space: measured at an amount equal to the lease liability, adjusted by the amount of any prepaid or </w:t>
      </w:r>
      <w:r w:rsidRPr="00361BA1">
        <w:rPr>
          <w:rFonts w:eastAsia="Calibri"/>
          <w:sz w:val="18"/>
          <w:szCs w:val="20"/>
          <w:lang w:eastAsia="en-AU"/>
        </w:rPr>
        <w:t>accrued lease payments.</w:t>
      </w:r>
    </w:p>
    <w:p w14:paraId="268DF368" w14:textId="21BB07EF" w:rsidR="00361BA1" w:rsidRPr="00084A73" w:rsidRDefault="00361BA1" w:rsidP="00084A73">
      <w:pPr>
        <w:numPr>
          <w:ilvl w:val="0"/>
          <w:numId w:val="62"/>
        </w:numPr>
        <w:autoSpaceDE w:val="0"/>
        <w:autoSpaceDN w:val="0"/>
        <w:adjustRightInd w:val="0"/>
        <w:spacing w:before="0" w:after="200" w:line="260" w:lineRule="atLeast"/>
        <w:contextualSpacing/>
        <w:rPr>
          <w:rFonts w:eastAsia="Calibri"/>
          <w:lang w:eastAsia="en-US"/>
        </w:rPr>
      </w:pPr>
      <w:r w:rsidRPr="00361BA1">
        <w:rPr>
          <w:rFonts w:eastAsia="Calibri"/>
          <w:sz w:val="18"/>
          <w:lang w:eastAsia="en-AU"/>
        </w:rPr>
        <w:t>All other leases: the carrying value that would have resulted from AASB 16 being applied from the commencement date of the leases, subject to the practical expedients noted above.</w:t>
      </w:r>
      <w:r w:rsidRPr="00881CFE">
        <w:rPr>
          <w:rFonts w:eastAsia="Times New Roman"/>
          <w:sz w:val="18"/>
          <w:szCs w:val="18"/>
          <w:lang w:eastAsia="en-AU"/>
        </w:rPr>
        <w:br w:type="page"/>
      </w:r>
    </w:p>
    <w:tbl>
      <w:tblPr>
        <w:tblW w:w="9087" w:type="dxa"/>
        <w:tblLayout w:type="fixed"/>
        <w:tblCellMar>
          <w:left w:w="57" w:type="dxa"/>
          <w:right w:w="57" w:type="dxa"/>
        </w:tblCellMar>
        <w:tblLook w:val="04A0" w:firstRow="1" w:lastRow="0" w:firstColumn="1" w:lastColumn="0" w:noHBand="0" w:noVBand="1"/>
      </w:tblPr>
      <w:tblGrid>
        <w:gridCol w:w="7620"/>
        <w:gridCol w:w="1467"/>
      </w:tblGrid>
      <w:tr w:rsidR="00361BA1" w:rsidRPr="00361BA1" w14:paraId="1D9EBF01" w14:textId="77777777" w:rsidTr="00361BA1">
        <w:trPr>
          <w:trHeight w:val="255"/>
        </w:trPr>
        <w:tc>
          <w:tcPr>
            <w:tcW w:w="6836" w:type="dxa"/>
            <w:tcBorders>
              <w:top w:val="nil"/>
              <w:left w:val="nil"/>
              <w:bottom w:val="nil"/>
              <w:right w:val="nil"/>
            </w:tcBorders>
            <w:shd w:val="clear" w:color="FFFFFF" w:fill="FFFFFF"/>
            <w:noWrap/>
            <w:vAlign w:val="bottom"/>
            <w:hideMark/>
          </w:tcPr>
          <w:p w14:paraId="2EBFA1DE"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28" w:name="Note_NAATABLE1" w:colFirst="0" w:colLast="0"/>
            <w:r w:rsidRPr="00361BA1">
              <w:rPr>
                <w:rFonts w:eastAsia="Times New Roman"/>
                <w:b/>
                <w:bCs/>
                <w:sz w:val="18"/>
                <w:szCs w:val="18"/>
                <w:u w:val="single"/>
                <w:lang w:eastAsia="en-US"/>
              </w:rPr>
              <w:lastRenderedPageBreak/>
              <w:t>Impact on Transition of AASB 16</w:t>
            </w:r>
          </w:p>
        </w:tc>
        <w:tc>
          <w:tcPr>
            <w:tcW w:w="1316" w:type="dxa"/>
            <w:tcBorders>
              <w:top w:val="nil"/>
              <w:left w:val="nil"/>
              <w:bottom w:val="nil"/>
              <w:right w:val="nil"/>
            </w:tcBorders>
            <w:shd w:val="clear" w:color="FFFFFF" w:fill="FFFFFF"/>
            <w:noWrap/>
            <w:vAlign w:val="bottom"/>
            <w:hideMark/>
          </w:tcPr>
          <w:p w14:paraId="08B18743"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r>
      <w:bookmarkEnd w:id="28"/>
      <w:tr w:rsidR="00361BA1" w:rsidRPr="00361BA1" w14:paraId="17606546" w14:textId="77777777" w:rsidTr="00361BA1">
        <w:trPr>
          <w:trHeight w:val="698"/>
        </w:trPr>
        <w:tc>
          <w:tcPr>
            <w:tcW w:w="6836" w:type="dxa"/>
            <w:tcBorders>
              <w:top w:val="nil"/>
              <w:left w:val="nil"/>
              <w:bottom w:val="nil"/>
              <w:right w:val="nil"/>
            </w:tcBorders>
            <w:shd w:val="clear" w:color="FFFFFF" w:fill="FFFFFF"/>
            <w:vAlign w:val="bottom"/>
            <w:hideMark/>
          </w:tcPr>
          <w:p w14:paraId="6E123C8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On transition to AASB 16, the Agency recognised additional right-of-use assets and additional lease liabilities, recognising the difference in retained earnings. The impact on transition is summarised below:</w:t>
            </w:r>
          </w:p>
        </w:tc>
        <w:tc>
          <w:tcPr>
            <w:tcW w:w="1316" w:type="dxa"/>
            <w:tcBorders>
              <w:top w:val="nil"/>
              <w:left w:val="nil"/>
              <w:bottom w:val="nil"/>
              <w:right w:val="nil"/>
            </w:tcBorders>
            <w:shd w:val="clear" w:color="FFFFFF" w:fill="FFFFFF"/>
            <w:noWrap/>
            <w:vAlign w:val="bottom"/>
            <w:hideMark/>
          </w:tcPr>
          <w:p w14:paraId="4CA9564B"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r>
      <w:tr w:rsidR="00361BA1" w:rsidRPr="00361BA1" w14:paraId="7F0DC0D3" w14:textId="77777777" w:rsidTr="00361BA1">
        <w:trPr>
          <w:trHeight w:val="255"/>
        </w:trPr>
        <w:tc>
          <w:tcPr>
            <w:tcW w:w="6836" w:type="dxa"/>
            <w:tcBorders>
              <w:top w:val="nil"/>
              <w:left w:val="nil"/>
              <w:bottom w:val="nil"/>
              <w:right w:val="nil"/>
            </w:tcBorders>
            <w:shd w:val="clear" w:color="FFFFFF" w:fill="FFFFFF"/>
            <w:noWrap/>
            <w:vAlign w:val="bottom"/>
            <w:hideMark/>
          </w:tcPr>
          <w:p w14:paraId="6819E2B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Right-of-use assets - property, plant and equipment</w:t>
            </w:r>
          </w:p>
        </w:tc>
        <w:tc>
          <w:tcPr>
            <w:tcW w:w="1316" w:type="dxa"/>
            <w:tcBorders>
              <w:top w:val="nil"/>
              <w:left w:val="nil"/>
              <w:bottom w:val="nil"/>
              <w:right w:val="nil"/>
            </w:tcBorders>
            <w:shd w:val="clear" w:color="FFFFFF" w:fill="FFFFFF"/>
            <w:noWrap/>
            <w:vAlign w:val="bottom"/>
            <w:hideMark/>
          </w:tcPr>
          <w:p w14:paraId="441BF18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196,079</w:t>
            </w:r>
          </w:p>
        </w:tc>
      </w:tr>
      <w:tr w:rsidR="00361BA1" w:rsidRPr="00361BA1" w14:paraId="4F5038A0" w14:textId="77777777" w:rsidTr="00361BA1">
        <w:trPr>
          <w:trHeight w:val="255"/>
        </w:trPr>
        <w:tc>
          <w:tcPr>
            <w:tcW w:w="6836" w:type="dxa"/>
            <w:tcBorders>
              <w:top w:val="nil"/>
              <w:left w:val="nil"/>
              <w:bottom w:val="nil"/>
              <w:right w:val="nil"/>
            </w:tcBorders>
            <w:shd w:val="clear" w:color="FFFFFF" w:fill="FFFFFF"/>
            <w:noWrap/>
            <w:vAlign w:val="bottom"/>
            <w:hideMark/>
          </w:tcPr>
          <w:p w14:paraId="4DAB575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Lease liabilities</w:t>
            </w:r>
          </w:p>
        </w:tc>
        <w:tc>
          <w:tcPr>
            <w:tcW w:w="1316" w:type="dxa"/>
            <w:tcBorders>
              <w:top w:val="nil"/>
              <w:left w:val="nil"/>
              <w:bottom w:val="nil"/>
              <w:right w:val="nil"/>
            </w:tcBorders>
            <w:shd w:val="clear" w:color="FFFFFF" w:fill="FFFFFF"/>
            <w:noWrap/>
            <w:vAlign w:val="bottom"/>
            <w:hideMark/>
          </w:tcPr>
          <w:p w14:paraId="4143563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196,003</w:t>
            </w:r>
          </w:p>
        </w:tc>
      </w:tr>
      <w:tr w:rsidR="00361BA1" w:rsidRPr="00361BA1" w14:paraId="71344E79" w14:textId="77777777" w:rsidTr="00361BA1">
        <w:trPr>
          <w:trHeight w:val="255"/>
        </w:trPr>
        <w:tc>
          <w:tcPr>
            <w:tcW w:w="6836" w:type="dxa"/>
            <w:tcBorders>
              <w:top w:val="nil"/>
              <w:left w:val="nil"/>
              <w:bottom w:val="nil"/>
              <w:right w:val="nil"/>
            </w:tcBorders>
            <w:shd w:val="clear" w:color="FFFFFF" w:fill="FFFFFF"/>
            <w:noWrap/>
            <w:vAlign w:val="bottom"/>
            <w:hideMark/>
          </w:tcPr>
          <w:p w14:paraId="5399437E"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Retained earnings</w:t>
            </w:r>
          </w:p>
        </w:tc>
        <w:tc>
          <w:tcPr>
            <w:tcW w:w="1316" w:type="dxa"/>
            <w:tcBorders>
              <w:top w:val="nil"/>
              <w:left w:val="nil"/>
              <w:bottom w:val="nil"/>
              <w:right w:val="nil"/>
            </w:tcBorders>
            <w:shd w:val="clear" w:color="FFFFFF" w:fill="FFFFFF"/>
            <w:noWrap/>
            <w:vAlign w:val="bottom"/>
            <w:hideMark/>
          </w:tcPr>
          <w:p w14:paraId="39BF0BC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9,417</w:t>
            </w:r>
          </w:p>
        </w:tc>
      </w:tr>
      <w:tr w:rsidR="00361BA1" w:rsidRPr="00361BA1" w14:paraId="24C8DD1D" w14:textId="77777777" w:rsidTr="00361BA1">
        <w:trPr>
          <w:trHeight w:val="255"/>
        </w:trPr>
        <w:tc>
          <w:tcPr>
            <w:tcW w:w="6836" w:type="dxa"/>
            <w:tcBorders>
              <w:top w:val="nil"/>
              <w:left w:val="nil"/>
              <w:bottom w:val="nil"/>
              <w:right w:val="nil"/>
            </w:tcBorders>
            <w:shd w:val="clear" w:color="FFFFFF" w:fill="FFFFFF"/>
            <w:noWrap/>
            <w:vAlign w:val="bottom"/>
            <w:hideMark/>
          </w:tcPr>
          <w:p w14:paraId="7EB36F17"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c>
          <w:tcPr>
            <w:tcW w:w="1316" w:type="dxa"/>
            <w:tcBorders>
              <w:top w:val="nil"/>
              <w:left w:val="nil"/>
              <w:bottom w:val="nil"/>
              <w:right w:val="nil"/>
            </w:tcBorders>
            <w:shd w:val="clear" w:color="FFFFFF" w:fill="FFFFFF"/>
            <w:noWrap/>
            <w:vAlign w:val="bottom"/>
            <w:hideMark/>
          </w:tcPr>
          <w:p w14:paraId="44B9BE5D"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r>
      <w:tr w:rsidR="00361BA1" w:rsidRPr="00361BA1" w14:paraId="0AAB25D2" w14:textId="77777777" w:rsidTr="00361BA1">
        <w:trPr>
          <w:trHeight w:val="720"/>
        </w:trPr>
        <w:tc>
          <w:tcPr>
            <w:tcW w:w="8152" w:type="dxa"/>
            <w:gridSpan w:val="2"/>
            <w:tcBorders>
              <w:top w:val="nil"/>
              <w:left w:val="nil"/>
              <w:bottom w:val="nil"/>
              <w:right w:val="nil"/>
            </w:tcBorders>
            <w:shd w:val="clear" w:color="FFFFFF" w:fill="FFFFFF"/>
            <w:vAlign w:val="bottom"/>
            <w:hideMark/>
          </w:tcPr>
          <w:p w14:paraId="48D7678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The following table reconciles the minimum lease commitments disclosed in the Agency's 30 June 2019 annual financial statements to the amount of lease liabilities recognised on 1 July 2019:</w:t>
            </w:r>
          </w:p>
        </w:tc>
      </w:tr>
      <w:tr w:rsidR="00361BA1" w:rsidRPr="00361BA1" w14:paraId="0A64B74B" w14:textId="77777777" w:rsidTr="00361BA1">
        <w:trPr>
          <w:trHeight w:val="267"/>
        </w:trPr>
        <w:tc>
          <w:tcPr>
            <w:tcW w:w="6836" w:type="dxa"/>
            <w:tcBorders>
              <w:top w:val="nil"/>
              <w:left w:val="nil"/>
              <w:bottom w:val="nil"/>
              <w:right w:val="nil"/>
            </w:tcBorders>
            <w:shd w:val="clear" w:color="FFFFFF" w:fill="FFFFFF"/>
            <w:vAlign w:val="bottom"/>
            <w:hideMark/>
          </w:tcPr>
          <w:p w14:paraId="62D6AE3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316" w:type="dxa"/>
            <w:tcBorders>
              <w:top w:val="nil"/>
              <w:left w:val="nil"/>
              <w:bottom w:val="nil"/>
              <w:right w:val="nil"/>
            </w:tcBorders>
            <w:shd w:val="clear" w:color="FFFFFF" w:fill="FFFFFF"/>
            <w:vAlign w:val="bottom"/>
            <w:hideMark/>
          </w:tcPr>
          <w:p w14:paraId="60E69EB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2F75EBA9" w14:textId="77777777" w:rsidTr="00361BA1">
        <w:trPr>
          <w:trHeight w:val="255"/>
        </w:trPr>
        <w:tc>
          <w:tcPr>
            <w:tcW w:w="6836" w:type="dxa"/>
            <w:tcBorders>
              <w:top w:val="nil"/>
              <w:left w:val="nil"/>
              <w:bottom w:val="nil"/>
              <w:right w:val="nil"/>
            </w:tcBorders>
            <w:shd w:val="clear" w:color="FFFFFF" w:fill="FFFFFF"/>
            <w:noWrap/>
            <w:vAlign w:val="bottom"/>
            <w:hideMark/>
          </w:tcPr>
          <w:p w14:paraId="54D86AA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 </w:t>
            </w:r>
          </w:p>
        </w:tc>
        <w:tc>
          <w:tcPr>
            <w:tcW w:w="1316" w:type="dxa"/>
            <w:tcBorders>
              <w:top w:val="nil"/>
              <w:left w:val="nil"/>
              <w:bottom w:val="nil"/>
              <w:right w:val="nil"/>
            </w:tcBorders>
            <w:shd w:val="clear" w:color="FFFFFF" w:fill="FFFFFF"/>
            <w:noWrap/>
            <w:vAlign w:val="bottom"/>
            <w:hideMark/>
          </w:tcPr>
          <w:p w14:paraId="0D812BB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 July 2019</w:t>
            </w:r>
          </w:p>
        </w:tc>
      </w:tr>
      <w:tr w:rsidR="00361BA1" w:rsidRPr="00361BA1" w14:paraId="13F9E296" w14:textId="77777777" w:rsidTr="00361BA1">
        <w:trPr>
          <w:trHeight w:val="255"/>
        </w:trPr>
        <w:tc>
          <w:tcPr>
            <w:tcW w:w="6836" w:type="dxa"/>
            <w:tcBorders>
              <w:top w:val="nil"/>
              <w:left w:val="nil"/>
              <w:bottom w:val="nil"/>
              <w:right w:val="nil"/>
            </w:tcBorders>
            <w:shd w:val="clear" w:color="FFFFFF" w:fill="FFFFFF"/>
            <w:noWrap/>
            <w:vAlign w:val="bottom"/>
            <w:hideMark/>
          </w:tcPr>
          <w:p w14:paraId="59DE7B60"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Minimum operating lease commitment at 30 June 2019</w:t>
            </w:r>
          </w:p>
        </w:tc>
        <w:tc>
          <w:tcPr>
            <w:tcW w:w="1316" w:type="dxa"/>
            <w:tcBorders>
              <w:top w:val="nil"/>
              <w:left w:val="nil"/>
              <w:bottom w:val="nil"/>
              <w:right w:val="nil"/>
            </w:tcBorders>
            <w:shd w:val="clear" w:color="FFFFFF" w:fill="FFFFFF"/>
            <w:noWrap/>
            <w:vAlign w:val="bottom"/>
            <w:hideMark/>
          </w:tcPr>
          <w:p w14:paraId="472FE89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155,024</w:t>
            </w:r>
          </w:p>
        </w:tc>
      </w:tr>
      <w:tr w:rsidR="00361BA1" w:rsidRPr="00361BA1" w14:paraId="6A470AC0" w14:textId="77777777" w:rsidTr="00361BA1">
        <w:trPr>
          <w:trHeight w:val="255"/>
        </w:trPr>
        <w:tc>
          <w:tcPr>
            <w:tcW w:w="6836" w:type="dxa"/>
            <w:tcBorders>
              <w:top w:val="nil"/>
              <w:left w:val="nil"/>
              <w:bottom w:val="nil"/>
              <w:right w:val="nil"/>
            </w:tcBorders>
            <w:shd w:val="clear" w:color="FFFFFF" w:fill="FFFFFF"/>
            <w:noWrap/>
            <w:vAlign w:val="bottom"/>
            <w:hideMark/>
          </w:tcPr>
          <w:p w14:paraId="74765B2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Less: short-term leases not recognised under AASB 16</w:t>
            </w:r>
          </w:p>
        </w:tc>
        <w:tc>
          <w:tcPr>
            <w:tcW w:w="1316" w:type="dxa"/>
            <w:tcBorders>
              <w:top w:val="nil"/>
              <w:left w:val="nil"/>
              <w:bottom w:val="nil"/>
              <w:right w:val="nil"/>
            </w:tcBorders>
            <w:shd w:val="clear" w:color="FFFFFF" w:fill="FFFFFF"/>
            <w:noWrap/>
            <w:vAlign w:val="bottom"/>
            <w:hideMark/>
          </w:tcPr>
          <w:p w14:paraId="7B93A5A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(1,765)</w:t>
            </w:r>
          </w:p>
        </w:tc>
      </w:tr>
      <w:tr w:rsidR="00361BA1" w:rsidRPr="00361BA1" w14:paraId="4968A7F1" w14:textId="77777777" w:rsidTr="00361BA1">
        <w:trPr>
          <w:trHeight w:val="255"/>
        </w:trPr>
        <w:tc>
          <w:tcPr>
            <w:tcW w:w="6836" w:type="dxa"/>
            <w:tcBorders>
              <w:top w:val="nil"/>
              <w:left w:val="nil"/>
              <w:bottom w:val="nil"/>
              <w:right w:val="nil"/>
            </w:tcBorders>
            <w:shd w:val="clear" w:color="FFFFFF" w:fill="FFFFFF"/>
            <w:noWrap/>
            <w:vAlign w:val="bottom"/>
            <w:hideMark/>
          </w:tcPr>
          <w:p w14:paraId="4274572B"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Less: low value leases not recognised under AASB 16</w:t>
            </w:r>
          </w:p>
        </w:tc>
        <w:tc>
          <w:tcPr>
            <w:tcW w:w="1316" w:type="dxa"/>
            <w:tcBorders>
              <w:top w:val="nil"/>
              <w:left w:val="nil"/>
              <w:bottom w:val="nil"/>
              <w:right w:val="nil"/>
            </w:tcBorders>
            <w:shd w:val="clear" w:color="FFFFFF" w:fill="FFFFFF"/>
            <w:noWrap/>
            <w:vAlign w:val="bottom"/>
            <w:hideMark/>
          </w:tcPr>
          <w:p w14:paraId="0440EA4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w:t>
            </w:r>
          </w:p>
        </w:tc>
      </w:tr>
      <w:tr w:rsidR="00361BA1" w:rsidRPr="00361BA1" w14:paraId="21D4D6DB" w14:textId="77777777" w:rsidTr="00361BA1">
        <w:trPr>
          <w:trHeight w:val="255"/>
        </w:trPr>
        <w:tc>
          <w:tcPr>
            <w:tcW w:w="6836" w:type="dxa"/>
            <w:tcBorders>
              <w:top w:val="nil"/>
              <w:left w:val="nil"/>
              <w:bottom w:val="nil"/>
              <w:right w:val="nil"/>
            </w:tcBorders>
            <w:shd w:val="clear" w:color="FFFFFF" w:fill="FFFFFF"/>
            <w:noWrap/>
            <w:vAlign w:val="bottom"/>
            <w:hideMark/>
          </w:tcPr>
          <w:p w14:paraId="4EFFB5F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Plus: effect of extension options reasonably certain to be exercised</w:t>
            </w:r>
          </w:p>
        </w:tc>
        <w:tc>
          <w:tcPr>
            <w:tcW w:w="1316" w:type="dxa"/>
            <w:tcBorders>
              <w:top w:val="nil"/>
              <w:left w:val="nil"/>
              <w:bottom w:val="nil"/>
              <w:right w:val="nil"/>
            </w:tcBorders>
            <w:shd w:val="clear" w:color="FFFFFF" w:fill="FFFFFF"/>
            <w:noWrap/>
            <w:vAlign w:val="bottom"/>
            <w:hideMark/>
          </w:tcPr>
          <w:p w14:paraId="42F3E63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50,145</w:t>
            </w:r>
          </w:p>
        </w:tc>
      </w:tr>
      <w:tr w:rsidR="00361BA1" w:rsidRPr="00361BA1" w14:paraId="4F80F22A" w14:textId="77777777" w:rsidTr="00361BA1">
        <w:trPr>
          <w:trHeight w:val="255"/>
        </w:trPr>
        <w:tc>
          <w:tcPr>
            <w:tcW w:w="6836" w:type="dxa"/>
            <w:tcBorders>
              <w:top w:val="nil"/>
              <w:left w:val="nil"/>
              <w:bottom w:val="nil"/>
              <w:right w:val="nil"/>
            </w:tcBorders>
            <w:shd w:val="clear" w:color="FFFFFF" w:fill="FFFFFF"/>
            <w:vAlign w:val="bottom"/>
            <w:hideMark/>
          </w:tcPr>
          <w:p w14:paraId="7D434C7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Undiscounted lease payments</w:t>
            </w:r>
          </w:p>
        </w:tc>
        <w:tc>
          <w:tcPr>
            <w:tcW w:w="1316" w:type="dxa"/>
            <w:tcBorders>
              <w:top w:val="single" w:sz="4" w:space="0" w:color="auto"/>
              <w:left w:val="nil"/>
              <w:bottom w:val="single" w:sz="4" w:space="0" w:color="auto"/>
              <w:right w:val="nil"/>
            </w:tcBorders>
            <w:shd w:val="clear" w:color="FFFFFF" w:fill="FFFFFF"/>
            <w:noWrap/>
            <w:vAlign w:val="bottom"/>
            <w:hideMark/>
          </w:tcPr>
          <w:p w14:paraId="19D9B1A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203,400</w:t>
            </w:r>
          </w:p>
        </w:tc>
      </w:tr>
      <w:tr w:rsidR="00361BA1" w:rsidRPr="00361BA1" w14:paraId="354E8E8D" w14:textId="77777777" w:rsidTr="00361BA1">
        <w:trPr>
          <w:trHeight w:val="465"/>
        </w:trPr>
        <w:tc>
          <w:tcPr>
            <w:tcW w:w="6836" w:type="dxa"/>
            <w:tcBorders>
              <w:top w:val="nil"/>
              <w:left w:val="nil"/>
              <w:bottom w:val="nil"/>
              <w:right w:val="nil"/>
            </w:tcBorders>
            <w:shd w:val="clear" w:color="FFFFFF" w:fill="FFFFFF"/>
            <w:vAlign w:val="bottom"/>
            <w:hideMark/>
          </w:tcPr>
          <w:p w14:paraId="20D70C54"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Less: effect of discounting using the incremental borrowing rate as at the date of initial application</w:t>
            </w:r>
          </w:p>
        </w:tc>
        <w:tc>
          <w:tcPr>
            <w:tcW w:w="1316" w:type="dxa"/>
            <w:tcBorders>
              <w:top w:val="nil"/>
              <w:left w:val="nil"/>
              <w:bottom w:val="nil"/>
              <w:right w:val="nil"/>
            </w:tcBorders>
            <w:shd w:val="clear" w:color="FFFFFF" w:fill="FFFFFF"/>
            <w:noWrap/>
            <w:vAlign w:val="bottom"/>
            <w:hideMark/>
          </w:tcPr>
          <w:p w14:paraId="7500A88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(7,397)</w:t>
            </w:r>
          </w:p>
        </w:tc>
      </w:tr>
      <w:tr w:rsidR="00361BA1" w:rsidRPr="00361BA1" w14:paraId="58C19F9C" w14:textId="77777777" w:rsidTr="00361BA1">
        <w:trPr>
          <w:trHeight w:val="255"/>
        </w:trPr>
        <w:tc>
          <w:tcPr>
            <w:tcW w:w="6836" w:type="dxa"/>
            <w:tcBorders>
              <w:top w:val="nil"/>
              <w:left w:val="nil"/>
              <w:bottom w:val="nil"/>
              <w:right w:val="nil"/>
            </w:tcBorders>
            <w:shd w:val="clear" w:color="FFFFFF" w:fill="FFFFFF"/>
            <w:vAlign w:val="bottom"/>
            <w:hideMark/>
          </w:tcPr>
          <w:p w14:paraId="21BF779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Lease liabilities recognised at 1 July 2019</w:t>
            </w:r>
          </w:p>
        </w:tc>
        <w:tc>
          <w:tcPr>
            <w:tcW w:w="1316" w:type="dxa"/>
            <w:tcBorders>
              <w:top w:val="single" w:sz="4" w:space="0" w:color="auto"/>
              <w:left w:val="nil"/>
              <w:bottom w:val="single" w:sz="4" w:space="0" w:color="auto"/>
              <w:right w:val="nil"/>
            </w:tcBorders>
            <w:shd w:val="clear" w:color="FFFFFF" w:fill="FFFFFF"/>
            <w:noWrap/>
            <w:vAlign w:val="bottom"/>
            <w:hideMark/>
          </w:tcPr>
          <w:p w14:paraId="495B907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196,003</w:t>
            </w:r>
          </w:p>
        </w:tc>
      </w:tr>
    </w:tbl>
    <w:p w14:paraId="17150BFA" w14:textId="77777777" w:rsidR="00361BA1" w:rsidRPr="00361BA1" w:rsidRDefault="00361BA1" w:rsidP="00361BA1">
      <w:pPr>
        <w:spacing w:before="0" w:line="120" w:lineRule="atLeast"/>
        <w:ind w:left="0"/>
        <w:jc w:val="both"/>
        <w:rPr>
          <w:rFonts w:eastAsia="Times New Roman"/>
          <w:sz w:val="18"/>
          <w:szCs w:val="18"/>
          <w:lang w:eastAsia="en-AU"/>
        </w:rPr>
      </w:pPr>
    </w:p>
    <w:p w14:paraId="1D79234E" w14:textId="77777777" w:rsidR="00361BA1" w:rsidRPr="00361BA1" w:rsidRDefault="00361BA1" w:rsidP="00361BA1">
      <w:pPr>
        <w:spacing w:before="0" w:after="0"/>
        <w:ind w:left="0"/>
        <w:rPr>
          <w:rFonts w:eastAsia="Times New Roman"/>
          <w:b/>
          <w:bCs/>
          <w:color w:val="800080"/>
          <w:sz w:val="18"/>
          <w:szCs w:val="18"/>
          <w:lang w:eastAsia="en-AU"/>
        </w:rPr>
      </w:pPr>
      <w:r w:rsidRPr="00361BA1">
        <w:rPr>
          <w:rFonts w:eastAsia="Times New Roman"/>
          <w:b/>
          <w:bCs/>
          <w:color w:val="800080"/>
          <w:sz w:val="18"/>
          <w:szCs w:val="18"/>
          <w:lang w:eastAsia="en-AU"/>
        </w:rPr>
        <w:t>Taxation</w:t>
      </w:r>
    </w:p>
    <w:p w14:paraId="4B4C24A0" w14:textId="77777777" w:rsidR="00361BA1" w:rsidRPr="00361BA1" w:rsidRDefault="00361BA1" w:rsidP="00361BA1">
      <w:pPr>
        <w:keepNext/>
        <w:spacing w:before="0" w:after="0"/>
        <w:ind w:left="0"/>
        <w:jc w:val="both"/>
        <w:rPr>
          <w:rFonts w:eastAsia="Times New Roman"/>
          <w:sz w:val="18"/>
          <w:szCs w:val="18"/>
          <w:lang w:eastAsia="en-AU"/>
        </w:rPr>
      </w:pPr>
    </w:p>
    <w:p w14:paraId="4325FE4B" w14:textId="77777777" w:rsidR="00361BA1" w:rsidRPr="00361BA1" w:rsidRDefault="00361BA1" w:rsidP="00361BA1">
      <w:pPr>
        <w:keepNext/>
        <w:spacing w:before="0" w:after="0"/>
        <w:ind w:left="0"/>
        <w:jc w:val="both"/>
        <w:rPr>
          <w:rFonts w:eastAsia="Times New Roman"/>
          <w:sz w:val="18"/>
          <w:szCs w:val="18"/>
          <w:lang w:eastAsia="en-AU"/>
        </w:rPr>
      </w:pPr>
      <w:r w:rsidRPr="00361BA1">
        <w:rPr>
          <w:rFonts w:eastAsia="Times New Roman"/>
          <w:sz w:val="18"/>
          <w:szCs w:val="18"/>
          <w:lang w:eastAsia="en-AU"/>
        </w:rPr>
        <w:t>The Agency is exempt from all forms of taxation except Fringe Benefits Tax (FBT) and the Goods and Services Tax (GST).</w:t>
      </w:r>
    </w:p>
    <w:p w14:paraId="239959DE" w14:textId="77777777" w:rsidR="00361BA1" w:rsidRPr="00361BA1" w:rsidRDefault="00361BA1" w:rsidP="00361BA1">
      <w:pPr>
        <w:keepNext/>
        <w:spacing w:before="0" w:after="0"/>
        <w:ind w:left="0"/>
        <w:jc w:val="both"/>
        <w:rPr>
          <w:rFonts w:eastAsia="Times New Roman"/>
          <w:sz w:val="18"/>
          <w:szCs w:val="18"/>
          <w:lang w:eastAsia="en-AU"/>
        </w:rPr>
      </w:pPr>
    </w:p>
    <w:p w14:paraId="4D194C39" w14:textId="77777777" w:rsidR="00361BA1" w:rsidRPr="00361BA1" w:rsidRDefault="00361BA1" w:rsidP="00361BA1">
      <w:pPr>
        <w:spacing w:before="0" w:after="0"/>
        <w:ind w:left="0"/>
        <w:rPr>
          <w:rFonts w:eastAsia="Times New Roman"/>
          <w:b/>
          <w:bCs/>
          <w:color w:val="800080"/>
          <w:sz w:val="18"/>
          <w:szCs w:val="18"/>
          <w:lang w:eastAsia="en-AU"/>
        </w:rPr>
      </w:pPr>
      <w:r w:rsidRPr="00361BA1">
        <w:rPr>
          <w:rFonts w:eastAsia="Times New Roman"/>
          <w:b/>
          <w:bCs/>
          <w:color w:val="800080"/>
          <w:sz w:val="18"/>
          <w:szCs w:val="18"/>
          <w:lang w:eastAsia="en-AU"/>
        </w:rPr>
        <w:t>Events after the reporting period</w:t>
      </w:r>
    </w:p>
    <w:p w14:paraId="5E8E17D9" w14:textId="77777777" w:rsidR="00361BA1" w:rsidRPr="00361BA1" w:rsidRDefault="00361BA1" w:rsidP="00361BA1">
      <w:pPr>
        <w:spacing w:before="0" w:after="0"/>
        <w:ind w:left="0"/>
        <w:rPr>
          <w:rFonts w:eastAsia="Times New Roman"/>
          <w:b/>
          <w:bCs/>
          <w:color w:val="800080"/>
          <w:sz w:val="18"/>
          <w:szCs w:val="18"/>
          <w:lang w:eastAsia="en-AU"/>
        </w:rPr>
      </w:pPr>
    </w:p>
    <w:p w14:paraId="0C35C450" w14:textId="77777777" w:rsidR="00361BA1" w:rsidRPr="00361BA1" w:rsidRDefault="00361BA1" w:rsidP="00361BA1">
      <w:pPr>
        <w:keepNext/>
        <w:spacing w:before="0" w:after="0"/>
        <w:ind w:left="0"/>
        <w:jc w:val="both"/>
        <w:rPr>
          <w:rFonts w:eastAsia="Times New Roman"/>
          <w:sz w:val="18"/>
          <w:szCs w:val="18"/>
          <w:lang w:eastAsia="en-AU"/>
        </w:rPr>
      </w:pPr>
      <w:r w:rsidRPr="00361BA1">
        <w:rPr>
          <w:rFonts w:eastAsia="Times New Roman"/>
          <w:sz w:val="18"/>
          <w:szCs w:val="18"/>
          <w:lang w:eastAsia="en-AU"/>
        </w:rPr>
        <w:t>There are no known events occurring after the reporting period that could have a material impact on the financial statements.</w:t>
      </w:r>
    </w:p>
    <w:p w14:paraId="05B8FACC" w14:textId="77777777" w:rsidR="00361BA1" w:rsidRPr="00361BA1" w:rsidRDefault="00361BA1" w:rsidP="00361BA1">
      <w:pPr>
        <w:spacing w:before="0" w:after="0"/>
        <w:ind w:left="0"/>
        <w:rPr>
          <w:rFonts w:ascii="Times New Roman" w:eastAsia="Times New Roman" w:hAnsi="Times New Roman" w:cs="Times New Roman"/>
          <w:szCs w:val="20"/>
          <w:lang w:eastAsia="en-US"/>
        </w:rPr>
        <w:sectPr w:rsidR="00361BA1" w:rsidRPr="00361BA1" w:rsidSect="00361BA1">
          <w:headerReference w:type="default" r:id="rId52"/>
          <w:pgSz w:w="11906" w:h="16838" w:code="9"/>
          <w:pgMar w:top="1134" w:right="1700" w:bottom="1134" w:left="1134" w:header="958" w:footer="737" w:gutter="0"/>
          <w:cols w:space="708"/>
          <w:docGrid w:linePitch="360"/>
        </w:sectPr>
      </w:pPr>
      <w:bookmarkStart w:id="29" w:name="_Toc444065770"/>
      <w:bookmarkStart w:id="30" w:name="_Toc444077332"/>
      <w:r w:rsidRPr="00361BA1">
        <w:rPr>
          <w:rFonts w:ascii="Times New Roman" w:eastAsia="Times New Roman" w:hAnsi="Times New Roman" w:cs="Times New Roman"/>
          <w:szCs w:val="20"/>
          <w:lang w:eastAsia="en-US"/>
        </w:rPr>
        <w:t xml:space="preserve"> </w:t>
      </w:r>
    </w:p>
    <w:p w14:paraId="247A0D66" w14:textId="4CDA006E" w:rsidR="00361BA1" w:rsidRPr="00361BA1" w:rsidRDefault="00361BA1" w:rsidP="00361BA1">
      <w:pPr>
        <w:shd w:val="clear" w:color="00CC99" w:fill="800080"/>
        <w:spacing w:before="0" w:after="0" w:line="260" w:lineRule="atLeast"/>
        <w:ind w:left="360" w:hanging="360"/>
        <w:outlineLvl w:val="0"/>
        <w:rPr>
          <w:rFonts w:ascii="Arial Bold" w:eastAsia="Times New Roman" w:hAnsi="Arial Bold" w:cs="Times New Roman"/>
          <w:b/>
          <w:color w:val="FFFFFF"/>
          <w:sz w:val="24"/>
          <w:szCs w:val="20"/>
          <w:lang w:eastAsia="en-US"/>
        </w:rPr>
      </w:pPr>
      <w:bookmarkStart w:id="31" w:name="_Toc447030535"/>
      <w:bookmarkStart w:id="32" w:name="_Toc447030687"/>
      <w:bookmarkStart w:id="33" w:name="_Toc447030780"/>
      <w:bookmarkStart w:id="34" w:name="_Toc41479159"/>
      <w:r w:rsidRPr="00361BA1">
        <w:rPr>
          <w:rFonts w:ascii="Arial Bold" w:eastAsia="Times New Roman" w:hAnsi="Arial Bold" w:cs="Times New Roman"/>
          <w:b/>
          <w:color w:val="FFFFFF"/>
          <w:sz w:val="24"/>
          <w:szCs w:val="20"/>
          <w:lang w:eastAsia="en-US"/>
        </w:rPr>
        <w:lastRenderedPageBreak/>
        <w:t>Financial Performance</w:t>
      </w:r>
      <w:bookmarkEnd w:id="29"/>
      <w:bookmarkEnd w:id="30"/>
      <w:bookmarkEnd w:id="31"/>
      <w:bookmarkEnd w:id="32"/>
      <w:bookmarkEnd w:id="33"/>
      <w:bookmarkEnd w:id="34"/>
    </w:p>
    <w:p w14:paraId="7960B8C0" w14:textId="77777777" w:rsidR="00361BA1" w:rsidRPr="00361BA1" w:rsidRDefault="00361BA1" w:rsidP="00361BA1">
      <w:pPr>
        <w:numPr>
          <w:ilvl w:val="0"/>
          <w:numId w:val="52"/>
        </w:numPr>
        <w:shd w:val="clear" w:color="00CC99" w:fill="800080"/>
        <w:spacing w:before="0" w:after="0" w:line="260" w:lineRule="atLeast"/>
        <w:ind w:left="0" w:firstLine="0"/>
        <w:rPr>
          <w:rFonts w:eastAsia="Times New Roman" w:cs="Times New Roman"/>
          <w:color w:val="FFFFFF"/>
          <w:sz w:val="18"/>
          <w:szCs w:val="18"/>
          <w:lang w:eastAsia="en-US"/>
        </w:rPr>
      </w:pPr>
      <w:bookmarkStart w:id="35" w:name="_Toc444065771"/>
      <w:r w:rsidRPr="00361BA1">
        <w:rPr>
          <w:rFonts w:eastAsia="Times New Roman" w:cs="Times New Roman"/>
          <w:color w:val="FFFFFF"/>
          <w:sz w:val="18"/>
          <w:szCs w:val="18"/>
          <w:lang w:eastAsia="en-US"/>
        </w:rPr>
        <w:t xml:space="preserve">This section analyses the financial performance of the Agency for the year ended </w:t>
      </w:r>
      <w:r w:rsidRPr="00361BA1">
        <w:rPr>
          <w:rFonts w:eastAsia="Times New Roman" w:cs="Times New Roman"/>
          <w:color w:val="FFFFFF"/>
          <w:sz w:val="18"/>
          <w:szCs w:val="18"/>
          <w:lang w:eastAsia="en-US"/>
        </w:rPr>
        <w:fldChar w:fldCharType="begin"/>
      </w:r>
      <w:r w:rsidRPr="00361BA1">
        <w:rPr>
          <w:rFonts w:eastAsia="Times New Roman" w:cs="Times New Roman"/>
          <w:color w:val="FFFFFF"/>
          <w:sz w:val="18"/>
          <w:szCs w:val="18"/>
          <w:lang w:eastAsia="en-US"/>
        </w:rPr>
        <w:instrText xml:space="preserve"> DOCPROPERTY  pEnd  \* MERGEFORMAT </w:instrText>
      </w:r>
      <w:r w:rsidRPr="00361BA1">
        <w:rPr>
          <w:rFonts w:eastAsia="Times New Roman" w:cs="Times New Roman"/>
          <w:color w:val="FFFFFF"/>
          <w:sz w:val="18"/>
          <w:szCs w:val="18"/>
          <w:lang w:eastAsia="en-US"/>
        </w:rPr>
        <w:fldChar w:fldCharType="separate"/>
      </w:r>
      <w:r w:rsidRPr="00361BA1">
        <w:rPr>
          <w:rFonts w:eastAsia="Times New Roman" w:cs="Times New Roman"/>
          <w:color w:val="FFFFFF"/>
          <w:sz w:val="18"/>
          <w:szCs w:val="18"/>
          <w:lang w:eastAsia="en-US"/>
        </w:rPr>
        <w:t>30 June</w:t>
      </w:r>
      <w:r w:rsidRPr="00361BA1">
        <w:rPr>
          <w:rFonts w:eastAsia="Times New Roman" w:cs="Times New Roman"/>
          <w:color w:val="FFFFFF"/>
          <w:sz w:val="18"/>
          <w:szCs w:val="18"/>
          <w:lang w:eastAsia="en-US"/>
        </w:rPr>
        <w:fldChar w:fldCharType="end"/>
      </w:r>
      <w:r w:rsidRPr="00361BA1">
        <w:rPr>
          <w:rFonts w:eastAsia="Times New Roman" w:cs="Times New Roman"/>
          <w:color w:val="FFFFFF"/>
          <w:sz w:val="18"/>
          <w:szCs w:val="18"/>
          <w:lang w:eastAsia="en-US"/>
        </w:rPr>
        <w:t xml:space="preserve"> </w:t>
      </w:r>
      <w:r w:rsidRPr="00361BA1">
        <w:rPr>
          <w:rFonts w:eastAsia="Times New Roman" w:cs="Times New Roman"/>
          <w:color w:val="FFFFFF"/>
          <w:sz w:val="18"/>
          <w:szCs w:val="18"/>
          <w:lang w:eastAsia="en-US"/>
        </w:rPr>
        <w:fldChar w:fldCharType="begin"/>
      </w:r>
      <w:r w:rsidRPr="00361BA1">
        <w:rPr>
          <w:rFonts w:eastAsia="Times New Roman" w:cs="Times New Roman"/>
          <w:color w:val="FFFFFF"/>
          <w:sz w:val="18"/>
          <w:szCs w:val="18"/>
          <w:lang w:eastAsia="en-US"/>
        </w:rPr>
        <w:instrText xml:space="preserve"> DOCPROPERTY  crYear  \* MERGEFORMAT </w:instrText>
      </w:r>
      <w:r w:rsidRPr="00361BA1">
        <w:rPr>
          <w:rFonts w:eastAsia="Times New Roman" w:cs="Times New Roman"/>
          <w:color w:val="FFFFFF"/>
          <w:sz w:val="18"/>
          <w:szCs w:val="18"/>
          <w:lang w:eastAsia="en-US"/>
        </w:rPr>
        <w:fldChar w:fldCharType="separate"/>
      </w:r>
      <w:r w:rsidRPr="00361BA1">
        <w:rPr>
          <w:rFonts w:eastAsia="Times New Roman" w:cs="Times New Roman"/>
          <w:color w:val="FFFFFF"/>
          <w:sz w:val="18"/>
          <w:szCs w:val="18"/>
          <w:lang w:eastAsia="en-US"/>
        </w:rPr>
        <w:t>2020</w:t>
      </w:r>
      <w:r w:rsidRPr="00361BA1">
        <w:rPr>
          <w:rFonts w:eastAsia="Times New Roman" w:cs="Times New Roman"/>
          <w:color w:val="FFFFFF"/>
          <w:sz w:val="18"/>
          <w:szCs w:val="18"/>
          <w:lang w:eastAsia="en-US"/>
        </w:rPr>
        <w:fldChar w:fldCharType="end"/>
      </w:r>
      <w:r w:rsidRPr="00361BA1">
        <w:rPr>
          <w:rFonts w:eastAsia="Times New Roman" w:cs="Times New Roman"/>
          <w:color w:val="FFFFFF"/>
          <w:sz w:val="18"/>
          <w:szCs w:val="18"/>
          <w:lang w:eastAsia="en-US"/>
        </w:rPr>
        <w:t>.</w:t>
      </w:r>
      <w:bookmarkStart w:id="36" w:name="_Toc443469523"/>
      <w:bookmarkStart w:id="37" w:name="_Toc444065772"/>
      <w:bookmarkStart w:id="38" w:name="_Toc444077333"/>
      <w:bookmarkEnd w:id="35"/>
    </w:p>
    <w:p w14:paraId="0E9C8E85" w14:textId="1CBB9880" w:rsidR="00361BA1" w:rsidRPr="00361BA1" w:rsidRDefault="00881CFE" w:rsidP="00361BA1">
      <w:pPr>
        <w:numPr>
          <w:ilvl w:val="1"/>
          <w:numId w:val="0"/>
        </w:numPr>
        <w:shd w:val="clear" w:color="auto" w:fill="000000"/>
        <w:spacing w:before="0" w:after="0" w:line="260" w:lineRule="atLeast"/>
        <w:ind w:left="426" w:hanging="426"/>
        <w:outlineLvl w:val="1"/>
        <w:rPr>
          <w:rFonts w:eastAsia="Times New Roman"/>
          <w:b/>
          <w:color w:val="FFFFFF"/>
          <w:sz w:val="20"/>
          <w:szCs w:val="20"/>
          <w:lang w:eastAsia="en-US"/>
        </w:rPr>
      </w:pPr>
      <w:bookmarkStart w:id="39" w:name="_Toc447030536"/>
      <w:bookmarkStart w:id="40" w:name="_Toc447030688"/>
      <w:bookmarkStart w:id="41" w:name="_Toc447030781"/>
      <w:bookmarkStart w:id="42" w:name="_Toc41479160"/>
      <w:r>
        <w:rPr>
          <w:rFonts w:eastAsia="Times New Roman"/>
          <w:b/>
          <w:color w:val="FFFFFF"/>
          <w:sz w:val="20"/>
          <w:szCs w:val="20"/>
          <w:lang w:eastAsia="en-US"/>
        </w:rPr>
        <w:t xml:space="preserve">1.1. </w:t>
      </w:r>
      <w:r w:rsidR="00361BA1" w:rsidRPr="00361BA1">
        <w:rPr>
          <w:rFonts w:eastAsia="Times New Roman"/>
          <w:b/>
          <w:color w:val="FFFFFF"/>
          <w:sz w:val="20"/>
          <w:szCs w:val="20"/>
          <w:lang w:eastAsia="en-US"/>
        </w:rPr>
        <w:t>Expenses</w:t>
      </w:r>
      <w:bookmarkEnd w:id="36"/>
      <w:bookmarkEnd w:id="37"/>
      <w:bookmarkEnd w:id="38"/>
      <w:bookmarkEnd w:id="39"/>
      <w:bookmarkEnd w:id="40"/>
      <w:bookmarkEnd w:id="41"/>
      <w:bookmarkEnd w:id="42"/>
    </w:p>
    <w:tbl>
      <w:tblPr>
        <w:tblW w:w="9087" w:type="dxa"/>
        <w:tblLayout w:type="fixed"/>
        <w:tblLook w:val="04A0" w:firstRow="1" w:lastRow="0" w:firstColumn="1" w:lastColumn="0" w:noHBand="0" w:noVBand="1"/>
      </w:tblPr>
      <w:tblGrid>
        <w:gridCol w:w="6395"/>
        <w:gridCol w:w="1251"/>
        <w:gridCol w:w="236"/>
        <w:gridCol w:w="1205"/>
      </w:tblGrid>
      <w:tr w:rsidR="00361BA1" w:rsidRPr="00361BA1" w14:paraId="7C886089" w14:textId="77777777" w:rsidTr="00361BA1">
        <w:trPr>
          <w:trHeight w:val="240"/>
        </w:trPr>
        <w:tc>
          <w:tcPr>
            <w:tcW w:w="6395" w:type="dxa"/>
            <w:tcBorders>
              <w:top w:val="nil"/>
              <w:left w:val="nil"/>
              <w:bottom w:val="nil"/>
              <w:right w:val="nil"/>
            </w:tcBorders>
            <w:shd w:val="clear" w:color="FFFFFF" w:fill="FFFFFF"/>
            <w:noWrap/>
            <w:vAlign w:val="bottom"/>
            <w:hideMark/>
          </w:tcPr>
          <w:p w14:paraId="27144608" w14:textId="77777777" w:rsidR="00361BA1" w:rsidRPr="00361BA1" w:rsidRDefault="00361BA1" w:rsidP="00361BA1">
            <w:pPr>
              <w:spacing w:before="0" w:after="0" w:line="260" w:lineRule="atLeast"/>
              <w:ind w:left="0"/>
              <w:rPr>
                <w:rFonts w:eastAsia="Times New Roman"/>
                <w:sz w:val="18"/>
                <w:szCs w:val="18"/>
                <w:lang w:eastAsia="en-US"/>
              </w:rPr>
            </w:pPr>
            <w:bookmarkStart w:id="43" w:name="Note_EEXTABLE1" w:colFirst="0" w:colLast="0"/>
            <w:r w:rsidRPr="00361BA1">
              <w:rPr>
                <w:rFonts w:eastAsia="Times New Roman"/>
                <w:sz w:val="18"/>
                <w:szCs w:val="18"/>
                <w:lang w:eastAsia="en-US"/>
              </w:rPr>
              <w:t> </w:t>
            </w:r>
          </w:p>
        </w:tc>
        <w:tc>
          <w:tcPr>
            <w:tcW w:w="1251" w:type="dxa"/>
            <w:tcBorders>
              <w:top w:val="nil"/>
              <w:left w:val="nil"/>
              <w:bottom w:val="nil"/>
              <w:right w:val="nil"/>
            </w:tcBorders>
            <w:shd w:val="clear" w:color="FFFFFF" w:fill="FFFFFF"/>
            <w:vAlign w:val="bottom"/>
            <w:hideMark/>
          </w:tcPr>
          <w:p w14:paraId="4FCF5FD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619CD1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vAlign w:val="bottom"/>
            <w:hideMark/>
          </w:tcPr>
          <w:p w14:paraId="581D711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43"/>
      <w:tr w:rsidR="00361BA1" w:rsidRPr="00361BA1" w14:paraId="5238DD20" w14:textId="77777777" w:rsidTr="00361BA1">
        <w:trPr>
          <w:trHeight w:val="240"/>
        </w:trPr>
        <w:tc>
          <w:tcPr>
            <w:tcW w:w="6395" w:type="dxa"/>
            <w:tcBorders>
              <w:top w:val="nil"/>
              <w:left w:val="nil"/>
              <w:bottom w:val="nil"/>
              <w:right w:val="nil"/>
            </w:tcBorders>
            <w:shd w:val="clear" w:color="FFFFFF" w:fill="FFFFFF"/>
            <w:noWrap/>
            <w:vAlign w:val="bottom"/>
            <w:hideMark/>
          </w:tcPr>
          <w:p w14:paraId="16EC582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51" w:type="dxa"/>
            <w:tcBorders>
              <w:top w:val="nil"/>
              <w:left w:val="nil"/>
              <w:bottom w:val="nil"/>
              <w:right w:val="nil"/>
            </w:tcBorders>
            <w:shd w:val="clear" w:color="FFFFFF" w:fill="FFFFFF"/>
            <w:vAlign w:val="bottom"/>
            <w:hideMark/>
          </w:tcPr>
          <w:p w14:paraId="03FF086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69F2BD7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vAlign w:val="bottom"/>
            <w:hideMark/>
          </w:tcPr>
          <w:p w14:paraId="205AB0A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129548D2" w14:textId="77777777" w:rsidTr="00361BA1">
        <w:trPr>
          <w:trHeight w:val="240"/>
        </w:trPr>
        <w:tc>
          <w:tcPr>
            <w:tcW w:w="6395" w:type="dxa"/>
            <w:tcBorders>
              <w:top w:val="nil"/>
              <w:left w:val="nil"/>
              <w:bottom w:val="nil"/>
              <w:right w:val="nil"/>
            </w:tcBorders>
            <w:shd w:val="clear" w:color="FFFFFF" w:fill="FFFFFF"/>
            <w:noWrap/>
            <w:vAlign w:val="bottom"/>
            <w:hideMark/>
          </w:tcPr>
          <w:p w14:paraId="6A87ED43"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1.1A: Employee benefits</w:t>
            </w:r>
          </w:p>
        </w:tc>
        <w:tc>
          <w:tcPr>
            <w:tcW w:w="1251" w:type="dxa"/>
            <w:tcBorders>
              <w:top w:val="nil"/>
              <w:left w:val="nil"/>
              <w:bottom w:val="nil"/>
              <w:right w:val="nil"/>
            </w:tcBorders>
            <w:shd w:val="clear" w:color="FFFFFF" w:fill="FFFFFF"/>
            <w:vAlign w:val="bottom"/>
            <w:hideMark/>
          </w:tcPr>
          <w:p w14:paraId="7BA61EF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EFF050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vAlign w:val="bottom"/>
            <w:hideMark/>
          </w:tcPr>
          <w:p w14:paraId="0871D8C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3CC96554" w14:textId="77777777" w:rsidTr="00361BA1">
        <w:trPr>
          <w:trHeight w:val="240"/>
        </w:trPr>
        <w:tc>
          <w:tcPr>
            <w:tcW w:w="6395" w:type="dxa"/>
            <w:tcBorders>
              <w:top w:val="nil"/>
              <w:left w:val="nil"/>
              <w:bottom w:val="nil"/>
              <w:right w:val="nil"/>
            </w:tcBorders>
            <w:shd w:val="clear" w:color="FFFFFF" w:fill="FFFFFF"/>
            <w:vAlign w:val="bottom"/>
            <w:hideMark/>
          </w:tcPr>
          <w:p w14:paraId="0417589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Wages and salaries</w:t>
            </w:r>
          </w:p>
        </w:tc>
        <w:tc>
          <w:tcPr>
            <w:tcW w:w="1251" w:type="dxa"/>
            <w:tcBorders>
              <w:top w:val="nil"/>
              <w:left w:val="nil"/>
              <w:bottom w:val="nil"/>
              <w:right w:val="nil"/>
            </w:tcBorders>
            <w:shd w:val="clear" w:color="FFFFFF" w:fill="FFFFFF"/>
            <w:noWrap/>
            <w:vAlign w:val="bottom"/>
            <w:hideMark/>
          </w:tcPr>
          <w:p w14:paraId="0EAD4F9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312,717</w:t>
            </w:r>
          </w:p>
        </w:tc>
        <w:tc>
          <w:tcPr>
            <w:tcW w:w="236" w:type="dxa"/>
            <w:tcBorders>
              <w:top w:val="nil"/>
              <w:left w:val="nil"/>
              <w:bottom w:val="nil"/>
              <w:right w:val="nil"/>
            </w:tcBorders>
            <w:shd w:val="clear" w:color="FFFFFF" w:fill="FFFFFF"/>
            <w:noWrap/>
            <w:vAlign w:val="bottom"/>
            <w:hideMark/>
          </w:tcPr>
          <w:p w14:paraId="29D37EC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31B30B6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240,453</w:t>
            </w:r>
          </w:p>
        </w:tc>
      </w:tr>
      <w:tr w:rsidR="00361BA1" w:rsidRPr="00361BA1" w14:paraId="0E9DC845" w14:textId="77777777" w:rsidTr="00361BA1">
        <w:trPr>
          <w:trHeight w:val="240"/>
        </w:trPr>
        <w:tc>
          <w:tcPr>
            <w:tcW w:w="6395" w:type="dxa"/>
            <w:tcBorders>
              <w:top w:val="nil"/>
              <w:left w:val="nil"/>
              <w:bottom w:val="nil"/>
              <w:right w:val="nil"/>
            </w:tcBorders>
            <w:shd w:val="clear" w:color="FFFFFF" w:fill="FFFFFF"/>
            <w:vAlign w:val="bottom"/>
            <w:hideMark/>
          </w:tcPr>
          <w:p w14:paraId="15412B7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Superannuation</w:t>
            </w:r>
          </w:p>
        </w:tc>
        <w:tc>
          <w:tcPr>
            <w:tcW w:w="1251" w:type="dxa"/>
            <w:tcBorders>
              <w:top w:val="nil"/>
              <w:left w:val="nil"/>
              <w:bottom w:val="nil"/>
              <w:right w:val="nil"/>
            </w:tcBorders>
            <w:shd w:val="clear" w:color="FFFFFF" w:fill="FFFFFF"/>
            <w:noWrap/>
            <w:vAlign w:val="bottom"/>
            <w:hideMark/>
          </w:tcPr>
          <w:p w14:paraId="002D804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C9EC38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21C145C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6EE3EB3B" w14:textId="77777777" w:rsidTr="00361BA1">
        <w:trPr>
          <w:trHeight w:val="240"/>
        </w:trPr>
        <w:tc>
          <w:tcPr>
            <w:tcW w:w="6395" w:type="dxa"/>
            <w:tcBorders>
              <w:top w:val="nil"/>
              <w:left w:val="nil"/>
              <w:bottom w:val="nil"/>
              <w:right w:val="nil"/>
            </w:tcBorders>
            <w:shd w:val="clear" w:color="FFFFFF" w:fill="FFFFFF"/>
            <w:noWrap/>
            <w:vAlign w:val="bottom"/>
            <w:hideMark/>
          </w:tcPr>
          <w:p w14:paraId="5618B9A9"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Defined contribution plans</w:t>
            </w:r>
          </w:p>
        </w:tc>
        <w:tc>
          <w:tcPr>
            <w:tcW w:w="1251" w:type="dxa"/>
            <w:tcBorders>
              <w:top w:val="nil"/>
              <w:left w:val="nil"/>
              <w:bottom w:val="nil"/>
              <w:right w:val="nil"/>
            </w:tcBorders>
            <w:shd w:val="clear" w:color="FFFFFF" w:fill="FFFFFF"/>
            <w:noWrap/>
            <w:vAlign w:val="bottom"/>
            <w:hideMark/>
          </w:tcPr>
          <w:p w14:paraId="0D9763E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43,903</w:t>
            </w:r>
          </w:p>
        </w:tc>
        <w:tc>
          <w:tcPr>
            <w:tcW w:w="236" w:type="dxa"/>
            <w:tcBorders>
              <w:top w:val="nil"/>
              <w:left w:val="nil"/>
              <w:bottom w:val="nil"/>
              <w:right w:val="nil"/>
            </w:tcBorders>
            <w:shd w:val="clear" w:color="FFFFFF" w:fill="FFFFFF"/>
            <w:noWrap/>
            <w:vAlign w:val="bottom"/>
            <w:hideMark/>
          </w:tcPr>
          <w:p w14:paraId="03DFA6A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3608139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33,647</w:t>
            </w:r>
          </w:p>
        </w:tc>
      </w:tr>
      <w:tr w:rsidR="00361BA1" w:rsidRPr="00361BA1" w14:paraId="3B463BFD" w14:textId="77777777" w:rsidTr="00361BA1">
        <w:trPr>
          <w:trHeight w:val="240"/>
        </w:trPr>
        <w:tc>
          <w:tcPr>
            <w:tcW w:w="6395" w:type="dxa"/>
            <w:tcBorders>
              <w:top w:val="nil"/>
              <w:left w:val="nil"/>
              <w:bottom w:val="nil"/>
              <w:right w:val="nil"/>
            </w:tcBorders>
            <w:shd w:val="clear" w:color="FFFFFF" w:fill="FFFFFF"/>
            <w:noWrap/>
            <w:vAlign w:val="bottom"/>
            <w:hideMark/>
          </w:tcPr>
          <w:p w14:paraId="38C427CD"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Defined benefit plans</w:t>
            </w:r>
          </w:p>
        </w:tc>
        <w:tc>
          <w:tcPr>
            <w:tcW w:w="1251" w:type="dxa"/>
            <w:tcBorders>
              <w:top w:val="nil"/>
              <w:left w:val="nil"/>
              <w:bottom w:val="nil"/>
              <w:right w:val="nil"/>
            </w:tcBorders>
            <w:shd w:val="clear" w:color="FFFFFF" w:fill="FFFFFF"/>
            <w:noWrap/>
            <w:vAlign w:val="bottom"/>
            <w:hideMark/>
          </w:tcPr>
          <w:p w14:paraId="5837B69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10,361</w:t>
            </w:r>
          </w:p>
        </w:tc>
        <w:tc>
          <w:tcPr>
            <w:tcW w:w="236" w:type="dxa"/>
            <w:tcBorders>
              <w:top w:val="nil"/>
              <w:left w:val="nil"/>
              <w:bottom w:val="nil"/>
              <w:right w:val="nil"/>
            </w:tcBorders>
            <w:shd w:val="clear" w:color="FFFFFF" w:fill="FFFFFF"/>
            <w:noWrap/>
            <w:vAlign w:val="bottom"/>
            <w:hideMark/>
          </w:tcPr>
          <w:p w14:paraId="6C63C35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4A4B068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7,734</w:t>
            </w:r>
          </w:p>
        </w:tc>
      </w:tr>
      <w:tr w:rsidR="00361BA1" w:rsidRPr="00361BA1" w14:paraId="2961CCEA" w14:textId="77777777" w:rsidTr="00361BA1">
        <w:trPr>
          <w:trHeight w:val="240"/>
        </w:trPr>
        <w:tc>
          <w:tcPr>
            <w:tcW w:w="6395" w:type="dxa"/>
            <w:tcBorders>
              <w:top w:val="nil"/>
              <w:left w:val="nil"/>
              <w:bottom w:val="nil"/>
              <w:right w:val="nil"/>
            </w:tcBorders>
            <w:shd w:val="clear" w:color="FFFFFF" w:fill="FFFFFF"/>
            <w:vAlign w:val="bottom"/>
            <w:hideMark/>
          </w:tcPr>
          <w:p w14:paraId="107835A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Leave and other entitlements</w:t>
            </w:r>
          </w:p>
        </w:tc>
        <w:tc>
          <w:tcPr>
            <w:tcW w:w="1251" w:type="dxa"/>
            <w:tcBorders>
              <w:top w:val="nil"/>
              <w:left w:val="nil"/>
              <w:bottom w:val="nil"/>
              <w:right w:val="nil"/>
            </w:tcBorders>
            <w:shd w:val="clear" w:color="FFFFFF" w:fill="FFFFFF"/>
            <w:noWrap/>
            <w:vAlign w:val="bottom"/>
            <w:hideMark/>
          </w:tcPr>
          <w:p w14:paraId="6EAFDC6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36,128</w:t>
            </w:r>
          </w:p>
        </w:tc>
        <w:tc>
          <w:tcPr>
            <w:tcW w:w="236" w:type="dxa"/>
            <w:tcBorders>
              <w:top w:val="nil"/>
              <w:left w:val="nil"/>
              <w:bottom w:val="nil"/>
              <w:right w:val="nil"/>
            </w:tcBorders>
            <w:shd w:val="clear" w:color="FFFFFF" w:fill="FFFFFF"/>
            <w:noWrap/>
            <w:vAlign w:val="bottom"/>
            <w:hideMark/>
          </w:tcPr>
          <w:p w14:paraId="6BA6475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650C714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29,834</w:t>
            </w:r>
          </w:p>
        </w:tc>
      </w:tr>
      <w:tr w:rsidR="00361BA1" w:rsidRPr="00361BA1" w14:paraId="541385DF" w14:textId="77777777" w:rsidTr="00361BA1">
        <w:trPr>
          <w:trHeight w:val="240"/>
        </w:trPr>
        <w:tc>
          <w:tcPr>
            <w:tcW w:w="6395" w:type="dxa"/>
            <w:tcBorders>
              <w:top w:val="nil"/>
              <w:left w:val="nil"/>
              <w:bottom w:val="nil"/>
              <w:right w:val="nil"/>
            </w:tcBorders>
            <w:shd w:val="clear" w:color="FFFFFF" w:fill="FFFFFF"/>
            <w:vAlign w:val="bottom"/>
            <w:hideMark/>
          </w:tcPr>
          <w:p w14:paraId="27FF01F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Separation and redundancies</w:t>
            </w:r>
          </w:p>
        </w:tc>
        <w:tc>
          <w:tcPr>
            <w:tcW w:w="1251" w:type="dxa"/>
            <w:tcBorders>
              <w:top w:val="nil"/>
              <w:left w:val="nil"/>
              <w:bottom w:val="nil"/>
              <w:right w:val="nil"/>
            </w:tcBorders>
            <w:shd w:val="clear" w:color="FFFFFF" w:fill="FFFFFF"/>
            <w:noWrap/>
            <w:vAlign w:val="bottom"/>
            <w:hideMark/>
          </w:tcPr>
          <w:p w14:paraId="7CFBACE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1,298</w:t>
            </w:r>
          </w:p>
        </w:tc>
        <w:tc>
          <w:tcPr>
            <w:tcW w:w="236" w:type="dxa"/>
            <w:tcBorders>
              <w:top w:val="nil"/>
              <w:left w:val="nil"/>
              <w:bottom w:val="nil"/>
              <w:right w:val="nil"/>
            </w:tcBorders>
            <w:shd w:val="clear" w:color="FFFFFF" w:fill="FFFFFF"/>
            <w:noWrap/>
            <w:vAlign w:val="bottom"/>
            <w:hideMark/>
          </w:tcPr>
          <w:p w14:paraId="5E253F5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55FC88A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414</w:t>
            </w:r>
          </w:p>
        </w:tc>
      </w:tr>
      <w:tr w:rsidR="00361BA1" w:rsidRPr="00361BA1" w14:paraId="45F999E2" w14:textId="77777777" w:rsidTr="00361BA1">
        <w:trPr>
          <w:trHeight w:val="240"/>
        </w:trPr>
        <w:tc>
          <w:tcPr>
            <w:tcW w:w="6395" w:type="dxa"/>
            <w:tcBorders>
              <w:top w:val="nil"/>
              <w:left w:val="nil"/>
              <w:bottom w:val="nil"/>
              <w:right w:val="nil"/>
            </w:tcBorders>
            <w:shd w:val="clear" w:color="FFFFFF" w:fill="FFFFFF"/>
            <w:vAlign w:val="bottom"/>
            <w:hideMark/>
          </w:tcPr>
          <w:p w14:paraId="0C03AAF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 employee expenses</w:t>
            </w:r>
          </w:p>
        </w:tc>
        <w:tc>
          <w:tcPr>
            <w:tcW w:w="1251" w:type="dxa"/>
            <w:tcBorders>
              <w:top w:val="nil"/>
              <w:left w:val="nil"/>
              <w:bottom w:val="nil"/>
              <w:right w:val="nil"/>
            </w:tcBorders>
            <w:shd w:val="clear" w:color="FFFFFF" w:fill="FFFFFF"/>
            <w:noWrap/>
            <w:vAlign w:val="bottom"/>
            <w:hideMark/>
          </w:tcPr>
          <w:p w14:paraId="03C3396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555</w:t>
            </w:r>
          </w:p>
        </w:tc>
        <w:tc>
          <w:tcPr>
            <w:tcW w:w="236" w:type="dxa"/>
            <w:tcBorders>
              <w:top w:val="nil"/>
              <w:left w:val="nil"/>
              <w:bottom w:val="nil"/>
              <w:right w:val="nil"/>
            </w:tcBorders>
            <w:shd w:val="clear" w:color="FFFFFF" w:fill="FFFFFF"/>
            <w:noWrap/>
            <w:vAlign w:val="bottom"/>
            <w:hideMark/>
          </w:tcPr>
          <w:p w14:paraId="737DCC3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nil"/>
              <w:left w:val="nil"/>
              <w:bottom w:val="nil"/>
              <w:right w:val="nil"/>
            </w:tcBorders>
            <w:shd w:val="clear" w:color="FFFFFF" w:fill="FFFFFF"/>
            <w:noWrap/>
            <w:vAlign w:val="bottom"/>
            <w:hideMark/>
          </w:tcPr>
          <w:p w14:paraId="3C0FD20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BA1B414" w14:textId="77777777" w:rsidTr="00361BA1">
        <w:trPr>
          <w:trHeight w:val="240"/>
        </w:trPr>
        <w:tc>
          <w:tcPr>
            <w:tcW w:w="6395" w:type="dxa"/>
            <w:tcBorders>
              <w:top w:val="nil"/>
              <w:left w:val="nil"/>
              <w:bottom w:val="nil"/>
              <w:right w:val="nil"/>
            </w:tcBorders>
            <w:shd w:val="clear" w:color="FFFFFF" w:fill="FFFFFF"/>
            <w:vAlign w:val="bottom"/>
            <w:hideMark/>
          </w:tcPr>
          <w:p w14:paraId="13913B3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employee benefits</w:t>
            </w:r>
          </w:p>
        </w:tc>
        <w:tc>
          <w:tcPr>
            <w:tcW w:w="1251" w:type="dxa"/>
            <w:tcBorders>
              <w:top w:val="single" w:sz="4" w:space="0" w:color="auto"/>
              <w:left w:val="nil"/>
              <w:bottom w:val="single" w:sz="4" w:space="0" w:color="auto"/>
              <w:right w:val="nil"/>
            </w:tcBorders>
            <w:shd w:val="clear" w:color="FFFFFF" w:fill="FFFFFF"/>
            <w:noWrap/>
            <w:vAlign w:val="bottom"/>
            <w:hideMark/>
          </w:tcPr>
          <w:p w14:paraId="459849D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404,962</w:t>
            </w:r>
          </w:p>
        </w:tc>
        <w:tc>
          <w:tcPr>
            <w:tcW w:w="236" w:type="dxa"/>
            <w:tcBorders>
              <w:top w:val="nil"/>
              <w:left w:val="nil"/>
              <w:bottom w:val="nil"/>
              <w:right w:val="nil"/>
            </w:tcBorders>
            <w:shd w:val="clear" w:color="FFFFFF" w:fill="FFFFFF"/>
            <w:noWrap/>
            <w:vAlign w:val="bottom"/>
            <w:hideMark/>
          </w:tcPr>
          <w:p w14:paraId="7E56DB0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05" w:type="dxa"/>
            <w:tcBorders>
              <w:top w:val="single" w:sz="4" w:space="0" w:color="auto"/>
              <w:left w:val="nil"/>
              <w:bottom w:val="single" w:sz="4" w:space="0" w:color="auto"/>
              <w:right w:val="nil"/>
            </w:tcBorders>
            <w:shd w:val="clear" w:color="FFFFFF" w:fill="FFFFFF"/>
            <w:noWrap/>
            <w:vAlign w:val="bottom"/>
            <w:hideMark/>
          </w:tcPr>
          <w:p w14:paraId="651CC44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312,082</w:t>
            </w:r>
          </w:p>
        </w:tc>
      </w:tr>
    </w:tbl>
    <w:p w14:paraId="25861B2A" w14:textId="77777777" w:rsidR="00361BA1" w:rsidRPr="00361BA1" w:rsidRDefault="00361BA1" w:rsidP="00361BA1">
      <w:pPr>
        <w:spacing w:before="0" w:after="80"/>
        <w:ind w:left="0"/>
        <w:rPr>
          <w:rFonts w:eastAsia="Times New Roman" w:cs="Times New Roman"/>
          <w:sz w:val="18"/>
          <w:szCs w:val="20"/>
          <w:lang w:eastAsia="en-AU"/>
        </w:rPr>
      </w:pPr>
    </w:p>
    <w:p w14:paraId="24CCE111" w14:textId="77777777" w:rsidR="00361BA1" w:rsidRPr="00361BA1" w:rsidRDefault="00361BA1" w:rsidP="00361BA1">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62E3159A" w14:textId="77777777" w:rsidR="00361BA1" w:rsidRPr="00361BA1" w:rsidRDefault="00361BA1" w:rsidP="00361BA1">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Accounting policies for employee related expenses are contained in Section 3. People and Relationships. </w:t>
      </w:r>
    </w:p>
    <w:tbl>
      <w:tblPr>
        <w:tblW w:w="9087" w:type="dxa"/>
        <w:tblLayout w:type="fixed"/>
        <w:tblLook w:val="04A0" w:firstRow="1" w:lastRow="0" w:firstColumn="1" w:lastColumn="0" w:noHBand="0" w:noVBand="1"/>
        <w:tblDescription w:val="Footnotes"/>
      </w:tblPr>
      <w:tblGrid>
        <w:gridCol w:w="6379"/>
        <w:gridCol w:w="1276"/>
        <w:gridCol w:w="283"/>
        <w:gridCol w:w="1149"/>
      </w:tblGrid>
      <w:tr w:rsidR="00361BA1" w:rsidRPr="00361BA1" w14:paraId="68918774" w14:textId="77777777" w:rsidTr="00361BA1">
        <w:trPr>
          <w:trHeight w:val="255"/>
        </w:trPr>
        <w:tc>
          <w:tcPr>
            <w:tcW w:w="6379" w:type="dxa"/>
            <w:tcBorders>
              <w:top w:val="nil"/>
              <w:left w:val="nil"/>
              <w:bottom w:val="nil"/>
              <w:right w:val="nil"/>
            </w:tcBorders>
            <w:shd w:val="clear" w:color="FFFFFF" w:fill="FFFFFF"/>
            <w:noWrap/>
            <w:vAlign w:val="bottom"/>
            <w:hideMark/>
          </w:tcPr>
          <w:p w14:paraId="3CC09946"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44" w:name="Note_SXPTABLE1" w:colFirst="0" w:colLast="0"/>
            <w:r w:rsidRPr="00361BA1">
              <w:rPr>
                <w:rFonts w:eastAsia="Times New Roman"/>
                <w:b/>
                <w:bCs/>
                <w:sz w:val="18"/>
                <w:szCs w:val="18"/>
                <w:u w:val="single"/>
                <w:lang w:eastAsia="en-US"/>
              </w:rPr>
              <w:t>Note 1.1B: Suppliers</w:t>
            </w:r>
          </w:p>
        </w:tc>
        <w:tc>
          <w:tcPr>
            <w:tcW w:w="1276" w:type="dxa"/>
            <w:tcBorders>
              <w:top w:val="nil"/>
              <w:left w:val="nil"/>
              <w:bottom w:val="nil"/>
              <w:right w:val="nil"/>
            </w:tcBorders>
            <w:shd w:val="clear" w:color="FFFFFF" w:fill="FFFFFF"/>
            <w:vAlign w:val="bottom"/>
            <w:hideMark/>
          </w:tcPr>
          <w:p w14:paraId="43C4F49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83" w:type="dxa"/>
            <w:tcBorders>
              <w:top w:val="nil"/>
              <w:left w:val="nil"/>
              <w:bottom w:val="nil"/>
              <w:right w:val="nil"/>
            </w:tcBorders>
            <w:shd w:val="clear" w:color="FFFFFF" w:fill="FFFFFF"/>
            <w:noWrap/>
            <w:vAlign w:val="bottom"/>
            <w:hideMark/>
          </w:tcPr>
          <w:p w14:paraId="75E7F66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vAlign w:val="bottom"/>
            <w:hideMark/>
          </w:tcPr>
          <w:p w14:paraId="5EE3E9E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bookmarkEnd w:id="44"/>
      <w:tr w:rsidR="00361BA1" w:rsidRPr="00361BA1" w14:paraId="43823761" w14:textId="77777777" w:rsidTr="00361BA1">
        <w:trPr>
          <w:trHeight w:val="255"/>
        </w:trPr>
        <w:tc>
          <w:tcPr>
            <w:tcW w:w="6379" w:type="dxa"/>
            <w:tcBorders>
              <w:top w:val="nil"/>
              <w:left w:val="nil"/>
              <w:bottom w:val="nil"/>
              <w:right w:val="nil"/>
            </w:tcBorders>
            <w:shd w:val="clear" w:color="FFFFFF" w:fill="FFFFFF"/>
            <w:vAlign w:val="bottom"/>
            <w:hideMark/>
          </w:tcPr>
          <w:p w14:paraId="320657F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Services rendered</w:t>
            </w:r>
          </w:p>
        </w:tc>
        <w:tc>
          <w:tcPr>
            <w:tcW w:w="1276" w:type="dxa"/>
            <w:tcBorders>
              <w:top w:val="nil"/>
              <w:left w:val="nil"/>
              <w:bottom w:val="nil"/>
              <w:right w:val="nil"/>
            </w:tcBorders>
            <w:shd w:val="clear" w:color="FFFFFF" w:fill="FFFFFF"/>
            <w:noWrap/>
            <w:vAlign w:val="bottom"/>
            <w:hideMark/>
          </w:tcPr>
          <w:p w14:paraId="386A5F8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63DE7C2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694CD48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D435527" w14:textId="77777777" w:rsidTr="00361BA1">
        <w:trPr>
          <w:trHeight w:val="255"/>
        </w:trPr>
        <w:tc>
          <w:tcPr>
            <w:tcW w:w="6379" w:type="dxa"/>
            <w:tcBorders>
              <w:top w:val="nil"/>
              <w:left w:val="nil"/>
              <w:bottom w:val="nil"/>
              <w:right w:val="nil"/>
            </w:tcBorders>
            <w:shd w:val="clear" w:color="FFFFFF" w:fill="FFFFFF"/>
            <w:noWrap/>
            <w:vAlign w:val="bottom"/>
            <w:hideMark/>
          </w:tcPr>
          <w:p w14:paraId="75935323"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Service providers</w:t>
            </w:r>
          </w:p>
        </w:tc>
        <w:tc>
          <w:tcPr>
            <w:tcW w:w="1276" w:type="dxa"/>
            <w:tcBorders>
              <w:top w:val="nil"/>
              <w:left w:val="nil"/>
              <w:bottom w:val="nil"/>
              <w:right w:val="nil"/>
            </w:tcBorders>
            <w:shd w:val="clear" w:color="FFFFFF" w:fill="FFFFFF"/>
            <w:noWrap/>
            <w:vAlign w:val="bottom"/>
            <w:hideMark/>
          </w:tcPr>
          <w:p w14:paraId="2FE949D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291,455</w:t>
            </w:r>
          </w:p>
        </w:tc>
        <w:tc>
          <w:tcPr>
            <w:tcW w:w="283" w:type="dxa"/>
            <w:tcBorders>
              <w:top w:val="nil"/>
              <w:left w:val="nil"/>
              <w:bottom w:val="nil"/>
              <w:right w:val="nil"/>
            </w:tcBorders>
            <w:shd w:val="clear" w:color="FFFFFF" w:fill="FFFFFF"/>
            <w:noWrap/>
            <w:vAlign w:val="bottom"/>
            <w:hideMark/>
          </w:tcPr>
          <w:p w14:paraId="23C1CA8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C83F46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318,042</w:t>
            </w:r>
          </w:p>
        </w:tc>
      </w:tr>
      <w:tr w:rsidR="00361BA1" w:rsidRPr="00361BA1" w14:paraId="31709E09" w14:textId="77777777" w:rsidTr="00361BA1">
        <w:trPr>
          <w:trHeight w:val="278"/>
        </w:trPr>
        <w:tc>
          <w:tcPr>
            <w:tcW w:w="6379" w:type="dxa"/>
            <w:tcBorders>
              <w:top w:val="nil"/>
              <w:left w:val="nil"/>
              <w:bottom w:val="nil"/>
              <w:right w:val="nil"/>
            </w:tcBorders>
            <w:shd w:val="clear" w:color="FFFFFF" w:fill="FFFFFF"/>
            <w:noWrap/>
            <w:vAlign w:val="bottom"/>
            <w:hideMark/>
          </w:tcPr>
          <w:p w14:paraId="2B26952E"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Memorandum of Understanding costs</w:t>
            </w:r>
            <w:r w:rsidRPr="00361BA1">
              <w:rPr>
                <w:rFonts w:eastAsia="Times New Roman"/>
                <w:sz w:val="18"/>
                <w:szCs w:val="18"/>
                <w:vertAlign w:val="superscript"/>
                <w:lang w:eastAsia="en-US"/>
              </w:rPr>
              <w:t>1</w:t>
            </w:r>
          </w:p>
        </w:tc>
        <w:tc>
          <w:tcPr>
            <w:tcW w:w="1276" w:type="dxa"/>
            <w:tcBorders>
              <w:top w:val="nil"/>
              <w:left w:val="nil"/>
              <w:bottom w:val="nil"/>
              <w:right w:val="nil"/>
            </w:tcBorders>
            <w:shd w:val="clear" w:color="FFFFFF" w:fill="FFFFFF"/>
            <w:noWrap/>
            <w:vAlign w:val="bottom"/>
            <w:hideMark/>
          </w:tcPr>
          <w:p w14:paraId="0235E1A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108,929</w:t>
            </w:r>
          </w:p>
        </w:tc>
        <w:tc>
          <w:tcPr>
            <w:tcW w:w="283" w:type="dxa"/>
            <w:tcBorders>
              <w:top w:val="nil"/>
              <w:left w:val="nil"/>
              <w:bottom w:val="nil"/>
              <w:right w:val="nil"/>
            </w:tcBorders>
            <w:shd w:val="clear" w:color="FFFFFF" w:fill="FFFFFF"/>
            <w:noWrap/>
            <w:vAlign w:val="bottom"/>
            <w:hideMark/>
          </w:tcPr>
          <w:p w14:paraId="681E724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7312C08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90,892</w:t>
            </w:r>
          </w:p>
        </w:tc>
      </w:tr>
      <w:tr w:rsidR="00361BA1" w:rsidRPr="00361BA1" w14:paraId="14FC8A17" w14:textId="77777777" w:rsidTr="00361BA1">
        <w:trPr>
          <w:trHeight w:val="255"/>
        </w:trPr>
        <w:tc>
          <w:tcPr>
            <w:tcW w:w="6379" w:type="dxa"/>
            <w:tcBorders>
              <w:top w:val="nil"/>
              <w:left w:val="nil"/>
              <w:bottom w:val="nil"/>
              <w:right w:val="nil"/>
            </w:tcBorders>
            <w:shd w:val="clear" w:color="FFFFFF" w:fill="FFFFFF"/>
            <w:noWrap/>
            <w:vAlign w:val="bottom"/>
            <w:hideMark/>
          </w:tcPr>
          <w:p w14:paraId="486B9284"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Legal expenses</w:t>
            </w:r>
          </w:p>
        </w:tc>
        <w:tc>
          <w:tcPr>
            <w:tcW w:w="1276" w:type="dxa"/>
            <w:tcBorders>
              <w:top w:val="nil"/>
              <w:left w:val="nil"/>
              <w:bottom w:val="nil"/>
              <w:right w:val="nil"/>
            </w:tcBorders>
            <w:shd w:val="clear" w:color="FFFFFF" w:fill="FFFFFF"/>
            <w:noWrap/>
            <w:vAlign w:val="bottom"/>
            <w:hideMark/>
          </w:tcPr>
          <w:p w14:paraId="61E0A43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23,249</w:t>
            </w:r>
          </w:p>
        </w:tc>
        <w:tc>
          <w:tcPr>
            <w:tcW w:w="283" w:type="dxa"/>
            <w:tcBorders>
              <w:top w:val="nil"/>
              <w:left w:val="nil"/>
              <w:bottom w:val="nil"/>
              <w:right w:val="nil"/>
            </w:tcBorders>
            <w:shd w:val="clear" w:color="FFFFFF" w:fill="FFFFFF"/>
            <w:noWrap/>
            <w:vAlign w:val="bottom"/>
            <w:hideMark/>
          </w:tcPr>
          <w:p w14:paraId="020909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FBD874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10,181</w:t>
            </w:r>
          </w:p>
        </w:tc>
      </w:tr>
      <w:tr w:rsidR="00361BA1" w:rsidRPr="00361BA1" w14:paraId="3218B3F2" w14:textId="77777777" w:rsidTr="00361BA1">
        <w:trPr>
          <w:trHeight w:val="255"/>
        </w:trPr>
        <w:tc>
          <w:tcPr>
            <w:tcW w:w="6379" w:type="dxa"/>
            <w:tcBorders>
              <w:top w:val="nil"/>
              <w:left w:val="nil"/>
              <w:bottom w:val="nil"/>
              <w:right w:val="nil"/>
            </w:tcBorders>
            <w:shd w:val="clear" w:color="FFFFFF" w:fill="FFFFFF"/>
            <w:noWrap/>
            <w:vAlign w:val="bottom"/>
            <w:hideMark/>
          </w:tcPr>
          <w:p w14:paraId="374A5B2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Community connector management fees</w:t>
            </w:r>
          </w:p>
        </w:tc>
        <w:tc>
          <w:tcPr>
            <w:tcW w:w="1276" w:type="dxa"/>
            <w:tcBorders>
              <w:top w:val="nil"/>
              <w:left w:val="nil"/>
              <w:bottom w:val="nil"/>
              <w:right w:val="nil"/>
            </w:tcBorders>
            <w:shd w:val="clear" w:color="FFFFFF" w:fill="FFFFFF"/>
            <w:noWrap/>
            <w:vAlign w:val="bottom"/>
            <w:hideMark/>
          </w:tcPr>
          <w:p w14:paraId="3A9826A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20,023</w:t>
            </w:r>
          </w:p>
        </w:tc>
        <w:tc>
          <w:tcPr>
            <w:tcW w:w="283" w:type="dxa"/>
            <w:tcBorders>
              <w:top w:val="nil"/>
              <w:left w:val="nil"/>
              <w:bottom w:val="nil"/>
              <w:right w:val="nil"/>
            </w:tcBorders>
            <w:shd w:val="clear" w:color="FFFFFF" w:fill="FFFFFF"/>
            <w:noWrap/>
            <w:vAlign w:val="bottom"/>
            <w:hideMark/>
          </w:tcPr>
          <w:p w14:paraId="7A10EBE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7636DF1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2,635</w:t>
            </w:r>
          </w:p>
        </w:tc>
      </w:tr>
      <w:tr w:rsidR="00361BA1" w:rsidRPr="00361BA1" w14:paraId="426F2373" w14:textId="77777777" w:rsidTr="00361BA1">
        <w:trPr>
          <w:trHeight w:val="255"/>
        </w:trPr>
        <w:tc>
          <w:tcPr>
            <w:tcW w:w="6379" w:type="dxa"/>
            <w:tcBorders>
              <w:top w:val="nil"/>
              <w:left w:val="nil"/>
              <w:bottom w:val="nil"/>
              <w:right w:val="nil"/>
            </w:tcBorders>
            <w:shd w:val="clear" w:color="FFFFFF" w:fill="FFFFFF"/>
            <w:noWrap/>
            <w:vAlign w:val="bottom"/>
            <w:hideMark/>
          </w:tcPr>
          <w:p w14:paraId="78BC0EDF"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Travel</w:t>
            </w:r>
          </w:p>
        </w:tc>
        <w:tc>
          <w:tcPr>
            <w:tcW w:w="1276" w:type="dxa"/>
            <w:tcBorders>
              <w:top w:val="nil"/>
              <w:left w:val="nil"/>
              <w:bottom w:val="nil"/>
              <w:right w:val="nil"/>
            </w:tcBorders>
            <w:shd w:val="clear" w:color="FFFFFF" w:fill="FFFFFF"/>
            <w:noWrap/>
            <w:vAlign w:val="bottom"/>
            <w:hideMark/>
          </w:tcPr>
          <w:p w14:paraId="6193778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11,398</w:t>
            </w:r>
          </w:p>
        </w:tc>
        <w:tc>
          <w:tcPr>
            <w:tcW w:w="283" w:type="dxa"/>
            <w:tcBorders>
              <w:top w:val="nil"/>
              <w:left w:val="nil"/>
              <w:bottom w:val="nil"/>
              <w:right w:val="nil"/>
            </w:tcBorders>
            <w:shd w:val="clear" w:color="FFFFFF" w:fill="FFFFFF"/>
            <w:noWrap/>
            <w:vAlign w:val="bottom"/>
            <w:hideMark/>
          </w:tcPr>
          <w:p w14:paraId="715E1D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29DFFE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17,288</w:t>
            </w:r>
          </w:p>
        </w:tc>
      </w:tr>
      <w:tr w:rsidR="00361BA1" w:rsidRPr="00361BA1" w14:paraId="361083C1" w14:textId="77777777" w:rsidTr="00361BA1">
        <w:trPr>
          <w:trHeight w:val="255"/>
        </w:trPr>
        <w:tc>
          <w:tcPr>
            <w:tcW w:w="6379" w:type="dxa"/>
            <w:tcBorders>
              <w:top w:val="nil"/>
              <w:left w:val="nil"/>
              <w:bottom w:val="nil"/>
              <w:right w:val="nil"/>
            </w:tcBorders>
            <w:shd w:val="clear" w:color="FFFFFF" w:fill="FFFFFF"/>
            <w:noWrap/>
            <w:vAlign w:val="bottom"/>
            <w:hideMark/>
          </w:tcPr>
          <w:p w14:paraId="3CAFC72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Property operating expenses</w:t>
            </w:r>
          </w:p>
        </w:tc>
        <w:tc>
          <w:tcPr>
            <w:tcW w:w="1276" w:type="dxa"/>
            <w:tcBorders>
              <w:top w:val="nil"/>
              <w:left w:val="nil"/>
              <w:bottom w:val="nil"/>
              <w:right w:val="nil"/>
            </w:tcBorders>
            <w:shd w:val="clear" w:color="FFFFFF" w:fill="FFFFFF"/>
            <w:noWrap/>
            <w:vAlign w:val="bottom"/>
            <w:hideMark/>
          </w:tcPr>
          <w:p w14:paraId="3E77C48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10,317</w:t>
            </w:r>
          </w:p>
        </w:tc>
        <w:tc>
          <w:tcPr>
            <w:tcW w:w="283" w:type="dxa"/>
            <w:tcBorders>
              <w:top w:val="nil"/>
              <w:left w:val="nil"/>
              <w:bottom w:val="nil"/>
              <w:right w:val="nil"/>
            </w:tcBorders>
            <w:shd w:val="clear" w:color="FFFFFF" w:fill="FFFFFF"/>
            <w:noWrap/>
            <w:vAlign w:val="bottom"/>
            <w:hideMark/>
          </w:tcPr>
          <w:p w14:paraId="13BAA8E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7AEECBE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25,740</w:t>
            </w:r>
          </w:p>
        </w:tc>
      </w:tr>
      <w:tr w:rsidR="00361BA1" w:rsidRPr="00361BA1" w14:paraId="74516DDB" w14:textId="77777777" w:rsidTr="00361BA1">
        <w:trPr>
          <w:trHeight w:val="255"/>
        </w:trPr>
        <w:tc>
          <w:tcPr>
            <w:tcW w:w="6379" w:type="dxa"/>
            <w:tcBorders>
              <w:top w:val="nil"/>
              <w:left w:val="nil"/>
              <w:bottom w:val="nil"/>
              <w:right w:val="nil"/>
            </w:tcBorders>
            <w:shd w:val="clear" w:color="FFFFFF" w:fill="FFFFFF"/>
            <w:noWrap/>
            <w:vAlign w:val="bottom"/>
            <w:hideMark/>
          </w:tcPr>
          <w:p w14:paraId="329B574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Information technology expenses</w:t>
            </w:r>
          </w:p>
        </w:tc>
        <w:tc>
          <w:tcPr>
            <w:tcW w:w="1276" w:type="dxa"/>
            <w:tcBorders>
              <w:top w:val="nil"/>
              <w:left w:val="nil"/>
              <w:bottom w:val="nil"/>
              <w:right w:val="nil"/>
            </w:tcBorders>
            <w:shd w:val="clear" w:color="FFFFFF" w:fill="FFFFFF"/>
            <w:noWrap/>
            <w:vAlign w:val="bottom"/>
            <w:hideMark/>
          </w:tcPr>
          <w:p w14:paraId="0C6F582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11,953</w:t>
            </w:r>
          </w:p>
        </w:tc>
        <w:tc>
          <w:tcPr>
            <w:tcW w:w="283" w:type="dxa"/>
            <w:tcBorders>
              <w:top w:val="nil"/>
              <w:left w:val="nil"/>
              <w:bottom w:val="nil"/>
              <w:right w:val="nil"/>
            </w:tcBorders>
            <w:shd w:val="clear" w:color="FFFFFF" w:fill="FFFFFF"/>
            <w:noWrap/>
            <w:vAlign w:val="bottom"/>
            <w:hideMark/>
          </w:tcPr>
          <w:p w14:paraId="26953CC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648DCF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2,571</w:t>
            </w:r>
          </w:p>
        </w:tc>
      </w:tr>
      <w:tr w:rsidR="00361BA1" w:rsidRPr="00361BA1" w14:paraId="7C45EDFA" w14:textId="77777777" w:rsidTr="00361BA1">
        <w:trPr>
          <w:trHeight w:val="255"/>
        </w:trPr>
        <w:tc>
          <w:tcPr>
            <w:tcW w:w="6379" w:type="dxa"/>
            <w:tcBorders>
              <w:top w:val="nil"/>
              <w:left w:val="nil"/>
              <w:bottom w:val="nil"/>
              <w:right w:val="nil"/>
            </w:tcBorders>
            <w:shd w:val="clear" w:color="FFFFFF" w:fill="FFFFFF"/>
            <w:noWrap/>
            <w:vAlign w:val="bottom"/>
            <w:hideMark/>
          </w:tcPr>
          <w:p w14:paraId="72F05601"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Staff welfare and training</w:t>
            </w:r>
          </w:p>
        </w:tc>
        <w:tc>
          <w:tcPr>
            <w:tcW w:w="1276" w:type="dxa"/>
            <w:tcBorders>
              <w:top w:val="nil"/>
              <w:left w:val="nil"/>
              <w:bottom w:val="nil"/>
              <w:right w:val="nil"/>
            </w:tcBorders>
            <w:shd w:val="clear" w:color="FFFFFF" w:fill="FFFFFF"/>
            <w:noWrap/>
            <w:vAlign w:val="bottom"/>
            <w:hideMark/>
          </w:tcPr>
          <w:p w14:paraId="0920507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5,501</w:t>
            </w:r>
          </w:p>
        </w:tc>
        <w:tc>
          <w:tcPr>
            <w:tcW w:w="283" w:type="dxa"/>
            <w:tcBorders>
              <w:top w:val="nil"/>
              <w:left w:val="nil"/>
              <w:bottom w:val="nil"/>
              <w:right w:val="nil"/>
            </w:tcBorders>
            <w:shd w:val="clear" w:color="FFFFFF" w:fill="FFFFFF"/>
            <w:noWrap/>
            <w:vAlign w:val="bottom"/>
            <w:hideMark/>
          </w:tcPr>
          <w:p w14:paraId="37BC831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5FD94E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6,323</w:t>
            </w:r>
          </w:p>
        </w:tc>
      </w:tr>
      <w:tr w:rsidR="00361BA1" w:rsidRPr="00361BA1" w14:paraId="4F7C8239" w14:textId="77777777" w:rsidTr="00361BA1">
        <w:trPr>
          <w:trHeight w:val="255"/>
        </w:trPr>
        <w:tc>
          <w:tcPr>
            <w:tcW w:w="6379" w:type="dxa"/>
            <w:tcBorders>
              <w:top w:val="nil"/>
              <w:left w:val="nil"/>
              <w:bottom w:val="nil"/>
              <w:right w:val="nil"/>
            </w:tcBorders>
            <w:shd w:val="clear" w:color="FFFFFF" w:fill="FFFFFF"/>
            <w:noWrap/>
            <w:vAlign w:val="bottom"/>
            <w:hideMark/>
          </w:tcPr>
          <w:p w14:paraId="21C79964"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Comcover</w:t>
            </w:r>
          </w:p>
        </w:tc>
        <w:tc>
          <w:tcPr>
            <w:tcW w:w="1276" w:type="dxa"/>
            <w:tcBorders>
              <w:top w:val="nil"/>
              <w:left w:val="nil"/>
              <w:bottom w:val="nil"/>
              <w:right w:val="nil"/>
            </w:tcBorders>
            <w:shd w:val="clear" w:color="FFFFFF" w:fill="FFFFFF"/>
            <w:noWrap/>
            <w:vAlign w:val="bottom"/>
            <w:hideMark/>
          </w:tcPr>
          <w:p w14:paraId="015457B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4,765</w:t>
            </w:r>
          </w:p>
        </w:tc>
        <w:tc>
          <w:tcPr>
            <w:tcW w:w="283" w:type="dxa"/>
            <w:tcBorders>
              <w:top w:val="nil"/>
              <w:left w:val="nil"/>
              <w:bottom w:val="nil"/>
              <w:right w:val="nil"/>
            </w:tcBorders>
            <w:shd w:val="clear" w:color="FFFFFF" w:fill="FFFFFF"/>
            <w:noWrap/>
            <w:vAlign w:val="bottom"/>
            <w:hideMark/>
          </w:tcPr>
          <w:p w14:paraId="1BB4C3E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00CCE51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4,537</w:t>
            </w:r>
          </w:p>
        </w:tc>
      </w:tr>
      <w:tr w:rsidR="00361BA1" w:rsidRPr="00361BA1" w14:paraId="49048E0E" w14:textId="77777777" w:rsidTr="00361BA1">
        <w:trPr>
          <w:trHeight w:val="255"/>
        </w:trPr>
        <w:tc>
          <w:tcPr>
            <w:tcW w:w="6379" w:type="dxa"/>
            <w:tcBorders>
              <w:top w:val="nil"/>
              <w:left w:val="nil"/>
              <w:bottom w:val="nil"/>
              <w:right w:val="nil"/>
            </w:tcBorders>
            <w:shd w:val="clear" w:color="FFFFFF" w:fill="FFFFFF"/>
            <w:noWrap/>
            <w:vAlign w:val="bottom"/>
            <w:hideMark/>
          </w:tcPr>
          <w:p w14:paraId="769C9A03"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Staff recruitment and relocation</w:t>
            </w:r>
          </w:p>
        </w:tc>
        <w:tc>
          <w:tcPr>
            <w:tcW w:w="1276" w:type="dxa"/>
            <w:tcBorders>
              <w:top w:val="nil"/>
              <w:left w:val="nil"/>
              <w:bottom w:val="nil"/>
              <w:right w:val="nil"/>
            </w:tcBorders>
            <w:shd w:val="clear" w:color="FFFFFF" w:fill="FFFFFF"/>
            <w:noWrap/>
            <w:vAlign w:val="bottom"/>
            <w:hideMark/>
          </w:tcPr>
          <w:p w14:paraId="70CD55D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4,341</w:t>
            </w:r>
          </w:p>
        </w:tc>
        <w:tc>
          <w:tcPr>
            <w:tcW w:w="283" w:type="dxa"/>
            <w:tcBorders>
              <w:top w:val="nil"/>
              <w:left w:val="nil"/>
              <w:bottom w:val="nil"/>
              <w:right w:val="nil"/>
            </w:tcBorders>
            <w:shd w:val="clear" w:color="FFFFFF" w:fill="FFFFFF"/>
            <w:noWrap/>
            <w:vAlign w:val="bottom"/>
            <w:hideMark/>
          </w:tcPr>
          <w:p w14:paraId="10639AA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8301E3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802</w:t>
            </w:r>
          </w:p>
        </w:tc>
      </w:tr>
      <w:tr w:rsidR="00361BA1" w:rsidRPr="00361BA1" w14:paraId="24254352" w14:textId="77777777" w:rsidTr="00361BA1">
        <w:trPr>
          <w:trHeight w:val="255"/>
        </w:trPr>
        <w:tc>
          <w:tcPr>
            <w:tcW w:w="6379" w:type="dxa"/>
            <w:tcBorders>
              <w:top w:val="nil"/>
              <w:left w:val="nil"/>
              <w:bottom w:val="nil"/>
              <w:right w:val="nil"/>
            </w:tcBorders>
            <w:shd w:val="clear" w:color="FFFFFF" w:fill="FFFFFF"/>
            <w:noWrap/>
            <w:vAlign w:val="bottom"/>
            <w:hideMark/>
          </w:tcPr>
          <w:p w14:paraId="4ECA9A0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 xml:space="preserve">Other </w:t>
            </w:r>
          </w:p>
        </w:tc>
        <w:tc>
          <w:tcPr>
            <w:tcW w:w="1276" w:type="dxa"/>
            <w:tcBorders>
              <w:top w:val="nil"/>
              <w:left w:val="nil"/>
              <w:bottom w:val="nil"/>
              <w:right w:val="nil"/>
            </w:tcBorders>
            <w:shd w:val="clear" w:color="FFFFFF" w:fill="FFFFFF"/>
            <w:noWrap/>
            <w:vAlign w:val="bottom"/>
            <w:hideMark/>
          </w:tcPr>
          <w:p w14:paraId="4D83204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16,536</w:t>
            </w:r>
          </w:p>
        </w:tc>
        <w:tc>
          <w:tcPr>
            <w:tcW w:w="283" w:type="dxa"/>
            <w:tcBorders>
              <w:top w:val="nil"/>
              <w:left w:val="nil"/>
              <w:bottom w:val="nil"/>
              <w:right w:val="nil"/>
            </w:tcBorders>
            <w:shd w:val="clear" w:color="FFFFFF" w:fill="FFFFFF"/>
            <w:noWrap/>
            <w:vAlign w:val="bottom"/>
            <w:hideMark/>
          </w:tcPr>
          <w:p w14:paraId="3A7A570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02697E7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11,242</w:t>
            </w:r>
          </w:p>
        </w:tc>
      </w:tr>
      <w:tr w:rsidR="00361BA1" w:rsidRPr="00361BA1" w14:paraId="2585330B" w14:textId="77777777" w:rsidTr="00361BA1">
        <w:trPr>
          <w:trHeight w:val="255"/>
        </w:trPr>
        <w:tc>
          <w:tcPr>
            <w:tcW w:w="6379" w:type="dxa"/>
            <w:tcBorders>
              <w:top w:val="nil"/>
              <w:left w:val="nil"/>
              <w:bottom w:val="nil"/>
              <w:right w:val="nil"/>
            </w:tcBorders>
            <w:shd w:val="clear" w:color="FFFFFF" w:fill="FFFFFF"/>
            <w:vAlign w:val="bottom"/>
            <w:hideMark/>
          </w:tcPr>
          <w:p w14:paraId="44945B1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services rendered</w:t>
            </w:r>
          </w:p>
        </w:tc>
        <w:tc>
          <w:tcPr>
            <w:tcW w:w="1276" w:type="dxa"/>
            <w:tcBorders>
              <w:top w:val="single" w:sz="4" w:space="0" w:color="auto"/>
              <w:left w:val="nil"/>
              <w:bottom w:val="single" w:sz="4" w:space="0" w:color="auto"/>
              <w:right w:val="nil"/>
            </w:tcBorders>
            <w:shd w:val="clear" w:color="FFFFFF" w:fill="FFFFFF"/>
            <w:noWrap/>
            <w:vAlign w:val="bottom"/>
            <w:hideMark/>
          </w:tcPr>
          <w:p w14:paraId="0A77319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508,467</w:t>
            </w:r>
          </w:p>
        </w:tc>
        <w:tc>
          <w:tcPr>
            <w:tcW w:w="283" w:type="dxa"/>
            <w:tcBorders>
              <w:top w:val="nil"/>
              <w:left w:val="nil"/>
              <w:bottom w:val="nil"/>
              <w:right w:val="nil"/>
            </w:tcBorders>
            <w:shd w:val="clear" w:color="FFFFFF" w:fill="FFFFFF"/>
            <w:noWrap/>
            <w:vAlign w:val="bottom"/>
            <w:hideMark/>
          </w:tcPr>
          <w:p w14:paraId="19B7069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1D857FD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490,253</w:t>
            </w:r>
          </w:p>
        </w:tc>
      </w:tr>
      <w:tr w:rsidR="00361BA1" w:rsidRPr="00361BA1" w14:paraId="2C7E753E" w14:textId="77777777" w:rsidTr="00361BA1">
        <w:trPr>
          <w:trHeight w:val="210"/>
        </w:trPr>
        <w:tc>
          <w:tcPr>
            <w:tcW w:w="6379" w:type="dxa"/>
            <w:tcBorders>
              <w:top w:val="nil"/>
              <w:left w:val="nil"/>
              <w:bottom w:val="nil"/>
              <w:right w:val="nil"/>
            </w:tcBorders>
            <w:shd w:val="clear" w:color="FFFFFF" w:fill="FFFFFF"/>
            <w:vAlign w:val="bottom"/>
            <w:hideMark/>
          </w:tcPr>
          <w:p w14:paraId="0203F6B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76" w:type="dxa"/>
            <w:tcBorders>
              <w:top w:val="nil"/>
              <w:left w:val="nil"/>
              <w:bottom w:val="nil"/>
              <w:right w:val="nil"/>
            </w:tcBorders>
            <w:shd w:val="clear" w:color="FFFFFF" w:fill="FFFFFF"/>
            <w:noWrap/>
            <w:vAlign w:val="bottom"/>
            <w:hideMark/>
          </w:tcPr>
          <w:p w14:paraId="6D1D0D3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83" w:type="dxa"/>
            <w:tcBorders>
              <w:top w:val="nil"/>
              <w:left w:val="nil"/>
              <w:bottom w:val="nil"/>
              <w:right w:val="nil"/>
            </w:tcBorders>
            <w:shd w:val="clear" w:color="FFFFFF" w:fill="FFFFFF"/>
            <w:noWrap/>
            <w:vAlign w:val="bottom"/>
            <w:hideMark/>
          </w:tcPr>
          <w:p w14:paraId="0E90FA6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6AE3494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17353088" w14:textId="77777777" w:rsidTr="00361BA1">
        <w:trPr>
          <w:trHeight w:val="255"/>
        </w:trPr>
        <w:tc>
          <w:tcPr>
            <w:tcW w:w="6379" w:type="dxa"/>
            <w:tcBorders>
              <w:top w:val="nil"/>
              <w:left w:val="nil"/>
              <w:bottom w:val="nil"/>
              <w:right w:val="nil"/>
            </w:tcBorders>
            <w:shd w:val="clear" w:color="FFFFFF" w:fill="FFFFFF"/>
            <w:vAlign w:val="bottom"/>
            <w:hideMark/>
          </w:tcPr>
          <w:p w14:paraId="0A64A69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Other suppliers</w:t>
            </w:r>
          </w:p>
        </w:tc>
        <w:tc>
          <w:tcPr>
            <w:tcW w:w="1276" w:type="dxa"/>
            <w:tcBorders>
              <w:top w:val="nil"/>
              <w:left w:val="nil"/>
              <w:bottom w:val="nil"/>
              <w:right w:val="nil"/>
            </w:tcBorders>
            <w:shd w:val="clear" w:color="FFFFFF" w:fill="FFFFFF"/>
            <w:noWrap/>
            <w:vAlign w:val="bottom"/>
            <w:hideMark/>
          </w:tcPr>
          <w:p w14:paraId="5256B06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62B9AA2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07C121A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05347C96" w14:textId="77777777" w:rsidTr="00361BA1">
        <w:trPr>
          <w:trHeight w:val="278"/>
        </w:trPr>
        <w:tc>
          <w:tcPr>
            <w:tcW w:w="6379" w:type="dxa"/>
            <w:tcBorders>
              <w:top w:val="nil"/>
              <w:left w:val="nil"/>
              <w:bottom w:val="nil"/>
              <w:right w:val="nil"/>
            </w:tcBorders>
            <w:shd w:val="clear" w:color="FFFFFF" w:fill="FFFFFF"/>
            <w:noWrap/>
            <w:vAlign w:val="bottom"/>
            <w:hideMark/>
          </w:tcPr>
          <w:p w14:paraId="6E93869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Operating lease expenses</w:t>
            </w:r>
            <w:r w:rsidRPr="00361BA1">
              <w:rPr>
                <w:rFonts w:eastAsia="Times New Roman"/>
                <w:sz w:val="18"/>
                <w:szCs w:val="18"/>
                <w:vertAlign w:val="superscript"/>
                <w:lang w:eastAsia="en-US"/>
              </w:rPr>
              <w:t>2</w:t>
            </w:r>
          </w:p>
        </w:tc>
        <w:tc>
          <w:tcPr>
            <w:tcW w:w="1276" w:type="dxa"/>
            <w:tcBorders>
              <w:top w:val="nil"/>
              <w:left w:val="nil"/>
              <w:bottom w:val="nil"/>
              <w:right w:val="nil"/>
            </w:tcBorders>
            <w:shd w:val="clear" w:color="FFFFFF" w:fill="FFFFFF"/>
            <w:noWrap/>
            <w:vAlign w:val="bottom"/>
            <w:hideMark/>
          </w:tcPr>
          <w:p w14:paraId="2C9FC0C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83" w:type="dxa"/>
            <w:tcBorders>
              <w:top w:val="nil"/>
              <w:left w:val="nil"/>
              <w:bottom w:val="nil"/>
              <w:right w:val="nil"/>
            </w:tcBorders>
            <w:shd w:val="clear" w:color="FFFFFF" w:fill="FFFFFF"/>
            <w:noWrap/>
            <w:vAlign w:val="bottom"/>
            <w:hideMark/>
          </w:tcPr>
          <w:p w14:paraId="07B43FE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903788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33,438</w:t>
            </w:r>
          </w:p>
        </w:tc>
      </w:tr>
      <w:tr w:rsidR="00361BA1" w:rsidRPr="00361BA1" w14:paraId="781172E2" w14:textId="77777777" w:rsidTr="00361BA1">
        <w:trPr>
          <w:trHeight w:val="255"/>
        </w:trPr>
        <w:tc>
          <w:tcPr>
            <w:tcW w:w="6379" w:type="dxa"/>
            <w:tcBorders>
              <w:top w:val="nil"/>
              <w:left w:val="nil"/>
              <w:bottom w:val="nil"/>
              <w:right w:val="nil"/>
            </w:tcBorders>
            <w:shd w:val="clear" w:color="FFFFFF" w:fill="FFFFFF"/>
            <w:noWrap/>
            <w:vAlign w:val="bottom"/>
            <w:hideMark/>
          </w:tcPr>
          <w:p w14:paraId="499C4548"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Short-term leases</w:t>
            </w:r>
          </w:p>
        </w:tc>
        <w:tc>
          <w:tcPr>
            <w:tcW w:w="1276" w:type="dxa"/>
            <w:tcBorders>
              <w:top w:val="nil"/>
              <w:left w:val="nil"/>
              <w:bottom w:val="nil"/>
              <w:right w:val="nil"/>
            </w:tcBorders>
            <w:shd w:val="clear" w:color="FFFFFF" w:fill="FFFFFF"/>
            <w:noWrap/>
            <w:vAlign w:val="bottom"/>
            <w:hideMark/>
          </w:tcPr>
          <w:p w14:paraId="0B1ABD3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6,563</w:t>
            </w:r>
          </w:p>
        </w:tc>
        <w:tc>
          <w:tcPr>
            <w:tcW w:w="283" w:type="dxa"/>
            <w:tcBorders>
              <w:top w:val="nil"/>
              <w:left w:val="nil"/>
              <w:bottom w:val="nil"/>
              <w:right w:val="nil"/>
            </w:tcBorders>
            <w:shd w:val="clear" w:color="FFFFFF" w:fill="FFFFFF"/>
            <w:noWrap/>
            <w:vAlign w:val="bottom"/>
            <w:hideMark/>
          </w:tcPr>
          <w:p w14:paraId="1BDA9E1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CEF6C1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2,047</w:t>
            </w:r>
          </w:p>
        </w:tc>
      </w:tr>
      <w:tr w:rsidR="00361BA1" w:rsidRPr="00361BA1" w14:paraId="3B6BCEC3" w14:textId="77777777" w:rsidTr="00361BA1">
        <w:trPr>
          <w:trHeight w:val="255"/>
        </w:trPr>
        <w:tc>
          <w:tcPr>
            <w:tcW w:w="6379" w:type="dxa"/>
            <w:tcBorders>
              <w:top w:val="nil"/>
              <w:left w:val="nil"/>
              <w:bottom w:val="nil"/>
              <w:right w:val="nil"/>
            </w:tcBorders>
            <w:shd w:val="clear" w:color="FFFFFF" w:fill="FFFFFF"/>
            <w:vAlign w:val="bottom"/>
            <w:hideMark/>
          </w:tcPr>
          <w:p w14:paraId="50713678"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Workers compensation expenses</w:t>
            </w:r>
          </w:p>
        </w:tc>
        <w:tc>
          <w:tcPr>
            <w:tcW w:w="1276" w:type="dxa"/>
            <w:tcBorders>
              <w:top w:val="nil"/>
              <w:left w:val="nil"/>
              <w:bottom w:val="nil"/>
              <w:right w:val="nil"/>
            </w:tcBorders>
            <w:shd w:val="clear" w:color="FFFFFF" w:fill="FFFFFF"/>
            <w:noWrap/>
            <w:vAlign w:val="bottom"/>
            <w:hideMark/>
          </w:tcPr>
          <w:p w14:paraId="224388D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1,485</w:t>
            </w:r>
          </w:p>
        </w:tc>
        <w:tc>
          <w:tcPr>
            <w:tcW w:w="283" w:type="dxa"/>
            <w:tcBorders>
              <w:top w:val="nil"/>
              <w:left w:val="nil"/>
              <w:bottom w:val="nil"/>
              <w:right w:val="nil"/>
            </w:tcBorders>
            <w:shd w:val="clear" w:color="FFFFFF" w:fill="FFFFFF"/>
            <w:noWrap/>
            <w:vAlign w:val="bottom"/>
            <w:hideMark/>
          </w:tcPr>
          <w:p w14:paraId="13E6560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067E6EC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2,664</w:t>
            </w:r>
          </w:p>
        </w:tc>
      </w:tr>
      <w:tr w:rsidR="00361BA1" w:rsidRPr="00361BA1" w14:paraId="2E3BBF6A" w14:textId="77777777" w:rsidTr="00361BA1">
        <w:trPr>
          <w:trHeight w:val="255"/>
        </w:trPr>
        <w:tc>
          <w:tcPr>
            <w:tcW w:w="6379" w:type="dxa"/>
            <w:tcBorders>
              <w:top w:val="nil"/>
              <w:left w:val="nil"/>
              <w:bottom w:val="nil"/>
              <w:right w:val="nil"/>
            </w:tcBorders>
            <w:shd w:val="clear" w:color="FFFFFF" w:fill="FFFFFF"/>
            <w:vAlign w:val="bottom"/>
            <w:hideMark/>
          </w:tcPr>
          <w:p w14:paraId="31E7D0D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suppliers</w:t>
            </w:r>
          </w:p>
        </w:tc>
        <w:tc>
          <w:tcPr>
            <w:tcW w:w="1276" w:type="dxa"/>
            <w:tcBorders>
              <w:top w:val="single" w:sz="4" w:space="0" w:color="auto"/>
              <w:left w:val="nil"/>
              <w:bottom w:val="single" w:sz="4" w:space="0" w:color="auto"/>
              <w:right w:val="nil"/>
            </w:tcBorders>
            <w:shd w:val="clear" w:color="FFFFFF" w:fill="FFFFFF"/>
            <w:noWrap/>
            <w:vAlign w:val="bottom"/>
            <w:hideMark/>
          </w:tcPr>
          <w:p w14:paraId="2544160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8,048</w:t>
            </w:r>
          </w:p>
        </w:tc>
        <w:tc>
          <w:tcPr>
            <w:tcW w:w="283" w:type="dxa"/>
            <w:tcBorders>
              <w:top w:val="nil"/>
              <w:left w:val="nil"/>
              <w:bottom w:val="nil"/>
              <w:right w:val="nil"/>
            </w:tcBorders>
            <w:shd w:val="clear" w:color="FFFFFF" w:fill="FFFFFF"/>
            <w:noWrap/>
            <w:vAlign w:val="bottom"/>
            <w:hideMark/>
          </w:tcPr>
          <w:p w14:paraId="400D2A4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541B168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38,149</w:t>
            </w:r>
          </w:p>
        </w:tc>
      </w:tr>
      <w:tr w:rsidR="00361BA1" w:rsidRPr="00361BA1" w14:paraId="73744287" w14:textId="77777777" w:rsidTr="00361BA1">
        <w:trPr>
          <w:trHeight w:val="255"/>
        </w:trPr>
        <w:tc>
          <w:tcPr>
            <w:tcW w:w="6379" w:type="dxa"/>
            <w:tcBorders>
              <w:top w:val="nil"/>
              <w:left w:val="nil"/>
              <w:bottom w:val="nil"/>
              <w:right w:val="nil"/>
            </w:tcBorders>
            <w:shd w:val="clear" w:color="FFFFFF" w:fill="FFFFFF"/>
            <w:vAlign w:val="bottom"/>
            <w:hideMark/>
          </w:tcPr>
          <w:p w14:paraId="452B09D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suppliers</w:t>
            </w:r>
          </w:p>
        </w:tc>
        <w:tc>
          <w:tcPr>
            <w:tcW w:w="1276" w:type="dxa"/>
            <w:tcBorders>
              <w:top w:val="nil"/>
              <w:left w:val="nil"/>
              <w:bottom w:val="single" w:sz="4" w:space="0" w:color="auto"/>
              <w:right w:val="nil"/>
            </w:tcBorders>
            <w:shd w:val="clear" w:color="FFFFFF" w:fill="FFFFFF"/>
            <w:noWrap/>
            <w:vAlign w:val="bottom"/>
            <w:hideMark/>
          </w:tcPr>
          <w:p w14:paraId="1F25701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516,515</w:t>
            </w:r>
          </w:p>
        </w:tc>
        <w:tc>
          <w:tcPr>
            <w:tcW w:w="283" w:type="dxa"/>
            <w:tcBorders>
              <w:top w:val="nil"/>
              <w:left w:val="nil"/>
              <w:bottom w:val="nil"/>
              <w:right w:val="nil"/>
            </w:tcBorders>
            <w:shd w:val="clear" w:color="FFFFFF" w:fill="FFFFFF"/>
            <w:noWrap/>
            <w:vAlign w:val="bottom"/>
            <w:hideMark/>
          </w:tcPr>
          <w:p w14:paraId="7A4B282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single" w:sz="4" w:space="0" w:color="auto"/>
              <w:right w:val="nil"/>
            </w:tcBorders>
            <w:shd w:val="clear" w:color="FFFFFF" w:fill="FFFFFF"/>
            <w:noWrap/>
            <w:vAlign w:val="bottom"/>
            <w:hideMark/>
          </w:tcPr>
          <w:p w14:paraId="304F762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528,402</w:t>
            </w:r>
          </w:p>
        </w:tc>
      </w:tr>
    </w:tbl>
    <w:tbl>
      <w:tblPr>
        <w:tblStyle w:val="TableGrid2"/>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ootnotes"/>
      </w:tblPr>
      <w:tblGrid>
        <w:gridCol w:w="184"/>
        <w:gridCol w:w="9030"/>
      </w:tblGrid>
      <w:tr w:rsidR="00361BA1" w:rsidRPr="00361BA1" w14:paraId="527E74F5" w14:textId="77777777" w:rsidTr="00D97797">
        <w:trPr>
          <w:trHeight w:val="825"/>
          <w:tblHeader/>
        </w:trPr>
        <w:tc>
          <w:tcPr>
            <w:tcW w:w="100" w:type="pct"/>
            <w:tcMar>
              <w:left w:w="0" w:type="dxa"/>
              <w:right w:w="0" w:type="dxa"/>
            </w:tcMar>
          </w:tcPr>
          <w:p w14:paraId="4E29341F" w14:textId="77777777" w:rsidR="00361BA1" w:rsidRPr="00361BA1" w:rsidRDefault="00361BA1" w:rsidP="00361BA1">
            <w:pPr>
              <w:spacing w:before="0" w:after="0" w:line="260" w:lineRule="atLeast"/>
              <w:ind w:left="0"/>
              <w:jc w:val="center"/>
              <w:rPr>
                <w:rFonts w:eastAsia="Calibri"/>
                <w:sz w:val="18"/>
                <w:szCs w:val="18"/>
                <w:vertAlign w:val="superscript"/>
                <w:lang w:eastAsia="en-US"/>
              </w:rPr>
            </w:pPr>
          </w:p>
          <w:p w14:paraId="1DC16580" w14:textId="77777777" w:rsidR="00361BA1" w:rsidRPr="00361BA1" w:rsidRDefault="00361BA1" w:rsidP="00361BA1">
            <w:pPr>
              <w:spacing w:before="0" w:after="0" w:line="260" w:lineRule="atLeast"/>
              <w:ind w:left="0"/>
              <w:jc w:val="center"/>
              <w:rPr>
                <w:rFonts w:ascii="Times New Roman" w:eastAsia="Times New Roman" w:hAnsi="Times New Roman" w:cs="Times New Roman"/>
                <w:lang w:eastAsia="en-US"/>
              </w:rPr>
            </w:pPr>
            <w:r w:rsidRPr="00361BA1">
              <w:rPr>
                <w:rFonts w:eastAsia="Calibri"/>
                <w:sz w:val="18"/>
                <w:szCs w:val="18"/>
                <w:vertAlign w:val="superscript"/>
                <w:lang w:eastAsia="en-US"/>
              </w:rPr>
              <w:t>1</w:t>
            </w:r>
          </w:p>
        </w:tc>
        <w:tc>
          <w:tcPr>
            <w:tcW w:w="4900" w:type="pct"/>
            <w:tcMar>
              <w:left w:w="0" w:type="dxa"/>
              <w:right w:w="0" w:type="dxa"/>
            </w:tcMar>
          </w:tcPr>
          <w:p w14:paraId="1F5FA9FB" w14:textId="77777777" w:rsidR="00361BA1" w:rsidRPr="00361BA1" w:rsidRDefault="00361BA1" w:rsidP="00361BA1">
            <w:pPr>
              <w:spacing w:before="0" w:after="0" w:line="260" w:lineRule="atLeast"/>
              <w:ind w:left="0"/>
              <w:rPr>
                <w:rFonts w:eastAsia="Times New Roman"/>
                <w:sz w:val="18"/>
                <w:szCs w:val="18"/>
                <w:lang w:eastAsia="en-US"/>
              </w:rPr>
            </w:pPr>
          </w:p>
          <w:p w14:paraId="3408CAC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Agency has in place Memoranda of Understanding that cover the provision of various administrative and operational support services provided by Services Australia and the Department of Social Services.</w:t>
            </w:r>
          </w:p>
          <w:p w14:paraId="50588199" w14:textId="77777777" w:rsidR="00361BA1" w:rsidRPr="00361BA1" w:rsidRDefault="00361BA1" w:rsidP="00361BA1">
            <w:pPr>
              <w:spacing w:before="0" w:after="0" w:line="260" w:lineRule="atLeast"/>
              <w:ind w:left="0"/>
              <w:rPr>
                <w:rFonts w:eastAsia="Times New Roman"/>
                <w:sz w:val="18"/>
                <w:szCs w:val="18"/>
                <w:lang w:eastAsia="en-US"/>
              </w:rPr>
            </w:pPr>
          </w:p>
          <w:p w14:paraId="6E7098BB" w14:textId="77777777" w:rsidR="00361BA1" w:rsidRPr="00361BA1" w:rsidRDefault="00361BA1" w:rsidP="00361BA1">
            <w:pPr>
              <w:spacing w:before="0" w:line="260" w:lineRule="atLeast"/>
              <w:ind w:left="0"/>
              <w:rPr>
                <w:rFonts w:eastAsia="Times New Roman"/>
                <w:sz w:val="18"/>
                <w:szCs w:val="18"/>
                <w:lang w:eastAsia="en-US"/>
              </w:rPr>
            </w:pPr>
            <w:r w:rsidRPr="00361BA1">
              <w:rPr>
                <w:rFonts w:eastAsia="Calibri"/>
                <w:sz w:val="18"/>
                <w:szCs w:val="18"/>
                <w:vertAlign w:val="superscript"/>
                <w:lang w:eastAsia="en-US"/>
              </w:rPr>
              <w:t xml:space="preserve">2 </w:t>
            </w:r>
            <w:r w:rsidRPr="00361BA1">
              <w:rPr>
                <w:rFonts w:eastAsia="Times New Roman"/>
                <w:sz w:val="18"/>
                <w:szCs w:val="18"/>
                <w:lang w:eastAsia="en-US"/>
              </w:rPr>
              <w:t>The Agency has applied AASB 16 using the modified retrospective approach and therefore the comparative information has not been restated and continues to be reported under AASB 117.</w:t>
            </w:r>
          </w:p>
          <w:p w14:paraId="70A02914" w14:textId="77777777" w:rsidR="00361BA1" w:rsidRPr="00361BA1" w:rsidRDefault="00361BA1" w:rsidP="00361BA1">
            <w:pPr>
              <w:ind w:left="0"/>
              <w:rPr>
                <w:rFonts w:eastAsia="Times New Roman"/>
                <w:sz w:val="18"/>
                <w:szCs w:val="18"/>
                <w:lang w:eastAsia="en-US"/>
              </w:rPr>
            </w:pPr>
            <w:r w:rsidRPr="00361BA1">
              <w:rPr>
                <w:rFonts w:eastAsia="Times New Roman"/>
                <w:sz w:val="18"/>
                <w:szCs w:val="18"/>
                <w:lang w:eastAsia="en-US"/>
              </w:rPr>
              <w:t>The Agency has short-term lease commitments of $0.018m as at 30 June 2020.</w:t>
            </w:r>
          </w:p>
          <w:p w14:paraId="4B54DAE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above lease disclosures should be read in conjunction with the accompanying notes 1.1D, 1.2B, 2.2A and 2.5.</w:t>
            </w:r>
          </w:p>
          <w:p w14:paraId="115DB1E6" w14:textId="77777777" w:rsidR="00361BA1" w:rsidRPr="00361BA1" w:rsidRDefault="00361BA1" w:rsidP="00361BA1">
            <w:pPr>
              <w:spacing w:before="0" w:after="0" w:line="260" w:lineRule="atLeast"/>
              <w:ind w:left="0"/>
              <w:rPr>
                <w:rFonts w:eastAsia="Times New Roman"/>
                <w:sz w:val="18"/>
                <w:szCs w:val="18"/>
                <w:lang w:eastAsia="en-US"/>
              </w:rPr>
            </w:pPr>
          </w:p>
        </w:tc>
      </w:tr>
    </w:tbl>
    <w:p w14:paraId="5859C1E1" w14:textId="77777777" w:rsidR="00361BA1" w:rsidRPr="00361BA1" w:rsidRDefault="00361BA1" w:rsidP="00361BA1">
      <w:pPr>
        <w:spacing w:before="0" w:after="80"/>
        <w:ind w:left="0"/>
        <w:rPr>
          <w:rFonts w:eastAsia="Times New Roman" w:cs="Times New Roman"/>
          <w:sz w:val="18"/>
          <w:szCs w:val="20"/>
          <w:highlight w:val="yellow"/>
          <w:lang w:eastAsia="en-AU"/>
        </w:rPr>
      </w:pPr>
    </w:p>
    <w:p w14:paraId="066FBDA4" w14:textId="77777777" w:rsidR="00361BA1" w:rsidRPr="00361BA1" w:rsidRDefault="00361BA1" w:rsidP="00361BA1">
      <w:pPr>
        <w:spacing w:before="0" w:after="80"/>
        <w:ind w:left="0"/>
        <w:rPr>
          <w:rFonts w:eastAsia="Times New Roman" w:cs="Times New Roman"/>
          <w:sz w:val="18"/>
          <w:szCs w:val="20"/>
          <w:highlight w:val="yellow"/>
          <w:lang w:eastAsia="en-AU"/>
        </w:rPr>
      </w:pPr>
    </w:p>
    <w:p w14:paraId="07CAFB72" w14:textId="77777777" w:rsidR="00361BA1" w:rsidRPr="00361BA1" w:rsidRDefault="00361BA1" w:rsidP="00361BA1">
      <w:pPr>
        <w:spacing w:before="0" w:after="80"/>
        <w:ind w:left="0"/>
        <w:rPr>
          <w:rFonts w:eastAsia="Times New Roman" w:cs="Times New Roman"/>
          <w:sz w:val="18"/>
          <w:szCs w:val="20"/>
          <w:highlight w:val="yellow"/>
          <w:lang w:eastAsia="en-AU"/>
        </w:rPr>
      </w:pPr>
    </w:p>
    <w:p w14:paraId="111D071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lastRenderedPageBreak/>
        <w:t>Accounting Policy</w:t>
      </w:r>
    </w:p>
    <w:p w14:paraId="21A63D4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u w:val="single"/>
          <w:lang w:eastAsia="en-US"/>
        </w:rPr>
      </w:pPr>
      <w:r w:rsidRPr="00361BA1">
        <w:rPr>
          <w:rFonts w:eastAsia="Times New Roman"/>
          <w:bCs/>
          <w:sz w:val="18"/>
          <w:szCs w:val="18"/>
          <w:u w:val="single"/>
          <w:lang w:eastAsia="en-US"/>
        </w:rPr>
        <w:t>Short-term leases and leases of low-value assets</w:t>
      </w:r>
    </w:p>
    <w:p w14:paraId="01887AB3"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The Agency has elected not to recognise right-of-use assets and lease liabilities for short-term leases of assets that have a lease term of 12 months or less and leases of low-value assets (less than $10,000). The Agency recognises the lease payments associated with these leases as an expense on a straight-line basis over the lease term. </w:t>
      </w:r>
      <w:r w:rsidRPr="00361BA1">
        <w:rPr>
          <w:rFonts w:eastAsia="Times New Roman"/>
          <w:bCs/>
          <w:strike/>
          <w:color w:val="FF0000"/>
          <w:sz w:val="10"/>
          <w:szCs w:val="18"/>
          <w:lang w:eastAsia="en-US"/>
        </w:rPr>
        <w:t xml:space="preserve"> </w:t>
      </w: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0399B1AA" w14:textId="77777777" w:rsidTr="00361BA1">
        <w:trPr>
          <w:trHeight w:val="240"/>
        </w:trPr>
        <w:tc>
          <w:tcPr>
            <w:tcW w:w="6367" w:type="dxa"/>
            <w:tcBorders>
              <w:top w:val="nil"/>
              <w:left w:val="nil"/>
              <w:bottom w:val="nil"/>
              <w:right w:val="nil"/>
            </w:tcBorders>
            <w:shd w:val="clear" w:color="FFFFFF" w:fill="FFFFFF"/>
            <w:noWrap/>
            <w:vAlign w:val="bottom"/>
            <w:hideMark/>
          </w:tcPr>
          <w:p w14:paraId="6BD7CC36" w14:textId="77777777" w:rsidR="00361BA1" w:rsidRPr="00361BA1" w:rsidRDefault="00361BA1" w:rsidP="00361BA1">
            <w:pPr>
              <w:spacing w:before="0" w:after="0" w:line="260" w:lineRule="atLeast"/>
              <w:ind w:left="0"/>
              <w:rPr>
                <w:rFonts w:eastAsia="Times New Roman"/>
                <w:sz w:val="18"/>
                <w:szCs w:val="18"/>
                <w:lang w:eastAsia="en-US"/>
              </w:rPr>
            </w:pPr>
            <w:bookmarkStart w:id="45" w:name="Note_GRX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50C233B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4547FCA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5B388F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45"/>
      <w:tr w:rsidR="00361BA1" w:rsidRPr="00361BA1" w14:paraId="1B9D6319" w14:textId="77777777" w:rsidTr="00361BA1">
        <w:trPr>
          <w:trHeight w:val="255"/>
        </w:trPr>
        <w:tc>
          <w:tcPr>
            <w:tcW w:w="6367" w:type="dxa"/>
            <w:tcBorders>
              <w:top w:val="nil"/>
              <w:left w:val="nil"/>
              <w:bottom w:val="nil"/>
              <w:right w:val="nil"/>
            </w:tcBorders>
            <w:shd w:val="clear" w:color="FFFFFF" w:fill="FFFFFF"/>
            <w:noWrap/>
            <w:vAlign w:val="bottom"/>
            <w:hideMark/>
          </w:tcPr>
          <w:p w14:paraId="3A418313"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1.1C: Grants</w:t>
            </w:r>
          </w:p>
        </w:tc>
        <w:tc>
          <w:tcPr>
            <w:tcW w:w="1246" w:type="dxa"/>
            <w:tcBorders>
              <w:top w:val="nil"/>
              <w:left w:val="nil"/>
              <w:bottom w:val="nil"/>
              <w:right w:val="nil"/>
            </w:tcBorders>
            <w:shd w:val="clear" w:color="FFFFFF" w:fill="FFFFFF"/>
            <w:noWrap/>
            <w:vAlign w:val="bottom"/>
            <w:hideMark/>
          </w:tcPr>
          <w:p w14:paraId="7E4E523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1DB4A11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59476C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4CA3A43A" w14:textId="77777777" w:rsidTr="00361BA1">
        <w:trPr>
          <w:trHeight w:val="255"/>
        </w:trPr>
        <w:tc>
          <w:tcPr>
            <w:tcW w:w="6367" w:type="dxa"/>
            <w:tcBorders>
              <w:top w:val="nil"/>
              <w:left w:val="nil"/>
              <w:bottom w:val="nil"/>
              <w:right w:val="nil"/>
            </w:tcBorders>
            <w:shd w:val="clear" w:color="FFFFFF" w:fill="FFFFFF"/>
            <w:noWrap/>
            <w:vAlign w:val="bottom"/>
            <w:hideMark/>
          </w:tcPr>
          <w:p w14:paraId="7FEF6F6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Public sector</w:t>
            </w:r>
          </w:p>
        </w:tc>
        <w:tc>
          <w:tcPr>
            <w:tcW w:w="1246" w:type="dxa"/>
            <w:tcBorders>
              <w:top w:val="nil"/>
              <w:left w:val="nil"/>
              <w:bottom w:val="nil"/>
              <w:right w:val="nil"/>
            </w:tcBorders>
            <w:shd w:val="clear" w:color="FFFFFF" w:fill="FFFFFF"/>
            <w:noWrap/>
            <w:vAlign w:val="bottom"/>
            <w:hideMark/>
          </w:tcPr>
          <w:p w14:paraId="1F919A89" w14:textId="77777777" w:rsidR="00361BA1" w:rsidRPr="00361BA1" w:rsidRDefault="00361BA1" w:rsidP="00361BA1">
            <w:pPr>
              <w:spacing w:before="0" w:after="0" w:line="260" w:lineRule="atLeast"/>
              <w:ind w:left="0"/>
              <w:jc w:val="right"/>
              <w:rPr>
                <w:rFonts w:eastAsia="Times New Roman"/>
                <w:b/>
                <w:bCs/>
                <w:color w:val="F7FBFF"/>
                <w:sz w:val="18"/>
                <w:szCs w:val="18"/>
                <w:lang w:eastAsia="en-US"/>
              </w:rPr>
            </w:pPr>
            <w:r w:rsidRPr="00361BA1">
              <w:rPr>
                <w:rFonts w:eastAsia="Times New Roman"/>
                <w:b/>
                <w:bCs/>
                <w:color w:val="F7FBFF"/>
                <w:sz w:val="18"/>
                <w:szCs w:val="18"/>
                <w:lang w:eastAsia="en-US"/>
              </w:rPr>
              <w:t> </w:t>
            </w:r>
          </w:p>
        </w:tc>
        <w:tc>
          <w:tcPr>
            <w:tcW w:w="236" w:type="dxa"/>
            <w:tcBorders>
              <w:top w:val="nil"/>
              <w:left w:val="nil"/>
              <w:bottom w:val="nil"/>
              <w:right w:val="nil"/>
            </w:tcBorders>
            <w:shd w:val="clear" w:color="FFFFFF" w:fill="FFFFFF"/>
            <w:noWrap/>
            <w:vAlign w:val="bottom"/>
            <w:hideMark/>
          </w:tcPr>
          <w:p w14:paraId="2FE244A0" w14:textId="77777777" w:rsidR="00361BA1" w:rsidRPr="00361BA1" w:rsidRDefault="00361BA1" w:rsidP="00361BA1">
            <w:pPr>
              <w:spacing w:before="0" w:after="0" w:line="260" w:lineRule="atLeast"/>
              <w:ind w:left="0"/>
              <w:rPr>
                <w:rFonts w:eastAsia="Times New Roman"/>
                <w:color w:val="F7FBFF"/>
                <w:sz w:val="18"/>
                <w:szCs w:val="18"/>
                <w:lang w:eastAsia="en-US"/>
              </w:rPr>
            </w:pPr>
            <w:r w:rsidRPr="00361BA1">
              <w:rPr>
                <w:rFonts w:eastAsia="Times New Roman"/>
                <w:color w:val="F7FBFF"/>
                <w:sz w:val="18"/>
                <w:szCs w:val="18"/>
                <w:lang w:eastAsia="en-US"/>
              </w:rPr>
              <w:t> </w:t>
            </w:r>
          </w:p>
        </w:tc>
        <w:tc>
          <w:tcPr>
            <w:tcW w:w="1238" w:type="dxa"/>
            <w:tcBorders>
              <w:top w:val="nil"/>
              <w:left w:val="nil"/>
              <w:bottom w:val="nil"/>
              <w:right w:val="nil"/>
            </w:tcBorders>
            <w:shd w:val="clear" w:color="FFFFFF" w:fill="FFFFFF"/>
            <w:noWrap/>
            <w:vAlign w:val="bottom"/>
            <w:hideMark/>
          </w:tcPr>
          <w:p w14:paraId="166F7336" w14:textId="77777777" w:rsidR="00361BA1" w:rsidRPr="00361BA1" w:rsidRDefault="00361BA1" w:rsidP="00361BA1">
            <w:pPr>
              <w:spacing w:before="0" w:after="0" w:line="260" w:lineRule="atLeast"/>
              <w:ind w:left="0"/>
              <w:jc w:val="right"/>
              <w:rPr>
                <w:rFonts w:eastAsia="Times New Roman"/>
                <w:color w:val="F7FBFF"/>
                <w:sz w:val="18"/>
                <w:szCs w:val="18"/>
                <w:lang w:eastAsia="en-US"/>
              </w:rPr>
            </w:pPr>
            <w:r w:rsidRPr="00361BA1">
              <w:rPr>
                <w:rFonts w:eastAsia="Times New Roman"/>
                <w:color w:val="F7FBFF"/>
                <w:sz w:val="18"/>
                <w:szCs w:val="18"/>
                <w:lang w:eastAsia="en-US"/>
              </w:rPr>
              <w:t> </w:t>
            </w:r>
          </w:p>
        </w:tc>
      </w:tr>
      <w:tr w:rsidR="00361BA1" w:rsidRPr="00361BA1" w14:paraId="4514D453" w14:textId="77777777" w:rsidTr="00361BA1">
        <w:trPr>
          <w:trHeight w:val="255"/>
        </w:trPr>
        <w:tc>
          <w:tcPr>
            <w:tcW w:w="6367" w:type="dxa"/>
            <w:tcBorders>
              <w:top w:val="nil"/>
              <w:left w:val="nil"/>
              <w:bottom w:val="nil"/>
              <w:right w:val="nil"/>
            </w:tcBorders>
            <w:shd w:val="clear" w:color="FFFFFF" w:fill="FFFFFF"/>
            <w:noWrap/>
            <w:vAlign w:val="bottom"/>
            <w:hideMark/>
          </w:tcPr>
          <w:p w14:paraId="3CE01518"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State and territory governments</w:t>
            </w:r>
          </w:p>
        </w:tc>
        <w:tc>
          <w:tcPr>
            <w:tcW w:w="1246" w:type="dxa"/>
            <w:tcBorders>
              <w:top w:val="nil"/>
              <w:left w:val="nil"/>
              <w:bottom w:val="nil"/>
              <w:right w:val="nil"/>
            </w:tcBorders>
            <w:shd w:val="clear" w:color="FFFFFF" w:fill="FFFFFF"/>
            <w:noWrap/>
            <w:vAlign w:val="bottom"/>
            <w:hideMark/>
          </w:tcPr>
          <w:p w14:paraId="7B96134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10,902</w:t>
            </w:r>
          </w:p>
        </w:tc>
        <w:tc>
          <w:tcPr>
            <w:tcW w:w="236" w:type="dxa"/>
            <w:tcBorders>
              <w:top w:val="nil"/>
              <w:left w:val="nil"/>
              <w:bottom w:val="nil"/>
              <w:right w:val="nil"/>
            </w:tcBorders>
            <w:shd w:val="clear" w:color="FFFFFF" w:fill="FFFFFF"/>
            <w:noWrap/>
            <w:vAlign w:val="bottom"/>
            <w:hideMark/>
          </w:tcPr>
          <w:p w14:paraId="476DA72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4B1D3B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60,601</w:t>
            </w:r>
          </w:p>
        </w:tc>
      </w:tr>
      <w:tr w:rsidR="00361BA1" w:rsidRPr="00361BA1" w14:paraId="7A5D826B" w14:textId="77777777" w:rsidTr="00361BA1">
        <w:trPr>
          <w:trHeight w:val="255"/>
        </w:trPr>
        <w:tc>
          <w:tcPr>
            <w:tcW w:w="6367" w:type="dxa"/>
            <w:tcBorders>
              <w:top w:val="nil"/>
              <w:left w:val="nil"/>
              <w:bottom w:val="nil"/>
              <w:right w:val="nil"/>
            </w:tcBorders>
            <w:shd w:val="clear" w:color="FFFFFF" w:fill="FFFFFF"/>
            <w:noWrap/>
            <w:vAlign w:val="bottom"/>
            <w:hideMark/>
          </w:tcPr>
          <w:p w14:paraId="4B2245C0"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Local governments</w:t>
            </w:r>
          </w:p>
        </w:tc>
        <w:tc>
          <w:tcPr>
            <w:tcW w:w="1246" w:type="dxa"/>
            <w:tcBorders>
              <w:top w:val="nil"/>
              <w:left w:val="nil"/>
              <w:bottom w:val="nil"/>
              <w:right w:val="nil"/>
            </w:tcBorders>
            <w:shd w:val="clear" w:color="FFFFFF" w:fill="FFFFFF"/>
            <w:noWrap/>
            <w:vAlign w:val="bottom"/>
            <w:hideMark/>
          </w:tcPr>
          <w:p w14:paraId="7CDAA92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533</w:t>
            </w:r>
          </w:p>
        </w:tc>
        <w:tc>
          <w:tcPr>
            <w:tcW w:w="236" w:type="dxa"/>
            <w:tcBorders>
              <w:top w:val="nil"/>
              <w:left w:val="nil"/>
              <w:bottom w:val="nil"/>
              <w:right w:val="nil"/>
            </w:tcBorders>
            <w:shd w:val="clear" w:color="FFFFFF" w:fill="FFFFFF"/>
            <w:noWrap/>
            <w:vAlign w:val="bottom"/>
            <w:hideMark/>
          </w:tcPr>
          <w:p w14:paraId="6B98CF5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056BB5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317</w:t>
            </w:r>
          </w:p>
        </w:tc>
      </w:tr>
      <w:tr w:rsidR="00361BA1" w:rsidRPr="00361BA1" w14:paraId="727F6AC2" w14:textId="77777777" w:rsidTr="00361BA1">
        <w:trPr>
          <w:trHeight w:val="255"/>
        </w:trPr>
        <w:tc>
          <w:tcPr>
            <w:tcW w:w="6367" w:type="dxa"/>
            <w:tcBorders>
              <w:top w:val="nil"/>
              <w:left w:val="nil"/>
              <w:bottom w:val="nil"/>
              <w:right w:val="nil"/>
            </w:tcBorders>
            <w:shd w:val="clear" w:color="FFFFFF" w:fill="FFFFFF"/>
            <w:noWrap/>
            <w:vAlign w:val="bottom"/>
            <w:hideMark/>
          </w:tcPr>
          <w:p w14:paraId="70613B34"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Private sector</w:t>
            </w:r>
          </w:p>
        </w:tc>
        <w:tc>
          <w:tcPr>
            <w:tcW w:w="1246" w:type="dxa"/>
            <w:tcBorders>
              <w:top w:val="nil"/>
              <w:left w:val="nil"/>
              <w:bottom w:val="nil"/>
              <w:right w:val="nil"/>
            </w:tcBorders>
            <w:shd w:val="clear" w:color="FFFFFF" w:fill="FFFFFF"/>
            <w:noWrap/>
            <w:vAlign w:val="bottom"/>
            <w:hideMark/>
          </w:tcPr>
          <w:p w14:paraId="5D292F4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0088F1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366315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7F22F78D" w14:textId="77777777" w:rsidTr="00361BA1">
        <w:trPr>
          <w:trHeight w:val="255"/>
        </w:trPr>
        <w:tc>
          <w:tcPr>
            <w:tcW w:w="6367" w:type="dxa"/>
            <w:tcBorders>
              <w:top w:val="nil"/>
              <w:left w:val="nil"/>
              <w:bottom w:val="nil"/>
              <w:right w:val="nil"/>
            </w:tcBorders>
            <w:shd w:val="clear" w:color="FFFFFF" w:fill="FFFFFF"/>
            <w:noWrap/>
            <w:vAlign w:val="bottom"/>
            <w:hideMark/>
          </w:tcPr>
          <w:p w14:paraId="1D2F8F5D"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For profit organisations</w:t>
            </w:r>
          </w:p>
        </w:tc>
        <w:tc>
          <w:tcPr>
            <w:tcW w:w="1246" w:type="dxa"/>
            <w:tcBorders>
              <w:top w:val="nil"/>
              <w:left w:val="nil"/>
              <w:bottom w:val="nil"/>
              <w:right w:val="nil"/>
            </w:tcBorders>
            <w:shd w:val="clear" w:color="FFFFFF" w:fill="FFFFFF"/>
            <w:noWrap/>
            <w:vAlign w:val="bottom"/>
            <w:hideMark/>
          </w:tcPr>
          <w:p w14:paraId="449B921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7,839</w:t>
            </w:r>
          </w:p>
        </w:tc>
        <w:tc>
          <w:tcPr>
            <w:tcW w:w="236" w:type="dxa"/>
            <w:tcBorders>
              <w:top w:val="nil"/>
              <w:left w:val="nil"/>
              <w:bottom w:val="nil"/>
              <w:right w:val="nil"/>
            </w:tcBorders>
            <w:shd w:val="clear" w:color="FFFFFF" w:fill="FFFFFF"/>
            <w:noWrap/>
            <w:vAlign w:val="bottom"/>
            <w:hideMark/>
          </w:tcPr>
          <w:p w14:paraId="1F3F614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D82D49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1,570</w:t>
            </w:r>
          </w:p>
        </w:tc>
      </w:tr>
      <w:tr w:rsidR="00361BA1" w:rsidRPr="00361BA1" w14:paraId="523B21D9" w14:textId="77777777" w:rsidTr="00361BA1">
        <w:trPr>
          <w:trHeight w:val="259"/>
        </w:trPr>
        <w:tc>
          <w:tcPr>
            <w:tcW w:w="6367" w:type="dxa"/>
            <w:tcBorders>
              <w:top w:val="nil"/>
              <w:left w:val="nil"/>
              <w:bottom w:val="nil"/>
              <w:right w:val="nil"/>
            </w:tcBorders>
            <w:shd w:val="clear" w:color="FFFFFF" w:fill="FFFFFF"/>
            <w:noWrap/>
            <w:vAlign w:val="bottom"/>
            <w:hideMark/>
          </w:tcPr>
          <w:p w14:paraId="7B7FD3BB"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Not for profit organisations</w:t>
            </w:r>
          </w:p>
        </w:tc>
        <w:tc>
          <w:tcPr>
            <w:tcW w:w="1246" w:type="dxa"/>
            <w:tcBorders>
              <w:top w:val="nil"/>
              <w:left w:val="nil"/>
              <w:bottom w:val="nil"/>
              <w:right w:val="nil"/>
            </w:tcBorders>
            <w:shd w:val="clear" w:color="FFFFFF" w:fill="FFFFFF"/>
            <w:noWrap/>
            <w:vAlign w:val="bottom"/>
            <w:hideMark/>
          </w:tcPr>
          <w:p w14:paraId="71EAA25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115,405</w:t>
            </w:r>
          </w:p>
        </w:tc>
        <w:tc>
          <w:tcPr>
            <w:tcW w:w="236" w:type="dxa"/>
            <w:tcBorders>
              <w:top w:val="nil"/>
              <w:left w:val="nil"/>
              <w:bottom w:val="nil"/>
              <w:right w:val="nil"/>
            </w:tcBorders>
            <w:shd w:val="clear" w:color="FFFFFF" w:fill="FFFFFF"/>
            <w:noWrap/>
            <w:vAlign w:val="bottom"/>
            <w:hideMark/>
          </w:tcPr>
          <w:p w14:paraId="5162FC1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D6DA40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48,730</w:t>
            </w:r>
          </w:p>
        </w:tc>
      </w:tr>
      <w:tr w:rsidR="00361BA1" w:rsidRPr="00361BA1" w14:paraId="14C559A1" w14:textId="77777777" w:rsidTr="00361BA1">
        <w:trPr>
          <w:trHeight w:val="255"/>
        </w:trPr>
        <w:tc>
          <w:tcPr>
            <w:tcW w:w="6367" w:type="dxa"/>
            <w:tcBorders>
              <w:top w:val="nil"/>
              <w:left w:val="nil"/>
              <w:bottom w:val="nil"/>
              <w:right w:val="nil"/>
            </w:tcBorders>
            <w:shd w:val="clear" w:color="FFFFFF" w:fill="FFFFFF"/>
            <w:vAlign w:val="bottom"/>
            <w:hideMark/>
          </w:tcPr>
          <w:p w14:paraId="418E523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grants</w:t>
            </w:r>
          </w:p>
        </w:tc>
        <w:tc>
          <w:tcPr>
            <w:tcW w:w="1246" w:type="dxa"/>
            <w:tcBorders>
              <w:top w:val="single" w:sz="4" w:space="0" w:color="auto"/>
              <w:left w:val="nil"/>
              <w:bottom w:val="single" w:sz="4" w:space="0" w:color="auto"/>
              <w:right w:val="nil"/>
            </w:tcBorders>
            <w:shd w:val="clear" w:color="FFFFFF" w:fill="FFFFFF"/>
            <w:noWrap/>
            <w:vAlign w:val="bottom"/>
            <w:hideMark/>
          </w:tcPr>
          <w:p w14:paraId="0BF5777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134,679</w:t>
            </w:r>
          </w:p>
        </w:tc>
        <w:tc>
          <w:tcPr>
            <w:tcW w:w="236" w:type="dxa"/>
            <w:tcBorders>
              <w:top w:val="nil"/>
              <w:left w:val="nil"/>
              <w:bottom w:val="nil"/>
              <w:right w:val="nil"/>
            </w:tcBorders>
            <w:shd w:val="clear" w:color="FFFFFF" w:fill="FFFFFF"/>
            <w:noWrap/>
            <w:vAlign w:val="bottom"/>
            <w:hideMark/>
          </w:tcPr>
          <w:p w14:paraId="62F464B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54C7EC6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111,218</w:t>
            </w:r>
          </w:p>
        </w:tc>
      </w:tr>
      <w:tr w:rsidR="00361BA1" w:rsidRPr="00361BA1" w14:paraId="7C8AFDA5" w14:textId="77777777" w:rsidTr="00361BA1">
        <w:trPr>
          <w:trHeight w:val="255"/>
        </w:trPr>
        <w:tc>
          <w:tcPr>
            <w:tcW w:w="6367" w:type="dxa"/>
            <w:tcBorders>
              <w:top w:val="nil"/>
              <w:left w:val="nil"/>
              <w:bottom w:val="nil"/>
              <w:right w:val="nil"/>
            </w:tcBorders>
            <w:shd w:val="clear" w:color="FFFFFF" w:fill="FFFFFF"/>
            <w:vAlign w:val="bottom"/>
            <w:hideMark/>
          </w:tcPr>
          <w:p w14:paraId="720C350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46" w:type="dxa"/>
            <w:tcBorders>
              <w:top w:val="nil"/>
              <w:left w:val="nil"/>
              <w:bottom w:val="nil"/>
              <w:right w:val="nil"/>
            </w:tcBorders>
            <w:shd w:val="clear" w:color="FFFFFF" w:fill="FFFFFF"/>
            <w:noWrap/>
            <w:vAlign w:val="bottom"/>
            <w:hideMark/>
          </w:tcPr>
          <w:p w14:paraId="595B289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930AA4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B0150F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3B4F488D" w14:textId="77777777" w:rsidTr="00361BA1">
        <w:trPr>
          <w:trHeight w:val="762"/>
        </w:trPr>
        <w:tc>
          <w:tcPr>
            <w:tcW w:w="9087" w:type="dxa"/>
            <w:gridSpan w:val="4"/>
            <w:tcBorders>
              <w:top w:val="nil"/>
              <w:left w:val="nil"/>
              <w:bottom w:val="nil"/>
              <w:right w:val="nil"/>
            </w:tcBorders>
            <w:shd w:val="clear" w:color="FFFFFF" w:fill="FFFFFF"/>
            <w:hideMark/>
          </w:tcPr>
          <w:p w14:paraId="7B31A9E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Agency provides a range of grants to the disability sector and the community in order to promote improved outcomes for people with a disability, their families and their carers. These grants relate to a range of projects including disability research, increased social and community participation, innovation and education.</w:t>
            </w:r>
          </w:p>
        </w:tc>
      </w:tr>
    </w:tbl>
    <w:p w14:paraId="6B9F1007" w14:textId="77777777" w:rsidR="00361BA1" w:rsidRPr="00361BA1" w:rsidRDefault="00361BA1" w:rsidP="00361BA1">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6CD8C894" w14:textId="77777777" w:rsidTr="00361BA1">
        <w:trPr>
          <w:trHeight w:val="255"/>
        </w:trPr>
        <w:tc>
          <w:tcPr>
            <w:tcW w:w="6367" w:type="dxa"/>
            <w:tcBorders>
              <w:top w:val="nil"/>
              <w:left w:val="nil"/>
              <w:bottom w:val="nil"/>
              <w:right w:val="nil"/>
            </w:tcBorders>
            <w:shd w:val="clear" w:color="FFFFFF" w:fill="FFFFFF"/>
            <w:noWrap/>
            <w:vAlign w:val="bottom"/>
            <w:hideMark/>
          </w:tcPr>
          <w:p w14:paraId="5036CF55"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46" w:name="Note_FCETABLE1" w:colFirst="0" w:colLast="0"/>
            <w:r w:rsidRPr="00361BA1">
              <w:rPr>
                <w:rFonts w:eastAsia="Times New Roman"/>
                <w:b/>
                <w:bCs/>
                <w:sz w:val="18"/>
                <w:szCs w:val="18"/>
                <w:u w:val="single"/>
                <w:lang w:eastAsia="en-US"/>
              </w:rPr>
              <w:t>Note 1.1D: Finance costs</w:t>
            </w:r>
          </w:p>
        </w:tc>
        <w:tc>
          <w:tcPr>
            <w:tcW w:w="1246" w:type="dxa"/>
            <w:tcBorders>
              <w:top w:val="nil"/>
              <w:left w:val="nil"/>
              <w:bottom w:val="nil"/>
              <w:right w:val="nil"/>
            </w:tcBorders>
            <w:shd w:val="clear" w:color="FFFFFF" w:fill="FFFFFF"/>
            <w:noWrap/>
            <w:vAlign w:val="bottom"/>
            <w:hideMark/>
          </w:tcPr>
          <w:p w14:paraId="61BCD43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425D76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AC5AF0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46"/>
      <w:tr w:rsidR="00361BA1" w:rsidRPr="00361BA1" w14:paraId="6F0ADD0A" w14:textId="77777777" w:rsidTr="00361BA1">
        <w:trPr>
          <w:trHeight w:val="278"/>
        </w:trPr>
        <w:tc>
          <w:tcPr>
            <w:tcW w:w="6367" w:type="dxa"/>
            <w:tcBorders>
              <w:top w:val="nil"/>
              <w:left w:val="nil"/>
              <w:bottom w:val="nil"/>
              <w:right w:val="nil"/>
            </w:tcBorders>
            <w:shd w:val="clear" w:color="FFFFFF" w:fill="FFFFFF"/>
            <w:vAlign w:val="bottom"/>
            <w:hideMark/>
          </w:tcPr>
          <w:p w14:paraId="5393CD9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Interest on lease liabilities</w:t>
            </w:r>
            <w:r w:rsidRPr="00361BA1">
              <w:rPr>
                <w:rFonts w:eastAsia="Times New Roman"/>
                <w:sz w:val="18"/>
                <w:szCs w:val="18"/>
                <w:vertAlign w:val="superscript"/>
                <w:lang w:eastAsia="en-US"/>
              </w:rPr>
              <w:t>1</w:t>
            </w:r>
          </w:p>
        </w:tc>
        <w:tc>
          <w:tcPr>
            <w:tcW w:w="1246" w:type="dxa"/>
            <w:tcBorders>
              <w:top w:val="nil"/>
              <w:left w:val="nil"/>
              <w:bottom w:val="nil"/>
              <w:right w:val="nil"/>
            </w:tcBorders>
            <w:shd w:val="clear" w:color="FFFFFF" w:fill="FFFFFF"/>
            <w:noWrap/>
            <w:vAlign w:val="bottom"/>
            <w:hideMark/>
          </w:tcPr>
          <w:p w14:paraId="68426B5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2,147</w:t>
            </w:r>
          </w:p>
        </w:tc>
        <w:tc>
          <w:tcPr>
            <w:tcW w:w="236" w:type="dxa"/>
            <w:tcBorders>
              <w:top w:val="nil"/>
              <w:left w:val="nil"/>
              <w:bottom w:val="nil"/>
              <w:right w:val="nil"/>
            </w:tcBorders>
            <w:shd w:val="clear" w:color="FFFFFF" w:fill="FFFFFF"/>
            <w:noWrap/>
            <w:vAlign w:val="bottom"/>
            <w:hideMark/>
          </w:tcPr>
          <w:p w14:paraId="571C30B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F857C9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380CF87" w14:textId="77777777" w:rsidTr="00361BA1">
        <w:trPr>
          <w:trHeight w:val="255"/>
        </w:trPr>
        <w:tc>
          <w:tcPr>
            <w:tcW w:w="6367" w:type="dxa"/>
            <w:tcBorders>
              <w:top w:val="nil"/>
              <w:left w:val="nil"/>
              <w:bottom w:val="nil"/>
              <w:right w:val="nil"/>
            </w:tcBorders>
            <w:shd w:val="clear" w:color="FFFFFF" w:fill="FFFFFF"/>
            <w:vAlign w:val="bottom"/>
            <w:hideMark/>
          </w:tcPr>
          <w:p w14:paraId="0ECEBD7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Unwinding of discount</w:t>
            </w:r>
          </w:p>
        </w:tc>
        <w:tc>
          <w:tcPr>
            <w:tcW w:w="1246" w:type="dxa"/>
            <w:tcBorders>
              <w:top w:val="nil"/>
              <w:left w:val="nil"/>
              <w:bottom w:val="nil"/>
              <w:right w:val="nil"/>
            </w:tcBorders>
            <w:shd w:val="clear" w:color="FFFFFF" w:fill="FFFFFF"/>
            <w:noWrap/>
            <w:vAlign w:val="bottom"/>
            <w:hideMark/>
          </w:tcPr>
          <w:p w14:paraId="2C469F2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58</w:t>
            </w:r>
          </w:p>
        </w:tc>
        <w:tc>
          <w:tcPr>
            <w:tcW w:w="236" w:type="dxa"/>
            <w:tcBorders>
              <w:top w:val="nil"/>
              <w:left w:val="nil"/>
              <w:bottom w:val="nil"/>
              <w:right w:val="nil"/>
            </w:tcBorders>
            <w:shd w:val="clear" w:color="FFFFFF" w:fill="FFFFFF"/>
            <w:noWrap/>
            <w:vAlign w:val="bottom"/>
            <w:hideMark/>
          </w:tcPr>
          <w:p w14:paraId="2C543B6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67722D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1,308</w:t>
            </w:r>
          </w:p>
        </w:tc>
      </w:tr>
      <w:tr w:rsidR="00361BA1" w:rsidRPr="00361BA1" w14:paraId="65E2F2B4" w14:textId="77777777" w:rsidTr="00361BA1">
        <w:trPr>
          <w:trHeight w:val="255"/>
        </w:trPr>
        <w:tc>
          <w:tcPr>
            <w:tcW w:w="6367" w:type="dxa"/>
            <w:tcBorders>
              <w:top w:val="nil"/>
              <w:left w:val="nil"/>
              <w:bottom w:val="nil"/>
              <w:right w:val="nil"/>
            </w:tcBorders>
            <w:shd w:val="clear" w:color="FFFFFF" w:fill="FFFFFF"/>
            <w:vAlign w:val="bottom"/>
            <w:hideMark/>
          </w:tcPr>
          <w:p w14:paraId="4FA628B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finance costs</w:t>
            </w:r>
          </w:p>
        </w:tc>
        <w:tc>
          <w:tcPr>
            <w:tcW w:w="1246" w:type="dxa"/>
            <w:tcBorders>
              <w:top w:val="single" w:sz="4" w:space="0" w:color="auto"/>
              <w:left w:val="nil"/>
              <w:bottom w:val="single" w:sz="4" w:space="0" w:color="auto"/>
              <w:right w:val="nil"/>
            </w:tcBorders>
            <w:shd w:val="clear" w:color="FFFFFF" w:fill="FFFFFF"/>
            <w:noWrap/>
            <w:vAlign w:val="bottom"/>
            <w:hideMark/>
          </w:tcPr>
          <w:p w14:paraId="3474B09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2,205</w:t>
            </w:r>
          </w:p>
        </w:tc>
        <w:tc>
          <w:tcPr>
            <w:tcW w:w="236" w:type="dxa"/>
            <w:tcBorders>
              <w:top w:val="nil"/>
              <w:left w:val="nil"/>
              <w:bottom w:val="nil"/>
              <w:right w:val="nil"/>
            </w:tcBorders>
            <w:shd w:val="clear" w:color="FFFFFF" w:fill="FFFFFF"/>
            <w:noWrap/>
            <w:vAlign w:val="bottom"/>
            <w:hideMark/>
          </w:tcPr>
          <w:p w14:paraId="7BA6C4C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47D8DEA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1,308</w:t>
            </w:r>
          </w:p>
        </w:tc>
      </w:tr>
      <w:tr w:rsidR="00361BA1" w:rsidRPr="00361BA1" w14:paraId="5A075841" w14:textId="77777777" w:rsidTr="00361BA1">
        <w:trPr>
          <w:trHeight w:val="255"/>
        </w:trPr>
        <w:tc>
          <w:tcPr>
            <w:tcW w:w="6367" w:type="dxa"/>
            <w:tcBorders>
              <w:top w:val="nil"/>
              <w:left w:val="nil"/>
              <w:bottom w:val="nil"/>
              <w:right w:val="nil"/>
            </w:tcBorders>
            <w:shd w:val="clear" w:color="FFFFFF" w:fill="FFFFFF"/>
            <w:noWrap/>
            <w:vAlign w:val="bottom"/>
            <w:hideMark/>
          </w:tcPr>
          <w:p w14:paraId="4E85C02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7C296D0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C49D0E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6E13DA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1472B909" w14:textId="77777777" w:rsidTr="00361BA1">
        <w:trPr>
          <w:trHeight w:val="945"/>
        </w:trPr>
        <w:tc>
          <w:tcPr>
            <w:tcW w:w="9087" w:type="dxa"/>
            <w:gridSpan w:val="4"/>
            <w:tcBorders>
              <w:top w:val="nil"/>
              <w:left w:val="nil"/>
              <w:bottom w:val="nil"/>
              <w:right w:val="nil"/>
            </w:tcBorders>
            <w:shd w:val="clear" w:color="auto" w:fill="auto"/>
            <w:hideMark/>
          </w:tcPr>
          <w:p w14:paraId="66D1A9F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vertAlign w:val="superscript"/>
                <w:lang w:eastAsia="en-US"/>
              </w:rPr>
              <w:t>1</w:t>
            </w:r>
            <w:r w:rsidRPr="00361BA1">
              <w:rPr>
                <w:rFonts w:eastAsia="Times New Roman"/>
                <w:sz w:val="18"/>
                <w:szCs w:val="18"/>
                <w:lang w:eastAsia="en-US"/>
              </w:rPr>
              <w:t xml:space="preserve"> The Agency has applied AASB 16 using the modified retrospective approach and therefore the comparative information has not been restated and continues to be reported under AASB 117.</w:t>
            </w:r>
            <w:r w:rsidRPr="00361BA1">
              <w:rPr>
                <w:rFonts w:eastAsia="Times New Roman"/>
                <w:sz w:val="18"/>
                <w:szCs w:val="18"/>
                <w:lang w:eastAsia="en-US"/>
              </w:rPr>
              <w:br/>
            </w:r>
            <w:r w:rsidRPr="00361BA1">
              <w:rPr>
                <w:rFonts w:eastAsia="Times New Roman"/>
                <w:sz w:val="18"/>
                <w:szCs w:val="18"/>
                <w:lang w:eastAsia="en-US"/>
              </w:rPr>
              <w:br/>
              <w:t>The above lease disclosures should be read in conjunction with the accompanying notes 1.1B, 1.2B, 2.2A and 2.5.</w:t>
            </w:r>
          </w:p>
        </w:tc>
      </w:tr>
    </w:tbl>
    <w:p w14:paraId="10314040"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4C7A90A5" w14:textId="77777777" w:rsidR="00361BA1" w:rsidRPr="00361BA1" w:rsidRDefault="00361BA1" w:rsidP="00361BA1">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04A9A0D0" w14:textId="77777777" w:rsidTr="00361BA1">
        <w:trPr>
          <w:trHeight w:val="255"/>
        </w:trPr>
        <w:tc>
          <w:tcPr>
            <w:tcW w:w="6367" w:type="dxa"/>
            <w:tcBorders>
              <w:top w:val="nil"/>
              <w:left w:val="nil"/>
              <w:bottom w:val="nil"/>
              <w:right w:val="nil"/>
            </w:tcBorders>
            <w:shd w:val="clear" w:color="FFFFFF" w:fill="FFFFFF"/>
            <w:noWrap/>
            <w:vAlign w:val="bottom"/>
            <w:hideMark/>
          </w:tcPr>
          <w:p w14:paraId="150BE907"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47" w:name="Note_ILATABLE1" w:colFirst="0" w:colLast="0"/>
            <w:r w:rsidRPr="00361BA1">
              <w:rPr>
                <w:rFonts w:eastAsia="Times New Roman"/>
                <w:b/>
                <w:bCs/>
                <w:sz w:val="18"/>
                <w:szCs w:val="18"/>
                <w:u w:val="single"/>
                <w:lang w:eastAsia="en-US"/>
              </w:rPr>
              <w:t>Note 1.1E: Impairment loss on financial instruments</w:t>
            </w:r>
          </w:p>
        </w:tc>
        <w:tc>
          <w:tcPr>
            <w:tcW w:w="1246" w:type="dxa"/>
            <w:tcBorders>
              <w:top w:val="nil"/>
              <w:left w:val="nil"/>
              <w:bottom w:val="nil"/>
              <w:right w:val="nil"/>
            </w:tcBorders>
            <w:shd w:val="clear" w:color="FFFFFF" w:fill="FFFFFF"/>
            <w:vAlign w:val="bottom"/>
            <w:hideMark/>
          </w:tcPr>
          <w:p w14:paraId="04F7784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4CE014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0E12DCB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bookmarkEnd w:id="47"/>
      <w:tr w:rsidR="00361BA1" w:rsidRPr="00361BA1" w14:paraId="6823A080" w14:textId="77777777" w:rsidTr="00361BA1">
        <w:trPr>
          <w:trHeight w:val="255"/>
        </w:trPr>
        <w:tc>
          <w:tcPr>
            <w:tcW w:w="6367" w:type="dxa"/>
            <w:tcBorders>
              <w:top w:val="nil"/>
              <w:left w:val="nil"/>
              <w:bottom w:val="nil"/>
              <w:right w:val="nil"/>
            </w:tcBorders>
            <w:shd w:val="clear" w:color="FFFFFF" w:fill="FFFFFF"/>
            <w:vAlign w:val="bottom"/>
            <w:hideMark/>
          </w:tcPr>
          <w:p w14:paraId="7A8B009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Impairment of financial instruments</w:t>
            </w:r>
          </w:p>
        </w:tc>
        <w:tc>
          <w:tcPr>
            <w:tcW w:w="1246" w:type="dxa"/>
            <w:tcBorders>
              <w:top w:val="nil"/>
              <w:left w:val="nil"/>
              <w:bottom w:val="nil"/>
              <w:right w:val="nil"/>
            </w:tcBorders>
            <w:shd w:val="clear" w:color="FFFFFF" w:fill="FFFFFF"/>
            <w:noWrap/>
            <w:vAlign w:val="bottom"/>
            <w:hideMark/>
          </w:tcPr>
          <w:p w14:paraId="41A3519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317DDD8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4A77AE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w:t>
            </w:r>
          </w:p>
        </w:tc>
      </w:tr>
      <w:tr w:rsidR="00361BA1" w:rsidRPr="00361BA1" w14:paraId="3E703F77" w14:textId="77777777" w:rsidTr="00361BA1">
        <w:trPr>
          <w:trHeight w:val="255"/>
        </w:trPr>
        <w:tc>
          <w:tcPr>
            <w:tcW w:w="6367" w:type="dxa"/>
            <w:tcBorders>
              <w:top w:val="nil"/>
              <w:left w:val="nil"/>
              <w:bottom w:val="nil"/>
              <w:right w:val="nil"/>
            </w:tcBorders>
            <w:shd w:val="clear" w:color="FFFFFF" w:fill="FFFFFF"/>
            <w:vAlign w:val="bottom"/>
            <w:hideMark/>
          </w:tcPr>
          <w:p w14:paraId="39D1368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impairment loss on financial instruments</w:t>
            </w:r>
          </w:p>
        </w:tc>
        <w:tc>
          <w:tcPr>
            <w:tcW w:w="1246" w:type="dxa"/>
            <w:tcBorders>
              <w:top w:val="single" w:sz="4" w:space="0" w:color="auto"/>
              <w:left w:val="nil"/>
              <w:bottom w:val="single" w:sz="4" w:space="0" w:color="auto"/>
              <w:right w:val="nil"/>
            </w:tcBorders>
            <w:shd w:val="clear" w:color="FFFFFF" w:fill="FFFFFF"/>
            <w:noWrap/>
            <w:vAlign w:val="bottom"/>
            <w:hideMark/>
          </w:tcPr>
          <w:p w14:paraId="2A24AAD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5BBAA18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21D333A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w:t>
            </w:r>
          </w:p>
        </w:tc>
      </w:tr>
    </w:tbl>
    <w:p w14:paraId="733F96DD" w14:textId="77777777" w:rsidR="00361BA1" w:rsidRPr="00361BA1" w:rsidRDefault="00361BA1" w:rsidP="00361BA1">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5777"/>
        <w:gridCol w:w="1878"/>
        <w:gridCol w:w="283"/>
        <w:gridCol w:w="1149"/>
      </w:tblGrid>
      <w:tr w:rsidR="00361BA1" w:rsidRPr="00361BA1" w14:paraId="38E0C216" w14:textId="77777777" w:rsidTr="00361BA1">
        <w:trPr>
          <w:trHeight w:val="240"/>
        </w:trPr>
        <w:tc>
          <w:tcPr>
            <w:tcW w:w="5777" w:type="dxa"/>
            <w:tcBorders>
              <w:top w:val="nil"/>
              <w:left w:val="nil"/>
              <w:bottom w:val="nil"/>
              <w:right w:val="nil"/>
            </w:tcBorders>
            <w:shd w:val="clear" w:color="FFFFFF" w:fill="FFFFFF"/>
            <w:noWrap/>
            <w:vAlign w:val="bottom"/>
            <w:hideMark/>
          </w:tcPr>
          <w:p w14:paraId="698B85EF" w14:textId="77777777" w:rsidR="00361BA1" w:rsidRPr="00361BA1" w:rsidRDefault="00361BA1" w:rsidP="00361BA1">
            <w:pPr>
              <w:spacing w:before="0" w:after="0" w:line="260" w:lineRule="atLeast"/>
              <w:ind w:left="0"/>
              <w:rPr>
                <w:rFonts w:eastAsia="Times New Roman"/>
                <w:sz w:val="18"/>
                <w:szCs w:val="18"/>
                <w:lang w:eastAsia="en-US"/>
              </w:rPr>
            </w:pPr>
            <w:bookmarkStart w:id="48" w:name="Note_WDATABLE1" w:colFirst="0" w:colLast="0"/>
            <w:r w:rsidRPr="00361BA1">
              <w:rPr>
                <w:rFonts w:eastAsia="Times New Roman"/>
                <w:sz w:val="18"/>
                <w:szCs w:val="18"/>
                <w:lang w:eastAsia="en-US"/>
              </w:rPr>
              <w:t> </w:t>
            </w:r>
          </w:p>
        </w:tc>
        <w:tc>
          <w:tcPr>
            <w:tcW w:w="1878" w:type="dxa"/>
            <w:tcBorders>
              <w:top w:val="nil"/>
              <w:left w:val="nil"/>
              <w:bottom w:val="nil"/>
              <w:right w:val="nil"/>
            </w:tcBorders>
            <w:shd w:val="clear" w:color="FFFFFF" w:fill="FFFFFF"/>
            <w:noWrap/>
            <w:vAlign w:val="bottom"/>
          </w:tcPr>
          <w:p w14:paraId="289E0029" w14:textId="77777777" w:rsidR="00361BA1" w:rsidRPr="00361BA1" w:rsidRDefault="00361BA1" w:rsidP="00361BA1">
            <w:pPr>
              <w:spacing w:before="0" w:after="0" w:line="260" w:lineRule="atLeast"/>
              <w:ind w:left="0"/>
              <w:jc w:val="right"/>
              <w:rPr>
                <w:rFonts w:eastAsia="Times New Roman"/>
                <w:b/>
                <w:bCs/>
                <w:strike/>
                <w:sz w:val="18"/>
                <w:szCs w:val="18"/>
                <w:highlight w:val="yellow"/>
                <w:lang w:eastAsia="en-US"/>
              </w:rPr>
            </w:pPr>
          </w:p>
        </w:tc>
        <w:tc>
          <w:tcPr>
            <w:tcW w:w="283" w:type="dxa"/>
            <w:tcBorders>
              <w:top w:val="nil"/>
              <w:left w:val="nil"/>
              <w:bottom w:val="nil"/>
              <w:right w:val="nil"/>
            </w:tcBorders>
            <w:shd w:val="clear" w:color="FFFFFF" w:fill="FFFFFF"/>
            <w:noWrap/>
            <w:vAlign w:val="bottom"/>
          </w:tcPr>
          <w:p w14:paraId="5078F2AB" w14:textId="77777777" w:rsidR="00361BA1" w:rsidRPr="00361BA1" w:rsidRDefault="00361BA1" w:rsidP="00361BA1">
            <w:pPr>
              <w:spacing w:before="0" w:after="0" w:line="260" w:lineRule="atLeast"/>
              <w:ind w:left="0"/>
              <w:rPr>
                <w:rFonts w:eastAsia="Times New Roman"/>
                <w:strike/>
                <w:sz w:val="18"/>
                <w:szCs w:val="18"/>
                <w:highlight w:val="yellow"/>
                <w:lang w:eastAsia="en-US"/>
              </w:rPr>
            </w:pPr>
          </w:p>
        </w:tc>
        <w:tc>
          <w:tcPr>
            <w:tcW w:w="1149" w:type="dxa"/>
            <w:tcBorders>
              <w:top w:val="nil"/>
              <w:left w:val="nil"/>
              <w:bottom w:val="nil"/>
              <w:right w:val="nil"/>
            </w:tcBorders>
            <w:shd w:val="clear" w:color="FFFFFF" w:fill="FFFFFF"/>
            <w:noWrap/>
            <w:vAlign w:val="bottom"/>
          </w:tcPr>
          <w:p w14:paraId="4B0278CA" w14:textId="77777777" w:rsidR="00361BA1" w:rsidRPr="00361BA1" w:rsidRDefault="00361BA1" w:rsidP="00361BA1">
            <w:pPr>
              <w:spacing w:before="0" w:after="0" w:line="260" w:lineRule="atLeast"/>
              <w:ind w:left="0"/>
              <w:jc w:val="right"/>
              <w:rPr>
                <w:rFonts w:eastAsia="Times New Roman"/>
                <w:strike/>
                <w:sz w:val="18"/>
                <w:szCs w:val="18"/>
                <w:highlight w:val="yellow"/>
                <w:lang w:eastAsia="en-US"/>
              </w:rPr>
            </w:pPr>
          </w:p>
        </w:tc>
      </w:tr>
      <w:bookmarkEnd w:id="48"/>
      <w:tr w:rsidR="00361BA1" w:rsidRPr="00361BA1" w14:paraId="0F9D5636" w14:textId="77777777" w:rsidTr="00361BA1">
        <w:trPr>
          <w:trHeight w:val="255"/>
        </w:trPr>
        <w:tc>
          <w:tcPr>
            <w:tcW w:w="5777" w:type="dxa"/>
            <w:tcBorders>
              <w:top w:val="nil"/>
              <w:left w:val="nil"/>
              <w:bottom w:val="nil"/>
              <w:right w:val="nil"/>
            </w:tcBorders>
            <w:shd w:val="clear" w:color="FFFFFF" w:fill="FFFFFF"/>
            <w:noWrap/>
            <w:vAlign w:val="bottom"/>
            <w:hideMark/>
          </w:tcPr>
          <w:p w14:paraId="2182A4A1"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1.1F: Write-down and impairment of other assets</w:t>
            </w:r>
          </w:p>
        </w:tc>
        <w:tc>
          <w:tcPr>
            <w:tcW w:w="1878" w:type="dxa"/>
            <w:tcBorders>
              <w:top w:val="nil"/>
              <w:left w:val="nil"/>
              <w:bottom w:val="nil"/>
              <w:right w:val="nil"/>
            </w:tcBorders>
            <w:shd w:val="clear" w:color="FFFFFF" w:fill="FFFFFF"/>
            <w:noWrap/>
            <w:vAlign w:val="bottom"/>
            <w:hideMark/>
          </w:tcPr>
          <w:p w14:paraId="2BF277C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83" w:type="dxa"/>
            <w:tcBorders>
              <w:top w:val="nil"/>
              <w:left w:val="nil"/>
              <w:bottom w:val="nil"/>
              <w:right w:val="nil"/>
            </w:tcBorders>
            <w:shd w:val="clear" w:color="FFFFFF" w:fill="FFFFFF"/>
            <w:noWrap/>
            <w:vAlign w:val="bottom"/>
            <w:hideMark/>
          </w:tcPr>
          <w:p w14:paraId="0FE9C51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163BCFB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3BA6F61B" w14:textId="77777777" w:rsidTr="00361BA1">
        <w:trPr>
          <w:trHeight w:val="255"/>
        </w:trPr>
        <w:tc>
          <w:tcPr>
            <w:tcW w:w="5777" w:type="dxa"/>
            <w:tcBorders>
              <w:top w:val="nil"/>
              <w:left w:val="nil"/>
              <w:bottom w:val="nil"/>
              <w:right w:val="nil"/>
            </w:tcBorders>
            <w:shd w:val="clear" w:color="FFFFFF" w:fill="FFFFFF"/>
            <w:noWrap/>
            <w:vAlign w:val="bottom"/>
            <w:hideMark/>
          </w:tcPr>
          <w:p w14:paraId="2201133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Buildings</w:t>
            </w:r>
          </w:p>
        </w:tc>
        <w:tc>
          <w:tcPr>
            <w:tcW w:w="1878" w:type="dxa"/>
            <w:tcBorders>
              <w:top w:val="nil"/>
              <w:left w:val="nil"/>
              <w:bottom w:val="nil"/>
              <w:right w:val="nil"/>
            </w:tcBorders>
            <w:shd w:val="clear" w:color="FFFFFF" w:fill="FFFFFF"/>
            <w:noWrap/>
            <w:vAlign w:val="bottom"/>
            <w:hideMark/>
          </w:tcPr>
          <w:p w14:paraId="1E4ABDE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w:t>
            </w:r>
          </w:p>
        </w:tc>
        <w:tc>
          <w:tcPr>
            <w:tcW w:w="283" w:type="dxa"/>
            <w:tcBorders>
              <w:top w:val="nil"/>
              <w:left w:val="nil"/>
              <w:bottom w:val="nil"/>
              <w:right w:val="nil"/>
            </w:tcBorders>
            <w:shd w:val="clear" w:color="FFFFFF" w:fill="FFFFFF"/>
            <w:noWrap/>
            <w:vAlign w:val="bottom"/>
            <w:hideMark/>
          </w:tcPr>
          <w:p w14:paraId="34653FF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B53747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5CF6D9B9" w14:textId="77777777" w:rsidTr="00361BA1">
        <w:trPr>
          <w:trHeight w:val="255"/>
        </w:trPr>
        <w:tc>
          <w:tcPr>
            <w:tcW w:w="5777" w:type="dxa"/>
            <w:tcBorders>
              <w:top w:val="nil"/>
              <w:left w:val="nil"/>
              <w:bottom w:val="nil"/>
              <w:right w:val="nil"/>
            </w:tcBorders>
            <w:shd w:val="clear" w:color="FFFFFF" w:fill="FFFFFF"/>
            <w:noWrap/>
            <w:vAlign w:val="bottom"/>
            <w:hideMark/>
          </w:tcPr>
          <w:p w14:paraId="0F3C489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Pandemic plan provider receivables</w:t>
            </w:r>
          </w:p>
        </w:tc>
        <w:tc>
          <w:tcPr>
            <w:tcW w:w="1878" w:type="dxa"/>
            <w:tcBorders>
              <w:top w:val="nil"/>
              <w:left w:val="nil"/>
              <w:bottom w:val="nil"/>
              <w:right w:val="nil"/>
            </w:tcBorders>
            <w:shd w:val="clear" w:color="FFFFFF" w:fill="FFFFFF"/>
            <w:noWrap/>
            <w:vAlign w:val="bottom"/>
            <w:hideMark/>
          </w:tcPr>
          <w:p w14:paraId="16B9C07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23,101</w:t>
            </w:r>
          </w:p>
        </w:tc>
        <w:tc>
          <w:tcPr>
            <w:tcW w:w="283" w:type="dxa"/>
            <w:tcBorders>
              <w:top w:val="nil"/>
              <w:left w:val="nil"/>
              <w:bottom w:val="nil"/>
              <w:right w:val="nil"/>
            </w:tcBorders>
            <w:shd w:val="clear" w:color="FFFFFF" w:fill="FFFFFF"/>
            <w:noWrap/>
            <w:vAlign w:val="bottom"/>
            <w:hideMark/>
          </w:tcPr>
          <w:p w14:paraId="6F1884F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1AB2EB3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50CF29FF" w14:textId="77777777" w:rsidTr="00361BA1">
        <w:trPr>
          <w:trHeight w:val="255"/>
        </w:trPr>
        <w:tc>
          <w:tcPr>
            <w:tcW w:w="5777" w:type="dxa"/>
            <w:tcBorders>
              <w:top w:val="nil"/>
              <w:left w:val="nil"/>
              <w:bottom w:val="nil"/>
              <w:right w:val="nil"/>
            </w:tcBorders>
            <w:shd w:val="clear" w:color="FFFFFF" w:fill="FFFFFF"/>
            <w:noWrap/>
            <w:vAlign w:val="bottom"/>
            <w:hideMark/>
          </w:tcPr>
          <w:p w14:paraId="050B7D4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Participant and provider receivables</w:t>
            </w:r>
          </w:p>
        </w:tc>
        <w:tc>
          <w:tcPr>
            <w:tcW w:w="1878" w:type="dxa"/>
            <w:tcBorders>
              <w:top w:val="nil"/>
              <w:left w:val="nil"/>
              <w:bottom w:val="nil"/>
              <w:right w:val="nil"/>
            </w:tcBorders>
            <w:shd w:val="clear" w:color="FFFFFF" w:fill="FFFFFF"/>
            <w:noWrap/>
            <w:vAlign w:val="bottom"/>
            <w:hideMark/>
          </w:tcPr>
          <w:p w14:paraId="24D0E16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7,563</w:t>
            </w:r>
          </w:p>
        </w:tc>
        <w:tc>
          <w:tcPr>
            <w:tcW w:w="283" w:type="dxa"/>
            <w:tcBorders>
              <w:top w:val="nil"/>
              <w:left w:val="nil"/>
              <w:bottom w:val="nil"/>
              <w:right w:val="nil"/>
            </w:tcBorders>
            <w:shd w:val="clear" w:color="FFFFFF" w:fill="FFFFFF"/>
            <w:noWrap/>
            <w:vAlign w:val="bottom"/>
            <w:hideMark/>
          </w:tcPr>
          <w:p w14:paraId="7C65295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FF04D3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045C8FFD" w14:textId="77777777" w:rsidTr="00361BA1">
        <w:trPr>
          <w:trHeight w:val="255"/>
        </w:trPr>
        <w:tc>
          <w:tcPr>
            <w:tcW w:w="5777" w:type="dxa"/>
            <w:tcBorders>
              <w:top w:val="nil"/>
              <w:left w:val="nil"/>
              <w:bottom w:val="nil"/>
              <w:right w:val="nil"/>
            </w:tcBorders>
            <w:shd w:val="clear" w:color="FFFFFF" w:fill="FFFFFF"/>
            <w:noWrap/>
            <w:vAlign w:val="bottom"/>
            <w:hideMark/>
          </w:tcPr>
          <w:p w14:paraId="368AEE8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Participant advances</w:t>
            </w:r>
          </w:p>
        </w:tc>
        <w:tc>
          <w:tcPr>
            <w:tcW w:w="1878" w:type="dxa"/>
            <w:tcBorders>
              <w:top w:val="nil"/>
              <w:left w:val="nil"/>
              <w:bottom w:val="nil"/>
              <w:right w:val="nil"/>
            </w:tcBorders>
            <w:shd w:val="clear" w:color="FFFFFF" w:fill="FFFFFF"/>
            <w:noWrap/>
            <w:vAlign w:val="bottom"/>
            <w:hideMark/>
          </w:tcPr>
          <w:p w14:paraId="0AECC70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799</w:t>
            </w:r>
          </w:p>
        </w:tc>
        <w:tc>
          <w:tcPr>
            <w:tcW w:w="283" w:type="dxa"/>
            <w:tcBorders>
              <w:top w:val="nil"/>
              <w:left w:val="nil"/>
              <w:bottom w:val="nil"/>
              <w:right w:val="nil"/>
            </w:tcBorders>
            <w:shd w:val="clear" w:color="FFFFFF" w:fill="FFFFFF"/>
            <w:noWrap/>
            <w:vAlign w:val="bottom"/>
            <w:hideMark/>
          </w:tcPr>
          <w:p w14:paraId="389BE3D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F80342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CA038E8" w14:textId="77777777" w:rsidTr="00361BA1">
        <w:trPr>
          <w:trHeight w:val="255"/>
        </w:trPr>
        <w:tc>
          <w:tcPr>
            <w:tcW w:w="5777" w:type="dxa"/>
            <w:tcBorders>
              <w:top w:val="nil"/>
              <w:left w:val="nil"/>
              <w:bottom w:val="nil"/>
              <w:right w:val="nil"/>
            </w:tcBorders>
            <w:shd w:val="clear" w:color="FFFFFF" w:fill="FFFFFF"/>
            <w:noWrap/>
            <w:vAlign w:val="bottom"/>
            <w:hideMark/>
          </w:tcPr>
          <w:p w14:paraId="6E0C80A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 receivables</w:t>
            </w:r>
          </w:p>
        </w:tc>
        <w:tc>
          <w:tcPr>
            <w:tcW w:w="1878" w:type="dxa"/>
            <w:tcBorders>
              <w:top w:val="nil"/>
              <w:left w:val="nil"/>
              <w:bottom w:val="nil"/>
              <w:right w:val="nil"/>
            </w:tcBorders>
            <w:shd w:val="clear" w:color="FFFFFF" w:fill="FFFFFF"/>
            <w:noWrap/>
            <w:vAlign w:val="bottom"/>
            <w:hideMark/>
          </w:tcPr>
          <w:p w14:paraId="70B052C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w:t>
            </w:r>
          </w:p>
        </w:tc>
        <w:tc>
          <w:tcPr>
            <w:tcW w:w="283" w:type="dxa"/>
            <w:tcBorders>
              <w:top w:val="nil"/>
              <w:left w:val="nil"/>
              <w:bottom w:val="nil"/>
              <w:right w:val="nil"/>
            </w:tcBorders>
            <w:shd w:val="clear" w:color="FFFFFF" w:fill="FFFFFF"/>
            <w:noWrap/>
            <w:vAlign w:val="bottom"/>
            <w:hideMark/>
          </w:tcPr>
          <w:p w14:paraId="3765249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3E389B0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7A43A155" w14:textId="77777777" w:rsidTr="00361BA1">
        <w:trPr>
          <w:trHeight w:val="255"/>
        </w:trPr>
        <w:tc>
          <w:tcPr>
            <w:tcW w:w="5777" w:type="dxa"/>
            <w:tcBorders>
              <w:top w:val="nil"/>
              <w:left w:val="nil"/>
              <w:bottom w:val="nil"/>
              <w:right w:val="nil"/>
            </w:tcBorders>
            <w:shd w:val="clear" w:color="FFFFFF" w:fill="FFFFFF"/>
            <w:vAlign w:val="bottom"/>
            <w:hideMark/>
          </w:tcPr>
          <w:p w14:paraId="49B3DC3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write-down and impairment of other assets</w:t>
            </w:r>
          </w:p>
        </w:tc>
        <w:tc>
          <w:tcPr>
            <w:tcW w:w="1878" w:type="dxa"/>
            <w:tcBorders>
              <w:top w:val="single" w:sz="4" w:space="0" w:color="auto"/>
              <w:left w:val="nil"/>
              <w:bottom w:val="single" w:sz="4" w:space="0" w:color="auto"/>
              <w:right w:val="nil"/>
            </w:tcBorders>
            <w:shd w:val="clear" w:color="FFFFFF" w:fill="FFFFFF"/>
            <w:noWrap/>
            <w:vAlign w:val="bottom"/>
            <w:hideMark/>
          </w:tcPr>
          <w:p w14:paraId="141341A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31,494</w:t>
            </w:r>
          </w:p>
        </w:tc>
        <w:tc>
          <w:tcPr>
            <w:tcW w:w="283" w:type="dxa"/>
            <w:tcBorders>
              <w:top w:val="nil"/>
              <w:left w:val="nil"/>
              <w:bottom w:val="nil"/>
              <w:right w:val="nil"/>
            </w:tcBorders>
            <w:shd w:val="clear" w:color="FFFFFF" w:fill="FFFFFF"/>
            <w:noWrap/>
            <w:vAlign w:val="bottom"/>
            <w:hideMark/>
          </w:tcPr>
          <w:p w14:paraId="41CB900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3961DC0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bl>
    <w:p w14:paraId="0F912614"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4E6E8BD5" w14:textId="77777777" w:rsidR="00361BA1" w:rsidRPr="00361BA1" w:rsidRDefault="00361BA1" w:rsidP="00361BA1">
      <w:pPr>
        <w:spacing w:before="0" w:line="120" w:lineRule="atLeast"/>
        <w:ind w:left="0"/>
        <w:rPr>
          <w:rFonts w:eastAsia="Times New Roman"/>
          <w:b/>
          <w:bCs/>
          <w:sz w:val="2"/>
          <w:szCs w:val="2"/>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3DE97761" w14:textId="77777777" w:rsidTr="00361BA1">
        <w:trPr>
          <w:trHeight w:val="240"/>
        </w:trPr>
        <w:tc>
          <w:tcPr>
            <w:tcW w:w="6367" w:type="dxa"/>
            <w:tcBorders>
              <w:top w:val="nil"/>
              <w:left w:val="nil"/>
              <w:bottom w:val="nil"/>
              <w:right w:val="nil"/>
            </w:tcBorders>
            <w:shd w:val="clear" w:color="FFFFFF" w:fill="FFFFFF"/>
            <w:noWrap/>
            <w:vAlign w:val="bottom"/>
            <w:hideMark/>
          </w:tcPr>
          <w:p w14:paraId="01F7378F"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49" w:name="Note_SCCTABLE1" w:colFirst="0" w:colLast="0"/>
            <w:r w:rsidRPr="00361BA1">
              <w:rPr>
                <w:rFonts w:eastAsia="Times New Roman"/>
                <w:b/>
                <w:bCs/>
                <w:sz w:val="18"/>
                <w:szCs w:val="18"/>
                <w:u w:val="single"/>
                <w:lang w:eastAsia="en-US"/>
              </w:rPr>
              <w:t>Note 1.1G: Community partnership costs</w:t>
            </w:r>
          </w:p>
        </w:tc>
        <w:tc>
          <w:tcPr>
            <w:tcW w:w="1246" w:type="dxa"/>
            <w:tcBorders>
              <w:top w:val="nil"/>
              <w:left w:val="nil"/>
              <w:bottom w:val="nil"/>
              <w:right w:val="nil"/>
            </w:tcBorders>
            <w:shd w:val="clear" w:color="FFFFFF" w:fill="FFFFFF"/>
            <w:noWrap/>
            <w:vAlign w:val="bottom"/>
            <w:hideMark/>
          </w:tcPr>
          <w:p w14:paraId="041B1FE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FA28D5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A14756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49"/>
      <w:tr w:rsidR="00361BA1" w:rsidRPr="00361BA1" w14:paraId="48E61BC1" w14:textId="77777777" w:rsidTr="00361BA1">
        <w:trPr>
          <w:trHeight w:val="240"/>
        </w:trPr>
        <w:tc>
          <w:tcPr>
            <w:tcW w:w="6367" w:type="dxa"/>
            <w:tcBorders>
              <w:top w:val="nil"/>
              <w:left w:val="nil"/>
              <w:bottom w:val="nil"/>
              <w:right w:val="nil"/>
            </w:tcBorders>
            <w:shd w:val="clear" w:color="FFFFFF" w:fill="FFFFFF"/>
            <w:vAlign w:val="bottom"/>
            <w:hideMark/>
          </w:tcPr>
          <w:p w14:paraId="40959CC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Early Childhood Early Intervention costs</w:t>
            </w:r>
          </w:p>
        </w:tc>
        <w:tc>
          <w:tcPr>
            <w:tcW w:w="1246" w:type="dxa"/>
            <w:tcBorders>
              <w:top w:val="nil"/>
              <w:left w:val="nil"/>
              <w:bottom w:val="nil"/>
              <w:right w:val="nil"/>
            </w:tcBorders>
            <w:shd w:val="clear" w:color="FFFFFF" w:fill="FFFFFF"/>
            <w:noWrap/>
            <w:vAlign w:val="bottom"/>
            <w:hideMark/>
          </w:tcPr>
          <w:p w14:paraId="46AD592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138,339</w:t>
            </w:r>
          </w:p>
        </w:tc>
        <w:tc>
          <w:tcPr>
            <w:tcW w:w="236" w:type="dxa"/>
            <w:tcBorders>
              <w:top w:val="nil"/>
              <w:left w:val="nil"/>
              <w:bottom w:val="nil"/>
              <w:right w:val="nil"/>
            </w:tcBorders>
            <w:shd w:val="clear" w:color="FFFFFF" w:fill="FFFFFF"/>
            <w:noWrap/>
            <w:vAlign w:val="bottom"/>
            <w:hideMark/>
          </w:tcPr>
          <w:p w14:paraId="0341667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7F039E8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120,059</w:t>
            </w:r>
          </w:p>
        </w:tc>
      </w:tr>
      <w:tr w:rsidR="00361BA1" w:rsidRPr="00361BA1" w14:paraId="72D1CDE1" w14:textId="77777777" w:rsidTr="00361BA1">
        <w:trPr>
          <w:trHeight w:val="240"/>
        </w:trPr>
        <w:tc>
          <w:tcPr>
            <w:tcW w:w="6367" w:type="dxa"/>
            <w:tcBorders>
              <w:top w:val="nil"/>
              <w:left w:val="nil"/>
              <w:bottom w:val="nil"/>
              <w:right w:val="nil"/>
            </w:tcBorders>
            <w:shd w:val="clear" w:color="FFFFFF" w:fill="FFFFFF"/>
            <w:vAlign w:val="bottom"/>
            <w:hideMark/>
          </w:tcPr>
          <w:p w14:paraId="3EC3A33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Local Area Coordination costs</w:t>
            </w:r>
          </w:p>
        </w:tc>
        <w:tc>
          <w:tcPr>
            <w:tcW w:w="1246" w:type="dxa"/>
            <w:tcBorders>
              <w:top w:val="nil"/>
              <w:left w:val="nil"/>
              <w:bottom w:val="nil"/>
              <w:right w:val="nil"/>
            </w:tcBorders>
            <w:shd w:val="clear" w:color="FFFFFF" w:fill="FFFFFF"/>
            <w:noWrap/>
            <w:vAlign w:val="bottom"/>
            <w:hideMark/>
          </w:tcPr>
          <w:p w14:paraId="72584DB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386,280</w:t>
            </w:r>
          </w:p>
        </w:tc>
        <w:tc>
          <w:tcPr>
            <w:tcW w:w="236" w:type="dxa"/>
            <w:tcBorders>
              <w:top w:val="nil"/>
              <w:left w:val="nil"/>
              <w:bottom w:val="nil"/>
              <w:right w:val="nil"/>
            </w:tcBorders>
            <w:shd w:val="clear" w:color="FFFFFF" w:fill="FFFFFF"/>
            <w:noWrap/>
            <w:vAlign w:val="bottom"/>
            <w:hideMark/>
          </w:tcPr>
          <w:p w14:paraId="40AB3BA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041D4AF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331,727</w:t>
            </w:r>
          </w:p>
        </w:tc>
      </w:tr>
      <w:tr w:rsidR="00361BA1" w:rsidRPr="00361BA1" w14:paraId="6F542C64" w14:textId="77777777" w:rsidTr="00361BA1">
        <w:trPr>
          <w:trHeight w:val="240"/>
        </w:trPr>
        <w:tc>
          <w:tcPr>
            <w:tcW w:w="6367" w:type="dxa"/>
            <w:tcBorders>
              <w:top w:val="nil"/>
              <w:left w:val="nil"/>
              <w:bottom w:val="nil"/>
              <w:right w:val="nil"/>
            </w:tcBorders>
            <w:shd w:val="clear" w:color="FFFFFF" w:fill="FFFFFF"/>
            <w:vAlign w:val="bottom"/>
            <w:hideMark/>
          </w:tcPr>
          <w:p w14:paraId="75D41D0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Community partnership costs</w:t>
            </w:r>
          </w:p>
        </w:tc>
        <w:tc>
          <w:tcPr>
            <w:tcW w:w="1246" w:type="dxa"/>
            <w:tcBorders>
              <w:top w:val="single" w:sz="4" w:space="0" w:color="auto"/>
              <w:left w:val="nil"/>
              <w:bottom w:val="single" w:sz="4" w:space="0" w:color="auto"/>
              <w:right w:val="nil"/>
            </w:tcBorders>
            <w:shd w:val="clear" w:color="FFFFFF" w:fill="FFFFFF"/>
            <w:noWrap/>
            <w:vAlign w:val="bottom"/>
            <w:hideMark/>
          </w:tcPr>
          <w:p w14:paraId="6569C1B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524,619</w:t>
            </w:r>
          </w:p>
        </w:tc>
        <w:tc>
          <w:tcPr>
            <w:tcW w:w="236" w:type="dxa"/>
            <w:tcBorders>
              <w:top w:val="nil"/>
              <w:left w:val="nil"/>
              <w:bottom w:val="nil"/>
              <w:right w:val="nil"/>
            </w:tcBorders>
            <w:shd w:val="clear" w:color="FFFFFF" w:fill="FFFFFF"/>
            <w:noWrap/>
            <w:vAlign w:val="bottom"/>
            <w:hideMark/>
          </w:tcPr>
          <w:p w14:paraId="2538C02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0D2F6C2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451,786</w:t>
            </w:r>
          </w:p>
        </w:tc>
      </w:tr>
    </w:tbl>
    <w:p w14:paraId="0B37E294" w14:textId="77777777" w:rsidR="00361BA1" w:rsidRPr="00361BA1" w:rsidRDefault="00361BA1" w:rsidP="00361BA1">
      <w:pPr>
        <w:keepNext/>
        <w:spacing w:before="0" w:line="120" w:lineRule="atLeast"/>
        <w:ind w:left="0"/>
        <w:rPr>
          <w:rFonts w:eastAsia="Times New Roman"/>
          <w:b/>
          <w:bCs/>
          <w:sz w:val="18"/>
          <w:szCs w:val="18"/>
          <w:lang w:eastAsia="en-US"/>
        </w:rPr>
      </w:pPr>
      <w:r w:rsidRPr="00361BA1">
        <w:rPr>
          <w:rFonts w:eastAsia="Times New Roman"/>
          <w:b/>
          <w:bCs/>
          <w:sz w:val="18"/>
          <w:szCs w:val="18"/>
          <w:lang w:eastAsia="en-US"/>
        </w:rPr>
        <w:lastRenderedPageBreak/>
        <w:t>Early Childhood Early Intervention Costs</w:t>
      </w:r>
    </w:p>
    <w:p w14:paraId="79FC111E" w14:textId="77777777" w:rsidR="00361BA1" w:rsidRPr="00361BA1" w:rsidRDefault="00361BA1" w:rsidP="00361BA1">
      <w:pPr>
        <w:spacing w:before="0" w:line="120" w:lineRule="atLeast"/>
        <w:ind w:left="0"/>
        <w:rPr>
          <w:rFonts w:eastAsia="Times New Roman"/>
          <w:bCs/>
          <w:sz w:val="18"/>
          <w:szCs w:val="18"/>
          <w:lang w:eastAsia="en-US"/>
        </w:rPr>
      </w:pPr>
      <w:r w:rsidRPr="00361BA1">
        <w:rPr>
          <w:rFonts w:eastAsia="Times New Roman"/>
          <w:bCs/>
          <w:sz w:val="18"/>
          <w:szCs w:val="18"/>
          <w:lang w:eastAsia="en-US"/>
        </w:rPr>
        <w:t>This reflects the costs incurred by the Agency by engaging early childhood partners across the nation with the intention of providing supports to children aged between 0-6 years who have a disability or where there are concerns regarding their development.</w:t>
      </w:r>
    </w:p>
    <w:p w14:paraId="5629A56E" w14:textId="77777777" w:rsidR="00361BA1" w:rsidRPr="00361BA1" w:rsidRDefault="00361BA1" w:rsidP="00361BA1">
      <w:pPr>
        <w:spacing w:before="0" w:line="120" w:lineRule="atLeast"/>
        <w:ind w:left="0"/>
        <w:rPr>
          <w:rFonts w:eastAsia="Times New Roman"/>
          <w:b/>
          <w:bCs/>
          <w:sz w:val="18"/>
          <w:szCs w:val="18"/>
          <w:lang w:eastAsia="en-US"/>
        </w:rPr>
      </w:pPr>
      <w:r w:rsidRPr="00361BA1">
        <w:rPr>
          <w:rFonts w:eastAsia="Times New Roman"/>
          <w:b/>
          <w:bCs/>
          <w:sz w:val="18"/>
          <w:szCs w:val="18"/>
          <w:lang w:eastAsia="en-US"/>
        </w:rPr>
        <w:t xml:space="preserve">Local Area Coordination Costs </w:t>
      </w:r>
    </w:p>
    <w:p w14:paraId="16BC5EC8" w14:textId="77777777" w:rsidR="00361BA1" w:rsidRPr="00361BA1" w:rsidRDefault="00361BA1" w:rsidP="00361BA1">
      <w:pPr>
        <w:spacing w:before="0" w:line="120" w:lineRule="atLeast"/>
        <w:ind w:left="0"/>
        <w:rPr>
          <w:rFonts w:eastAsia="Times New Roman"/>
          <w:bCs/>
          <w:sz w:val="18"/>
          <w:szCs w:val="18"/>
          <w:lang w:eastAsia="en-US"/>
        </w:rPr>
      </w:pPr>
      <w:r w:rsidRPr="00361BA1">
        <w:rPr>
          <w:rFonts w:eastAsia="Times New Roman"/>
          <w:bCs/>
          <w:sz w:val="18"/>
          <w:szCs w:val="18"/>
          <w:lang w:eastAsia="en-US"/>
        </w:rPr>
        <w:t>This reflects the costs incurred in funding selected providers of local area coordination services. Arrangements with providers will differ in form and content, according to the Agency’s needs.</w:t>
      </w:r>
    </w:p>
    <w:p w14:paraId="538CCEC2" w14:textId="77777777" w:rsidR="00361BA1" w:rsidRPr="00361BA1" w:rsidRDefault="00361BA1" w:rsidP="00361BA1">
      <w:pPr>
        <w:spacing w:before="0" w:after="0"/>
        <w:ind w:left="0"/>
        <w:rPr>
          <w:rFonts w:eastAsia="Times New Roman"/>
          <w:bCs/>
          <w:sz w:val="18"/>
          <w:szCs w:val="18"/>
          <w:lang w:eastAsia="en-US"/>
        </w:rPr>
      </w:pPr>
      <w:r w:rsidRPr="00361BA1">
        <w:rPr>
          <w:rFonts w:eastAsia="Times New Roman"/>
          <w:bCs/>
          <w:sz w:val="18"/>
          <w:szCs w:val="18"/>
          <w:lang w:eastAsia="en-US"/>
        </w:rPr>
        <w:t>Local Area Coordinators are required to deliver several types of services including:</w:t>
      </w:r>
    </w:p>
    <w:p w14:paraId="5BE4D9D7" w14:textId="77777777" w:rsidR="00361BA1" w:rsidRPr="00361BA1" w:rsidRDefault="00361BA1" w:rsidP="00361BA1">
      <w:pPr>
        <w:numPr>
          <w:ilvl w:val="0"/>
          <w:numId w:val="54"/>
        </w:numPr>
        <w:spacing w:before="0" w:after="0" w:line="260" w:lineRule="atLeast"/>
        <w:rPr>
          <w:rFonts w:eastAsia="Times New Roman"/>
          <w:bCs/>
          <w:sz w:val="18"/>
          <w:szCs w:val="18"/>
          <w:lang w:eastAsia="en-US"/>
        </w:rPr>
      </w:pPr>
      <w:r w:rsidRPr="00361BA1">
        <w:rPr>
          <w:rFonts w:eastAsia="Times New Roman"/>
          <w:bCs/>
          <w:sz w:val="18"/>
          <w:szCs w:val="18"/>
          <w:lang w:eastAsia="en-US"/>
        </w:rPr>
        <w:t>provision of support to the community and prospective participants to engage with the Scheme, including community awareness;</w:t>
      </w:r>
    </w:p>
    <w:p w14:paraId="7586067D" w14:textId="77777777" w:rsidR="00361BA1" w:rsidRPr="00361BA1" w:rsidRDefault="00361BA1" w:rsidP="00361BA1">
      <w:pPr>
        <w:numPr>
          <w:ilvl w:val="0"/>
          <w:numId w:val="54"/>
        </w:numPr>
        <w:spacing w:before="0" w:after="0" w:line="260" w:lineRule="atLeast"/>
        <w:rPr>
          <w:rFonts w:eastAsia="Times New Roman"/>
          <w:bCs/>
          <w:sz w:val="18"/>
          <w:szCs w:val="18"/>
          <w:lang w:eastAsia="en-US"/>
        </w:rPr>
      </w:pPr>
      <w:r w:rsidRPr="00361BA1">
        <w:rPr>
          <w:rFonts w:eastAsia="Times New Roman"/>
          <w:bCs/>
          <w:sz w:val="18"/>
          <w:szCs w:val="18"/>
          <w:lang w:eastAsia="en-US"/>
        </w:rPr>
        <w:t>support Scheme participants with the implementation of their plans; and</w:t>
      </w:r>
    </w:p>
    <w:p w14:paraId="31B3CD24" w14:textId="77777777" w:rsidR="00361BA1" w:rsidRPr="00361BA1" w:rsidRDefault="00361BA1" w:rsidP="00361BA1">
      <w:pPr>
        <w:numPr>
          <w:ilvl w:val="0"/>
          <w:numId w:val="54"/>
        </w:numPr>
        <w:spacing w:before="0" w:after="0" w:line="260" w:lineRule="atLeast"/>
        <w:rPr>
          <w:rFonts w:eastAsia="Times New Roman"/>
          <w:bCs/>
          <w:sz w:val="18"/>
          <w:szCs w:val="18"/>
          <w:lang w:eastAsia="en-US"/>
        </w:rPr>
      </w:pPr>
      <w:r w:rsidRPr="00361BA1">
        <w:rPr>
          <w:rFonts w:eastAsia="Times New Roman"/>
          <w:bCs/>
          <w:sz w:val="18"/>
          <w:szCs w:val="18"/>
          <w:lang w:eastAsia="en-US"/>
        </w:rPr>
        <w:t>support Scheme participants with full scheme planning and plan reviews.</w:t>
      </w:r>
    </w:p>
    <w:p w14:paraId="59D1AEED" w14:textId="77777777" w:rsidR="00361BA1" w:rsidRPr="00361BA1" w:rsidRDefault="00361BA1" w:rsidP="00361BA1">
      <w:pPr>
        <w:spacing w:before="0" w:after="0"/>
        <w:ind w:left="0"/>
        <w:rPr>
          <w:rFonts w:ascii="Times New Roman" w:eastAsia="Times New Roman" w:hAnsi="Times New Roman" w:cs="Times New Roman"/>
          <w:sz w:val="18"/>
          <w:szCs w:val="20"/>
          <w:lang w:eastAsia="en-US"/>
        </w:rPr>
      </w:pPr>
    </w:p>
    <w:p w14:paraId="5C30939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4E99D081"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The costs associated with early childhood early intervention and community partnerships are recognised in accordance with contractual arrangements.</w:t>
      </w: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475323CD" w14:textId="77777777" w:rsidTr="00361BA1">
        <w:trPr>
          <w:trHeight w:val="240"/>
        </w:trPr>
        <w:tc>
          <w:tcPr>
            <w:tcW w:w="6367" w:type="dxa"/>
            <w:tcBorders>
              <w:top w:val="nil"/>
              <w:left w:val="nil"/>
              <w:bottom w:val="nil"/>
              <w:right w:val="nil"/>
            </w:tcBorders>
            <w:shd w:val="clear" w:color="FFFFFF" w:fill="FFFFFF"/>
            <w:noWrap/>
            <w:vAlign w:val="bottom"/>
            <w:hideMark/>
          </w:tcPr>
          <w:p w14:paraId="7DE0D2DB" w14:textId="77777777" w:rsidR="00361BA1" w:rsidRPr="00361BA1" w:rsidRDefault="00361BA1" w:rsidP="00361BA1">
            <w:pPr>
              <w:spacing w:before="0" w:after="0" w:line="260" w:lineRule="atLeast"/>
              <w:ind w:left="0"/>
              <w:rPr>
                <w:rFonts w:eastAsia="Times New Roman"/>
                <w:sz w:val="18"/>
                <w:szCs w:val="18"/>
                <w:lang w:eastAsia="en-US"/>
              </w:rPr>
            </w:pPr>
            <w:bookmarkStart w:id="50" w:name="Note_PAE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35060E4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445E70D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61CBB8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50"/>
      <w:tr w:rsidR="00361BA1" w:rsidRPr="00361BA1" w14:paraId="627B929D" w14:textId="77777777" w:rsidTr="00361BA1">
        <w:trPr>
          <w:trHeight w:val="240"/>
        </w:trPr>
        <w:tc>
          <w:tcPr>
            <w:tcW w:w="6367" w:type="dxa"/>
            <w:tcBorders>
              <w:top w:val="nil"/>
              <w:left w:val="nil"/>
              <w:bottom w:val="nil"/>
              <w:right w:val="nil"/>
            </w:tcBorders>
            <w:shd w:val="clear" w:color="FFFFFF" w:fill="FFFFFF"/>
            <w:noWrap/>
            <w:vAlign w:val="bottom"/>
            <w:hideMark/>
          </w:tcPr>
          <w:p w14:paraId="5B914FC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70AD889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4C5EBF4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9DD1BA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20F211C8" w14:textId="77777777" w:rsidTr="00361BA1">
        <w:trPr>
          <w:trHeight w:val="255"/>
        </w:trPr>
        <w:tc>
          <w:tcPr>
            <w:tcW w:w="6367" w:type="dxa"/>
            <w:tcBorders>
              <w:top w:val="nil"/>
              <w:left w:val="nil"/>
              <w:bottom w:val="nil"/>
              <w:right w:val="nil"/>
            </w:tcBorders>
            <w:shd w:val="clear" w:color="FFFFFF" w:fill="FFFFFF"/>
            <w:noWrap/>
            <w:vAlign w:val="bottom"/>
            <w:hideMark/>
          </w:tcPr>
          <w:p w14:paraId="39B477EA"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1.1H: Participant plan expenses</w:t>
            </w:r>
          </w:p>
        </w:tc>
        <w:tc>
          <w:tcPr>
            <w:tcW w:w="1246" w:type="dxa"/>
            <w:tcBorders>
              <w:top w:val="nil"/>
              <w:left w:val="nil"/>
              <w:bottom w:val="nil"/>
              <w:right w:val="nil"/>
            </w:tcBorders>
            <w:shd w:val="clear" w:color="FFFFFF" w:fill="FFFFFF"/>
            <w:noWrap/>
            <w:vAlign w:val="bottom"/>
            <w:hideMark/>
          </w:tcPr>
          <w:p w14:paraId="5B690E8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85FCFB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EB0D54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7B69BAEB" w14:textId="77777777" w:rsidTr="00361BA1">
        <w:trPr>
          <w:trHeight w:val="240"/>
        </w:trPr>
        <w:tc>
          <w:tcPr>
            <w:tcW w:w="6367" w:type="dxa"/>
            <w:tcBorders>
              <w:top w:val="nil"/>
              <w:left w:val="nil"/>
              <w:bottom w:val="nil"/>
              <w:right w:val="nil"/>
            </w:tcBorders>
            <w:shd w:val="clear" w:color="FFFFFF" w:fill="FFFFFF"/>
            <w:vAlign w:val="bottom"/>
            <w:hideMark/>
          </w:tcPr>
          <w:p w14:paraId="01A0E01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Claims received from participants and providers</w:t>
            </w:r>
          </w:p>
        </w:tc>
        <w:tc>
          <w:tcPr>
            <w:tcW w:w="1246" w:type="dxa"/>
            <w:tcBorders>
              <w:top w:val="nil"/>
              <w:left w:val="nil"/>
              <w:bottom w:val="nil"/>
              <w:right w:val="nil"/>
            </w:tcBorders>
            <w:shd w:val="clear" w:color="FFFFFF" w:fill="FFFFFF"/>
            <w:noWrap/>
            <w:vAlign w:val="bottom"/>
            <w:hideMark/>
          </w:tcPr>
          <w:p w14:paraId="13C2130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15,871,690</w:t>
            </w:r>
          </w:p>
        </w:tc>
        <w:tc>
          <w:tcPr>
            <w:tcW w:w="236" w:type="dxa"/>
            <w:tcBorders>
              <w:top w:val="nil"/>
              <w:left w:val="nil"/>
              <w:bottom w:val="nil"/>
              <w:right w:val="nil"/>
            </w:tcBorders>
            <w:shd w:val="clear" w:color="FFFFFF" w:fill="FFFFFF"/>
            <w:noWrap/>
            <w:vAlign w:val="bottom"/>
            <w:hideMark/>
          </w:tcPr>
          <w:p w14:paraId="175F9A6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49B3379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8,542,350</w:t>
            </w:r>
          </w:p>
        </w:tc>
      </w:tr>
      <w:tr w:rsidR="00361BA1" w:rsidRPr="00361BA1" w14:paraId="0B049E85" w14:textId="77777777" w:rsidTr="00361BA1">
        <w:trPr>
          <w:trHeight w:val="240"/>
        </w:trPr>
        <w:tc>
          <w:tcPr>
            <w:tcW w:w="6367" w:type="dxa"/>
            <w:tcBorders>
              <w:top w:val="nil"/>
              <w:left w:val="nil"/>
              <w:bottom w:val="nil"/>
              <w:right w:val="nil"/>
            </w:tcBorders>
            <w:shd w:val="clear" w:color="FFFFFF" w:fill="FFFFFF"/>
            <w:vAlign w:val="bottom"/>
            <w:hideMark/>
          </w:tcPr>
          <w:p w14:paraId="2234BDF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Cost of services received in-kind</w:t>
            </w:r>
          </w:p>
        </w:tc>
        <w:tc>
          <w:tcPr>
            <w:tcW w:w="1246" w:type="dxa"/>
            <w:tcBorders>
              <w:top w:val="nil"/>
              <w:left w:val="nil"/>
              <w:bottom w:val="nil"/>
              <w:right w:val="nil"/>
            </w:tcBorders>
            <w:shd w:val="clear" w:color="FFFFFF" w:fill="FFFFFF"/>
            <w:noWrap/>
            <w:vAlign w:val="bottom"/>
            <w:hideMark/>
          </w:tcPr>
          <w:p w14:paraId="5C68521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1,523,659</w:t>
            </w:r>
          </w:p>
        </w:tc>
        <w:tc>
          <w:tcPr>
            <w:tcW w:w="236" w:type="dxa"/>
            <w:tcBorders>
              <w:top w:val="nil"/>
              <w:left w:val="nil"/>
              <w:bottom w:val="nil"/>
              <w:right w:val="nil"/>
            </w:tcBorders>
            <w:shd w:val="clear" w:color="FFFFFF" w:fill="FFFFFF"/>
            <w:noWrap/>
            <w:vAlign w:val="bottom"/>
            <w:hideMark/>
          </w:tcPr>
          <w:p w14:paraId="29233B3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47A4740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1,243,133</w:t>
            </w:r>
          </w:p>
        </w:tc>
      </w:tr>
      <w:tr w:rsidR="00361BA1" w:rsidRPr="00361BA1" w14:paraId="16103BC4" w14:textId="77777777" w:rsidTr="00361BA1">
        <w:trPr>
          <w:trHeight w:val="240"/>
        </w:trPr>
        <w:tc>
          <w:tcPr>
            <w:tcW w:w="6367" w:type="dxa"/>
            <w:tcBorders>
              <w:top w:val="nil"/>
              <w:left w:val="nil"/>
              <w:bottom w:val="nil"/>
              <w:right w:val="nil"/>
            </w:tcBorders>
            <w:shd w:val="clear" w:color="FFFFFF" w:fill="FFFFFF"/>
            <w:vAlign w:val="bottom"/>
            <w:hideMark/>
          </w:tcPr>
          <w:p w14:paraId="4B42039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xml:space="preserve">Other changes to participant plan provisions </w:t>
            </w:r>
          </w:p>
        </w:tc>
        <w:tc>
          <w:tcPr>
            <w:tcW w:w="1246" w:type="dxa"/>
            <w:tcBorders>
              <w:top w:val="nil"/>
              <w:left w:val="nil"/>
              <w:bottom w:val="nil"/>
              <w:right w:val="nil"/>
            </w:tcBorders>
            <w:shd w:val="clear" w:color="FFFFFF" w:fill="FFFFFF"/>
            <w:noWrap/>
            <w:vAlign w:val="bottom"/>
            <w:hideMark/>
          </w:tcPr>
          <w:p w14:paraId="3E90CFA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194,135</w:t>
            </w:r>
          </w:p>
        </w:tc>
        <w:tc>
          <w:tcPr>
            <w:tcW w:w="236" w:type="dxa"/>
            <w:tcBorders>
              <w:top w:val="nil"/>
              <w:left w:val="nil"/>
              <w:bottom w:val="nil"/>
              <w:right w:val="nil"/>
            </w:tcBorders>
            <w:shd w:val="clear" w:color="FFFFFF" w:fill="FFFFFF"/>
            <w:noWrap/>
            <w:vAlign w:val="bottom"/>
            <w:hideMark/>
          </w:tcPr>
          <w:p w14:paraId="547B606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1C2D6F3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674,444</w:t>
            </w:r>
          </w:p>
        </w:tc>
      </w:tr>
      <w:tr w:rsidR="00361BA1" w:rsidRPr="00361BA1" w14:paraId="2AE0F02D" w14:textId="77777777" w:rsidTr="00361BA1">
        <w:trPr>
          <w:trHeight w:val="240"/>
        </w:trPr>
        <w:tc>
          <w:tcPr>
            <w:tcW w:w="6367" w:type="dxa"/>
            <w:tcBorders>
              <w:top w:val="nil"/>
              <w:left w:val="nil"/>
              <w:bottom w:val="nil"/>
              <w:right w:val="nil"/>
            </w:tcBorders>
            <w:shd w:val="clear" w:color="FFFFFF" w:fill="FFFFFF"/>
            <w:vAlign w:val="bottom"/>
            <w:hideMark/>
          </w:tcPr>
          <w:p w14:paraId="07D19D2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participant plan expenses</w:t>
            </w:r>
          </w:p>
        </w:tc>
        <w:tc>
          <w:tcPr>
            <w:tcW w:w="1246" w:type="dxa"/>
            <w:tcBorders>
              <w:top w:val="single" w:sz="4" w:space="0" w:color="auto"/>
              <w:left w:val="nil"/>
              <w:bottom w:val="single" w:sz="4" w:space="0" w:color="auto"/>
              <w:right w:val="nil"/>
            </w:tcBorders>
            <w:shd w:val="clear" w:color="FFFFFF" w:fill="FFFFFF"/>
            <w:noWrap/>
            <w:vAlign w:val="bottom"/>
            <w:hideMark/>
          </w:tcPr>
          <w:p w14:paraId="0F87B26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17,589,484</w:t>
            </w:r>
          </w:p>
        </w:tc>
        <w:tc>
          <w:tcPr>
            <w:tcW w:w="236" w:type="dxa"/>
            <w:tcBorders>
              <w:top w:val="nil"/>
              <w:left w:val="nil"/>
              <w:bottom w:val="nil"/>
              <w:right w:val="nil"/>
            </w:tcBorders>
            <w:shd w:val="clear" w:color="FFFFFF" w:fill="FFFFFF"/>
            <w:noWrap/>
            <w:vAlign w:val="bottom"/>
            <w:hideMark/>
          </w:tcPr>
          <w:p w14:paraId="63D4A25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F65AE6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10,459,927</w:t>
            </w:r>
          </w:p>
        </w:tc>
      </w:tr>
    </w:tbl>
    <w:p w14:paraId="126AB5E8" w14:textId="77777777" w:rsidR="00361BA1" w:rsidRPr="00361BA1" w:rsidRDefault="00361BA1" w:rsidP="00361BA1">
      <w:pPr>
        <w:spacing w:before="0" w:after="0"/>
        <w:ind w:left="0"/>
        <w:rPr>
          <w:rFonts w:ascii="Times New Roman" w:eastAsia="Times New Roman" w:hAnsi="Times New Roman" w:cs="Times New Roman"/>
          <w:sz w:val="2"/>
          <w:szCs w:val="20"/>
          <w:lang w:eastAsia="en-US"/>
        </w:rPr>
      </w:pPr>
      <w:bookmarkStart w:id="51" w:name="OLE_LINK13"/>
      <w:bookmarkStart w:id="52" w:name="OLE_LINK12"/>
    </w:p>
    <w:p w14:paraId="22D14AAB"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522A3D3D"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The costs associated with participant plan expenses are recognised as and when the Agency receives claims from participants and providers. Accounting policies for expenses resulting from adjustment to the participant plan provision are contained in Section 2.6 – Provisions.</w:t>
      </w:r>
    </w:p>
    <w:p w14:paraId="397C3310" w14:textId="77777777" w:rsidR="00361BA1" w:rsidRPr="00361BA1" w:rsidRDefault="00361BA1" w:rsidP="00361BA1">
      <w:pPr>
        <w:spacing w:before="0" w:line="120" w:lineRule="atLeast"/>
        <w:ind w:left="0"/>
        <w:rPr>
          <w:rFonts w:eastAsia="Times New Roman"/>
          <w:b/>
          <w:bCs/>
          <w:sz w:val="18"/>
          <w:szCs w:val="18"/>
          <w:lang w:eastAsia="en-US"/>
        </w:rPr>
      </w:pPr>
      <w:r w:rsidRPr="00361BA1">
        <w:rPr>
          <w:rFonts w:eastAsia="Times New Roman"/>
          <w:b/>
          <w:bCs/>
          <w:sz w:val="18"/>
          <w:szCs w:val="18"/>
          <w:lang w:eastAsia="en-US"/>
        </w:rPr>
        <w:t>Participant plan expenses</w:t>
      </w:r>
    </w:p>
    <w:p w14:paraId="6CBFC7D9" w14:textId="77777777" w:rsidR="00361BA1" w:rsidRPr="00361BA1" w:rsidRDefault="00361BA1" w:rsidP="00361BA1">
      <w:pPr>
        <w:spacing w:before="0" w:line="120" w:lineRule="atLeast"/>
        <w:ind w:left="0"/>
        <w:rPr>
          <w:rFonts w:eastAsia="Times New Roman"/>
          <w:bCs/>
          <w:sz w:val="18"/>
          <w:szCs w:val="18"/>
          <w:lang w:eastAsia="en-AU"/>
        </w:rPr>
      </w:pPr>
      <w:r w:rsidRPr="00361BA1">
        <w:rPr>
          <w:rFonts w:eastAsia="Times New Roman"/>
          <w:bCs/>
          <w:sz w:val="18"/>
          <w:szCs w:val="18"/>
          <w:lang w:eastAsia="en-AU"/>
        </w:rPr>
        <w:t xml:space="preserve">The Agency makes payments to registered providers and participants with self-managed plans for supports delivered in line with a participant’s approved plan. Registered providers and self-managing participants are able to access NDIS portals to submit payment claims for delivered supports. </w:t>
      </w:r>
    </w:p>
    <w:p w14:paraId="1462C446" w14:textId="77777777" w:rsidR="00361BA1" w:rsidRPr="00361BA1" w:rsidRDefault="00361BA1" w:rsidP="00361BA1">
      <w:pPr>
        <w:spacing w:before="0" w:line="120" w:lineRule="atLeast"/>
        <w:ind w:left="0"/>
        <w:rPr>
          <w:rFonts w:eastAsia="Times New Roman"/>
          <w:bCs/>
          <w:sz w:val="18"/>
          <w:szCs w:val="18"/>
          <w:lang w:eastAsia="en-AU"/>
        </w:rPr>
      </w:pPr>
      <w:r w:rsidRPr="00361BA1">
        <w:rPr>
          <w:rFonts w:eastAsia="Times New Roman"/>
          <w:bCs/>
          <w:sz w:val="18"/>
          <w:szCs w:val="18"/>
          <w:lang w:eastAsia="en-AU"/>
        </w:rPr>
        <w:t xml:space="preserve">Self-lodgement of claims from providers and participant with self-managed plans can lead to payments that are inconsistent with Agency guidance, even where no deliberate fraud is intended by the claimant. To mitigate this risk the Agency has a compliance and assurance program aimed at substantiating a statistically selected sample of claims lodged by providers and self-managed plan participants. Errors identified can be either critical (having a potential negative financial impact) or non-critical (having no or a potentially positive financial impact). </w:t>
      </w:r>
    </w:p>
    <w:p w14:paraId="2C106F66" w14:textId="77777777" w:rsidR="00361BA1" w:rsidRPr="00361BA1" w:rsidRDefault="00361BA1" w:rsidP="00361BA1">
      <w:pPr>
        <w:spacing w:before="0" w:line="120" w:lineRule="atLeast"/>
        <w:ind w:left="0"/>
        <w:rPr>
          <w:rFonts w:eastAsia="Times New Roman"/>
          <w:bCs/>
          <w:sz w:val="18"/>
          <w:szCs w:val="18"/>
          <w:lang w:eastAsia="en-AU"/>
        </w:rPr>
      </w:pPr>
      <w:r w:rsidRPr="00361BA1">
        <w:rPr>
          <w:rFonts w:eastAsia="Times New Roman"/>
          <w:bCs/>
          <w:sz w:val="18"/>
          <w:szCs w:val="18"/>
          <w:lang w:eastAsia="en-AU"/>
        </w:rPr>
        <w:t xml:space="preserve">The results of the review conducted in 2019-20 extrapolated over the total value of provider payments made in 2019-20 assessed that the accuracy rate in payments made to providers was 93.9 per cent (2019: 96.4 per cent). </w:t>
      </w:r>
      <w:r w:rsidRPr="00361BA1">
        <w:rPr>
          <w:rFonts w:eastAsia="Times New Roman"/>
          <w:bCs/>
          <w:sz w:val="18"/>
          <w:szCs w:val="18"/>
          <w:lang w:eastAsia="en-US"/>
        </w:rPr>
        <w:t>The estimated overall financial impact of the provider error rates is $163.5m (1.2% of total provider payments) compared to $34.6m (0.5% of total provider payments) in 2018-19. The major factor in the increase of estimated value is an increase in average error value from $51.80 to $83.02.</w:t>
      </w:r>
    </w:p>
    <w:p w14:paraId="0D8E57DA" w14:textId="77777777" w:rsidR="00361BA1" w:rsidRPr="00361BA1" w:rsidRDefault="00361BA1" w:rsidP="00361BA1">
      <w:pPr>
        <w:spacing w:before="0" w:line="259" w:lineRule="auto"/>
        <w:ind w:left="0"/>
        <w:rPr>
          <w:rFonts w:eastAsia="Times New Roman"/>
          <w:sz w:val="18"/>
          <w:szCs w:val="18"/>
          <w:lang w:eastAsia="en-US"/>
        </w:rPr>
      </w:pPr>
      <w:r w:rsidRPr="00361BA1">
        <w:rPr>
          <w:rFonts w:eastAsia="Times New Roman"/>
          <w:sz w:val="18"/>
          <w:szCs w:val="18"/>
          <w:lang w:eastAsia="en-AU"/>
        </w:rPr>
        <w:t xml:space="preserve">The review also includes testing of participant self-managed plan payments. After extrapolating the critical errors identified in the testing over the total population of self-managed plan payments made in 2019-20 the accuracy rate in self-managed plan payments was 92.7 per cent (2019: 92.2 per cent). </w:t>
      </w:r>
      <w:r w:rsidRPr="00361BA1">
        <w:rPr>
          <w:rFonts w:eastAsia="Times New Roman"/>
          <w:sz w:val="18"/>
          <w:szCs w:val="18"/>
          <w:lang w:eastAsia="en-US"/>
        </w:rPr>
        <w:t>The estimated overall financial impact of the participant self-managed plan error rates was $17.8m (0.9% of total self-managed participant provider payments) compared to $32.5m (3.8% of total self-managed participant payments) in 2018</w:t>
      </w:r>
      <w:r w:rsidRPr="00361BA1">
        <w:rPr>
          <w:rFonts w:eastAsia="Times New Roman"/>
          <w:sz w:val="18"/>
          <w:szCs w:val="18"/>
          <w:lang w:eastAsia="en-AU"/>
        </w:rPr>
        <w:t>-</w:t>
      </w:r>
      <w:r w:rsidRPr="00361BA1">
        <w:rPr>
          <w:rFonts w:eastAsia="Times New Roman"/>
          <w:sz w:val="18"/>
          <w:szCs w:val="18"/>
          <w:lang w:eastAsia="en-US"/>
        </w:rPr>
        <w:t>19.</w:t>
      </w:r>
    </w:p>
    <w:p w14:paraId="28CCF7BA" w14:textId="77777777" w:rsidR="00361BA1" w:rsidRPr="00361BA1" w:rsidRDefault="00361BA1" w:rsidP="00361BA1">
      <w:pPr>
        <w:spacing w:before="0"/>
        <w:ind w:left="0"/>
        <w:jc w:val="both"/>
        <w:rPr>
          <w:rFonts w:eastAsia="Times New Roman"/>
          <w:sz w:val="18"/>
          <w:szCs w:val="18"/>
          <w:lang w:eastAsia="en-US"/>
        </w:rPr>
      </w:pPr>
      <w:r w:rsidRPr="00361BA1">
        <w:rPr>
          <w:rFonts w:eastAsia="Times New Roman"/>
          <w:sz w:val="18"/>
          <w:szCs w:val="18"/>
          <w:lang w:eastAsia="en-US"/>
        </w:rPr>
        <w:t>Note, comparatives for the above payment tests have been adjusted as the rates inadvertently disclosed in 2018-19 were the estimated dollar value impacts as a percentage of total participant expense payments, rather than the error rate percentages.</w:t>
      </w:r>
    </w:p>
    <w:p w14:paraId="5A485084" w14:textId="77777777" w:rsidR="00361BA1" w:rsidRPr="00361BA1" w:rsidRDefault="00361BA1" w:rsidP="00361BA1">
      <w:pPr>
        <w:spacing w:before="0" w:line="120" w:lineRule="atLeast"/>
        <w:ind w:left="0"/>
        <w:rPr>
          <w:rFonts w:eastAsia="Times New Roman"/>
          <w:bCs/>
          <w:sz w:val="18"/>
          <w:szCs w:val="18"/>
          <w:lang w:eastAsia="en-US"/>
        </w:rPr>
      </w:pPr>
      <w:r w:rsidRPr="00361BA1">
        <w:rPr>
          <w:rFonts w:eastAsia="Times New Roman"/>
          <w:bCs/>
          <w:sz w:val="18"/>
          <w:szCs w:val="18"/>
          <w:lang w:eastAsia="en-AU"/>
        </w:rPr>
        <w:t xml:space="preserve">All critical errors are subject to further validation, with recovery action, where required and considered to be economical, undertaken in accordance with the Agency’s Debt Management Procedures. </w:t>
      </w:r>
      <w:bookmarkEnd w:id="51"/>
      <w:r w:rsidRPr="00361BA1">
        <w:rPr>
          <w:rFonts w:eastAsia="Times New Roman"/>
          <w:bCs/>
          <w:sz w:val="18"/>
          <w:szCs w:val="18"/>
          <w:lang w:eastAsia="en-US"/>
        </w:rPr>
        <w:br w:type="page"/>
      </w:r>
    </w:p>
    <w:p w14:paraId="2345CFC4" w14:textId="6FF285F6" w:rsidR="00361BA1" w:rsidRPr="00361BA1" w:rsidRDefault="00881CFE" w:rsidP="00361BA1">
      <w:pPr>
        <w:numPr>
          <w:ilvl w:val="1"/>
          <w:numId w:val="0"/>
        </w:numPr>
        <w:shd w:val="clear" w:color="auto" w:fill="000000"/>
        <w:spacing w:before="0" w:after="0" w:line="260" w:lineRule="atLeast"/>
        <w:ind w:left="426" w:hanging="426"/>
        <w:outlineLvl w:val="1"/>
        <w:rPr>
          <w:rFonts w:eastAsia="Times New Roman"/>
          <w:b/>
          <w:color w:val="FFFFFF"/>
          <w:sz w:val="20"/>
          <w:szCs w:val="20"/>
          <w:lang w:eastAsia="en-US"/>
        </w:rPr>
      </w:pPr>
      <w:bookmarkStart w:id="53" w:name="_Toc443469524"/>
      <w:bookmarkStart w:id="54" w:name="_Toc444065773"/>
      <w:bookmarkStart w:id="55" w:name="_Toc444077334"/>
      <w:bookmarkStart w:id="56" w:name="_Toc447030537"/>
      <w:bookmarkStart w:id="57" w:name="_Toc447030689"/>
      <w:bookmarkStart w:id="58" w:name="_Toc447030782"/>
      <w:bookmarkStart w:id="59" w:name="_Toc41479161"/>
      <w:bookmarkEnd w:id="52"/>
      <w:r>
        <w:rPr>
          <w:rFonts w:eastAsia="Times New Roman"/>
          <w:b/>
          <w:color w:val="FFFFFF"/>
          <w:sz w:val="20"/>
          <w:szCs w:val="20"/>
          <w:lang w:eastAsia="en-US"/>
        </w:rPr>
        <w:lastRenderedPageBreak/>
        <w:t xml:space="preserve">1.2. </w:t>
      </w:r>
      <w:r w:rsidR="00361BA1" w:rsidRPr="00361BA1">
        <w:rPr>
          <w:rFonts w:eastAsia="Times New Roman"/>
          <w:b/>
          <w:color w:val="FFFFFF"/>
          <w:sz w:val="20"/>
          <w:szCs w:val="20"/>
          <w:lang w:eastAsia="en-US"/>
        </w:rPr>
        <w:t>Own-Source Revenue and Gains</w:t>
      </w:r>
      <w:bookmarkEnd w:id="53"/>
      <w:bookmarkEnd w:id="54"/>
      <w:bookmarkEnd w:id="55"/>
      <w:bookmarkEnd w:id="56"/>
      <w:bookmarkEnd w:id="57"/>
      <w:bookmarkEnd w:id="58"/>
      <w:bookmarkEnd w:id="59"/>
    </w:p>
    <w:p w14:paraId="484056B0"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30F99301" w14:textId="77777777" w:rsidTr="00361BA1">
        <w:trPr>
          <w:trHeight w:val="255"/>
        </w:trPr>
        <w:tc>
          <w:tcPr>
            <w:tcW w:w="6367" w:type="dxa"/>
            <w:tcBorders>
              <w:top w:val="nil"/>
              <w:left w:val="nil"/>
              <w:bottom w:val="nil"/>
              <w:right w:val="nil"/>
            </w:tcBorders>
            <w:shd w:val="clear" w:color="FFFFFF" w:fill="FFFFFF"/>
            <w:vAlign w:val="bottom"/>
            <w:hideMark/>
          </w:tcPr>
          <w:p w14:paraId="674A7886" w14:textId="77777777" w:rsidR="00361BA1" w:rsidRPr="00361BA1" w:rsidRDefault="00361BA1" w:rsidP="00361BA1">
            <w:pPr>
              <w:spacing w:before="0" w:after="0" w:line="260" w:lineRule="atLeast"/>
              <w:ind w:left="0"/>
              <w:rPr>
                <w:rFonts w:eastAsia="Times New Roman"/>
                <w:b/>
                <w:bCs/>
                <w:sz w:val="18"/>
                <w:szCs w:val="18"/>
                <w:lang w:eastAsia="en-US"/>
              </w:rPr>
            </w:pPr>
            <w:bookmarkStart w:id="60" w:name="Note_GASTABLE1" w:colFirst="0" w:colLast="0"/>
            <w:r w:rsidRPr="00361BA1">
              <w:rPr>
                <w:rFonts w:eastAsia="Times New Roman"/>
                <w:b/>
                <w:bCs/>
                <w:sz w:val="18"/>
                <w:szCs w:val="18"/>
                <w:lang w:eastAsia="en-US"/>
              </w:rPr>
              <w:t>OWN SOURCE REVENUE</w:t>
            </w:r>
          </w:p>
        </w:tc>
        <w:tc>
          <w:tcPr>
            <w:tcW w:w="1246" w:type="dxa"/>
            <w:tcBorders>
              <w:top w:val="nil"/>
              <w:left w:val="nil"/>
              <w:bottom w:val="nil"/>
              <w:right w:val="nil"/>
            </w:tcBorders>
            <w:shd w:val="clear" w:color="FFFFFF" w:fill="FFFFFF"/>
            <w:noWrap/>
            <w:vAlign w:val="bottom"/>
            <w:hideMark/>
          </w:tcPr>
          <w:p w14:paraId="2EFE9DA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78F3A60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6352C8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60"/>
      <w:tr w:rsidR="00361BA1" w:rsidRPr="00361BA1" w14:paraId="040EE54E" w14:textId="77777777" w:rsidTr="00361BA1">
        <w:trPr>
          <w:trHeight w:val="255"/>
        </w:trPr>
        <w:tc>
          <w:tcPr>
            <w:tcW w:w="6367" w:type="dxa"/>
            <w:tcBorders>
              <w:top w:val="nil"/>
              <w:left w:val="nil"/>
              <w:bottom w:val="nil"/>
              <w:right w:val="nil"/>
            </w:tcBorders>
            <w:shd w:val="clear" w:color="FFFFFF" w:fill="FFFFFF"/>
            <w:vAlign w:val="bottom"/>
            <w:hideMark/>
          </w:tcPr>
          <w:p w14:paraId="7189590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46" w:type="dxa"/>
            <w:tcBorders>
              <w:top w:val="nil"/>
              <w:left w:val="nil"/>
              <w:bottom w:val="nil"/>
              <w:right w:val="nil"/>
            </w:tcBorders>
            <w:shd w:val="clear" w:color="FFFFFF" w:fill="FFFFFF"/>
            <w:noWrap/>
            <w:vAlign w:val="bottom"/>
            <w:hideMark/>
          </w:tcPr>
          <w:p w14:paraId="3D29C00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05B7CB7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704892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76232781" w14:textId="77777777" w:rsidTr="00361BA1">
        <w:trPr>
          <w:trHeight w:val="263"/>
        </w:trPr>
        <w:tc>
          <w:tcPr>
            <w:tcW w:w="6367" w:type="dxa"/>
            <w:tcBorders>
              <w:top w:val="nil"/>
              <w:left w:val="nil"/>
              <w:bottom w:val="nil"/>
              <w:right w:val="nil"/>
            </w:tcBorders>
            <w:shd w:val="clear" w:color="FFFFFF" w:fill="FFFFFF"/>
            <w:noWrap/>
            <w:vAlign w:val="bottom"/>
            <w:hideMark/>
          </w:tcPr>
          <w:p w14:paraId="4A7F9B1B"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1.2A: Rendering of services</w:t>
            </w:r>
          </w:p>
        </w:tc>
        <w:tc>
          <w:tcPr>
            <w:tcW w:w="1246" w:type="dxa"/>
            <w:tcBorders>
              <w:top w:val="nil"/>
              <w:left w:val="nil"/>
              <w:bottom w:val="nil"/>
              <w:right w:val="nil"/>
            </w:tcBorders>
            <w:shd w:val="clear" w:color="FFFFFF" w:fill="FFFFFF"/>
            <w:noWrap/>
            <w:vAlign w:val="bottom"/>
            <w:hideMark/>
          </w:tcPr>
          <w:p w14:paraId="1C6E366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B28B30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367F4B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6DC1BDBE" w14:textId="77777777" w:rsidTr="00361BA1">
        <w:trPr>
          <w:trHeight w:val="263"/>
        </w:trPr>
        <w:tc>
          <w:tcPr>
            <w:tcW w:w="6367" w:type="dxa"/>
            <w:tcBorders>
              <w:top w:val="nil"/>
              <w:left w:val="nil"/>
              <w:bottom w:val="nil"/>
              <w:right w:val="nil"/>
            </w:tcBorders>
            <w:shd w:val="clear" w:color="FFFFFF" w:fill="FFFFFF"/>
            <w:noWrap/>
            <w:vAlign w:val="bottom"/>
            <w:hideMark/>
          </w:tcPr>
          <w:p w14:paraId="3DAF6DC9" w14:textId="77777777" w:rsidR="00361BA1" w:rsidRPr="00361BA1" w:rsidRDefault="00361BA1" w:rsidP="00361BA1">
            <w:pPr>
              <w:spacing w:before="0" w:after="0" w:line="260" w:lineRule="atLeast"/>
              <w:ind w:left="0" w:firstLineChars="100" w:firstLine="180"/>
              <w:rPr>
                <w:rFonts w:eastAsia="Times New Roman"/>
                <w:b/>
                <w:bCs/>
                <w:sz w:val="18"/>
                <w:szCs w:val="18"/>
                <w:lang w:eastAsia="en-US"/>
              </w:rPr>
            </w:pPr>
            <w:r w:rsidRPr="00361BA1">
              <w:rPr>
                <w:rFonts w:eastAsia="Times New Roman"/>
                <w:b/>
                <w:bCs/>
                <w:sz w:val="18"/>
                <w:szCs w:val="18"/>
                <w:lang w:eastAsia="en-US"/>
              </w:rPr>
              <w:t xml:space="preserve">Rendering of services in connection with: </w:t>
            </w:r>
          </w:p>
        </w:tc>
        <w:tc>
          <w:tcPr>
            <w:tcW w:w="1246" w:type="dxa"/>
            <w:tcBorders>
              <w:top w:val="nil"/>
              <w:left w:val="nil"/>
              <w:bottom w:val="nil"/>
              <w:right w:val="nil"/>
            </w:tcBorders>
            <w:shd w:val="clear" w:color="FFFFFF" w:fill="FFFFFF"/>
            <w:noWrap/>
            <w:vAlign w:val="bottom"/>
            <w:hideMark/>
          </w:tcPr>
          <w:p w14:paraId="0E137D7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CC199C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A34FC5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457F46FA" w14:textId="77777777" w:rsidTr="00361BA1">
        <w:trPr>
          <w:trHeight w:val="255"/>
        </w:trPr>
        <w:tc>
          <w:tcPr>
            <w:tcW w:w="6367" w:type="dxa"/>
            <w:tcBorders>
              <w:top w:val="nil"/>
              <w:left w:val="nil"/>
              <w:bottom w:val="nil"/>
              <w:right w:val="nil"/>
            </w:tcBorders>
            <w:shd w:val="clear" w:color="FFFFFF" w:fill="FFFFFF"/>
            <w:vAlign w:val="bottom"/>
            <w:hideMark/>
          </w:tcPr>
          <w:p w14:paraId="3C9912F1"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Related parties - contributions from Department of Social Services</w:t>
            </w:r>
          </w:p>
        </w:tc>
        <w:tc>
          <w:tcPr>
            <w:tcW w:w="1246" w:type="dxa"/>
            <w:tcBorders>
              <w:top w:val="nil"/>
              <w:left w:val="nil"/>
              <w:bottom w:val="nil"/>
              <w:right w:val="nil"/>
            </w:tcBorders>
            <w:shd w:val="clear" w:color="FFFFFF" w:fill="FFFFFF"/>
            <w:noWrap/>
            <w:vAlign w:val="bottom"/>
            <w:hideMark/>
          </w:tcPr>
          <w:p w14:paraId="5778773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7,102,870</w:t>
            </w:r>
          </w:p>
        </w:tc>
        <w:tc>
          <w:tcPr>
            <w:tcW w:w="236" w:type="dxa"/>
            <w:tcBorders>
              <w:top w:val="nil"/>
              <w:left w:val="nil"/>
              <w:bottom w:val="nil"/>
              <w:right w:val="nil"/>
            </w:tcBorders>
            <w:shd w:val="clear" w:color="FFFFFF" w:fill="FFFFFF"/>
            <w:noWrap/>
            <w:vAlign w:val="bottom"/>
            <w:hideMark/>
          </w:tcPr>
          <w:p w14:paraId="4381BC9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32CB74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4,021,400</w:t>
            </w:r>
          </w:p>
        </w:tc>
      </w:tr>
      <w:tr w:rsidR="00361BA1" w:rsidRPr="00361BA1" w14:paraId="446A6FCF" w14:textId="77777777" w:rsidTr="00361BA1">
        <w:trPr>
          <w:trHeight w:val="255"/>
        </w:trPr>
        <w:tc>
          <w:tcPr>
            <w:tcW w:w="6367" w:type="dxa"/>
            <w:tcBorders>
              <w:top w:val="nil"/>
              <w:left w:val="nil"/>
              <w:bottom w:val="nil"/>
              <w:right w:val="nil"/>
            </w:tcBorders>
            <w:shd w:val="clear" w:color="FFFFFF" w:fill="FFFFFF"/>
            <w:vAlign w:val="bottom"/>
            <w:hideMark/>
          </w:tcPr>
          <w:p w14:paraId="3ED2C328" w14:textId="77777777" w:rsidR="00361BA1" w:rsidRPr="00361BA1" w:rsidRDefault="00361BA1" w:rsidP="00361BA1">
            <w:pPr>
              <w:spacing w:before="0" w:after="0" w:line="260" w:lineRule="atLeast"/>
              <w:ind w:left="0" w:firstLineChars="200" w:firstLine="360"/>
              <w:rPr>
                <w:rFonts w:eastAsia="Times New Roman"/>
                <w:sz w:val="18"/>
                <w:szCs w:val="18"/>
                <w:lang w:eastAsia="en-US"/>
              </w:rPr>
            </w:pPr>
            <w:r w:rsidRPr="00361BA1">
              <w:rPr>
                <w:rFonts w:eastAsia="Times New Roman"/>
                <w:sz w:val="18"/>
                <w:szCs w:val="18"/>
                <w:lang w:eastAsia="en-US"/>
              </w:rPr>
              <w:t>External parties - contributions from state and territory governments</w:t>
            </w:r>
          </w:p>
        </w:tc>
        <w:tc>
          <w:tcPr>
            <w:tcW w:w="1246" w:type="dxa"/>
            <w:tcBorders>
              <w:top w:val="nil"/>
              <w:left w:val="nil"/>
              <w:bottom w:val="nil"/>
              <w:right w:val="nil"/>
            </w:tcBorders>
            <w:shd w:val="clear" w:color="FFFFFF" w:fill="FFFFFF"/>
            <w:noWrap/>
            <w:vAlign w:val="bottom"/>
            <w:hideMark/>
          </w:tcPr>
          <w:p w14:paraId="3695A34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7,792,278</w:t>
            </w:r>
          </w:p>
        </w:tc>
        <w:tc>
          <w:tcPr>
            <w:tcW w:w="236" w:type="dxa"/>
            <w:tcBorders>
              <w:top w:val="nil"/>
              <w:left w:val="nil"/>
              <w:bottom w:val="nil"/>
              <w:right w:val="nil"/>
            </w:tcBorders>
            <w:shd w:val="clear" w:color="FFFFFF" w:fill="FFFFFF"/>
            <w:noWrap/>
            <w:vAlign w:val="bottom"/>
            <w:hideMark/>
          </w:tcPr>
          <w:p w14:paraId="25A6D6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C6CC91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5,754,906</w:t>
            </w:r>
          </w:p>
        </w:tc>
      </w:tr>
      <w:tr w:rsidR="00361BA1" w:rsidRPr="00361BA1" w14:paraId="34C0B1B9" w14:textId="77777777" w:rsidTr="00361BA1">
        <w:trPr>
          <w:trHeight w:val="255"/>
        </w:trPr>
        <w:tc>
          <w:tcPr>
            <w:tcW w:w="6367" w:type="dxa"/>
            <w:tcBorders>
              <w:top w:val="nil"/>
              <w:left w:val="nil"/>
              <w:bottom w:val="nil"/>
              <w:right w:val="nil"/>
            </w:tcBorders>
            <w:shd w:val="clear" w:color="FFFFFF" w:fill="FFFFFF"/>
            <w:vAlign w:val="bottom"/>
            <w:hideMark/>
          </w:tcPr>
          <w:p w14:paraId="425041D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revenue from rendering of services</w:t>
            </w:r>
          </w:p>
        </w:tc>
        <w:tc>
          <w:tcPr>
            <w:tcW w:w="1246" w:type="dxa"/>
            <w:tcBorders>
              <w:top w:val="single" w:sz="4" w:space="0" w:color="auto"/>
              <w:left w:val="nil"/>
              <w:bottom w:val="single" w:sz="4" w:space="0" w:color="auto"/>
              <w:right w:val="nil"/>
            </w:tcBorders>
            <w:shd w:val="clear" w:color="FFFFFF" w:fill="FFFFFF"/>
            <w:noWrap/>
            <w:vAlign w:val="bottom"/>
            <w:hideMark/>
          </w:tcPr>
          <w:p w14:paraId="1BFB000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14,895,148</w:t>
            </w:r>
          </w:p>
        </w:tc>
        <w:tc>
          <w:tcPr>
            <w:tcW w:w="236" w:type="dxa"/>
            <w:tcBorders>
              <w:top w:val="nil"/>
              <w:left w:val="nil"/>
              <w:bottom w:val="nil"/>
              <w:right w:val="nil"/>
            </w:tcBorders>
            <w:shd w:val="clear" w:color="FFFFFF" w:fill="FFFFFF"/>
            <w:noWrap/>
            <w:vAlign w:val="bottom"/>
            <w:hideMark/>
          </w:tcPr>
          <w:p w14:paraId="073C7FA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36FA209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9,776,306</w:t>
            </w:r>
          </w:p>
        </w:tc>
      </w:tr>
    </w:tbl>
    <w:p w14:paraId="5F6EC585"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379C6BD0"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06E0E501"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7CBE140D"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23143BDF"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5A49AB4F"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573DD29C"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79C58D80" w14:textId="77777777" w:rsidR="00361BA1" w:rsidRPr="00361BA1" w:rsidRDefault="00361BA1" w:rsidP="00361BA1">
      <w:pPr>
        <w:spacing w:before="0" w:after="0" w:line="120" w:lineRule="atLeast"/>
        <w:ind w:left="0"/>
        <w:rPr>
          <w:rFonts w:eastAsia="Times New Roman"/>
          <w:bCs/>
          <w:sz w:val="6"/>
          <w:szCs w:val="6"/>
          <w:lang w:eastAsia="en-US"/>
        </w:rPr>
      </w:pPr>
    </w:p>
    <w:p w14:paraId="2AD257BF"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627CF1C2" w14:textId="77777777" w:rsidR="00361BA1" w:rsidRPr="00361BA1" w:rsidRDefault="00361BA1" w:rsidP="00361BA1">
      <w:pPr>
        <w:spacing w:before="0" w:after="0"/>
        <w:ind w:left="0"/>
        <w:rPr>
          <w:rFonts w:ascii="Times New Roman" w:eastAsia="Times New Roman" w:hAnsi="Times New Roman" w:cs="Times New Roman"/>
          <w:sz w:val="4"/>
          <w:szCs w:val="4"/>
          <w:lang w:eastAsia="en-US"/>
        </w:rPr>
      </w:pPr>
    </w:p>
    <w:p w14:paraId="6E53823B"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14B7FAB6"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highlight w:val="yellow"/>
          <w:lang w:eastAsia="en-US"/>
        </w:rPr>
      </w:pPr>
      <w:r w:rsidRPr="00361BA1">
        <w:rPr>
          <w:rFonts w:eastAsia="Times New Roman"/>
          <w:bCs/>
          <w:sz w:val="18"/>
          <w:szCs w:val="18"/>
          <w:lang w:eastAsia="en-US"/>
        </w:rPr>
        <w:t>Cash contributions to the Agency from the Commonwealth, state and territory governments are recognised as revenue when they become payable to the Agency under the relevant signed agreement. These include cash contributions outlined in the bilateral agreements for the funding of the Scheme and funding provided by the Department of Social Services (DSS) for the Agency’s grant programs and work performed for DSS in relation to the Australian Disability Enterprises (ADE) clients who have transitioned to the Scheme. Cash contributions received in advance are treated as unearned revenue (refer note 2.4).</w:t>
      </w:r>
    </w:p>
    <w:p w14:paraId="7119D388"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highlight w:val="yellow"/>
          <w:lang w:eastAsia="en-US"/>
        </w:rPr>
      </w:pPr>
      <w:r w:rsidRPr="00361BA1">
        <w:rPr>
          <w:rFonts w:eastAsia="Times New Roman"/>
          <w:bCs/>
          <w:sz w:val="18"/>
          <w:szCs w:val="18"/>
          <w:lang w:eastAsia="en-US"/>
        </w:rPr>
        <w:t>The transaction price for the Scheme contributions is the total amount of cash contributions payable by the jurisdictions to fund the Scheme under their bilateral agreements. The transaction price for grant and ADE funding is the value of actual grants and ADE services paid and payable by the Agency. The bilateral agreements and the grant and ADE funding agreements with DSS have annual performance obligations.</w:t>
      </w:r>
    </w:p>
    <w:p w14:paraId="06D50A30" w14:textId="77777777" w:rsidR="00361BA1" w:rsidRPr="00361BA1" w:rsidRDefault="00361BA1" w:rsidP="00361BA1">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highlight w:val="yellow"/>
          <w:lang w:eastAsia="en-US"/>
        </w:rPr>
      </w:pPr>
      <w:r w:rsidRPr="00361BA1">
        <w:rPr>
          <w:rFonts w:eastAsia="Times New Roman"/>
          <w:bCs/>
          <w:sz w:val="18"/>
          <w:szCs w:val="18"/>
          <w:lang w:eastAsia="en-US"/>
        </w:rPr>
        <w:t>Receivables for goods and services, which have 30 day terms, are recognised at the nominal amounts due less any impairment allowance account. Collectability of debts is reviewed at end of the reporting period. Allowances are made when collectability of the debt is no longer probable.</w:t>
      </w:r>
      <w:r w:rsidRPr="00361BA1">
        <w:rPr>
          <w:rFonts w:eastAsia="Times New Roman"/>
          <w:bCs/>
          <w:sz w:val="18"/>
          <w:szCs w:val="18"/>
          <w:lang w:eastAsia="en-US"/>
        </w:rPr>
        <w:tab/>
        <w:t xml:space="preserve"> </w:t>
      </w:r>
    </w:p>
    <w:tbl>
      <w:tblPr>
        <w:tblW w:w="9087" w:type="dxa"/>
        <w:tblLayout w:type="fixed"/>
        <w:tblLook w:val="04A0" w:firstRow="1" w:lastRow="0" w:firstColumn="1" w:lastColumn="0" w:noHBand="0" w:noVBand="1"/>
      </w:tblPr>
      <w:tblGrid>
        <w:gridCol w:w="5476"/>
        <w:gridCol w:w="2179"/>
        <w:gridCol w:w="283"/>
        <w:gridCol w:w="1149"/>
      </w:tblGrid>
      <w:tr w:rsidR="00361BA1" w:rsidRPr="00361BA1" w14:paraId="0955DA56" w14:textId="77777777" w:rsidTr="00361BA1">
        <w:trPr>
          <w:trHeight w:val="255"/>
        </w:trPr>
        <w:tc>
          <w:tcPr>
            <w:tcW w:w="5476" w:type="dxa"/>
            <w:tcBorders>
              <w:top w:val="nil"/>
              <w:left w:val="nil"/>
              <w:bottom w:val="nil"/>
              <w:right w:val="nil"/>
            </w:tcBorders>
            <w:shd w:val="clear" w:color="FFFFFF" w:fill="FFFFFF"/>
            <w:noWrap/>
            <w:vAlign w:val="bottom"/>
            <w:hideMark/>
          </w:tcPr>
          <w:p w14:paraId="35F477A1"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61" w:name="Note_RRVTABLE1" w:colFirst="0" w:colLast="0"/>
            <w:r w:rsidRPr="00361BA1">
              <w:rPr>
                <w:rFonts w:eastAsia="Times New Roman"/>
                <w:b/>
                <w:bCs/>
                <w:sz w:val="18"/>
                <w:szCs w:val="18"/>
                <w:u w:val="single"/>
                <w:lang w:eastAsia="en-US"/>
              </w:rPr>
              <w:t>Note 1.2B: Rental Income</w:t>
            </w:r>
          </w:p>
        </w:tc>
        <w:tc>
          <w:tcPr>
            <w:tcW w:w="2179" w:type="dxa"/>
            <w:tcBorders>
              <w:top w:val="nil"/>
              <w:left w:val="nil"/>
              <w:bottom w:val="nil"/>
              <w:right w:val="nil"/>
            </w:tcBorders>
            <w:shd w:val="clear" w:color="FFFFFF" w:fill="FFFFFF"/>
            <w:vAlign w:val="bottom"/>
            <w:hideMark/>
          </w:tcPr>
          <w:p w14:paraId="7E9E2B0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83" w:type="dxa"/>
            <w:tcBorders>
              <w:top w:val="nil"/>
              <w:left w:val="nil"/>
              <w:bottom w:val="nil"/>
              <w:right w:val="nil"/>
            </w:tcBorders>
            <w:shd w:val="clear" w:color="FFFFFF" w:fill="FFFFFF"/>
            <w:noWrap/>
            <w:vAlign w:val="bottom"/>
            <w:hideMark/>
          </w:tcPr>
          <w:p w14:paraId="14E6DAE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vAlign w:val="bottom"/>
            <w:hideMark/>
          </w:tcPr>
          <w:p w14:paraId="7768C4E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bookmarkEnd w:id="61"/>
      <w:tr w:rsidR="00361BA1" w:rsidRPr="00361BA1" w14:paraId="341AF41B" w14:textId="77777777" w:rsidTr="00361BA1">
        <w:trPr>
          <w:trHeight w:val="255"/>
        </w:trPr>
        <w:tc>
          <w:tcPr>
            <w:tcW w:w="5476" w:type="dxa"/>
            <w:tcBorders>
              <w:top w:val="nil"/>
              <w:left w:val="nil"/>
              <w:bottom w:val="nil"/>
              <w:right w:val="nil"/>
            </w:tcBorders>
            <w:shd w:val="clear" w:color="FFFFFF" w:fill="FFFFFF"/>
            <w:vAlign w:val="bottom"/>
            <w:hideMark/>
          </w:tcPr>
          <w:p w14:paraId="3DA5CC9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Operating lease:</w:t>
            </w:r>
          </w:p>
        </w:tc>
        <w:tc>
          <w:tcPr>
            <w:tcW w:w="2179" w:type="dxa"/>
            <w:tcBorders>
              <w:top w:val="nil"/>
              <w:left w:val="nil"/>
              <w:bottom w:val="nil"/>
              <w:right w:val="nil"/>
            </w:tcBorders>
            <w:shd w:val="clear" w:color="FFFFFF" w:fill="FFFFFF"/>
            <w:noWrap/>
            <w:vAlign w:val="bottom"/>
            <w:hideMark/>
          </w:tcPr>
          <w:p w14:paraId="1CA785C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83" w:type="dxa"/>
            <w:tcBorders>
              <w:top w:val="nil"/>
              <w:left w:val="nil"/>
              <w:bottom w:val="nil"/>
              <w:right w:val="nil"/>
            </w:tcBorders>
            <w:shd w:val="clear" w:color="FFFFFF" w:fill="FFFFFF"/>
            <w:noWrap/>
            <w:vAlign w:val="bottom"/>
            <w:hideMark/>
          </w:tcPr>
          <w:p w14:paraId="61C47FA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A6231B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21CC1F3E" w14:textId="77777777" w:rsidTr="00361BA1">
        <w:trPr>
          <w:trHeight w:val="278"/>
        </w:trPr>
        <w:tc>
          <w:tcPr>
            <w:tcW w:w="5476" w:type="dxa"/>
            <w:tcBorders>
              <w:top w:val="nil"/>
              <w:left w:val="nil"/>
              <w:bottom w:val="nil"/>
              <w:right w:val="nil"/>
            </w:tcBorders>
            <w:shd w:val="clear" w:color="FFFFFF" w:fill="FFFFFF"/>
            <w:vAlign w:val="bottom"/>
            <w:hideMark/>
          </w:tcPr>
          <w:p w14:paraId="09137E7D"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Lease income</w:t>
            </w:r>
            <w:r w:rsidRPr="00361BA1">
              <w:rPr>
                <w:rFonts w:eastAsia="Times New Roman"/>
                <w:sz w:val="18"/>
                <w:szCs w:val="18"/>
                <w:vertAlign w:val="superscript"/>
                <w:lang w:eastAsia="en-US"/>
              </w:rPr>
              <w:t>1</w:t>
            </w:r>
          </w:p>
        </w:tc>
        <w:tc>
          <w:tcPr>
            <w:tcW w:w="2179" w:type="dxa"/>
            <w:tcBorders>
              <w:top w:val="nil"/>
              <w:left w:val="nil"/>
              <w:bottom w:val="nil"/>
              <w:right w:val="nil"/>
            </w:tcBorders>
            <w:shd w:val="clear" w:color="FFFFFF" w:fill="FFFFFF"/>
            <w:noWrap/>
            <w:vAlign w:val="bottom"/>
            <w:hideMark/>
          </w:tcPr>
          <w:p w14:paraId="4BE82A3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83" w:type="dxa"/>
            <w:tcBorders>
              <w:top w:val="nil"/>
              <w:left w:val="nil"/>
              <w:bottom w:val="nil"/>
              <w:right w:val="nil"/>
            </w:tcBorders>
            <w:shd w:val="clear" w:color="FFFFFF" w:fill="FFFFFF"/>
            <w:noWrap/>
            <w:vAlign w:val="bottom"/>
            <w:hideMark/>
          </w:tcPr>
          <w:p w14:paraId="24A98C8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177FEDA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108</w:t>
            </w:r>
          </w:p>
        </w:tc>
      </w:tr>
      <w:tr w:rsidR="00361BA1" w:rsidRPr="00361BA1" w14:paraId="741717E4" w14:textId="77777777" w:rsidTr="00361BA1">
        <w:trPr>
          <w:trHeight w:val="255"/>
        </w:trPr>
        <w:tc>
          <w:tcPr>
            <w:tcW w:w="5476" w:type="dxa"/>
            <w:tcBorders>
              <w:top w:val="nil"/>
              <w:left w:val="nil"/>
              <w:bottom w:val="nil"/>
              <w:right w:val="nil"/>
            </w:tcBorders>
            <w:shd w:val="clear" w:color="FFFFFF" w:fill="FFFFFF"/>
            <w:vAlign w:val="bottom"/>
            <w:hideMark/>
          </w:tcPr>
          <w:p w14:paraId="2ED75AA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xml:space="preserve">   Subleasing right-of-use assets</w:t>
            </w:r>
          </w:p>
        </w:tc>
        <w:tc>
          <w:tcPr>
            <w:tcW w:w="2179" w:type="dxa"/>
            <w:tcBorders>
              <w:top w:val="nil"/>
              <w:left w:val="nil"/>
              <w:bottom w:val="nil"/>
              <w:right w:val="nil"/>
            </w:tcBorders>
            <w:shd w:val="clear" w:color="FFFFFF" w:fill="FFFFFF"/>
            <w:noWrap/>
            <w:vAlign w:val="bottom"/>
            <w:hideMark/>
          </w:tcPr>
          <w:p w14:paraId="16BC827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638</w:t>
            </w:r>
          </w:p>
        </w:tc>
        <w:tc>
          <w:tcPr>
            <w:tcW w:w="283" w:type="dxa"/>
            <w:tcBorders>
              <w:top w:val="nil"/>
              <w:left w:val="nil"/>
              <w:bottom w:val="nil"/>
              <w:right w:val="nil"/>
            </w:tcBorders>
            <w:shd w:val="clear" w:color="FFFFFF" w:fill="FFFFFF"/>
            <w:noWrap/>
            <w:vAlign w:val="bottom"/>
            <w:hideMark/>
          </w:tcPr>
          <w:p w14:paraId="58E50C7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661CA5F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4E743C44" w14:textId="77777777" w:rsidTr="00361BA1">
        <w:trPr>
          <w:trHeight w:val="255"/>
        </w:trPr>
        <w:tc>
          <w:tcPr>
            <w:tcW w:w="5476" w:type="dxa"/>
            <w:tcBorders>
              <w:top w:val="nil"/>
              <w:left w:val="nil"/>
              <w:bottom w:val="nil"/>
              <w:right w:val="nil"/>
            </w:tcBorders>
            <w:shd w:val="clear" w:color="FFFFFF" w:fill="FFFFFF"/>
            <w:vAlign w:val="bottom"/>
            <w:hideMark/>
          </w:tcPr>
          <w:p w14:paraId="34FC840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rental income</w:t>
            </w:r>
          </w:p>
        </w:tc>
        <w:tc>
          <w:tcPr>
            <w:tcW w:w="2179" w:type="dxa"/>
            <w:tcBorders>
              <w:top w:val="single" w:sz="4" w:space="0" w:color="auto"/>
              <w:left w:val="nil"/>
              <w:bottom w:val="single" w:sz="4" w:space="0" w:color="auto"/>
              <w:right w:val="nil"/>
            </w:tcBorders>
            <w:shd w:val="clear" w:color="FFFFFF" w:fill="FFFFFF"/>
            <w:noWrap/>
            <w:vAlign w:val="bottom"/>
            <w:hideMark/>
          </w:tcPr>
          <w:p w14:paraId="5661161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638</w:t>
            </w:r>
          </w:p>
        </w:tc>
        <w:tc>
          <w:tcPr>
            <w:tcW w:w="283" w:type="dxa"/>
            <w:tcBorders>
              <w:top w:val="nil"/>
              <w:left w:val="nil"/>
              <w:bottom w:val="nil"/>
              <w:right w:val="nil"/>
            </w:tcBorders>
            <w:shd w:val="clear" w:color="FFFFFF" w:fill="FFFFFF"/>
            <w:noWrap/>
            <w:vAlign w:val="bottom"/>
            <w:hideMark/>
          </w:tcPr>
          <w:p w14:paraId="6598861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275DA44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108</w:t>
            </w:r>
          </w:p>
        </w:tc>
      </w:tr>
    </w:tbl>
    <w:p w14:paraId="5C38DBF0" w14:textId="77777777" w:rsidR="00361BA1" w:rsidRPr="00361BA1" w:rsidRDefault="00361BA1" w:rsidP="00361BA1">
      <w:pPr>
        <w:spacing w:before="0" w:after="0"/>
        <w:ind w:left="0"/>
        <w:rPr>
          <w:rFonts w:eastAsia="Times New Roman"/>
          <w:sz w:val="4"/>
          <w:szCs w:val="4"/>
          <w:highlight w:val="yellow"/>
          <w:lang w:eastAsia="en-US"/>
        </w:rPr>
      </w:pPr>
    </w:p>
    <w:p w14:paraId="0C5A5ADC" w14:textId="77777777" w:rsidR="00361BA1" w:rsidRPr="00361BA1" w:rsidRDefault="00361BA1" w:rsidP="00361BA1">
      <w:pPr>
        <w:spacing w:before="0" w:after="0"/>
        <w:ind w:left="0"/>
        <w:rPr>
          <w:rFonts w:eastAsia="Times New Roman"/>
          <w:sz w:val="4"/>
          <w:szCs w:val="4"/>
          <w:highlight w:val="yellow"/>
          <w:lang w:eastAsia="en-US"/>
        </w:rPr>
      </w:pPr>
    </w:p>
    <w:p w14:paraId="015C6724" w14:textId="77777777" w:rsidR="00361BA1" w:rsidRPr="00361BA1" w:rsidRDefault="00361BA1" w:rsidP="00361BA1">
      <w:pPr>
        <w:spacing w:before="0" w:after="0"/>
        <w:ind w:left="0"/>
        <w:rPr>
          <w:rFonts w:eastAsia="Times New Roman"/>
          <w:sz w:val="6"/>
          <w:szCs w:val="6"/>
          <w:vertAlign w:val="superscript"/>
          <w:lang w:eastAsia="en-US"/>
        </w:rPr>
      </w:pPr>
    </w:p>
    <w:p w14:paraId="50ED92EA" w14:textId="77777777" w:rsidR="00361BA1" w:rsidRPr="00361BA1" w:rsidRDefault="00361BA1" w:rsidP="00361BA1">
      <w:pPr>
        <w:spacing w:before="0" w:after="0"/>
        <w:ind w:left="0"/>
        <w:rPr>
          <w:rFonts w:eastAsia="Times New Roman"/>
          <w:sz w:val="18"/>
          <w:szCs w:val="18"/>
          <w:vertAlign w:val="superscript"/>
          <w:lang w:eastAsia="en-US"/>
        </w:rPr>
      </w:pPr>
    </w:p>
    <w:p w14:paraId="4529F5BF"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vertAlign w:val="superscript"/>
          <w:lang w:eastAsia="en-US"/>
        </w:rPr>
        <w:t>1</w:t>
      </w:r>
      <w:r w:rsidRPr="00361BA1">
        <w:rPr>
          <w:rFonts w:eastAsia="Times New Roman"/>
          <w:sz w:val="18"/>
          <w:szCs w:val="18"/>
          <w:lang w:eastAsia="en-US"/>
        </w:rPr>
        <w:t>The Agency has applied AASB 16 using the modified retrospective approach and therefore the comparative information has not been restated and continues to be reported under AASB 117.</w:t>
      </w:r>
    </w:p>
    <w:p w14:paraId="75C5846A" w14:textId="77777777" w:rsidR="00361BA1" w:rsidRPr="00361BA1" w:rsidRDefault="00361BA1" w:rsidP="00361BA1">
      <w:pPr>
        <w:spacing w:before="0" w:after="0"/>
        <w:ind w:left="0"/>
        <w:rPr>
          <w:rFonts w:eastAsia="Times New Roman"/>
          <w:b/>
          <w:bCs/>
          <w:sz w:val="6"/>
          <w:szCs w:val="6"/>
          <w:highlight w:val="yellow"/>
          <w:lang w:eastAsia="en-US"/>
        </w:rPr>
      </w:pPr>
    </w:p>
    <w:p w14:paraId="3575C32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b/>
          <w:bCs/>
          <w:sz w:val="18"/>
          <w:szCs w:val="18"/>
          <w:lang w:eastAsia="en-US"/>
        </w:rPr>
        <w:t>Operating Leases</w:t>
      </w:r>
    </w:p>
    <w:p w14:paraId="01CC97B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During the year, the Agency has entered into an agreement with Services Australia, which allows them to occupy two properties at a commercial rate to support the Whole-of-Government response to the COVID-19 pandemic.</w:t>
      </w:r>
    </w:p>
    <w:p w14:paraId="20E44A0E" w14:textId="77777777" w:rsidR="00361BA1" w:rsidRPr="00361BA1" w:rsidRDefault="00361BA1" w:rsidP="00361BA1">
      <w:pPr>
        <w:spacing w:before="0" w:after="0" w:line="260" w:lineRule="atLeast"/>
        <w:ind w:left="720"/>
        <w:rPr>
          <w:rFonts w:eastAsia="Times New Roman"/>
          <w:sz w:val="18"/>
          <w:szCs w:val="18"/>
          <w:lang w:eastAsia="en-US"/>
        </w:rPr>
      </w:pPr>
    </w:p>
    <w:p w14:paraId="70F9AC0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xml:space="preserve">Through a cooperative Social Services portfolio arrangement, the NDIA entered agreements with Services Australia to occupy some of the NDIA’s properties. As part of this arrangement, there are established risk management processes and a governance structure for escalation of issues. As the sublet arrangement is Commonwealth entity to Commonwealth entity, the risk was deemed to be low and could be facilitated through the existing relationship with Services Australia. </w:t>
      </w:r>
    </w:p>
    <w:p w14:paraId="3548F763" w14:textId="77777777" w:rsidR="00361BA1" w:rsidRPr="00361BA1" w:rsidRDefault="00361BA1" w:rsidP="00361BA1">
      <w:pPr>
        <w:spacing w:before="0" w:after="0"/>
        <w:ind w:left="0"/>
        <w:rPr>
          <w:rFonts w:eastAsia="Times New Roman"/>
          <w:sz w:val="6"/>
          <w:szCs w:val="6"/>
          <w:highlight w:val="yellow"/>
          <w:lang w:eastAsia="en-US"/>
        </w:rPr>
      </w:pPr>
    </w:p>
    <w:p w14:paraId="4B475406" w14:textId="77777777" w:rsidR="00361BA1" w:rsidRPr="00361BA1" w:rsidRDefault="00361BA1" w:rsidP="00361BA1">
      <w:pPr>
        <w:spacing w:before="0" w:after="0"/>
        <w:ind w:left="0"/>
        <w:rPr>
          <w:rFonts w:eastAsia="Times New Roman"/>
          <w:sz w:val="6"/>
          <w:szCs w:val="6"/>
          <w:highlight w:val="yellow"/>
          <w:lang w:eastAsia="en-US"/>
        </w:rPr>
      </w:pPr>
    </w:p>
    <w:p w14:paraId="0A6F59D4" w14:textId="77777777" w:rsidR="00361BA1" w:rsidRPr="00361BA1" w:rsidRDefault="00361BA1" w:rsidP="00361BA1">
      <w:pPr>
        <w:spacing w:before="60" w:after="0" w:line="260" w:lineRule="atLeast"/>
        <w:ind w:left="0"/>
        <w:rPr>
          <w:rFonts w:eastAsia="Times New Roman"/>
          <w:sz w:val="18"/>
          <w:szCs w:val="18"/>
          <w:lang w:eastAsia="en-US"/>
        </w:rPr>
      </w:pPr>
      <w:r w:rsidRPr="00361BA1">
        <w:rPr>
          <w:rFonts w:eastAsia="Times New Roman"/>
          <w:sz w:val="18"/>
          <w:szCs w:val="18"/>
          <w:lang w:eastAsia="en-US"/>
        </w:rPr>
        <w:t>The above lease disclosures should be read in conjunction with the accompanying notes 1.1B, 1.1D, 2.2A and 2.5.</w:t>
      </w:r>
    </w:p>
    <w:p w14:paraId="6CD5BFDA"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sectPr w:rsidR="00361BA1" w:rsidRPr="00361BA1" w:rsidSect="00361BA1">
          <w:pgSz w:w="11906" w:h="16838" w:code="9"/>
          <w:pgMar w:top="1134" w:right="1701" w:bottom="1134" w:left="1134" w:header="958" w:footer="737" w:gutter="0"/>
          <w:cols w:space="708"/>
          <w:docGrid w:linePitch="360"/>
        </w:sect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532429C1" w14:textId="77777777" w:rsidTr="00361BA1">
        <w:trPr>
          <w:trHeight w:val="263"/>
        </w:trPr>
        <w:tc>
          <w:tcPr>
            <w:tcW w:w="6367" w:type="dxa"/>
            <w:tcBorders>
              <w:top w:val="nil"/>
              <w:left w:val="nil"/>
              <w:bottom w:val="nil"/>
              <w:right w:val="nil"/>
            </w:tcBorders>
            <w:shd w:val="clear" w:color="FFFFFF" w:fill="FFFFFF"/>
            <w:noWrap/>
            <w:vAlign w:val="bottom"/>
            <w:hideMark/>
          </w:tcPr>
          <w:p w14:paraId="5F2E03FB" w14:textId="77777777" w:rsidR="00361BA1" w:rsidRPr="00361BA1" w:rsidRDefault="00361BA1" w:rsidP="00361BA1">
            <w:pPr>
              <w:spacing w:before="0" w:after="0" w:line="260" w:lineRule="atLeast"/>
              <w:ind w:left="0"/>
              <w:rPr>
                <w:rFonts w:eastAsia="Times New Roman"/>
                <w:sz w:val="16"/>
                <w:szCs w:val="16"/>
                <w:lang w:eastAsia="en-US"/>
              </w:rPr>
            </w:pPr>
            <w:bookmarkStart w:id="62" w:name="Note_ORVTABLE1" w:colFirst="0" w:colLast="0"/>
            <w:r w:rsidRPr="00361BA1">
              <w:rPr>
                <w:rFonts w:eastAsia="Times New Roman"/>
                <w:sz w:val="16"/>
                <w:szCs w:val="16"/>
                <w:lang w:eastAsia="en-US"/>
              </w:rPr>
              <w:lastRenderedPageBreak/>
              <w:t> </w:t>
            </w:r>
          </w:p>
        </w:tc>
        <w:tc>
          <w:tcPr>
            <w:tcW w:w="1246" w:type="dxa"/>
            <w:tcBorders>
              <w:top w:val="nil"/>
              <w:left w:val="nil"/>
              <w:bottom w:val="nil"/>
              <w:right w:val="nil"/>
            </w:tcBorders>
            <w:shd w:val="clear" w:color="FFFFFF" w:fill="FFFFFF"/>
            <w:vAlign w:val="bottom"/>
            <w:hideMark/>
          </w:tcPr>
          <w:p w14:paraId="035BA2B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6D7DAA2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08F5A76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62"/>
      <w:tr w:rsidR="00361BA1" w:rsidRPr="00361BA1" w14:paraId="7118294D" w14:textId="77777777" w:rsidTr="00361BA1">
        <w:trPr>
          <w:trHeight w:val="255"/>
        </w:trPr>
        <w:tc>
          <w:tcPr>
            <w:tcW w:w="6367" w:type="dxa"/>
            <w:tcBorders>
              <w:top w:val="nil"/>
              <w:left w:val="nil"/>
              <w:bottom w:val="nil"/>
              <w:right w:val="nil"/>
            </w:tcBorders>
            <w:shd w:val="clear" w:color="FFFFFF" w:fill="FFFFFF"/>
            <w:noWrap/>
            <w:vAlign w:val="bottom"/>
            <w:hideMark/>
          </w:tcPr>
          <w:p w14:paraId="2D62BD50"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c>
          <w:tcPr>
            <w:tcW w:w="1246" w:type="dxa"/>
            <w:tcBorders>
              <w:top w:val="nil"/>
              <w:left w:val="nil"/>
              <w:bottom w:val="nil"/>
              <w:right w:val="nil"/>
            </w:tcBorders>
            <w:shd w:val="clear" w:color="FFFFFF" w:fill="FFFFFF"/>
            <w:vAlign w:val="bottom"/>
            <w:hideMark/>
          </w:tcPr>
          <w:p w14:paraId="400564A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29F241A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4DCDF40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24EFAE7F" w14:textId="77777777" w:rsidTr="00361BA1">
        <w:trPr>
          <w:trHeight w:val="255"/>
        </w:trPr>
        <w:tc>
          <w:tcPr>
            <w:tcW w:w="6367" w:type="dxa"/>
            <w:tcBorders>
              <w:top w:val="nil"/>
              <w:left w:val="nil"/>
              <w:bottom w:val="nil"/>
              <w:right w:val="nil"/>
            </w:tcBorders>
            <w:shd w:val="clear" w:color="FFFFFF" w:fill="FFFFFF"/>
            <w:noWrap/>
            <w:vAlign w:val="bottom"/>
            <w:hideMark/>
          </w:tcPr>
          <w:p w14:paraId="46F570F9"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1.2C: Other revenue</w:t>
            </w:r>
          </w:p>
        </w:tc>
        <w:tc>
          <w:tcPr>
            <w:tcW w:w="1246" w:type="dxa"/>
            <w:tcBorders>
              <w:top w:val="nil"/>
              <w:left w:val="nil"/>
              <w:bottom w:val="nil"/>
              <w:right w:val="nil"/>
            </w:tcBorders>
            <w:shd w:val="clear" w:color="FFFFFF" w:fill="FFFFFF"/>
            <w:noWrap/>
            <w:vAlign w:val="bottom"/>
            <w:hideMark/>
          </w:tcPr>
          <w:p w14:paraId="50FBDFF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9CCDD7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3587E3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30A246BA" w14:textId="77777777" w:rsidTr="00361BA1">
        <w:trPr>
          <w:trHeight w:val="255"/>
        </w:trPr>
        <w:tc>
          <w:tcPr>
            <w:tcW w:w="6367" w:type="dxa"/>
            <w:tcBorders>
              <w:top w:val="nil"/>
              <w:left w:val="nil"/>
              <w:bottom w:val="nil"/>
              <w:right w:val="nil"/>
            </w:tcBorders>
            <w:shd w:val="clear" w:color="FFFFFF" w:fill="FFFFFF"/>
            <w:vAlign w:val="bottom"/>
            <w:hideMark/>
          </w:tcPr>
          <w:p w14:paraId="1A060AC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Compensation receipts</w:t>
            </w:r>
          </w:p>
        </w:tc>
        <w:tc>
          <w:tcPr>
            <w:tcW w:w="1246" w:type="dxa"/>
            <w:tcBorders>
              <w:top w:val="nil"/>
              <w:left w:val="nil"/>
              <w:bottom w:val="nil"/>
              <w:right w:val="nil"/>
            </w:tcBorders>
            <w:shd w:val="clear" w:color="FFFFFF" w:fill="FFFFFF"/>
            <w:noWrap/>
            <w:vAlign w:val="bottom"/>
            <w:hideMark/>
          </w:tcPr>
          <w:p w14:paraId="74D8BA4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6,318</w:t>
            </w:r>
          </w:p>
        </w:tc>
        <w:tc>
          <w:tcPr>
            <w:tcW w:w="236" w:type="dxa"/>
            <w:tcBorders>
              <w:top w:val="nil"/>
              <w:left w:val="nil"/>
              <w:bottom w:val="nil"/>
              <w:right w:val="nil"/>
            </w:tcBorders>
            <w:shd w:val="clear" w:color="FFFFFF" w:fill="FFFFFF"/>
            <w:noWrap/>
            <w:vAlign w:val="bottom"/>
            <w:hideMark/>
          </w:tcPr>
          <w:p w14:paraId="396E256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19DDFD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4,086</w:t>
            </w:r>
          </w:p>
        </w:tc>
      </w:tr>
      <w:tr w:rsidR="00361BA1" w:rsidRPr="00361BA1" w14:paraId="028AA63B" w14:textId="77777777" w:rsidTr="00361BA1">
        <w:trPr>
          <w:trHeight w:val="255"/>
        </w:trPr>
        <w:tc>
          <w:tcPr>
            <w:tcW w:w="6367" w:type="dxa"/>
            <w:tcBorders>
              <w:top w:val="nil"/>
              <w:left w:val="nil"/>
              <w:bottom w:val="nil"/>
              <w:right w:val="nil"/>
            </w:tcBorders>
            <w:shd w:val="clear" w:color="FFFFFF" w:fill="FFFFFF"/>
            <w:vAlign w:val="bottom"/>
            <w:hideMark/>
          </w:tcPr>
          <w:p w14:paraId="5C8029C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Cost recoveries</w:t>
            </w:r>
          </w:p>
        </w:tc>
        <w:tc>
          <w:tcPr>
            <w:tcW w:w="1246" w:type="dxa"/>
            <w:tcBorders>
              <w:top w:val="nil"/>
              <w:left w:val="nil"/>
              <w:bottom w:val="nil"/>
              <w:right w:val="nil"/>
            </w:tcBorders>
            <w:shd w:val="clear" w:color="FFFFFF" w:fill="FFFFFF"/>
            <w:noWrap/>
            <w:vAlign w:val="bottom"/>
            <w:hideMark/>
          </w:tcPr>
          <w:p w14:paraId="3BD0B4A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w:t>
            </w:r>
          </w:p>
        </w:tc>
        <w:tc>
          <w:tcPr>
            <w:tcW w:w="236" w:type="dxa"/>
            <w:tcBorders>
              <w:top w:val="nil"/>
              <w:left w:val="nil"/>
              <w:bottom w:val="nil"/>
              <w:right w:val="nil"/>
            </w:tcBorders>
            <w:shd w:val="clear" w:color="FFFFFF" w:fill="FFFFFF"/>
            <w:noWrap/>
            <w:vAlign w:val="bottom"/>
            <w:hideMark/>
          </w:tcPr>
          <w:p w14:paraId="50B03FD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48D0F2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w:t>
            </w:r>
          </w:p>
        </w:tc>
      </w:tr>
      <w:tr w:rsidR="00361BA1" w:rsidRPr="00361BA1" w14:paraId="4B457697" w14:textId="77777777" w:rsidTr="00361BA1">
        <w:trPr>
          <w:trHeight w:val="255"/>
        </w:trPr>
        <w:tc>
          <w:tcPr>
            <w:tcW w:w="6367" w:type="dxa"/>
            <w:tcBorders>
              <w:top w:val="nil"/>
              <w:left w:val="nil"/>
              <w:bottom w:val="nil"/>
              <w:right w:val="nil"/>
            </w:tcBorders>
            <w:shd w:val="clear" w:color="FFFFFF" w:fill="FFFFFF"/>
            <w:vAlign w:val="bottom"/>
            <w:hideMark/>
          </w:tcPr>
          <w:p w14:paraId="1C17EA3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xml:space="preserve">Other miscellaneous revenue </w:t>
            </w:r>
          </w:p>
        </w:tc>
        <w:tc>
          <w:tcPr>
            <w:tcW w:w="1246" w:type="dxa"/>
            <w:tcBorders>
              <w:top w:val="nil"/>
              <w:left w:val="nil"/>
              <w:bottom w:val="nil"/>
              <w:right w:val="nil"/>
            </w:tcBorders>
            <w:shd w:val="clear" w:color="FFFFFF" w:fill="FFFFFF"/>
            <w:noWrap/>
            <w:vAlign w:val="bottom"/>
            <w:hideMark/>
          </w:tcPr>
          <w:p w14:paraId="5C81367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914</w:t>
            </w:r>
          </w:p>
        </w:tc>
        <w:tc>
          <w:tcPr>
            <w:tcW w:w="236" w:type="dxa"/>
            <w:tcBorders>
              <w:top w:val="nil"/>
              <w:left w:val="nil"/>
              <w:bottom w:val="nil"/>
              <w:right w:val="nil"/>
            </w:tcBorders>
            <w:shd w:val="clear" w:color="FFFFFF" w:fill="FFFFFF"/>
            <w:noWrap/>
            <w:vAlign w:val="bottom"/>
            <w:hideMark/>
          </w:tcPr>
          <w:p w14:paraId="6412848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574574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w:t>
            </w:r>
          </w:p>
        </w:tc>
      </w:tr>
      <w:tr w:rsidR="00361BA1" w:rsidRPr="00361BA1" w14:paraId="4F7277A8" w14:textId="77777777" w:rsidTr="00361BA1">
        <w:trPr>
          <w:trHeight w:val="255"/>
        </w:trPr>
        <w:tc>
          <w:tcPr>
            <w:tcW w:w="6367" w:type="dxa"/>
            <w:tcBorders>
              <w:top w:val="nil"/>
              <w:left w:val="nil"/>
              <w:bottom w:val="nil"/>
              <w:right w:val="nil"/>
            </w:tcBorders>
            <w:shd w:val="clear" w:color="FFFFFF" w:fill="FFFFFF"/>
            <w:vAlign w:val="bottom"/>
            <w:hideMark/>
          </w:tcPr>
          <w:p w14:paraId="42E36E5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revenue</w:t>
            </w:r>
          </w:p>
        </w:tc>
        <w:tc>
          <w:tcPr>
            <w:tcW w:w="1246" w:type="dxa"/>
            <w:tcBorders>
              <w:top w:val="single" w:sz="4" w:space="0" w:color="auto"/>
              <w:left w:val="nil"/>
              <w:bottom w:val="single" w:sz="4" w:space="0" w:color="auto"/>
              <w:right w:val="nil"/>
            </w:tcBorders>
            <w:shd w:val="clear" w:color="FFFFFF" w:fill="FFFFFF"/>
            <w:noWrap/>
            <w:vAlign w:val="bottom"/>
            <w:hideMark/>
          </w:tcPr>
          <w:p w14:paraId="2A0D30F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7,235</w:t>
            </w:r>
          </w:p>
        </w:tc>
        <w:tc>
          <w:tcPr>
            <w:tcW w:w="236" w:type="dxa"/>
            <w:tcBorders>
              <w:top w:val="nil"/>
              <w:left w:val="nil"/>
              <w:bottom w:val="nil"/>
              <w:right w:val="nil"/>
            </w:tcBorders>
            <w:shd w:val="clear" w:color="FFFFFF" w:fill="FFFFFF"/>
            <w:noWrap/>
            <w:vAlign w:val="bottom"/>
            <w:hideMark/>
          </w:tcPr>
          <w:p w14:paraId="571C250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DC591A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4,088</w:t>
            </w:r>
          </w:p>
        </w:tc>
      </w:tr>
    </w:tbl>
    <w:p w14:paraId="756551C1" w14:textId="77777777" w:rsidR="00361BA1" w:rsidRPr="00361BA1" w:rsidRDefault="00361BA1" w:rsidP="00361BA1">
      <w:pPr>
        <w:spacing w:before="0" w:after="0" w:line="260" w:lineRule="atLeast"/>
        <w:ind w:left="0"/>
        <w:rPr>
          <w:rFonts w:eastAsia="Calibri"/>
          <w:sz w:val="18"/>
          <w:szCs w:val="18"/>
          <w:lang w:eastAsia="en-US"/>
        </w:rPr>
      </w:pPr>
    </w:p>
    <w:p w14:paraId="4AFE3E4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361BA1">
        <w:rPr>
          <w:rFonts w:eastAsia="Times New Roman"/>
          <w:bCs/>
          <w:i/>
          <w:sz w:val="18"/>
          <w:szCs w:val="18"/>
          <w:u w:val="single"/>
          <w:lang w:eastAsia="en-US"/>
        </w:rPr>
        <w:t>Compensation</w:t>
      </w:r>
    </w:p>
    <w:p w14:paraId="16A798F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The Agency has powers set out in the Act and the NDIS Compensation Rules to recover compensation settlements that have been made to participants in certain circumstances. This legislation and its interaction with general compensation law is highly complex, as a result the Agency’s entitlement to and the value of compensation revenue cannot be reliably determined until the circumstances of each case are fully analysed. The legislation also provides for the Agency with the option to apply a compensation reduction amount (CRA) to participant plans in lieu of recovering the compensation in a lump sum. Where the Agency elects to apply a CRA to a participant’s plan, a lower level of supports will be provided to the participant in future periods, resulting in a reduction in future participant plan expenses, rather than the recognition of compensation revenue. </w:t>
      </w:r>
    </w:p>
    <w:p w14:paraId="36A2E7AF"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In prior years due to the small number of compensation cases that had been settled and the resultant lack of established case law covering the interaction between the Act and general compensation law, there was insufficient data available to reliably determine the value of compensation recoveries in advance of actual cash receipts. Therefore, in prior years, compensation revenue was recognised when payment was received from participants. As more cases have been settled the interaction between the Act and general compensation law has evolved and the compensation recoveries can now be reliably valued following completion of analysis of each case, including determination of the appropriate recovery method – a lump sum compensation payment by the participant or application of a CRA against their plan. From 1 July 2019 compensation revenue is therefore recognised when the delegate determines that a specified lump sum recovery is appropriate. </w:t>
      </w:r>
    </w:p>
    <w:p w14:paraId="229EFCC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color w:val="FF0000"/>
          <w:sz w:val="18"/>
          <w:szCs w:val="18"/>
          <w:lang w:eastAsia="en-US"/>
        </w:rPr>
      </w:pPr>
      <w:r w:rsidRPr="00361BA1">
        <w:rPr>
          <w:rFonts w:eastAsia="Times New Roman"/>
          <w:bCs/>
          <w:sz w:val="18"/>
          <w:szCs w:val="18"/>
          <w:lang w:eastAsia="en-US"/>
        </w:rPr>
        <w:t>Further discussion on the recognition and valuation of compensation recoveries is included in Section 4 Managing Uncertainties.</w:t>
      </w:r>
    </w:p>
    <w:p w14:paraId="4853BD06" w14:textId="77777777" w:rsidR="00361BA1" w:rsidRPr="00361BA1" w:rsidRDefault="00361BA1" w:rsidP="00361BA1">
      <w:pPr>
        <w:spacing w:before="0" w:after="0"/>
        <w:ind w:left="0"/>
        <w:rPr>
          <w:rFonts w:eastAsia="Times New Roman"/>
          <w:bCs/>
          <w:sz w:val="18"/>
          <w:szCs w:val="18"/>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4D597D33" w14:textId="77777777" w:rsidTr="00361BA1">
        <w:trPr>
          <w:trHeight w:val="240"/>
        </w:trPr>
        <w:tc>
          <w:tcPr>
            <w:tcW w:w="6367" w:type="dxa"/>
            <w:tcBorders>
              <w:top w:val="nil"/>
              <w:left w:val="nil"/>
              <w:bottom w:val="nil"/>
              <w:right w:val="nil"/>
            </w:tcBorders>
            <w:shd w:val="clear" w:color="FFFFFF" w:fill="FFFFFF"/>
            <w:noWrap/>
            <w:vAlign w:val="bottom"/>
            <w:hideMark/>
          </w:tcPr>
          <w:p w14:paraId="4F877681"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63" w:name="Note_RFCTABLE1" w:colFirst="0" w:colLast="0"/>
            <w:r w:rsidRPr="00361BA1">
              <w:rPr>
                <w:rFonts w:eastAsia="Times New Roman"/>
                <w:b/>
                <w:bCs/>
                <w:sz w:val="18"/>
                <w:szCs w:val="18"/>
                <w:u w:val="single"/>
                <w:lang w:eastAsia="en-US"/>
              </w:rPr>
              <w:t>Note 1.2D: Other gains</w:t>
            </w:r>
          </w:p>
        </w:tc>
        <w:tc>
          <w:tcPr>
            <w:tcW w:w="1246" w:type="dxa"/>
            <w:tcBorders>
              <w:top w:val="nil"/>
              <w:left w:val="nil"/>
              <w:bottom w:val="nil"/>
              <w:right w:val="nil"/>
            </w:tcBorders>
            <w:shd w:val="clear" w:color="FFFFFF" w:fill="FFFFFF"/>
            <w:noWrap/>
            <w:vAlign w:val="bottom"/>
            <w:hideMark/>
          </w:tcPr>
          <w:p w14:paraId="1ADA1F3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CEC271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AA5953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63"/>
      <w:tr w:rsidR="00361BA1" w:rsidRPr="00361BA1" w14:paraId="7260C394" w14:textId="77777777" w:rsidTr="00361BA1">
        <w:trPr>
          <w:trHeight w:val="255"/>
        </w:trPr>
        <w:tc>
          <w:tcPr>
            <w:tcW w:w="6367" w:type="dxa"/>
            <w:tcBorders>
              <w:top w:val="nil"/>
              <w:left w:val="nil"/>
              <w:bottom w:val="nil"/>
              <w:right w:val="nil"/>
            </w:tcBorders>
            <w:shd w:val="clear" w:color="FFFFFF" w:fill="FFFFFF"/>
            <w:hideMark/>
          </w:tcPr>
          <w:p w14:paraId="7D24E5C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Related parties Contributions in-kind from other Commonwealth entities</w:t>
            </w:r>
          </w:p>
        </w:tc>
        <w:tc>
          <w:tcPr>
            <w:tcW w:w="1246" w:type="dxa"/>
            <w:tcBorders>
              <w:top w:val="nil"/>
              <w:left w:val="nil"/>
              <w:bottom w:val="nil"/>
              <w:right w:val="nil"/>
            </w:tcBorders>
            <w:shd w:val="clear" w:color="FFFFFF" w:fill="FFFFFF"/>
            <w:noWrap/>
            <w:vAlign w:val="bottom"/>
            <w:hideMark/>
          </w:tcPr>
          <w:p w14:paraId="0B90758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16,645</w:t>
            </w:r>
          </w:p>
        </w:tc>
        <w:tc>
          <w:tcPr>
            <w:tcW w:w="236" w:type="dxa"/>
            <w:tcBorders>
              <w:top w:val="nil"/>
              <w:left w:val="nil"/>
              <w:bottom w:val="nil"/>
              <w:right w:val="nil"/>
            </w:tcBorders>
            <w:shd w:val="clear" w:color="FFFFFF" w:fill="FFFFFF"/>
            <w:noWrap/>
            <w:vAlign w:val="bottom"/>
            <w:hideMark/>
          </w:tcPr>
          <w:p w14:paraId="3FF9EC0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1E17C0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108,692</w:t>
            </w:r>
          </w:p>
        </w:tc>
      </w:tr>
      <w:tr w:rsidR="00361BA1" w:rsidRPr="00361BA1" w14:paraId="7C022C15" w14:textId="77777777" w:rsidTr="00361BA1">
        <w:trPr>
          <w:trHeight w:val="255"/>
        </w:trPr>
        <w:tc>
          <w:tcPr>
            <w:tcW w:w="6367" w:type="dxa"/>
            <w:tcBorders>
              <w:top w:val="nil"/>
              <w:left w:val="nil"/>
              <w:bottom w:val="nil"/>
              <w:right w:val="nil"/>
            </w:tcBorders>
            <w:shd w:val="clear" w:color="FFFFFF" w:fill="FFFFFF"/>
            <w:hideMark/>
          </w:tcPr>
          <w:p w14:paraId="053C024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External parties - Contributions in-kind from state and territory governments</w:t>
            </w:r>
          </w:p>
        </w:tc>
        <w:tc>
          <w:tcPr>
            <w:tcW w:w="1246" w:type="dxa"/>
            <w:tcBorders>
              <w:top w:val="nil"/>
              <w:left w:val="nil"/>
              <w:bottom w:val="nil"/>
              <w:right w:val="nil"/>
            </w:tcBorders>
            <w:shd w:val="clear" w:color="FFFFFF" w:fill="FFFFFF"/>
            <w:noWrap/>
            <w:vAlign w:val="bottom"/>
            <w:hideMark/>
          </w:tcPr>
          <w:p w14:paraId="6A2FF47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1,507,014</w:t>
            </w:r>
          </w:p>
        </w:tc>
        <w:tc>
          <w:tcPr>
            <w:tcW w:w="236" w:type="dxa"/>
            <w:tcBorders>
              <w:top w:val="nil"/>
              <w:left w:val="nil"/>
              <w:bottom w:val="nil"/>
              <w:right w:val="nil"/>
            </w:tcBorders>
            <w:shd w:val="clear" w:color="FFFFFF" w:fill="FFFFFF"/>
            <w:noWrap/>
            <w:vAlign w:val="bottom"/>
            <w:hideMark/>
          </w:tcPr>
          <w:p w14:paraId="4CC3876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42E370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1,150,142</w:t>
            </w:r>
          </w:p>
        </w:tc>
      </w:tr>
      <w:tr w:rsidR="00361BA1" w:rsidRPr="00361BA1" w14:paraId="070EE0B3" w14:textId="77777777" w:rsidTr="00361BA1">
        <w:trPr>
          <w:trHeight w:val="252"/>
        </w:trPr>
        <w:tc>
          <w:tcPr>
            <w:tcW w:w="6367" w:type="dxa"/>
            <w:tcBorders>
              <w:top w:val="nil"/>
              <w:left w:val="nil"/>
              <w:bottom w:val="nil"/>
              <w:right w:val="nil"/>
            </w:tcBorders>
            <w:shd w:val="clear" w:color="FFFFFF" w:fill="FFFFFF"/>
            <w:hideMark/>
          </w:tcPr>
          <w:p w14:paraId="7A621D5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w:t>
            </w:r>
          </w:p>
        </w:tc>
        <w:tc>
          <w:tcPr>
            <w:tcW w:w="1246" w:type="dxa"/>
            <w:tcBorders>
              <w:top w:val="nil"/>
              <w:left w:val="nil"/>
              <w:bottom w:val="nil"/>
              <w:right w:val="nil"/>
            </w:tcBorders>
            <w:shd w:val="clear" w:color="FFFFFF" w:fill="FFFFFF"/>
            <w:noWrap/>
            <w:vAlign w:val="bottom"/>
            <w:hideMark/>
          </w:tcPr>
          <w:p w14:paraId="210C41E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380</w:t>
            </w:r>
          </w:p>
        </w:tc>
        <w:tc>
          <w:tcPr>
            <w:tcW w:w="236" w:type="dxa"/>
            <w:tcBorders>
              <w:top w:val="nil"/>
              <w:left w:val="nil"/>
              <w:bottom w:val="nil"/>
              <w:right w:val="nil"/>
            </w:tcBorders>
            <w:shd w:val="clear" w:color="FFFFFF" w:fill="FFFFFF"/>
            <w:noWrap/>
            <w:vAlign w:val="bottom"/>
            <w:hideMark/>
          </w:tcPr>
          <w:p w14:paraId="6E486C9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B7BCA5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085F34EF" w14:textId="77777777" w:rsidTr="00361BA1">
        <w:trPr>
          <w:trHeight w:val="240"/>
        </w:trPr>
        <w:tc>
          <w:tcPr>
            <w:tcW w:w="6367" w:type="dxa"/>
            <w:tcBorders>
              <w:top w:val="nil"/>
              <w:left w:val="nil"/>
              <w:bottom w:val="nil"/>
              <w:right w:val="nil"/>
            </w:tcBorders>
            <w:shd w:val="clear" w:color="FFFFFF" w:fill="FFFFFF"/>
            <w:vAlign w:val="bottom"/>
            <w:hideMark/>
          </w:tcPr>
          <w:p w14:paraId="60CEEC3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gains</w:t>
            </w:r>
          </w:p>
        </w:tc>
        <w:tc>
          <w:tcPr>
            <w:tcW w:w="1246" w:type="dxa"/>
            <w:tcBorders>
              <w:top w:val="single" w:sz="4" w:space="0" w:color="auto"/>
              <w:left w:val="nil"/>
              <w:bottom w:val="single" w:sz="4" w:space="0" w:color="auto"/>
              <w:right w:val="nil"/>
            </w:tcBorders>
            <w:shd w:val="clear" w:color="FFFFFF" w:fill="FFFFFF"/>
            <w:noWrap/>
            <w:vAlign w:val="bottom"/>
            <w:hideMark/>
          </w:tcPr>
          <w:p w14:paraId="7D482AB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1,524,039</w:t>
            </w:r>
          </w:p>
        </w:tc>
        <w:tc>
          <w:tcPr>
            <w:tcW w:w="236" w:type="dxa"/>
            <w:tcBorders>
              <w:top w:val="nil"/>
              <w:left w:val="nil"/>
              <w:bottom w:val="nil"/>
              <w:right w:val="nil"/>
            </w:tcBorders>
            <w:shd w:val="clear" w:color="FFFFFF" w:fill="FFFFFF"/>
            <w:noWrap/>
            <w:vAlign w:val="bottom"/>
            <w:hideMark/>
          </w:tcPr>
          <w:p w14:paraId="549B34D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147539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1,258,834</w:t>
            </w:r>
          </w:p>
        </w:tc>
      </w:tr>
    </w:tbl>
    <w:p w14:paraId="477E5D36"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p w14:paraId="55CAB6C9"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5CD31283"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361BA1">
        <w:rPr>
          <w:rFonts w:eastAsia="Times New Roman"/>
          <w:bCs/>
          <w:i/>
          <w:sz w:val="18"/>
          <w:szCs w:val="18"/>
          <w:u w:val="single"/>
          <w:lang w:eastAsia="en-US"/>
        </w:rPr>
        <w:t xml:space="preserve">Contributions in-kind from Commonwealth, state and territory governments </w:t>
      </w:r>
    </w:p>
    <w:p w14:paraId="287A0F19"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Contributions in-kind from Commonwealth, state and territory governments are termed volunteer services under Australian Accounting Standards</w:t>
      </w:r>
      <w:r w:rsidRPr="00361BA1">
        <w:rPr>
          <w:rFonts w:ascii="Times New Roman" w:eastAsia="Times New Roman" w:hAnsi="Times New Roman" w:cs="Times New Roman"/>
          <w:szCs w:val="20"/>
          <w:lang w:eastAsia="en-US"/>
        </w:rPr>
        <w:t xml:space="preserve"> </w:t>
      </w:r>
      <w:r w:rsidRPr="00361BA1">
        <w:rPr>
          <w:rFonts w:eastAsia="Times New Roman"/>
          <w:bCs/>
          <w:sz w:val="18"/>
          <w:szCs w:val="18"/>
          <w:lang w:eastAsia="en-US"/>
        </w:rPr>
        <w:t>as they are received free of charge. Volunteer services are recognised as own-source income when, and only when, a fair value can be reliably determined and the services would have been purchased if they had not been contributed. Use of these services is recognised as an expense. Volunteer services are recorded as either revenue or gains depending on their nature.</w:t>
      </w:r>
    </w:p>
    <w:p w14:paraId="6DA1EDF3"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Prior to the commencement of the Scheme, the Commonwealth and each state and territory government had committed to provide (directly or by engaging service providers) agreed items such as disability services, health services, family support, education, employment, transport and/or housing to people with a disability. The on-going provision of these agreed services on behalf of the Agency is regarded as an in-kind contribution under Australian Accounting Standards and is accounted for as income from the contribution of services at the date when the services are provided. The fair value of these contributions is the unit cost provided by the jurisdiction which is based on what the jurisdiction has paid under its funding arrangements with the provider.</w:t>
      </w:r>
    </w:p>
    <w:p w14:paraId="78326222" w14:textId="77777777" w:rsidR="00361BA1" w:rsidRPr="00361BA1" w:rsidRDefault="00361BA1" w:rsidP="00361BA1">
      <w:pPr>
        <w:spacing w:before="0" w:after="0"/>
        <w:ind w:left="0"/>
        <w:rPr>
          <w:rFonts w:eastAsia="Times New Roman"/>
          <w:bCs/>
          <w:i/>
          <w:sz w:val="18"/>
          <w:szCs w:val="18"/>
          <w:u w:val="single"/>
          <w:lang w:eastAsia="en-US"/>
        </w:rPr>
      </w:pPr>
      <w:r w:rsidRPr="00361BA1">
        <w:rPr>
          <w:rFonts w:eastAsia="Times New Roman"/>
          <w:bCs/>
          <w:i/>
          <w:sz w:val="18"/>
          <w:szCs w:val="18"/>
          <w:u w:val="single"/>
          <w:lang w:eastAsia="en-US"/>
        </w:rPr>
        <w:br w:type="page"/>
      </w:r>
    </w:p>
    <w:p w14:paraId="3FEBB10E"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i/>
          <w:sz w:val="18"/>
          <w:szCs w:val="18"/>
          <w:u w:val="single"/>
          <w:lang w:eastAsia="en-US"/>
        </w:rPr>
        <w:lastRenderedPageBreak/>
        <w:t>Other resources received free of charge</w:t>
      </w:r>
      <w:r w:rsidRPr="00361BA1">
        <w:rPr>
          <w:rFonts w:eastAsia="Times New Roman"/>
          <w:bCs/>
          <w:sz w:val="18"/>
          <w:szCs w:val="18"/>
          <w:lang w:eastAsia="en-US"/>
        </w:rPr>
        <w:t xml:space="preserve"> </w:t>
      </w:r>
    </w:p>
    <w:p w14:paraId="4FF445EB"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Contributions of assets at no cost of acquisition or for nominal consideration are recognised as gains at their fair value when the asset qualifies for recognition, unless received from another Government entity as a consequence of a restructuring of administrative arrangements. </w:t>
      </w:r>
    </w:p>
    <w:p w14:paraId="692B2E6C"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Key judgements and estimates</w:t>
      </w:r>
    </w:p>
    <w:p w14:paraId="38A0CE36"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361BA1">
        <w:rPr>
          <w:rFonts w:eastAsia="Times New Roman"/>
          <w:bCs/>
          <w:i/>
          <w:sz w:val="18"/>
          <w:szCs w:val="18"/>
          <w:u w:val="single"/>
          <w:lang w:eastAsia="en-US"/>
        </w:rPr>
        <w:t xml:space="preserve">Contributions in-kind from Commonwealth, state and territory governments </w:t>
      </w:r>
    </w:p>
    <w:p w14:paraId="0C13B37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The Agency records income in relation to non-cash or in-kind contributions from other Commonwealth entities, state and territory governments at the time when the services are provided to participants. In some cases, the Agency may not have been formally notified that the Commonwealth or a state or territory government has provided or funded a contribution to a participant. In this circumstance, the Agency makes an estimate of the amount of in-kind contributions provided to participants during the period but not yet notified to the Agency These estimates are based on the latest available evidence of in-kind supports provided to participants by the Commonwealth, state and territory governments.</w:t>
      </w:r>
    </w:p>
    <w:p w14:paraId="6AD827B4" w14:textId="77777777" w:rsidR="00361BA1" w:rsidRPr="00361BA1" w:rsidRDefault="00361BA1" w:rsidP="00361BA1">
      <w:pPr>
        <w:spacing w:before="0" w:after="0" w:line="260" w:lineRule="atLeast"/>
        <w:ind w:left="0"/>
        <w:rPr>
          <w:rFonts w:eastAsia="Times New Roman"/>
          <w:b/>
          <w:bCs/>
          <w:sz w:val="18"/>
          <w:szCs w:val="18"/>
          <w:lang w:eastAsia="en-US"/>
        </w:rPr>
      </w:pPr>
    </w:p>
    <w:p w14:paraId="017817EF"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773AE2E5"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iCs/>
          <w:sz w:val="18"/>
          <w:szCs w:val="18"/>
          <w:u w:val="single"/>
          <w:lang w:eastAsia="en-US"/>
        </w:rPr>
      </w:pPr>
      <w:r w:rsidRPr="00361BA1">
        <w:rPr>
          <w:rFonts w:eastAsia="Times New Roman"/>
          <w:bCs/>
          <w:i/>
          <w:iCs/>
          <w:sz w:val="18"/>
          <w:szCs w:val="18"/>
          <w:u w:val="single"/>
          <w:lang w:eastAsia="en-US"/>
        </w:rPr>
        <w:t xml:space="preserve">Revenue from Government </w:t>
      </w:r>
    </w:p>
    <w:p w14:paraId="291F5871"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US"/>
        </w:rPr>
      </w:pPr>
      <w:r w:rsidRPr="00361BA1">
        <w:rPr>
          <w:rFonts w:eastAsia="Times New Roman"/>
          <w:bCs/>
          <w:iCs/>
          <w:sz w:val="18"/>
          <w:szCs w:val="18"/>
          <w:lang w:eastAsia="en-US"/>
        </w:rPr>
        <w:t xml:space="preserve">Funding received from the Department of Social Services (received by the Agency as a Corporate Commonwealth entity payment item) is recognised as Revenue from Government unless the funding is in the nature of an equity injection or a loan. </w:t>
      </w:r>
    </w:p>
    <w:p w14:paraId="32909F9F"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US"/>
        </w:rPr>
      </w:pPr>
      <w:r w:rsidRPr="00361BA1">
        <w:rPr>
          <w:rFonts w:eastAsia="Times New Roman"/>
          <w:bCs/>
          <w:iCs/>
          <w:sz w:val="18"/>
          <w:szCs w:val="18"/>
          <w:lang w:eastAsia="en-US"/>
        </w:rPr>
        <w:t xml:space="preserve">Revenue from Government for </w:t>
      </w:r>
      <w:r w:rsidRPr="00361BA1">
        <w:rPr>
          <w:rFonts w:eastAsia="Times New Roman"/>
          <w:bCs/>
          <w:iCs/>
          <w:sz w:val="18"/>
          <w:szCs w:val="18"/>
          <w:lang w:eastAsia="en-US"/>
        </w:rPr>
        <w:fldChar w:fldCharType="begin"/>
      </w:r>
      <w:r w:rsidRPr="00361BA1">
        <w:rPr>
          <w:rFonts w:eastAsia="Times New Roman"/>
          <w:bCs/>
          <w:iCs/>
          <w:sz w:val="18"/>
          <w:szCs w:val="18"/>
          <w:lang w:eastAsia="en-US"/>
        </w:rPr>
        <w:instrText xml:space="preserve"> DOCPROPERTY  crYear  \* MERGEFORMAT </w:instrText>
      </w:r>
      <w:r w:rsidRPr="00361BA1">
        <w:rPr>
          <w:rFonts w:eastAsia="Times New Roman"/>
          <w:bCs/>
          <w:iCs/>
          <w:sz w:val="18"/>
          <w:szCs w:val="18"/>
          <w:lang w:eastAsia="en-US"/>
        </w:rPr>
        <w:fldChar w:fldCharType="separate"/>
      </w:r>
      <w:r w:rsidRPr="00361BA1">
        <w:rPr>
          <w:rFonts w:eastAsia="Times New Roman"/>
          <w:bCs/>
          <w:iCs/>
          <w:sz w:val="18"/>
          <w:szCs w:val="18"/>
          <w:lang w:eastAsia="en-US"/>
        </w:rPr>
        <w:t>2020</w:t>
      </w:r>
      <w:r w:rsidRPr="00361BA1">
        <w:rPr>
          <w:rFonts w:eastAsia="Times New Roman"/>
          <w:bCs/>
          <w:iCs/>
          <w:sz w:val="18"/>
          <w:szCs w:val="18"/>
          <w:lang w:eastAsia="en-US"/>
        </w:rPr>
        <w:fldChar w:fldCharType="end"/>
      </w:r>
      <w:r w:rsidRPr="00361BA1">
        <w:rPr>
          <w:rFonts w:eastAsia="Times New Roman"/>
          <w:bCs/>
          <w:iCs/>
          <w:sz w:val="18"/>
          <w:szCs w:val="18"/>
          <w:lang w:eastAsia="en-US"/>
        </w:rPr>
        <w:t>: $</w:t>
      </w:r>
      <w:r w:rsidRPr="00361BA1">
        <w:rPr>
          <w:rFonts w:eastAsia="Times New Roman"/>
          <w:sz w:val="18"/>
          <w:szCs w:val="18"/>
          <w:lang w:eastAsia="en-US"/>
        </w:rPr>
        <w:t>1,413.3m</w:t>
      </w:r>
      <w:r w:rsidRPr="00361BA1">
        <w:rPr>
          <w:rFonts w:eastAsia="Times New Roman"/>
          <w:bCs/>
          <w:iCs/>
          <w:sz w:val="18"/>
          <w:szCs w:val="18"/>
          <w:lang w:eastAsia="en-US"/>
        </w:rPr>
        <w:t xml:space="preserve"> (</w:t>
      </w:r>
      <w:r w:rsidRPr="00361BA1">
        <w:rPr>
          <w:rFonts w:eastAsia="Times New Roman"/>
          <w:bCs/>
          <w:iCs/>
          <w:sz w:val="18"/>
          <w:szCs w:val="18"/>
          <w:lang w:eastAsia="en-US"/>
        </w:rPr>
        <w:fldChar w:fldCharType="begin"/>
      </w:r>
      <w:r w:rsidRPr="00361BA1">
        <w:rPr>
          <w:rFonts w:eastAsia="Times New Roman"/>
          <w:bCs/>
          <w:iCs/>
          <w:sz w:val="18"/>
          <w:szCs w:val="18"/>
          <w:lang w:eastAsia="en-US"/>
        </w:rPr>
        <w:instrText xml:space="preserve"> DOCPROPERTY  prYear  \* MERGEFORMAT </w:instrText>
      </w:r>
      <w:r w:rsidRPr="00361BA1">
        <w:rPr>
          <w:rFonts w:eastAsia="Times New Roman"/>
          <w:bCs/>
          <w:iCs/>
          <w:sz w:val="18"/>
          <w:szCs w:val="18"/>
          <w:lang w:eastAsia="en-US"/>
        </w:rPr>
        <w:fldChar w:fldCharType="separate"/>
      </w:r>
      <w:r w:rsidRPr="00361BA1">
        <w:rPr>
          <w:rFonts w:eastAsia="Times New Roman"/>
          <w:bCs/>
          <w:iCs/>
          <w:sz w:val="18"/>
          <w:szCs w:val="18"/>
          <w:lang w:eastAsia="en-US"/>
        </w:rPr>
        <w:t>2019</w:t>
      </w:r>
      <w:r w:rsidRPr="00361BA1">
        <w:rPr>
          <w:rFonts w:eastAsia="Times New Roman"/>
          <w:bCs/>
          <w:iCs/>
          <w:sz w:val="18"/>
          <w:szCs w:val="18"/>
          <w:lang w:eastAsia="en-US"/>
        </w:rPr>
        <w:fldChar w:fldCharType="end"/>
      </w:r>
      <w:r w:rsidRPr="00361BA1">
        <w:rPr>
          <w:rFonts w:eastAsia="Times New Roman"/>
          <w:bCs/>
          <w:iCs/>
          <w:sz w:val="18"/>
          <w:szCs w:val="18"/>
          <w:lang w:eastAsia="en-US"/>
        </w:rPr>
        <w:t>: $1,477.7m)</w:t>
      </w:r>
    </w:p>
    <w:p w14:paraId="714875EB" w14:textId="77777777" w:rsidR="00361BA1" w:rsidRPr="00361BA1" w:rsidRDefault="00361BA1" w:rsidP="00361BA1">
      <w:pPr>
        <w:spacing w:before="0" w:after="0" w:line="260" w:lineRule="atLeast"/>
        <w:ind w:left="0"/>
        <w:rPr>
          <w:rFonts w:eastAsia="Times New Roman"/>
          <w:b/>
          <w:bCs/>
          <w:sz w:val="18"/>
          <w:szCs w:val="18"/>
          <w:lang w:eastAsia="en-US"/>
        </w:rPr>
      </w:pPr>
    </w:p>
    <w:p w14:paraId="03E0AC70" w14:textId="77777777" w:rsidR="00361BA1" w:rsidRPr="00361BA1" w:rsidRDefault="00361BA1" w:rsidP="00361BA1">
      <w:pPr>
        <w:spacing w:before="0" w:after="0" w:line="260" w:lineRule="atLeast"/>
        <w:ind w:left="0"/>
        <w:rPr>
          <w:rFonts w:eastAsia="Times New Roman"/>
          <w:b/>
          <w:bCs/>
          <w:sz w:val="18"/>
          <w:szCs w:val="18"/>
          <w:lang w:eastAsia="en-US"/>
        </w:rPr>
      </w:pPr>
    </w:p>
    <w:p w14:paraId="5D440619" w14:textId="77777777" w:rsidR="00361BA1" w:rsidRPr="00361BA1" w:rsidRDefault="00361BA1" w:rsidP="00361BA1">
      <w:pPr>
        <w:tabs>
          <w:tab w:val="num" w:pos="851"/>
        </w:tabs>
        <w:spacing w:before="0" w:after="0" w:line="260" w:lineRule="atLeast"/>
        <w:ind w:left="1134" w:right="607" w:hanging="1134"/>
        <w:outlineLvl w:val="0"/>
        <w:rPr>
          <w:rFonts w:eastAsia="Times New Roman" w:cs="Times New Roman"/>
          <w:b/>
          <w:sz w:val="20"/>
          <w:szCs w:val="20"/>
          <w:lang w:eastAsia="en-US"/>
        </w:rPr>
        <w:sectPr w:rsidR="00361BA1" w:rsidRPr="00361BA1" w:rsidSect="00361BA1">
          <w:pgSz w:w="11906" w:h="16838" w:code="9"/>
          <w:pgMar w:top="1134" w:right="1701" w:bottom="1134" w:left="1134" w:header="958" w:footer="737" w:gutter="0"/>
          <w:cols w:space="708"/>
          <w:docGrid w:linePitch="360"/>
        </w:sectPr>
      </w:pPr>
    </w:p>
    <w:p w14:paraId="15AADCE1" w14:textId="77E2C826" w:rsidR="00361BA1" w:rsidRPr="00361BA1" w:rsidRDefault="00361BA1" w:rsidP="00361BA1">
      <w:pPr>
        <w:numPr>
          <w:ilvl w:val="0"/>
          <w:numId w:val="52"/>
        </w:numPr>
        <w:shd w:val="clear" w:color="00CC99" w:fill="800080"/>
        <w:spacing w:before="0" w:after="0" w:line="260" w:lineRule="atLeast"/>
        <w:outlineLvl w:val="0"/>
        <w:rPr>
          <w:rFonts w:ascii="Arial Bold" w:eastAsia="Times New Roman" w:hAnsi="Arial Bold" w:cs="Times New Roman"/>
          <w:b/>
          <w:color w:val="FFFFFF"/>
          <w:sz w:val="24"/>
          <w:szCs w:val="20"/>
          <w:lang w:eastAsia="en-US"/>
        </w:rPr>
      </w:pPr>
      <w:bookmarkStart w:id="64" w:name="_Toc41479162"/>
      <w:r w:rsidRPr="00361BA1">
        <w:rPr>
          <w:rFonts w:ascii="Arial Bold" w:eastAsia="Times New Roman" w:hAnsi="Arial Bold" w:cs="Times New Roman"/>
          <w:b/>
          <w:color w:val="FFFFFF"/>
          <w:sz w:val="24"/>
          <w:szCs w:val="20"/>
          <w:lang w:eastAsia="en-US"/>
        </w:rPr>
        <w:lastRenderedPageBreak/>
        <w:t>Financial Position</w:t>
      </w:r>
      <w:bookmarkEnd w:id="64"/>
    </w:p>
    <w:p w14:paraId="56E85783"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r w:rsidRPr="00361BA1">
        <w:rPr>
          <w:rFonts w:eastAsia="Times New Roman" w:cs="Times New Roman"/>
          <w:color w:val="FFFFFF"/>
          <w:sz w:val="18"/>
          <w:szCs w:val="18"/>
          <w:lang w:eastAsia="en-US"/>
        </w:rPr>
        <w:t>This section analyses the Agency’s assets used to conduct its operations and the operating liabilities incurred as a result.</w:t>
      </w:r>
    </w:p>
    <w:p w14:paraId="2A722A23"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r w:rsidRPr="00361BA1">
        <w:rPr>
          <w:rFonts w:eastAsia="Times New Roman" w:cs="Times New Roman"/>
          <w:color w:val="FFFFFF"/>
          <w:sz w:val="18"/>
          <w:szCs w:val="18"/>
          <w:lang w:eastAsia="en-US"/>
        </w:rPr>
        <w:t xml:space="preserve">Leasehold improvements and plant and equipment are carried at fair value in accordance with AASB 13 </w:t>
      </w:r>
      <w:r w:rsidRPr="00361BA1">
        <w:rPr>
          <w:rFonts w:eastAsia="Times New Roman" w:cs="Times New Roman"/>
          <w:i/>
          <w:color w:val="FFFFFF"/>
          <w:sz w:val="18"/>
          <w:szCs w:val="18"/>
          <w:lang w:eastAsia="en-US"/>
        </w:rPr>
        <w:t>Fair Value Measurement.</w:t>
      </w:r>
      <w:r w:rsidRPr="00361BA1">
        <w:rPr>
          <w:rFonts w:eastAsia="Times New Roman" w:cs="Times New Roman"/>
          <w:color w:val="FFFFFF"/>
          <w:sz w:val="18"/>
          <w:szCs w:val="18"/>
          <w:lang w:eastAsia="en-US"/>
        </w:rPr>
        <w:t xml:space="preserve">  The remaining assets and liabilities disclosed in the statement of financial position do not apply the fair value hierarchy.</w:t>
      </w:r>
    </w:p>
    <w:p w14:paraId="78C7499E"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p>
    <w:p w14:paraId="1060287D"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r w:rsidRPr="00361BA1">
        <w:rPr>
          <w:rFonts w:eastAsia="Times New Roman" w:cs="Times New Roman"/>
          <w:color w:val="FFFFFF"/>
          <w:sz w:val="18"/>
          <w:szCs w:val="18"/>
          <w:lang w:eastAsia="en-US"/>
        </w:rPr>
        <w:t>Employee related information is disclosed in Section 4.  People and Relationship.</w:t>
      </w:r>
    </w:p>
    <w:p w14:paraId="53FE0113" w14:textId="01219FBF" w:rsidR="00361BA1" w:rsidRPr="00361BA1" w:rsidRDefault="00361BA1" w:rsidP="00084A73">
      <w:pPr>
        <w:pStyle w:val="SubHeading"/>
      </w:pPr>
      <w:bookmarkStart w:id="65" w:name="_Toc41479163"/>
      <w:r w:rsidRPr="00361BA1">
        <w:t>Financial Assets</w:t>
      </w:r>
      <w:bookmarkEnd w:id="65"/>
    </w:p>
    <w:tbl>
      <w:tblPr>
        <w:tblW w:w="9087" w:type="dxa"/>
        <w:tblLayout w:type="fixed"/>
        <w:tblLook w:val="04A0" w:firstRow="1" w:lastRow="0" w:firstColumn="1" w:lastColumn="0" w:noHBand="0" w:noVBand="1"/>
      </w:tblPr>
      <w:tblGrid>
        <w:gridCol w:w="6367"/>
        <w:gridCol w:w="1246"/>
        <w:gridCol w:w="236"/>
        <w:gridCol w:w="1238"/>
      </w:tblGrid>
      <w:tr w:rsidR="00361BA1" w:rsidRPr="00361BA1" w14:paraId="0865C470" w14:textId="77777777" w:rsidTr="00361BA1">
        <w:trPr>
          <w:trHeight w:val="255"/>
        </w:trPr>
        <w:tc>
          <w:tcPr>
            <w:tcW w:w="6367" w:type="dxa"/>
            <w:tcBorders>
              <w:top w:val="nil"/>
              <w:left w:val="nil"/>
              <w:bottom w:val="nil"/>
              <w:right w:val="nil"/>
            </w:tcBorders>
            <w:shd w:val="clear" w:color="FFFFFF" w:fill="FFFFFF"/>
            <w:noWrap/>
            <w:vAlign w:val="bottom"/>
            <w:hideMark/>
          </w:tcPr>
          <w:p w14:paraId="527C228C" w14:textId="77777777" w:rsidR="00361BA1" w:rsidRPr="00361BA1" w:rsidRDefault="00361BA1" w:rsidP="00361BA1">
            <w:pPr>
              <w:spacing w:before="0" w:after="0" w:line="260" w:lineRule="atLeast"/>
              <w:ind w:left="0"/>
              <w:rPr>
                <w:rFonts w:eastAsia="Times New Roman"/>
                <w:sz w:val="18"/>
                <w:szCs w:val="18"/>
                <w:lang w:eastAsia="en-US"/>
              </w:rPr>
            </w:pPr>
            <w:bookmarkStart w:id="66" w:name="Note_CSH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7F463D3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44A8019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C529D3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66"/>
      <w:tr w:rsidR="00361BA1" w:rsidRPr="00361BA1" w14:paraId="1D77FE85" w14:textId="77777777" w:rsidTr="00361BA1">
        <w:trPr>
          <w:trHeight w:val="263"/>
        </w:trPr>
        <w:tc>
          <w:tcPr>
            <w:tcW w:w="6367" w:type="dxa"/>
            <w:tcBorders>
              <w:top w:val="nil"/>
              <w:left w:val="nil"/>
              <w:bottom w:val="nil"/>
              <w:right w:val="nil"/>
            </w:tcBorders>
            <w:shd w:val="clear" w:color="FFFFFF" w:fill="FFFFFF"/>
            <w:noWrap/>
            <w:vAlign w:val="bottom"/>
            <w:hideMark/>
          </w:tcPr>
          <w:p w14:paraId="432DA99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49CF184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28E4797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014EA9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53C5FF6C" w14:textId="77777777" w:rsidTr="00361BA1">
        <w:trPr>
          <w:trHeight w:val="263"/>
        </w:trPr>
        <w:tc>
          <w:tcPr>
            <w:tcW w:w="6367" w:type="dxa"/>
            <w:tcBorders>
              <w:top w:val="nil"/>
              <w:left w:val="nil"/>
              <w:bottom w:val="nil"/>
              <w:right w:val="nil"/>
            </w:tcBorders>
            <w:shd w:val="clear" w:color="FFFFFF" w:fill="FFFFFF"/>
            <w:noWrap/>
            <w:vAlign w:val="bottom"/>
            <w:hideMark/>
          </w:tcPr>
          <w:p w14:paraId="1F6BE41F"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2.1A: Cash and cash equivalents</w:t>
            </w:r>
          </w:p>
        </w:tc>
        <w:tc>
          <w:tcPr>
            <w:tcW w:w="1246" w:type="dxa"/>
            <w:tcBorders>
              <w:top w:val="nil"/>
              <w:left w:val="nil"/>
              <w:bottom w:val="nil"/>
              <w:right w:val="nil"/>
            </w:tcBorders>
            <w:shd w:val="clear" w:color="FFFFFF" w:fill="FFFFFF"/>
            <w:noWrap/>
            <w:vAlign w:val="bottom"/>
            <w:hideMark/>
          </w:tcPr>
          <w:p w14:paraId="091B4EC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7A9259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F1500A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7205742B" w14:textId="77777777" w:rsidTr="00361BA1">
        <w:trPr>
          <w:trHeight w:val="255"/>
        </w:trPr>
        <w:tc>
          <w:tcPr>
            <w:tcW w:w="6367" w:type="dxa"/>
            <w:tcBorders>
              <w:top w:val="nil"/>
              <w:left w:val="nil"/>
              <w:bottom w:val="nil"/>
              <w:right w:val="nil"/>
            </w:tcBorders>
            <w:shd w:val="clear" w:color="FFFFFF" w:fill="FFFFFF"/>
            <w:vAlign w:val="bottom"/>
            <w:hideMark/>
          </w:tcPr>
          <w:p w14:paraId="6DE4B16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Cash on hand</w:t>
            </w:r>
          </w:p>
        </w:tc>
        <w:tc>
          <w:tcPr>
            <w:tcW w:w="1246" w:type="dxa"/>
            <w:tcBorders>
              <w:top w:val="nil"/>
              <w:left w:val="nil"/>
              <w:bottom w:val="nil"/>
              <w:right w:val="nil"/>
            </w:tcBorders>
            <w:shd w:val="clear" w:color="FFFFFF" w:fill="FFFFFF"/>
            <w:noWrap/>
            <w:vAlign w:val="bottom"/>
            <w:hideMark/>
          </w:tcPr>
          <w:p w14:paraId="79763D6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1,107,240</w:t>
            </w:r>
          </w:p>
        </w:tc>
        <w:tc>
          <w:tcPr>
            <w:tcW w:w="236" w:type="dxa"/>
            <w:tcBorders>
              <w:top w:val="nil"/>
              <w:left w:val="nil"/>
              <w:bottom w:val="nil"/>
              <w:right w:val="nil"/>
            </w:tcBorders>
            <w:shd w:val="clear" w:color="FFFFFF" w:fill="FFFFFF"/>
            <w:noWrap/>
            <w:vAlign w:val="bottom"/>
            <w:hideMark/>
          </w:tcPr>
          <w:p w14:paraId="481E0D1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3E98E5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2,273,663</w:t>
            </w:r>
          </w:p>
        </w:tc>
      </w:tr>
      <w:tr w:rsidR="00361BA1" w:rsidRPr="00361BA1" w14:paraId="066914FE" w14:textId="77777777" w:rsidTr="00361BA1">
        <w:trPr>
          <w:trHeight w:val="255"/>
        </w:trPr>
        <w:tc>
          <w:tcPr>
            <w:tcW w:w="6367" w:type="dxa"/>
            <w:tcBorders>
              <w:top w:val="nil"/>
              <w:left w:val="nil"/>
              <w:bottom w:val="nil"/>
              <w:right w:val="nil"/>
            </w:tcBorders>
            <w:shd w:val="clear" w:color="FFFFFF" w:fill="FFFFFF"/>
            <w:vAlign w:val="bottom"/>
            <w:hideMark/>
          </w:tcPr>
          <w:p w14:paraId="56467F0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Term deposits</w:t>
            </w:r>
          </w:p>
        </w:tc>
        <w:tc>
          <w:tcPr>
            <w:tcW w:w="1246" w:type="dxa"/>
            <w:tcBorders>
              <w:top w:val="nil"/>
              <w:left w:val="nil"/>
              <w:bottom w:val="nil"/>
              <w:right w:val="nil"/>
            </w:tcBorders>
            <w:shd w:val="clear" w:color="FFFFFF" w:fill="FFFFFF"/>
            <w:noWrap/>
            <w:vAlign w:val="bottom"/>
            <w:hideMark/>
          </w:tcPr>
          <w:p w14:paraId="6984B8B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1,390,000</w:t>
            </w:r>
          </w:p>
        </w:tc>
        <w:tc>
          <w:tcPr>
            <w:tcW w:w="236" w:type="dxa"/>
            <w:tcBorders>
              <w:top w:val="nil"/>
              <w:left w:val="nil"/>
              <w:bottom w:val="nil"/>
              <w:right w:val="nil"/>
            </w:tcBorders>
            <w:shd w:val="clear" w:color="FFFFFF" w:fill="FFFFFF"/>
            <w:noWrap/>
            <w:vAlign w:val="bottom"/>
            <w:hideMark/>
          </w:tcPr>
          <w:p w14:paraId="23AF17A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F2B2CF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1,586,197</w:t>
            </w:r>
          </w:p>
        </w:tc>
      </w:tr>
      <w:tr w:rsidR="00361BA1" w:rsidRPr="00361BA1" w14:paraId="0435D9FB" w14:textId="77777777" w:rsidTr="00361BA1">
        <w:trPr>
          <w:trHeight w:val="255"/>
        </w:trPr>
        <w:tc>
          <w:tcPr>
            <w:tcW w:w="6367" w:type="dxa"/>
            <w:tcBorders>
              <w:top w:val="nil"/>
              <w:left w:val="nil"/>
              <w:bottom w:val="nil"/>
              <w:right w:val="nil"/>
            </w:tcBorders>
            <w:shd w:val="clear" w:color="FFFFFF" w:fill="FFFFFF"/>
            <w:vAlign w:val="bottom"/>
            <w:hideMark/>
          </w:tcPr>
          <w:p w14:paraId="0857012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cash and cash equivalents</w:t>
            </w:r>
          </w:p>
        </w:tc>
        <w:tc>
          <w:tcPr>
            <w:tcW w:w="1246" w:type="dxa"/>
            <w:tcBorders>
              <w:top w:val="single" w:sz="4" w:space="0" w:color="auto"/>
              <w:left w:val="nil"/>
              <w:bottom w:val="single" w:sz="4" w:space="0" w:color="auto"/>
              <w:right w:val="nil"/>
            </w:tcBorders>
            <w:shd w:val="clear" w:color="FFFFFF" w:fill="FFFFFF"/>
            <w:noWrap/>
            <w:vAlign w:val="bottom"/>
            <w:hideMark/>
          </w:tcPr>
          <w:p w14:paraId="0CD42DC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2,497,240</w:t>
            </w:r>
          </w:p>
        </w:tc>
        <w:tc>
          <w:tcPr>
            <w:tcW w:w="236" w:type="dxa"/>
            <w:tcBorders>
              <w:top w:val="nil"/>
              <w:left w:val="nil"/>
              <w:bottom w:val="nil"/>
              <w:right w:val="nil"/>
            </w:tcBorders>
            <w:shd w:val="clear" w:color="FFFFFF" w:fill="FFFFFF"/>
            <w:noWrap/>
            <w:vAlign w:val="bottom"/>
            <w:hideMark/>
          </w:tcPr>
          <w:p w14:paraId="42EDFC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3EF2D08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3,859,860</w:t>
            </w:r>
          </w:p>
        </w:tc>
      </w:tr>
    </w:tbl>
    <w:p w14:paraId="20F821FD"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p w14:paraId="6A3CBC67"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24"/>
          <w:szCs w:val="24"/>
          <w:lang w:eastAsia="en-US"/>
        </w:rPr>
      </w:pPr>
      <w:r w:rsidRPr="00361BA1">
        <w:rPr>
          <w:rFonts w:eastAsia="Times New Roman"/>
          <w:b/>
          <w:bCs/>
          <w:sz w:val="18"/>
          <w:szCs w:val="18"/>
          <w:lang w:eastAsia="en-US"/>
        </w:rPr>
        <w:t>Accounting Policy</w:t>
      </w:r>
    </w:p>
    <w:p w14:paraId="37149EEC"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Cash is recognised at its nominal amount. This includes cash on hand and term deposits in bank accounts with an original maturity of three months or less that are readily convertible to cash and subject to insignificant risk of changes in value. Term deposits with an original maturity greater than three months are classified as other financial assets and are included in Note 2.1C.</w:t>
      </w:r>
    </w:p>
    <w:p w14:paraId="2D21A5F8" w14:textId="77777777" w:rsidR="00361BA1" w:rsidRPr="00361BA1" w:rsidRDefault="00361BA1" w:rsidP="00361BA1">
      <w:pPr>
        <w:spacing w:before="0" w:after="0" w:line="260" w:lineRule="atLeast"/>
        <w:ind w:left="0"/>
        <w:rPr>
          <w:rFonts w:ascii="Times New Roman" w:eastAsia="Times New Roman" w:hAnsi="Times New Roman" w:cs="Times New Roman"/>
          <w:sz w:val="18"/>
          <w:szCs w:val="18"/>
          <w:lang w:eastAsia="en-US"/>
        </w:rPr>
      </w:pPr>
    </w:p>
    <w:tbl>
      <w:tblPr>
        <w:tblW w:w="9087" w:type="dxa"/>
        <w:tblLayout w:type="fixed"/>
        <w:tblLook w:val="04A0" w:firstRow="1" w:lastRow="0" w:firstColumn="1" w:lastColumn="0" w:noHBand="0" w:noVBand="1"/>
      </w:tblPr>
      <w:tblGrid>
        <w:gridCol w:w="6379"/>
        <w:gridCol w:w="1276"/>
        <w:gridCol w:w="283"/>
        <w:gridCol w:w="1149"/>
      </w:tblGrid>
      <w:tr w:rsidR="00361BA1" w:rsidRPr="00361BA1" w14:paraId="5D207981" w14:textId="77777777" w:rsidTr="00361BA1">
        <w:trPr>
          <w:trHeight w:val="255"/>
        </w:trPr>
        <w:tc>
          <w:tcPr>
            <w:tcW w:w="6379" w:type="dxa"/>
            <w:tcBorders>
              <w:top w:val="nil"/>
              <w:left w:val="nil"/>
              <w:bottom w:val="nil"/>
              <w:right w:val="nil"/>
            </w:tcBorders>
            <w:shd w:val="clear" w:color="FFFFFF" w:fill="FFFFFF"/>
            <w:noWrap/>
            <w:vAlign w:val="bottom"/>
            <w:hideMark/>
          </w:tcPr>
          <w:p w14:paraId="7EE8D396"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67" w:name="Note_RECTABLE1" w:colFirst="0" w:colLast="0"/>
            <w:r w:rsidRPr="00361BA1">
              <w:rPr>
                <w:rFonts w:eastAsia="Times New Roman"/>
                <w:b/>
                <w:bCs/>
                <w:sz w:val="18"/>
                <w:szCs w:val="18"/>
                <w:u w:val="single"/>
                <w:lang w:eastAsia="en-US"/>
              </w:rPr>
              <w:t>Note 2.1B: Trade and other receivables</w:t>
            </w:r>
          </w:p>
        </w:tc>
        <w:tc>
          <w:tcPr>
            <w:tcW w:w="1276" w:type="dxa"/>
            <w:tcBorders>
              <w:top w:val="nil"/>
              <w:left w:val="nil"/>
              <w:bottom w:val="nil"/>
              <w:right w:val="nil"/>
            </w:tcBorders>
            <w:shd w:val="clear" w:color="FFFFFF" w:fill="FFFFFF"/>
            <w:noWrap/>
            <w:vAlign w:val="bottom"/>
            <w:hideMark/>
          </w:tcPr>
          <w:p w14:paraId="450A200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307C3E4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96D31E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67"/>
      <w:tr w:rsidR="00361BA1" w:rsidRPr="00361BA1" w14:paraId="5DCE12BD" w14:textId="77777777" w:rsidTr="00361BA1">
        <w:trPr>
          <w:trHeight w:val="255"/>
        </w:trPr>
        <w:tc>
          <w:tcPr>
            <w:tcW w:w="6379" w:type="dxa"/>
            <w:tcBorders>
              <w:top w:val="nil"/>
              <w:left w:val="nil"/>
              <w:bottom w:val="nil"/>
              <w:right w:val="nil"/>
            </w:tcBorders>
            <w:shd w:val="clear" w:color="FFFFFF" w:fill="FFFFFF"/>
            <w:vAlign w:val="bottom"/>
            <w:hideMark/>
          </w:tcPr>
          <w:p w14:paraId="41E23D1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Goods and services receivables</w:t>
            </w:r>
          </w:p>
        </w:tc>
        <w:tc>
          <w:tcPr>
            <w:tcW w:w="1276" w:type="dxa"/>
            <w:tcBorders>
              <w:top w:val="nil"/>
              <w:left w:val="nil"/>
              <w:bottom w:val="nil"/>
              <w:right w:val="nil"/>
            </w:tcBorders>
            <w:shd w:val="clear" w:color="FFFFFF" w:fill="FFFFFF"/>
            <w:noWrap/>
            <w:vAlign w:val="bottom"/>
            <w:hideMark/>
          </w:tcPr>
          <w:p w14:paraId="1F4EF63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3348B22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06E6C2D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7E8868BA" w14:textId="77777777" w:rsidTr="00361BA1">
        <w:trPr>
          <w:trHeight w:val="255"/>
        </w:trPr>
        <w:tc>
          <w:tcPr>
            <w:tcW w:w="6379" w:type="dxa"/>
            <w:tcBorders>
              <w:top w:val="nil"/>
              <w:left w:val="nil"/>
              <w:bottom w:val="nil"/>
              <w:right w:val="nil"/>
            </w:tcBorders>
            <w:shd w:val="clear" w:color="FFFFFF" w:fill="FFFFFF"/>
            <w:noWrap/>
            <w:vAlign w:val="bottom"/>
            <w:hideMark/>
          </w:tcPr>
          <w:p w14:paraId="45B1CBEE"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Good and services receivables</w:t>
            </w:r>
          </w:p>
        </w:tc>
        <w:tc>
          <w:tcPr>
            <w:tcW w:w="1276" w:type="dxa"/>
            <w:tcBorders>
              <w:top w:val="nil"/>
              <w:left w:val="nil"/>
              <w:bottom w:val="single" w:sz="4" w:space="0" w:color="auto"/>
              <w:right w:val="nil"/>
            </w:tcBorders>
            <w:shd w:val="clear" w:color="FFFFFF" w:fill="FFFFFF"/>
            <w:noWrap/>
            <w:vAlign w:val="bottom"/>
            <w:hideMark/>
          </w:tcPr>
          <w:p w14:paraId="50E9392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360,951</w:t>
            </w:r>
          </w:p>
        </w:tc>
        <w:tc>
          <w:tcPr>
            <w:tcW w:w="283" w:type="dxa"/>
            <w:tcBorders>
              <w:top w:val="nil"/>
              <w:left w:val="nil"/>
              <w:bottom w:val="nil"/>
              <w:right w:val="nil"/>
            </w:tcBorders>
            <w:shd w:val="clear" w:color="FFFFFF" w:fill="FFFFFF"/>
            <w:noWrap/>
            <w:vAlign w:val="bottom"/>
            <w:hideMark/>
          </w:tcPr>
          <w:p w14:paraId="1E43A41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single" w:sz="4" w:space="0" w:color="auto"/>
              <w:right w:val="nil"/>
            </w:tcBorders>
            <w:shd w:val="clear" w:color="FFFFFF" w:fill="FFFFFF"/>
            <w:noWrap/>
            <w:vAlign w:val="bottom"/>
            <w:hideMark/>
          </w:tcPr>
          <w:p w14:paraId="23FB661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567,652</w:t>
            </w:r>
          </w:p>
        </w:tc>
      </w:tr>
      <w:tr w:rsidR="00361BA1" w:rsidRPr="00361BA1" w14:paraId="014EE126" w14:textId="77777777" w:rsidTr="00361BA1">
        <w:trPr>
          <w:trHeight w:val="255"/>
        </w:trPr>
        <w:tc>
          <w:tcPr>
            <w:tcW w:w="6379" w:type="dxa"/>
            <w:tcBorders>
              <w:top w:val="nil"/>
              <w:left w:val="nil"/>
              <w:bottom w:val="nil"/>
              <w:right w:val="nil"/>
            </w:tcBorders>
            <w:shd w:val="clear" w:color="FFFFFF" w:fill="FFFFFF"/>
            <w:noWrap/>
            <w:vAlign w:val="bottom"/>
          </w:tcPr>
          <w:p w14:paraId="5226A8BF"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goods and services receivables</w:t>
            </w:r>
          </w:p>
        </w:tc>
        <w:tc>
          <w:tcPr>
            <w:tcW w:w="1276" w:type="dxa"/>
            <w:tcBorders>
              <w:top w:val="nil"/>
              <w:left w:val="nil"/>
              <w:bottom w:val="single" w:sz="4" w:space="0" w:color="auto"/>
              <w:right w:val="nil"/>
            </w:tcBorders>
            <w:shd w:val="clear" w:color="FFFFFF" w:fill="FFFFFF"/>
            <w:noWrap/>
            <w:vAlign w:val="bottom"/>
          </w:tcPr>
          <w:p w14:paraId="302486E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360,951</w:t>
            </w:r>
          </w:p>
        </w:tc>
        <w:tc>
          <w:tcPr>
            <w:tcW w:w="283" w:type="dxa"/>
            <w:tcBorders>
              <w:top w:val="nil"/>
              <w:left w:val="nil"/>
              <w:bottom w:val="nil"/>
              <w:right w:val="nil"/>
            </w:tcBorders>
            <w:shd w:val="clear" w:color="FFFFFF" w:fill="FFFFFF"/>
            <w:noWrap/>
            <w:vAlign w:val="bottom"/>
          </w:tcPr>
          <w:p w14:paraId="0458D5E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single" w:sz="4" w:space="0" w:color="auto"/>
              <w:right w:val="nil"/>
            </w:tcBorders>
            <w:shd w:val="clear" w:color="FFFFFF" w:fill="FFFFFF"/>
            <w:noWrap/>
            <w:vAlign w:val="bottom"/>
          </w:tcPr>
          <w:p w14:paraId="5F13451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567,652</w:t>
            </w:r>
          </w:p>
        </w:tc>
      </w:tr>
      <w:tr w:rsidR="00361BA1" w:rsidRPr="00361BA1" w14:paraId="18DC7BE3" w14:textId="77777777" w:rsidTr="00361BA1">
        <w:trPr>
          <w:trHeight w:val="255"/>
        </w:trPr>
        <w:tc>
          <w:tcPr>
            <w:tcW w:w="6379" w:type="dxa"/>
            <w:tcBorders>
              <w:top w:val="nil"/>
              <w:left w:val="nil"/>
              <w:bottom w:val="nil"/>
              <w:right w:val="nil"/>
            </w:tcBorders>
            <w:shd w:val="clear" w:color="FFFFFF" w:fill="FFFFFF"/>
            <w:vAlign w:val="bottom"/>
            <w:hideMark/>
          </w:tcPr>
          <w:p w14:paraId="4A20151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Other receivables</w:t>
            </w:r>
          </w:p>
        </w:tc>
        <w:tc>
          <w:tcPr>
            <w:tcW w:w="1276" w:type="dxa"/>
            <w:tcBorders>
              <w:top w:val="nil"/>
              <w:left w:val="nil"/>
              <w:bottom w:val="nil"/>
              <w:right w:val="nil"/>
            </w:tcBorders>
            <w:shd w:val="clear" w:color="FFFFFF" w:fill="FFFFFF"/>
            <w:noWrap/>
            <w:vAlign w:val="bottom"/>
            <w:hideMark/>
          </w:tcPr>
          <w:p w14:paraId="4BD60C9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6DADDE1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422ECF8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28EF9A0B" w14:textId="77777777" w:rsidTr="00361BA1">
        <w:trPr>
          <w:trHeight w:val="240"/>
        </w:trPr>
        <w:tc>
          <w:tcPr>
            <w:tcW w:w="6379" w:type="dxa"/>
            <w:tcBorders>
              <w:top w:val="nil"/>
              <w:left w:val="nil"/>
              <w:bottom w:val="nil"/>
              <w:right w:val="nil"/>
            </w:tcBorders>
            <w:shd w:val="clear" w:color="FFFFFF" w:fill="FFFFFF"/>
            <w:noWrap/>
            <w:vAlign w:val="bottom"/>
            <w:hideMark/>
          </w:tcPr>
          <w:p w14:paraId="5D896105"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GST receivable from the Australian Taxation Office</w:t>
            </w:r>
          </w:p>
        </w:tc>
        <w:tc>
          <w:tcPr>
            <w:tcW w:w="1276" w:type="dxa"/>
            <w:tcBorders>
              <w:top w:val="nil"/>
              <w:left w:val="nil"/>
              <w:bottom w:val="nil"/>
              <w:right w:val="nil"/>
            </w:tcBorders>
            <w:shd w:val="clear" w:color="FFFFFF" w:fill="FFFFFF"/>
            <w:noWrap/>
            <w:vAlign w:val="bottom"/>
            <w:hideMark/>
          </w:tcPr>
          <w:p w14:paraId="7A5BE77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18,365</w:t>
            </w:r>
          </w:p>
        </w:tc>
        <w:tc>
          <w:tcPr>
            <w:tcW w:w="283" w:type="dxa"/>
            <w:tcBorders>
              <w:top w:val="nil"/>
              <w:left w:val="nil"/>
              <w:bottom w:val="nil"/>
              <w:right w:val="nil"/>
            </w:tcBorders>
            <w:shd w:val="clear" w:color="FFFFFF" w:fill="FFFFFF"/>
            <w:noWrap/>
            <w:vAlign w:val="bottom"/>
            <w:hideMark/>
          </w:tcPr>
          <w:p w14:paraId="32CA9FB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25EC67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17,940</w:t>
            </w:r>
          </w:p>
        </w:tc>
      </w:tr>
      <w:tr w:rsidR="00361BA1" w:rsidRPr="00361BA1" w14:paraId="1EC5171B" w14:textId="77777777" w:rsidTr="00361BA1">
        <w:trPr>
          <w:trHeight w:val="278"/>
        </w:trPr>
        <w:tc>
          <w:tcPr>
            <w:tcW w:w="6379" w:type="dxa"/>
            <w:tcBorders>
              <w:top w:val="nil"/>
              <w:left w:val="nil"/>
              <w:bottom w:val="nil"/>
              <w:right w:val="nil"/>
            </w:tcBorders>
            <w:shd w:val="clear" w:color="FFFFFF" w:fill="FFFFFF"/>
            <w:noWrap/>
            <w:vAlign w:val="bottom"/>
            <w:hideMark/>
          </w:tcPr>
          <w:p w14:paraId="0AF56C4B"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Pandemic plan provider receivables</w:t>
            </w:r>
            <w:r w:rsidRPr="00361BA1">
              <w:rPr>
                <w:rFonts w:eastAsia="Times New Roman"/>
                <w:sz w:val="18"/>
                <w:szCs w:val="18"/>
                <w:vertAlign w:val="superscript"/>
                <w:lang w:eastAsia="en-US"/>
              </w:rPr>
              <w:t>1</w:t>
            </w:r>
          </w:p>
        </w:tc>
        <w:tc>
          <w:tcPr>
            <w:tcW w:w="1276" w:type="dxa"/>
            <w:tcBorders>
              <w:top w:val="nil"/>
              <w:left w:val="nil"/>
              <w:bottom w:val="nil"/>
              <w:right w:val="nil"/>
            </w:tcBorders>
            <w:shd w:val="clear" w:color="FFFFFF" w:fill="FFFFFF"/>
            <w:noWrap/>
            <w:vAlign w:val="bottom"/>
            <w:hideMark/>
          </w:tcPr>
          <w:p w14:paraId="044839F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650,318</w:t>
            </w:r>
          </w:p>
        </w:tc>
        <w:tc>
          <w:tcPr>
            <w:tcW w:w="283" w:type="dxa"/>
            <w:tcBorders>
              <w:top w:val="nil"/>
              <w:left w:val="nil"/>
              <w:bottom w:val="nil"/>
              <w:right w:val="nil"/>
            </w:tcBorders>
            <w:shd w:val="clear" w:color="FFFFFF" w:fill="FFFFFF"/>
            <w:noWrap/>
            <w:vAlign w:val="bottom"/>
            <w:hideMark/>
          </w:tcPr>
          <w:p w14:paraId="61E54FF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353A75C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50B6DF10" w14:textId="77777777" w:rsidTr="00361BA1">
        <w:trPr>
          <w:trHeight w:val="259"/>
        </w:trPr>
        <w:tc>
          <w:tcPr>
            <w:tcW w:w="6379" w:type="dxa"/>
            <w:tcBorders>
              <w:top w:val="nil"/>
              <w:left w:val="nil"/>
              <w:bottom w:val="nil"/>
              <w:right w:val="nil"/>
            </w:tcBorders>
            <w:shd w:val="clear" w:color="FFFFFF" w:fill="FFFFFF"/>
            <w:noWrap/>
            <w:vAlign w:val="bottom"/>
            <w:hideMark/>
          </w:tcPr>
          <w:p w14:paraId="0A14290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Participant and other provider receivables</w:t>
            </w:r>
          </w:p>
        </w:tc>
        <w:tc>
          <w:tcPr>
            <w:tcW w:w="1276" w:type="dxa"/>
            <w:tcBorders>
              <w:top w:val="nil"/>
              <w:left w:val="nil"/>
              <w:bottom w:val="nil"/>
              <w:right w:val="nil"/>
            </w:tcBorders>
            <w:shd w:val="clear" w:color="FFFFFF" w:fill="FFFFFF"/>
            <w:noWrap/>
            <w:vAlign w:val="bottom"/>
            <w:hideMark/>
          </w:tcPr>
          <w:p w14:paraId="42777AB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8,767</w:t>
            </w:r>
          </w:p>
        </w:tc>
        <w:tc>
          <w:tcPr>
            <w:tcW w:w="283" w:type="dxa"/>
            <w:tcBorders>
              <w:top w:val="nil"/>
              <w:left w:val="nil"/>
              <w:bottom w:val="nil"/>
              <w:right w:val="nil"/>
            </w:tcBorders>
            <w:shd w:val="clear" w:color="FFFFFF" w:fill="FFFFFF"/>
            <w:noWrap/>
            <w:vAlign w:val="bottom"/>
            <w:hideMark/>
          </w:tcPr>
          <w:p w14:paraId="7CAB91A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CFF7EF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1,539</w:t>
            </w:r>
          </w:p>
        </w:tc>
      </w:tr>
      <w:tr w:rsidR="00361BA1" w:rsidRPr="00361BA1" w14:paraId="02FDDEB4" w14:textId="77777777" w:rsidTr="00361BA1">
        <w:trPr>
          <w:trHeight w:val="255"/>
        </w:trPr>
        <w:tc>
          <w:tcPr>
            <w:tcW w:w="6379" w:type="dxa"/>
            <w:tcBorders>
              <w:top w:val="nil"/>
              <w:left w:val="nil"/>
              <w:bottom w:val="nil"/>
              <w:right w:val="nil"/>
            </w:tcBorders>
            <w:shd w:val="clear" w:color="FFFFFF" w:fill="FFFFFF"/>
            <w:noWrap/>
            <w:vAlign w:val="bottom"/>
            <w:hideMark/>
          </w:tcPr>
          <w:p w14:paraId="12984307"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Other</w:t>
            </w:r>
          </w:p>
        </w:tc>
        <w:tc>
          <w:tcPr>
            <w:tcW w:w="1276" w:type="dxa"/>
            <w:tcBorders>
              <w:top w:val="nil"/>
              <w:left w:val="nil"/>
              <w:bottom w:val="nil"/>
              <w:right w:val="nil"/>
            </w:tcBorders>
            <w:shd w:val="clear" w:color="FFFFFF" w:fill="FFFFFF"/>
            <w:noWrap/>
            <w:vAlign w:val="bottom"/>
            <w:hideMark/>
          </w:tcPr>
          <w:p w14:paraId="765031B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1,935</w:t>
            </w:r>
          </w:p>
        </w:tc>
        <w:tc>
          <w:tcPr>
            <w:tcW w:w="283" w:type="dxa"/>
            <w:tcBorders>
              <w:top w:val="nil"/>
              <w:left w:val="nil"/>
              <w:bottom w:val="nil"/>
              <w:right w:val="nil"/>
            </w:tcBorders>
            <w:shd w:val="clear" w:color="FFFFFF" w:fill="FFFFFF"/>
            <w:noWrap/>
            <w:vAlign w:val="bottom"/>
            <w:hideMark/>
          </w:tcPr>
          <w:p w14:paraId="7D8F3E7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7B5B920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6,262</w:t>
            </w:r>
          </w:p>
        </w:tc>
      </w:tr>
      <w:tr w:rsidR="00361BA1" w:rsidRPr="00361BA1" w14:paraId="6A639D9D" w14:textId="77777777" w:rsidTr="00361BA1">
        <w:trPr>
          <w:trHeight w:val="255"/>
        </w:trPr>
        <w:tc>
          <w:tcPr>
            <w:tcW w:w="6379" w:type="dxa"/>
            <w:tcBorders>
              <w:top w:val="nil"/>
              <w:left w:val="nil"/>
              <w:bottom w:val="nil"/>
              <w:right w:val="nil"/>
            </w:tcBorders>
            <w:shd w:val="clear" w:color="FFFFFF" w:fill="FFFFFF"/>
            <w:vAlign w:val="bottom"/>
            <w:hideMark/>
          </w:tcPr>
          <w:p w14:paraId="60554FD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receivables</w:t>
            </w:r>
          </w:p>
        </w:tc>
        <w:tc>
          <w:tcPr>
            <w:tcW w:w="1276" w:type="dxa"/>
            <w:tcBorders>
              <w:top w:val="single" w:sz="4" w:space="0" w:color="auto"/>
              <w:left w:val="nil"/>
              <w:bottom w:val="single" w:sz="4" w:space="0" w:color="auto"/>
              <w:right w:val="nil"/>
            </w:tcBorders>
            <w:shd w:val="clear" w:color="FFFFFF" w:fill="FFFFFF"/>
            <w:noWrap/>
            <w:vAlign w:val="bottom"/>
            <w:hideMark/>
          </w:tcPr>
          <w:p w14:paraId="43E5E57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679,385</w:t>
            </w:r>
          </w:p>
        </w:tc>
        <w:tc>
          <w:tcPr>
            <w:tcW w:w="283" w:type="dxa"/>
            <w:tcBorders>
              <w:top w:val="nil"/>
              <w:left w:val="nil"/>
              <w:bottom w:val="nil"/>
              <w:right w:val="nil"/>
            </w:tcBorders>
            <w:shd w:val="clear" w:color="FFFFFF" w:fill="FFFFFF"/>
            <w:noWrap/>
            <w:vAlign w:val="bottom"/>
            <w:hideMark/>
          </w:tcPr>
          <w:p w14:paraId="65A20E8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15153A2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25,741</w:t>
            </w:r>
          </w:p>
        </w:tc>
      </w:tr>
      <w:tr w:rsidR="00361BA1" w:rsidRPr="00361BA1" w14:paraId="6E7A0773" w14:textId="77777777" w:rsidTr="00361BA1">
        <w:trPr>
          <w:trHeight w:val="255"/>
        </w:trPr>
        <w:tc>
          <w:tcPr>
            <w:tcW w:w="6379" w:type="dxa"/>
            <w:tcBorders>
              <w:top w:val="nil"/>
              <w:left w:val="nil"/>
              <w:bottom w:val="nil"/>
              <w:right w:val="nil"/>
            </w:tcBorders>
            <w:shd w:val="clear" w:color="FFFFFF" w:fill="FFFFFF"/>
            <w:vAlign w:val="bottom"/>
            <w:hideMark/>
          </w:tcPr>
          <w:p w14:paraId="0AA26E8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trade and other receivables (gross)</w:t>
            </w:r>
          </w:p>
        </w:tc>
        <w:tc>
          <w:tcPr>
            <w:tcW w:w="1276" w:type="dxa"/>
            <w:tcBorders>
              <w:top w:val="nil"/>
              <w:left w:val="nil"/>
              <w:bottom w:val="single" w:sz="4" w:space="0" w:color="auto"/>
              <w:right w:val="nil"/>
            </w:tcBorders>
            <w:shd w:val="clear" w:color="FFFFFF" w:fill="FFFFFF"/>
            <w:noWrap/>
            <w:vAlign w:val="bottom"/>
            <w:hideMark/>
          </w:tcPr>
          <w:p w14:paraId="1476C00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1,040,336</w:t>
            </w:r>
          </w:p>
        </w:tc>
        <w:tc>
          <w:tcPr>
            <w:tcW w:w="283" w:type="dxa"/>
            <w:tcBorders>
              <w:top w:val="nil"/>
              <w:left w:val="nil"/>
              <w:bottom w:val="nil"/>
              <w:right w:val="nil"/>
            </w:tcBorders>
            <w:shd w:val="clear" w:color="FFFFFF" w:fill="FFFFFF"/>
            <w:noWrap/>
            <w:vAlign w:val="bottom"/>
            <w:hideMark/>
          </w:tcPr>
          <w:p w14:paraId="2AB1B2F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single" w:sz="4" w:space="0" w:color="auto"/>
              <w:right w:val="nil"/>
            </w:tcBorders>
            <w:shd w:val="clear" w:color="FFFFFF" w:fill="FFFFFF"/>
            <w:noWrap/>
            <w:vAlign w:val="bottom"/>
            <w:hideMark/>
          </w:tcPr>
          <w:p w14:paraId="7E2BB98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593,393</w:t>
            </w:r>
          </w:p>
        </w:tc>
      </w:tr>
      <w:tr w:rsidR="00361BA1" w:rsidRPr="00361BA1" w14:paraId="5C11B419" w14:textId="77777777" w:rsidTr="00361BA1">
        <w:trPr>
          <w:trHeight w:val="255"/>
        </w:trPr>
        <w:tc>
          <w:tcPr>
            <w:tcW w:w="6379" w:type="dxa"/>
            <w:tcBorders>
              <w:top w:val="nil"/>
              <w:left w:val="nil"/>
              <w:bottom w:val="nil"/>
              <w:right w:val="nil"/>
            </w:tcBorders>
            <w:shd w:val="clear" w:color="FFFFFF" w:fill="FFFFFF"/>
            <w:noWrap/>
            <w:vAlign w:val="bottom"/>
            <w:hideMark/>
          </w:tcPr>
          <w:p w14:paraId="5A7CADA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76" w:type="dxa"/>
            <w:tcBorders>
              <w:top w:val="nil"/>
              <w:left w:val="nil"/>
              <w:bottom w:val="nil"/>
              <w:right w:val="nil"/>
            </w:tcBorders>
            <w:shd w:val="clear" w:color="FFFFFF" w:fill="FFFFFF"/>
            <w:noWrap/>
            <w:vAlign w:val="bottom"/>
            <w:hideMark/>
          </w:tcPr>
          <w:p w14:paraId="7C1EC8A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440427C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6E76BBD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6CA42114" w14:textId="77777777" w:rsidTr="00361BA1">
        <w:trPr>
          <w:trHeight w:val="255"/>
        </w:trPr>
        <w:tc>
          <w:tcPr>
            <w:tcW w:w="6379" w:type="dxa"/>
            <w:tcBorders>
              <w:top w:val="nil"/>
              <w:left w:val="nil"/>
              <w:bottom w:val="nil"/>
              <w:right w:val="nil"/>
            </w:tcBorders>
            <w:shd w:val="clear" w:color="FFFFFF" w:fill="FFFFFF"/>
            <w:vAlign w:val="bottom"/>
            <w:hideMark/>
          </w:tcPr>
          <w:p w14:paraId="2E37008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Less impairment loss allowance</w:t>
            </w:r>
          </w:p>
        </w:tc>
        <w:tc>
          <w:tcPr>
            <w:tcW w:w="1276" w:type="dxa"/>
            <w:tcBorders>
              <w:top w:val="nil"/>
              <w:left w:val="nil"/>
              <w:bottom w:val="nil"/>
              <w:right w:val="nil"/>
            </w:tcBorders>
            <w:shd w:val="clear" w:color="FFFFFF" w:fill="FFFFFF"/>
            <w:noWrap/>
            <w:vAlign w:val="bottom"/>
            <w:hideMark/>
          </w:tcPr>
          <w:p w14:paraId="0F1BB53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83" w:type="dxa"/>
            <w:tcBorders>
              <w:top w:val="nil"/>
              <w:left w:val="nil"/>
              <w:bottom w:val="nil"/>
              <w:right w:val="nil"/>
            </w:tcBorders>
            <w:shd w:val="clear" w:color="FFFFFF" w:fill="FFFFFF"/>
            <w:noWrap/>
            <w:vAlign w:val="bottom"/>
            <w:hideMark/>
          </w:tcPr>
          <w:p w14:paraId="350338E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7AB95F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2E5D552D" w14:textId="77777777" w:rsidTr="00361BA1">
        <w:trPr>
          <w:trHeight w:val="255"/>
        </w:trPr>
        <w:tc>
          <w:tcPr>
            <w:tcW w:w="6379" w:type="dxa"/>
            <w:tcBorders>
              <w:top w:val="nil"/>
              <w:left w:val="nil"/>
              <w:bottom w:val="nil"/>
              <w:right w:val="nil"/>
            </w:tcBorders>
            <w:shd w:val="clear" w:color="FFFFFF" w:fill="FFFFFF"/>
            <w:noWrap/>
            <w:vAlign w:val="bottom"/>
            <w:hideMark/>
          </w:tcPr>
          <w:p w14:paraId="6F95F6FF"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Goods and services receivables</w:t>
            </w:r>
          </w:p>
        </w:tc>
        <w:tc>
          <w:tcPr>
            <w:tcW w:w="1276" w:type="dxa"/>
            <w:tcBorders>
              <w:top w:val="nil"/>
              <w:left w:val="nil"/>
              <w:bottom w:val="nil"/>
              <w:right w:val="nil"/>
            </w:tcBorders>
            <w:shd w:val="clear" w:color="FFFFFF" w:fill="FFFFFF"/>
            <w:noWrap/>
            <w:vAlign w:val="bottom"/>
            <w:hideMark/>
          </w:tcPr>
          <w:p w14:paraId="673182D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238</w:t>
            </w:r>
          </w:p>
        </w:tc>
        <w:tc>
          <w:tcPr>
            <w:tcW w:w="283" w:type="dxa"/>
            <w:tcBorders>
              <w:top w:val="nil"/>
              <w:left w:val="nil"/>
              <w:bottom w:val="nil"/>
              <w:right w:val="nil"/>
            </w:tcBorders>
            <w:shd w:val="clear" w:color="FFFFFF" w:fill="FFFFFF"/>
            <w:noWrap/>
            <w:vAlign w:val="bottom"/>
            <w:hideMark/>
          </w:tcPr>
          <w:p w14:paraId="7175ECE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540DBEC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506</w:t>
            </w:r>
          </w:p>
        </w:tc>
      </w:tr>
      <w:tr w:rsidR="00361BA1" w:rsidRPr="00361BA1" w14:paraId="76528AE5" w14:textId="77777777" w:rsidTr="00361BA1">
        <w:trPr>
          <w:trHeight w:val="255"/>
        </w:trPr>
        <w:tc>
          <w:tcPr>
            <w:tcW w:w="6379" w:type="dxa"/>
            <w:tcBorders>
              <w:top w:val="nil"/>
              <w:left w:val="nil"/>
              <w:bottom w:val="nil"/>
              <w:right w:val="nil"/>
            </w:tcBorders>
            <w:shd w:val="clear" w:color="FFFFFF" w:fill="FFFFFF"/>
            <w:noWrap/>
            <w:vAlign w:val="bottom"/>
            <w:hideMark/>
          </w:tcPr>
          <w:p w14:paraId="4D997A9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Participant and other provider receivables</w:t>
            </w:r>
          </w:p>
        </w:tc>
        <w:tc>
          <w:tcPr>
            <w:tcW w:w="1276" w:type="dxa"/>
            <w:tcBorders>
              <w:top w:val="nil"/>
              <w:left w:val="nil"/>
              <w:bottom w:val="nil"/>
              <w:right w:val="nil"/>
            </w:tcBorders>
            <w:shd w:val="clear" w:color="FFFFFF" w:fill="FFFFFF"/>
            <w:noWrap/>
            <w:vAlign w:val="bottom"/>
            <w:hideMark/>
          </w:tcPr>
          <w:p w14:paraId="140195A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7,880</w:t>
            </w:r>
          </w:p>
        </w:tc>
        <w:tc>
          <w:tcPr>
            <w:tcW w:w="283" w:type="dxa"/>
            <w:tcBorders>
              <w:top w:val="nil"/>
              <w:left w:val="nil"/>
              <w:bottom w:val="nil"/>
              <w:right w:val="nil"/>
            </w:tcBorders>
            <w:shd w:val="clear" w:color="FFFFFF" w:fill="FFFFFF"/>
            <w:noWrap/>
            <w:vAlign w:val="bottom"/>
            <w:hideMark/>
          </w:tcPr>
          <w:p w14:paraId="1BD6FF7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22140D6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27AF7E6D" w14:textId="77777777" w:rsidTr="00361BA1">
        <w:trPr>
          <w:trHeight w:val="255"/>
        </w:trPr>
        <w:tc>
          <w:tcPr>
            <w:tcW w:w="6379" w:type="dxa"/>
            <w:tcBorders>
              <w:top w:val="nil"/>
              <w:left w:val="nil"/>
              <w:bottom w:val="nil"/>
              <w:right w:val="nil"/>
            </w:tcBorders>
            <w:shd w:val="clear" w:color="FFFFFF" w:fill="FFFFFF"/>
            <w:noWrap/>
            <w:vAlign w:val="bottom"/>
            <w:hideMark/>
          </w:tcPr>
          <w:p w14:paraId="57A75DAA"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Pandemic plan provider receivables</w:t>
            </w:r>
          </w:p>
        </w:tc>
        <w:tc>
          <w:tcPr>
            <w:tcW w:w="1276" w:type="dxa"/>
            <w:tcBorders>
              <w:top w:val="nil"/>
              <w:left w:val="nil"/>
              <w:bottom w:val="nil"/>
              <w:right w:val="nil"/>
            </w:tcBorders>
            <w:shd w:val="clear" w:color="FFFFFF" w:fill="FFFFFF"/>
            <w:noWrap/>
            <w:vAlign w:val="bottom"/>
            <w:hideMark/>
          </w:tcPr>
          <w:p w14:paraId="4AC120F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23,101</w:t>
            </w:r>
          </w:p>
        </w:tc>
        <w:tc>
          <w:tcPr>
            <w:tcW w:w="283" w:type="dxa"/>
            <w:tcBorders>
              <w:top w:val="nil"/>
              <w:left w:val="nil"/>
              <w:bottom w:val="nil"/>
              <w:right w:val="nil"/>
            </w:tcBorders>
            <w:shd w:val="clear" w:color="FFFFFF" w:fill="FFFFFF"/>
            <w:noWrap/>
            <w:vAlign w:val="bottom"/>
            <w:hideMark/>
          </w:tcPr>
          <w:p w14:paraId="6E19A3C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nil"/>
              <w:right w:val="nil"/>
            </w:tcBorders>
            <w:shd w:val="clear" w:color="FFFFFF" w:fill="FFFFFF"/>
            <w:noWrap/>
            <w:vAlign w:val="bottom"/>
            <w:hideMark/>
          </w:tcPr>
          <w:p w14:paraId="68ABF3A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27423755" w14:textId="77777777" w:rsidTr="00361BA1">
        <w:trPr>
          <w:trHeight w:val="255"/>
        </w:trPr>
        <w:tc>
          <w:tcPr>
            <w:tcW w:w="6379" w:type="dxa"/>
            <w:tcBorders>
              <w:top w:val="nil"/>
              <w:left w:val="nil"/>
              <w:bottom w:val="nil"/>
              <w:right w:val="nil"/>
            </w:tcBorders>
            <w:shd w:val="clear" w:color="FFFFFF" w:fill="FFFFFF"/>
            <w:vAlign w:val="bottom"/>
            <w:hideMark/>
          </w:tcPr>
          <w:p w14:paraId="1291E1E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impairment loss allowance</w:t>
            </w:r>
          </w:p>
        </w:tc>
        <w:tc>
          <w:tcPr>
            <w:tcW w:w="1276" w:type="dxa"/>
            <w:tcBorders>
              <w:top w:val="single" w:sz="4" w:space="0" w:color="auto"/>
              <w:left w:val="nil"/>
              <w:bottom w:val="single" w:sz="4" w:space="0" w:color="auto"/>
              <w:right w:val="nil"/>
            </w:tcBorders>
            <w:shd w:val="clear" w:color="FFFFFF" w:fill="FFFFFF"/>
            <w:noWrap/>
            <w:vAlign w:val="bottom"/>
            <w:hideMark/>
          </w:tcPr>
          <w:p w14:paraId="01935D1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31,219</w:t>
            </w:r>
          </w:p>
        </w:tc>
        <w:tc>
          <w:tcPr>
            <w:tcW w:w="283" w:type="dxa"/>
            <w:tcBorders>
              <w:top w:val="nil"/>
              <w:left w:val="nil"/>
              <w:bottom w:val="nil"/>
              <w:right w:val="nil"/>
            </w:tcBorders>
            <w:shd w:val="clear" w:color="FFFFFF" w:fill="FFFFFF"/>
            <w:noWrap/>
            <w:vAlign w:val="bottom"/>
            <w:hideMark/>
          </w:tcPr>
          <w:p w14:paraId="0D67FC5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single" w:sz="4" w:space="0" w:color="auto"/>
              <w:left w:val="nil"/>
              <w:bottom w:val="single" w:sz="4" w:space="0" w:color="auto"/>
              <w:right w:val="nil"/>
            </w:tcBorders>
            <w:shd w:val="clear" w:color="FFFFFF" w:fill="FFFFFF"/>
            <w:noWrap/>
            <w:vAlign w:val="bottom"/>
            <w:hideMark/>
          </w:tcPr>
          <w:p w14:paraId="6948C1D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506</w:t>
            </w:r>
          </w:p>
        </w:tc>
      </w:tr>
      <w:tr w:rsidR="00361BA1" w:rsidRPr="00361BA1" w14:paraId="4FDCA67A" w14:textId="77777777" w:rsidTr="00361BA1">
        <w:trPr>
          <w:trHeight w:val="255"/>
        </w:trPr>
        <w:tc>
          <w:tcPr>
            <w:tcW w:w="6379" w:type="dxa"/>
            <w:tcBorders>
              <w:top w:val="nil"/>
              <w:left w:val="nil"/>
              <w:bottom w:val="nil"/>
              <w:right w:val="nil"/>
            </w:tcBorders>
            <w:shd w:val="clear" w:color="FFFFFF" w:fill="FFFFFF"/>
            <w:vAlign w:val="bottom"/>
            <w:hideMark/>
          </w:tcPr>
          <w:p w14:paraId="3251733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trade and other receivables (net)</w:t>
            </w:r>
          </w:p>
        </w:tc>
        <w:tc>
          <w:tcPr>
            <w:tcW w:w="1276" w:type="dxa"/>
            <w:tcBorders>
              <w:top w:val="nil"/>
              <w:left w:val="nil"/>
              <w:bottom w:val="single" w:sz="4" w:space="0" w:color="auto"/>
              <w:right w:val="nil"/>
            </w:tcBorders>
            <w:shd w:val="clear" w:color="FFFFFF" w:fill="FFFFFF"/>
            <w:noWrap/>
            <w:vAlign w:val="bottom"/>
            <w:hideMark/>
          </w:tcPr>
          <w:p w14:paraId="79BE262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1,009,117</w:t>
            </w:r>
          </w:p>
        </w:tc>
        <w:tc>
          <w:tcPr>
            <w:tcW w:w="283" w:type="dxa"/>
            <w:tcBorders>
              <w:top w:val="nil"/>
              <w:left w:val="nil"/>
              <w:bottom w:val="nil"/>
              <w:right w:val="nil"/>
            </w:tcBorders>
            <w:shd w:val="clear" w:color="FFFFFF" w:fill="FFFFFF"/>
            <w:noWrap/>
            <w:vAlign w:val="bottom"/>
            <w:hideMark/>
          </w:tcPr>
          <w:p w14:paraId="0ECA74D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49" w:type="dxa"/>
            <w:tcBorders>
              <w:top w:val="nil"/>
              <w:left w:val="nil"/>
              <w:bottom w:val="single" w:sz="4" w:space="0" w:color="auto"/>
              <w:right w:val="nil"/>
            </w:tcBorders>
            <w:shd w:val="clear" w:color="FFFFFF" w:fill="FFFFFF"/>
            <w:noWrap/>
            <w:vAlign w:val="bottom"/>
            <w:hideMark/>
          </w:tcPr>
          <w:p w14:paraId="07F151D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592,887</w:t>
            </w:r>
          </w:p>
        </w:tc>
      </w:tr>
    </w:tbl>
    <w:p w14:paraId="5EEB7135" w14:textId="77777777" w:rsidR="00361BA1" w:rsidRPr="00361BA1" w:rsidRDefault="00361BA1" w:rsidP="00361BA1">
      <w:pPr>
        <w:spacing w:before="60" w:after="0"/>
        <w:ind w:left="0"/>
        <w:rPr>
          <w:rFonts w:eastAsia="Times New Roman"/>
          <w:sz w:val="18"/>
          <w:szCs w:val="18"/>
          <w:lang w:eastAsia="en-US"/>
        </w:rPr>
      </w:pPr>
      <w:bookmarkStart w:id="68" w:name="OLE_LINK2"/>
    </w:p>
    <w:p w14:paraId="0962E4C2" w14:textId="77777777" w:rsidR="00361BA1" w:rsidRPr="00361BA1" w:rsidRDefault="00361BA1" w:rsidP="00361BA1">
      <w:pPr>
        <w:spacing w:before="60" w:after="0"/>
        <w:ind w:left="142" w:hanging="142"/>
        <w:rPr>
          <w:rFonts w:eastAsia="Times New Roman"/>
          <w:sz w:val="18"/>
          <w:szCs w:val="18"/>
          <w:lang w:eastAsia="en-US"/>
        </w:rPr>
      </w:pPr>
      <w:r w:rsidRPr="00361BA1">
        <w:rPr>
          <w:rFonts w:eastAsia="Times New Roman"/>
          <w:sz w:val="18"/>
          <w:szCs w:val="18"/>
          <w:vertAlign w:val="superscript"/>
          <w:lang w:eastAsia="en-US"/>
        </w:rPr>
        <w:t>1</w:t>
      </w:r>
      <w:r w:rsidRPr="00361BA1">
        <w:rPr>
          <w:rFonts w:eastAsia="Times New Roman"/>
          <w:sz w:val="18"/>
          <w:szCs w:val="18"/>
          <w:lang w:eastAsia="en-US"/>
        </w:rPr>
        <w:t xml:space="preserve"> Pandemic plan provider receivables represent optional advances made by the Agency to eligible registered providers to assist with cash flow and continuity of supports during the COVID-19 pandemic.</w:t>
      </w:r>
    </w:p>
    <w:p w14:paraId="31EEAC89" w14:textId="77777777" w:rsidR="00361BA1" w:rsidRPr="00361BA1" w:rsidRDefault="00361BA1" w:rsidP="00361BA1">
      <w:pPr>
        <w:spacing w:before="60" w:after="0"/>
        <w:ind w:left="142" w:hanging="142"/>
        <w:rPr>
          <w:rFonts w:eastAsia="Times New Roman"/>
          <w:sz w:val="6"/>
          <w:szCs w:val="6"/>
          <w:lang w:eastAsia="en-US"/>
        </w:rPr>
      </w:pPr>
    </w:p>
    <w:p w14:paraId="2C5DD73E" w14:textId="77777777" w:rsidR="00361BA1" w:rsidRPr="00361BA1" w:rsidRDefault="00361BA1" w:rsidP="00361BA1">
      <w:pPr>
        <w:spacing w:before="60" w:after="0"/>
        <w:ind w:left="0"/>
        <w:rPr>
          <w:rFonts w:eastAsia="Times New Roman"/>
          <w:sz w:val="18"/>
          <w:szCs w:val="18"/>
          <w:lang w:eastAsia="en-US"/>
        </w:rPr>
      </w:pPr>
      <w:r w:rsidRPr="00361BA1">
        <w:rPr>
          <w:rFonts w:eastAsia="Times New Roman"/>
          <w:sz w:val="18"/>
          <w:szCs w:val="18"/>
          <w:lang w:eastAsia="en-US"/>
        </w:rPr>
        <w:t>During 2019-20 credit terms for goods and services were within 30 days (</w:t>
      </w:r>
      <w:r w:rsidRPr="00361BA1">
        <w:rPr>
          <w:rFonts w:eastAsia="Times New Roman"/>
          <w:sz w:val="18"/>
          <w:szCs w:val="18"/>
          <w:lang w:eastAsia="en-US"/>
        </w:rPr>
        <w:fldChar w:fldCharType="begin"/>
      </w:r>
      <w:r w:rsidRPr="00361BA1">
        <w:rPr>
          <w:rFonts w:eastAsia="Times New Roman"/>
          <w:sz w:val="18"/>
          <w:szCs w:val="18"/>
          <w:lang w:eastAsia="en-US"/>
        </w:rPr>
        <w:instrText xml:space="preserve"> DOCPROPERTY  prYear  \* MERGEFORMAT </w:instrText>
      </w:r>
      <w:r w:rsidRPr="00361BA1">
        <w:rPr>
          <w:rFonts w:eastAsia="Times New Roman"/>
          <w:sz w:val="18"/>
          <w:szCs w:val="18"/>
          <w:lang w:eastAsia="en-US"/>
        </w:rPr>
        <w:fldChar w:fldCharType="separate"/>
      </w:r>
      <w:r w:rsidRPr="00361BA1">
        <w:rPr>
          <w:rFonts w:eastAsia="Times New Roman"/>
          <w:sz w:val="18"/>
          <w:szCs w:val="18"/>
          <w:lang w:eastAsia="en-US"/>
        </w:rPr>
        <w:t>2019</w:t>
      </w:r>
      <w:r w:rsidRPr="00361BA1">
        <w:rPr>
          <w:rFonts w:eastAsia="Times New Roman"/>
          <w:sz w:val="18"/>
          <w:szCs w:val="18"/>
          <w:lang w:eastAsia="en-US"/>
        </w:rPr>
        <w:fldChar w:fldCharType="end"/>
      </w:r>
      <w:r w:rsidRPr="00361BA1">
        <w:rPr>
          <w:rFonts w:eastAsia="Times New Roman"/>
          <w:sz w:val="18"/>
          <w:szCs w:val="18"/>
          <w:lang w:eastAsia="en-US"/>
        </w:rPr>
        <w:t>: 30 days).</w:t>
      </w:r>
    </w:p>
    <w:p w14:paraId="27172657"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br w:type="page"/>
      </w: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59349F5A" w14:textId="77777777" w:rsidTr="00361BA1">
        <w:trPr>
          <w:trHeight w:val="255"/>
        </w:trPr>
        <w:tc>
          <w:tcPr>
            <w:tcW w:w="6367" w:type="dxa"/>
            <w:tcBorders>
              <w:top w:val="nil"/>
              <w:left w:val="nil"/>
              <w:bottom w:val="nil"/>
              <w:right w:val="nil"/>
            </w:tcBorders>
            <w:shd w:val="clear" w:color="FFFFFF" w:fill="FFFFFF"/>
            <w:vAlign w:val="bottom"/>
            <w:hideMark/>
          </w:tcPr>
          <w:p w14:paraId="3E268FA7" w14:textId="77777777" w:rsidR="00361BA1" w:rsidRPr="00361BA1" w:rsidRDefault="00361BA1" w:rsidP="00361BA1">
            <w:pPr>
              <w:spacing w:before="0" w:after="0" w:line="260" w:lineRule="atLeast"/>
              <w:ind w:left="0"/>
              <w:rPr>
                <w:rFonts w:eastAsia="Times New Roman"/>
                <w:b/>
                <w:bCs/>
                <w:sz w:val="18"/>
                <w:szCs w:val="18"/>
                <w:lang w:eastAsia="en-US"/>
              </w:rPr>
            </w:pPr>
            <w:bookmarkStart w:id="69" w:name="Note_OFATABLE1" w:colFirst="0" w:colLast="0"/>
            <w:r w:rsidRPr="00361BA1">
              <w:rPr>
                <w:rFonts w:eastAsia="Times New Roman"/>
                <w:b/>
                <w:bCs/>
                <w:sz w:val="18"/>
                <w:szCs w:val="18"/>
                <w:lang w:eastAsia="en-US"/>
              </w:rPr>
              <w:lastRenderedPageBreak/>
              <w:t> </w:t>
            </w:r>
          </w:p>
        </w:tc>
        <w:tc>
          <w:tcPr>
            <w:tcW w:w="1246" w:type="dxa"/>
            <w:tcBorders>
              <w:top w:val="nil"/>
              <w:left w:val="nil"/>
              <w:bottom w:val="nil"/>
              <w:right w:val="nil"/>
            </w:tcBorders>
            <w:shd w:val="clear" w:color="FFFFFF" w:fill="FFFFFF"/>
            <w:vAlign w:val="bottom"/>
            <w:hideMark/>
          </w:tcPr>
          <w:p w14:paraId="6861CE6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0B387CB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1114776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69"/>
      <w:tr w:rsidR="00361BA1" w:rsidRPr="00361BA1" w14:paraId="6B8B6EED" w14:textId="77777777" w:rsidTr="00361BA1">
        <w:trPr>
          <w:trHeight w:val="255"/>
        </w:trPr>
        <w:tc>
          <w:tcPr>
            <w:tcW w:w="6367" w:type="dxa"/>
            <w:tcBorders>
              <w:top w:val="nil"/>
              <w:left w:val="nil"/>
              <w:bottom w:val="nil"/>
              <w:right w:val="nil"/>
            </w:tcBorders>
            <w:shd w:val="clear" w:color="FFFFFF" w:fill="FFFFFF"/>
            <w:vAlign w:val="bottom"/>
            <w:hideMark/>
          </w:tcPr>
          <w:p w14:paraId="52D214B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46" w:type="dxa"/>
            <w:tcBorders>
              <w:top w:val="nil"/>
              <w:left w:val="nil"/>
              <w:bottom w:val="nil"/>
              <w:right w:val="nil"/>
            </w:tcBorders>
            <w:shd w:val="clear" w:color="FFFFFF" w:fill="FFFFFF"/>
            <w:vAlign w:val="bottom"/>
            <w:hideMark/>
          </w:tcPr>
          <w:p w14:paraId="607276B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2241457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3D11B64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2E26A6A0" w14:textId="77777777" w:rsidTr="00361BA1">
        <w:trPr>
          <w:trHeight w:val="255"/>
        </w:trPr>
        <w:tc>
          <w:tcPr>
            <w:tcW w:w="6367" w:type="dxa"/>
            <w:tcBorders>
              <w:top w:val="nil"/>
              <w:left w:val="nil"/>
              <w:bottom w:val="nil"/>
              <w:right w:val="nil"/>
            </w:tcBorders>
            <w:shd w:val="clear" w:color="FFFFFF" w:fill="FFFFFF"/>
            <w:noWrap/>
            <w:vAlign w:val="bottom"/>
            <w:hideMark/>
          </w:tcPr>
          <w:p w14:paraId="5F2B7AD3"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2.1C: Other financial assets</w:t>
            </w:r>
          </w:p>
        </w:tc>
        <w:tc>
          <w:tcPr>
            <w:tcW w:w="1246" w:type="dxa"/>
            <w:tcBorders>
              <w:top w:val="nil"/>
              <w:left w:val="nil"/>
              <w:bottom w:val="nil"/>
              <w:right w:val="nil"/>
            </w:tcBorders>
            <w:shd w:val="clear" w:color="FFFFFF" w:fill="FFFFFF"/>
            <w:noWrap/>
            <w:vAlign w:val="bottom"/>
            <w:hideMark/>
          </w:tcPr>
          <w:p w14:paraId="2213CCE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CA8114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6ACCC4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0B286A1B" w14:textId="77777777" w:rsidTr="00361BA1">
        <w:trPr>
          <w:trHeight w:val="255"/>
        </w:trPr>
        <w:tc>
          <w:tcPr>
            <w:tcW w:w="6367" w:type="dxa"/>
            <w:tcBorders>
              <w:top w:val="nil"/>
              <w:left w:val="nil"/>
              <w:bottom w:val="nil"/>
              <w:right w:val="nil"/>
            </w:tcBorders>
            <w:shd w:val="clear" w:color="FFFFFF" w:fill="FFFFFF"/>
            <w:vAlign w:val="bottom"/>
            <w:hideMark/>
          </w:tcPr>
          <w:p w14:paraId="1BD31D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Deposits</w:t>
            </w:r>
          </w:p>
        </w:tc>
        <w:tc>
          <w:tcPr>
            <w:tcW w:w="1246" w:type="dxa"/>
            <w:tcBorders>
              <w:top w:val="nil"/>
              <w:left w:val="nil"/>
              <w:bottom w:val="nil"/>
              <w:right w:val="nil"/>
            </w:tcBorders>
            <w:shd w:val="clear" w:color="FFFFFF" w:fill="FFFFFF"/>
            <w:noWrap/>
            <w:vAlign w:val="bottom"/>
            <w:hideMark/>
          </w:tcPr>
          <w:p w14:paraId="0D15BA8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hideMark/>
          </w:tcPr>
          <w:p w14:paraId="15A283B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6A320A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3B264055" w14:textId="77777777" w:rsidTr="00361BA1">
        <w:trPr>
          <w:trHeight w:val="255"/>
        </w:trPr>
        <w:tc>
          <w:tcPr>
            <w:tcW w:w="6367" w:type="dxa"/>
            <w:tcBorders>
              <w:top w:val="nil"/>
              <w:left w:val="nil"/>
              <w:bottom w:val="nil"/>
              <w:right w:val="nil"/>
            </w:tcBorders>
            <w:shd w:val="clear" w:color="FFFFFF" w:fill="FFFFFF"/>
            <w:vAlign w:val="bottom"/>
            <w:hideMark/>
          </w:tcPr>
          <w:p w14:paraId="287B539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financial assets</w:t>
            </w:r>
          </w:p>
        </w:tc>
        <w:tc>
          <w:tcPr>
            <w:tcW w:w="1246" w:type="dxa"/>
            <w:tcBorders>
              <w:top w:val="single" w:sz="4" w:space="0" w:color="auto"/>
              <w:left w:val="nil"/>
              <w:bottom w:val="single" w:sz="4" w:space="0" w:color="auto"/>
              <w:right w:val="nil"/>
            </w:tcBorders>
            <w:shd w:val="clear" w:color="FFFFFF" w:fill="FFFFFF"/>
            <w:noWrap/>
            <w:vAlign w:val="bottom"/>
            <w:hideMark/>
          </w:tcPr>
          <w:p w14:paraId="1E41BFA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hideMark/>
          </w:tcPr>
          <w:p w14:paraId="5B61A18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4B7DFB8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54727152" w14:textId="77777777" w:rsidTr="00361BA1">
        <w:trPr>
          <w:trHeight w:val="255"/>
        </w:trPr>
        <w:tc>
          <w:tcPr>
            <w:tcW w:w="6367" w:type="dxa"/>
            <w:tcBorders>
              <w:top w:val="nil"/>
              <w:left w:val="nil"/>
              <w:bottom w:val="nil"/>
              <w:right w:val="nil"/>
            </w:tcBorders>
            <w:shd w:val="clear" w:color="FFFFFF" w:fill="FFFFFF"/>
            <w:noWrap/>
            <w:vAlign w:val="bottom"/>
            <w:hideMark/>
          </w:tcPr>
          <w:p w14:paraId="457EC6C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2B9BDE1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5A2E0A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49072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52914B42" w14:textId="77777777" w:rsidTr="00361BA1">
        <w:trPr>
          <w:trHeight w:val="255"/>
        </w:trPr>
        <w:tc>
          <w:tcPr>
            <w:tcW w:w="6367" w:type="dxa"/>
            <w:tcBorders>
              <w:top w:val="nil"/>
              <w:left w:val="nil"/>
              <w:bottom w:val="nil"/>
              <w:right w:val="nil"/>
            </w:tcBorders>
            <w:shd w:val="clear" w:color="FFFFFF" w:fill="FFFFFF"/>
            <w:vAlign w:val="bottom"/>
            <w:hideMark/>
          </w:tcPr>
          <w:p w14:paraId="4572324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Total other financial assets - are expected to be recovered in:</w:t>
            </w:r>
          </w:p>
        </w:tc>
        <w:tc>
          <w:tcPr>
            <w:tcW w:w="1246" w:type="dxa"/>
            <w:tcBorders>
              <w:top w:val="nil"/>
              <w:left w:val="nil"/>
              <w:bottom w:val="nil"/>
              <w:right w:val="nil"/>
            </w:tcBorders>
            <w:shd w:val="clear" w:color="FFFFFF" w:fill="FFFFFF"/>
            <w:noWrap/>
            <w:vAlign w:val="bottom"/>
            <w:hideMark/>
          </w:tcPr>
          <w:p w14:paraId="48FF9F5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18FB1E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0A7DB3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614E3DBF" w14:textId="77777777" w:rsidTr="00361BA1">
        <w:trPr>
          <w:trHeight w:val="255"/>
        </w:trPr>
        <w:tc>
          <w:tcPr>
            <w:tcW w:w="6367" w:type="dxa"/>
            <w:tcBorders>
              <w:top w:val="nil"/>
              <w:left w:val="nil"/>
              <w:bottom w:val="nil"/>
              <w:right w:val="nil"/>
            </w:tcBorders>
            <w:shd w:val="clear" w:color="FFFFFF" w:fill="FFFFFF"/>
            <w:noWrap/>
            <w:vAlign w:val="bottom"/>
            <w:hideMark/>
          </w:tcPr>
          <w:p w14:paraId="2B00F600"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No more than 12 months</w:t>
            </w:r>
          </w:p>
        </w:tc>
        <w:tc>
          <w:tcPr>
            <w:tcW w:w="1246" w:type="dxa"/>
            <w:tcBorders>
              <w:top w:val="nil"/>
              <w:left w:val="nil"/>
              <w:bottom w:val="nil"/>
              <w:right w:val="nil"/>
            </w:tcBorders>
            <w:shd w:val="clear" w:color="FFFFFF" w:fill="FFFFFF"/>
            <w:noWrap/>
            <w:vAlign w:val="bottom"/>
            <w:hideMark/>
          </w:tcPr>
          <w:p w14:paraId="5EEA1B5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hideMark/>
          </w:tcPr>
          <w:p w14:paraId="5628B5E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2D7F13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xml:space="preserve"> -</w:t>
            </w:r>
          </w:p>
        </w:tc>
      </w:tr>
      <w:tr w:rsidR="00361BA1" w:rsidRPr="00361BA1" w14:paraId="074F2F78" w14:textId="77777777" w:rsidTr="00361BA1">
        <w:trPr>
          <w:trHeight w:val="255"/>
        </w:trPr>
        <w:tc>
          <w:tcPr>
            <w:tcW w:w="6367" w:type="dxa"/>
            <w:tcBorders>
              <w:top w:val="nil"/>
              <w:left w:val="nil"/>
              <w:bottom w:val="nil"/>
              <w:right w:val="nil"/>
            </w:tcBorders>
            <w:shd w:val="clear" w:color="FFFFFF" w:fill="FFFFFF"/>
            <w:vAlign w:val="bottom"/>
            <w:hideMark/>
          </w:tcPr>
          <w:p w14:paraId="11A3B60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financial assets</w:t>
            </w:r>
          </w:p>
        </w:tc>
        <w:tc>
          <w:tcPr>
            <w:tcW w:w="1246" w:type="dxa"/>
            <w:tcBorders>
              <w:top w:val="single" w:sz="4" w:space="0" w:color="auto"/>
              <w:left w:val="nil"/>
              <w:bottom w:val="single" w:sz="4" w:space="0" w:color="auto"/>
              <w:right w:val="nil"/>
            </w:tcBorders>
            <w:shd w:val="clear" w:color="FFFFFF" w:fill="FFFFFF"/>
            <w:noWrap/>
            <w:vAlign w:val="bottom"/>
            <w:hideMark/>
          </w:tcPr>
          <w:p w14:paraId="508A3A9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hideMark/>
          </w:tcPr>
          <w:p w14:paraId="61F6F18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599D6C4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bookmarkEnd w:id="68"/>
    </w:tbl>
    <w:p w14:paraId="03DCBC01" w14:textId="77777777" w:rsidR="00361BA1" w:rsidRPr="00361BA1" w:rsidRDefault="00361BA1" w:rsidP="00361BA1">
      <w:pPr>
        <w:spacing w:before="0" w:after="0"/>
        <w:ind w:left="0"/>
        <w:rPr>
          <w:rFonts w:eastAsia="Times New Roman"/>
          <w:sz w:val="18"/>
          <w:szCs w:val="18"/>
          <w:lang w:eastAsia="en-US"/>
        </w:rPr>
      </w:pPr>
    </w:p>
    <w:p w14:paraId="462528B0" w14:textId="77777777" w:rsidR="00361BA1" w:rsidRPr="00361BA1" w:rsidRDefault="00361BA1" w:rsidP="00361BA1">
      <w:pPr>
        <w:spacing w:before="0" w:after="0"/>
        <w:ind w:left="0"/>
        <w:rPr>
          <w:rFonts w:eastAsia="Times New Roman"/>
          <w:sz w:val="18"/>
          <w:szCs w:val="18"/>
          <w:lang w:eastAsia="en-US"/>
        </w:rPr>
      </w:pPr>
    </w:p>
    <w:p w14:paraId="1A96B5DE"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bookmarkStart w:id="70" w:name="OLE_LINK3"/>
      <w:r w:rsidRPr="00361BA1">
        <w:rPr>
          <w:rFonts w:eastAsia="Times New Roman"/>
          <w:b/>
          <w:bCs/>
          <w:sz w:val="18"/>
          <w:szCs w:val="18"/>
          <w:lang w:eastAsia="en-US"/>
        </w:rPr>
        <w:t>Accounting Policy</w:t>
      </w:r>
    </w:p>
    <w:p w14:paraId="22CBB588"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361BA1">
        <w:rPr>
          <w:rFonts w:eastAsia="Times New Roman"/>
          <w:bCs/>
          <w:i/>
          <w:sz w:val="18"/>
          <w:szCs w:val="18"/>
          <w:u w:val="single"/>
          <w:lang w:eastAsia="en-AU"/>
        </w:rPr>
        <w:t>Financial assets</w:t>
      </w:r>
    </w:p>
    <w:p w14:paraId="7BFFD88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Trade receivables and other receivables are held for the purpose of collecting the contractual cash flows, where the cash flows are solely payments of principal and interest that are not provided at below-market interest rates, are subsequently measured at amortised cost using the effective interest method adjusted for any loss allowance.</w:t>
      </w:r>
    </w:p>
    <w:p w14:paraId="2121AC4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The Agency classifies all of its financial assets according to their nature and purpose at the time of recognition. Financial assets are recognised and derecognised upon trade date.</w:t>
      </w:r>
    </w:p>
    <w:p w14:paraId="23D9CF92"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361BA1">
        <w:rPr>
          <w:rFonts w:eastAsia="Times New Roman"/>
          <w:bCs/>
          <w:i/>
          <w:sz w:val="18"/>
          <w:szCs w:val="18"/>
          <w:u w:val="single"/>
          <w:lang w:eastAsia="en-AU"/>
        </w:rPr>
        <w:t>Effective Interest Method</w:t>
      </w:r>
    </w:p>
    <w:p w14:paraId="75FCCFFB"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Income is recognised on an effective interest rate basis for financial assets that are recognised at amortised cost.</w:t>
      </w:r>
    </w:p>
    <w:p w14:paraId="7EC3B602"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lang w:eastAsia="en-AU"/>
        </w:rPr>
      </w:pPr>
      <w:r w:rsidRPr="00361BA1">
        <w:rPr>
          <w:rFonts w:eastAsia="Times New Roman"/>
          <w:bCs/>
          <w:sz w:val="18"/>
          <w:szCs w:val="18"/>
          <w:lang w:eastAsia="en-AU"/>
        </w:rPr>
        <w:t>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352A653C"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361BA1">
        <w:rPr>
          <w:rFonts w:eastAsia="Times New Roman"/>
          <w:bCs/>
          <w:i/>
          <w:sz w:val="18"/>
          <w:szCs w:val="18"/>
          <w:u w:val="single"/>
          <w:lang w:eastAsia="en-AU"/>
        </w:rPr>
        <w:t>Impairment of financial assets</w:t>
      </w:r>
    </w:p>
    <w:p w14:paraId="367A880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 xml:space="preserve">Financial assets are assessed for impairment at the end of each reporting period based on Expected Credit Losses, using the simplified approach for goods and services receivable and the general approach for pandemic plan provider receivables. </w:t>
      </w:r>
    </w:p>
    <w:p w14:paraId="15C1A7ED"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The pandemic plan provider receivables will be recovered through offsetting the receivables against future claims for payment lodged by providers. Since the outbreak of the pandemic, the Agency has not experienced a significant overall downturn in activity, therefore, decreases in the level of claims lodged by providers indicate that the providers are experiencing a downturn in activity, which increases the risk that their receivables can be recovered through offsetting against future claims. The Agency has recognised an impairment allowance for reductions in the average value of claims over the last three months compared to the three month average at the time the initial pandemic plan payment was made to a provider. Actual impairment losses over the life of the receivable will vary depending on the actual future level of claims lodged by providers.</w:t>
      </w:r>
    </w:p>
    <w:p w14:paraId="4153DCBB"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Both the simplified and general impairment approaches always measure the loss allowance as the amount equal to the lifetime expected credit losses.</w:t>
      </w:r>
    </w:p>
    <w:p w14:paraId="4947BD29"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A write-off constitutes a de-recognition event where the write-off directly reduces the gross carrying amount of the financial asset.</w:t>
      </w:r>
    </w:p>
    <w:bookmarkEnd w:id="70"/>
    <w:p w14:paraId="6030B5D2"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sectPr w:rsidR="00361BA1" w:rsidRPr="00361BA1" w:rsidSect="00361BA1">
          <w:pgSz w:w="11906" w:h="16838" w:code="9"/>
          <w:pgMar w:top="1134" w:right="1701" w:bottom="1134" w:left="1134" w:header="958" w:footer="737" w:gutter="0"/>
          <w:cols w:space="708"/>
          <w:docGrid w:linePitch="360"/>
        </w:sectPr>
      </w:pPr>
    </w:p>
    <w:p w14:paraId="47BC10A8" w14:textId="4CC763E4" w:rsidR="00361BA1" w:rsidRPr="00361BA1" w:rsidRDefault="00361BA1" w:rsidP="00084A73">
      <w:pPr>
        <w:pStyle w:val="SubHeading"/>
      </w:pPr>
      <w:bookmarkStart w:id="71" w:name="_Toc443469530"/>
      <w:bookmarkStart w:id="72" w:name="_Toc443577404"/>
      <w:bookmarkStart w:id="73" w:name="_Toc445194082"/>
      <w:bookmarkStart w:id="74" w:name="_Toc447030540"/>
      <w:bookmarkStart w:id="75" w:name="_Toc447030692"/>
      <w:bookmarkStart w:id="76" w:name="_Toc447030785"/>
      <w:bookmarkStart w:id="77" w:name="_Toc41479164"/>
      <w:r w:rsidRPr="00361BA1">
        <w:lastRenderedPageBreak/>
        <w:t>Non-Financial Assets</w:t>
      </w:r>
      <w:bookmarkEnd w:id="71"/>
      <w:bookmarkEnd w:id="72"/>
      <w:bookmarkEnd w:id="73"/>
      <w:bookmarkEnd w:id="74"/>
      <w:bookmarkEnd w:id="75"/>
      <w:bookmarkEnd w:id="76"/>
      <w:bookmarkEnd w:id="77"/>
    </w:p>
    <w:tbl>
      <w:tblPr>
        <w:tblW w:w="9637" w:type="dxa"/>
        <w:tblLayout w:type="fixed"/>
        <w:tblCellMar>
          <w:left w:w="57" w:type="dxa"/>
          <w:right w:w="57" w:type="dxa"/>
        </w:tblCellMar>
        <w:tblLook w:val="04A0" w:firstRow="1" w:lastRow="0" w:firstColumn="1" w:lastColumn="0" w:noHBand="0" w:noVBand="1"/>
      </w:tblPr>
      <w:tblGrid>
        <w:gridCol w:w="5323"/>
        <w:gridCol w:w="1620"/>
        <w:gridCol w:w="1347"/>
        <w:gridCol w:w="1347"/>
      </w:tblGrid>
      <w:tr w:rsidR="00361BA1" w:rsidRPr="00361BA1" w14:paraId="362A4865" w14:textId="77777777" w:rsidTr="00361BA1">
        <w:trPr>
          <w:trHeight w:val="495"/>
        </w:trPr>
        <w:tc>
          <w:tcPr>
            <w:tcW w:w="9637" w:type="dxa"/>
            <w:gridSpan w:val="4"/>
            <w:tcBorders>
              <w:top w:val="nil"/>
              <w:left w:val="nil"/>
              <w:bottom w:val="nil"/>
              <w:right w:val="nil"/>
            </w:tcBorders>
            <w:shd w:val="clear" w:color="FFFFFF" w:fill="FFFFFF"/>
            <w:vAlign w:val="bottom"/>
            <w:hideMark/>
          </w:tcPr>
          <w:p w14:paraId="14D7CEEE"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78" w:name="Note_MTATABLE1" w:colFirst="0" w:colLast="0"/>
            <w:r w:rsidRPr="00361BA1">
              <w:rPr>
                <w:rFonts w:eastAsia="Times New Roman"/>
                <w:b/>
                <w:bCs/>
                <w:sz w:val="18"/>
                <w:szCs w:val="18"/>
                <w:u w:val="single"/>
                <w:lang w:eastAsia="en-US"/>
              </w:rPr>
              <w:t>Note 2.2A: Reconciliation of the opening and closing balances of Buildings and Plant and equipment 2020</w:t>
            </w:r>
          </w:p>
        </w:tc>
      </w:tr>
      <w:bookmarkEnd w:id="78"/>
      <w:tr w:rsidR="00361BA1" w:rsidRPr="00361BA1" w14:paraId="72BFA3A6" w14:textId="77777777" w:rsidTr="00361BA1">
        <w:trPr>
          <w:trHeight w:val="255"/>
        </w:trPr>
        <w:tc>
          <w:tcPr>
            <w:tcW w:w="5323" w:type="dxa"/>
            <w:tcBorders>
              <w:top w:val="nil"/>
              <w:left w:val="nil"/>
              <w:bottom w:val="nil"/>
              <w:right w:val="nil"/>
            </w:tcBorders>
            <w:shd w:val="clear" w:color="FFFFFF" w:fill="FFFFFF"/>
            <w:noWrap/>
            <w:vAlign w:val="bottom"/>
            <w:hideMark/>
          </w:tcPr>
          <w:p w14:paraId="0F280C8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620" w:type="dxa"/>
            <w:tcBorders>
              <w:top w:val="nil"/>
              <w:left w:val="nil"/>
              <w:bottom w:val="nil"/>
              <w:right w:val="nil"/>
            </w:tcBorders>
            <w:shd w:val="clear" w:color="FFFFFF" w:fill="FFFFFF"/>
            <w:noWrap/>
            <w:vAlign w:val="bottom"/>
            <w:hideMark/>
          </w:tcPr>
          <w:p w14:paraId="0E76707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70C546A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5B33F15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5E19F35B" w14:textId="77777777" w:rsidTr="00361BA1">
        <w:trPr>
          <w:trHeight w:val="492"/>
        </w:trPr>
        <w:tc>
          <w:tcPr>
            <w:tcW w:w="5323" w:type="dxa"/>
            <w:tcBorders>
              <w:top w:val="single" w:sz="4" w:space="0" w:color="auto"/>
              <w:left w:val="nil"/>
              <w:bottom w:val="nil"/>
              <w:right w:val="nil"/>
            </w:tcBorders>
            <w:shd w:val="clear" w:color="FFFFFF" w:fill="FFFFFF"/>
            <w:noWrap/>
            <w:vAlign w:val="bottom"/>
            <w:hideMark/>
          </w:tcPr>
          <w:p w14:paraId="3CF604D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620" w:type="dxa"/>
            <w:tcBorders>
              <w:top w:val="single" w:sz="4" w:space="0" w:color="auto"/>
              <w:left w:val="nil"/>
              <w:bottom w:val="nil"/>
              <w:right w:val="nil"/>
            </w:tcBorders>
            <w:shd w:val="clear" w:color="FFFFFF" w:fill="FFFFFF"/>
            <w:vAlign w:val="bottom"/>
            <w:hideMark/>
          </w:tcPr>
          <w:p w14:paraId="4524E84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xml:space="preserve">Buildings </w:t>
            </w:r>
          </w:p>
        </w:tc>
        <w:tc>
          <w:tcPr>
            <w:tcW w:w="1347" w:type="dxa"/>
            <w:tcBorders>
              <w:top w:val="single" w:sz="4" w:space="0" w:color="auto"/>
              <w:left w:val="nil"/>
              <w:bottom w:val="nil"/>
              <w:right w:val="nil"/>
            </w:tcBorders>
            <w:shd w:val="clear" w:color="FFFFFF" w:fill="FFFFFF"/>
            <w:hideMark/>
          </w:tcPr>
          <w:p w14:paraId="33EEBCE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Plant &amp; equipment</w:t>
            </w:r>
          </w:p>
        </w:tc>
        <w:tc>
          <w:tcPr>
            <w:tcW w:w="1347" w:type="dxa"/>
            <w:tcBorders>
              <w:top w:val="single" w:sz="4" w:space="0" w:color="auto"/>
              <w:left w:val="nil"/>
              <w:bottom w:val="nil"/>
              <w:right w:val="nil"/>
            </w:tcBorders>
            <w:shd w:val="clear" w:color="FFFFFF" w:fill="FFFFFF"/>
            <w:vAlign w:val="bottom"/>
            <w:hideMark/>
          </w:tcPr>
          <w:p w14:paraId="68D2126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Total</w:t>
            </w:r>
          </w:p>
        </w:tc>
      </w:tr>
      <w:tr w:rsidR="00361BA1" w:rsidRPr="00361BA1" w14:paraId="7642E85E" w14:textId="77777777" w:rsidTr="00361BA1">
        <w:trPr>
          <w:trHeight w:val="255"/>
        </w:trPr>
        <w:tc>
          <w:tcPr>
            <w:tcW w:w="5323" w:type="dxa"/>
            <w:tcBorders>
              <w:top w:val="nil"/>
              <w:left w:val="nil"/>
              <w:bottom w:val="single" w:sz="4" w:space="0" w:color="auto"/>
              <w:right w:val="nil"/>
            </w:tcBorders>
            <w:shd w:val="clear" w:color="FFFFFF" w:fill="FFFFFF"/>
            <w:noWrap/>
            <w:vAlign w:val="bottom"/>
            <w:hideMark/>
          </w:tcPr>
          <w:p w14:paraId="2499CB6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620" w:type="dxa"/>
            <w:tcBorders>
              <w:top w:val="nil"/>
              <w:left w:val="nil"/>
              <w:bottom w:val="single" w:sz="4" w:space="0" w:color="auto"/>
              <w:right w:val="nil"/>
            </w:tcBorders>
            <w:shd w:val="clear" w:color="FFFFFF" w:fill="FFFFFF"/>
            <w:vAlign w:val="bottom"/>
            <w:hideMark/>
          </w:tcPr>
          <w:p w14:paraId="3B1C934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1347" w:type="dxa"/>
            <w:tcBorders>
              <w:top w:val="nil"/>
              <w:left w:val="nil"/>
              <w:bottom w:val="single" w:sz="4" w:space="0" w:color="auto"/>
              <w:right w:val="nil"/>
            </w:tcBorders>
            <w:shd w:val="clear" w:color="FFFFFF" w:fill="FFFFFF"/>
            <w:vAlign w:val="bottom"/>
            <w:hideMark/>
          </w:tcPr>
          <w:p w14:paraId="524B878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1347" w:type="dxa"/>
            <w:tcBorders>
              <w:top w:val="nil"/>
              <w:left w:val="nil"/>
              <w:bottom w:val="single" w:sz="4" w:space="0" w:color="auto"/>
              <w:right w:val="nil"/>
            </w:tcBorders>
            <w:shd w:val="clear" w:color="FFFFFF" w:fill="FFFFFF"/>
            <w:vAlign w:val="bottom"/>
            <w:hideMark/>
          </w:tcPr>
          <w:p w14:paraId="369B135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r>
      <w:tr w:rsidR="00361BA1" w:rsidRPr="00361BA1" w14:paraId="5DA075D1" w14:textId="77777777" w:rsidTr="00361BA1">
        <w:trPr>
          <w:trHeight w:val="255"/>
        </w:trPr>
        <w:tc>
          <w:tcPr>
            <w:tcW w:w="5323" w:type="dxa"/>
            <w:tcBorders>
              <w:top w:val="nil"/>
              <w:left w:val="nil"/>
              <w:bottom w:val="nil"/>
              <w:right w:val="nil"/>
            </w:tcBorders>
            <w:shd w:val="clear" w:color="FFFFFF" w:fill="FFFFFF"/>
            <w:vAlign w:val="bottom"/>
            <w:hideMark/>
          </w:tcPr>
          <w:p w14:paraId="7FD95B9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As at 1 July 2019</w:t>
            </w:r>
          </w:p>
        </w:tc>
        <w:tc>
          <w:tcPr>
            <w:tcW w:w="1620" w:type="dxa"/>
            <w:tcBorders>
              <w:top w:val="nil"/>
              <w:left w:val="nil"/>
              <w:bottom w:val="nil"/>
              <w:right w:val="nil"/>
            </w:tcBorders>
            <w:shd w:val="clear" w:color="FFFFFF" w:fill="FFFFFF"/>
            <w:noWrap/>
            <w:vAlign w:val="bottom"/>
            <w:hideMark/>
          </w:tcPr>
          <w:p w14:paraId="509B194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6926856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05D87F8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1F02B71" w14:textId="77777777" w:rsidTr="00361BA1">
        <w:trPr>
          <w:trHeight w:val="255"/>
        </w:trPr>
        <w:tc>
          <w:tcPr>
            <w:tcW w:w="5323" w:type="dxa"/>
            <w:tcBorders>
              <w:top w:val="nil"/>
              <w:left w:val="nil"/>
              <w:bottom w:val="nil"/>
              <w:right w:val="nil"/>
            </w:tcBorders>
            <w:shd w:val="clear" w:color="FFFFFF" w:fill="FFFFFF"/>
            <w:vAlign w:val="bottom"/>
            <w:hideMark/>
          </w:tcPr>
          <w:p w14:paraId="6FD4B9B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Gross book value</w:t>
            </w:r>
          </w:p>
        </w:tc>
        <w:tc>
          <w:tcPr>
            <w:tcW w:w="1620" w:type="dxa"/>
            <w:tcBorders>
              <w:top w:val="nil"/>
              <w:left w:val="nil"/>
              <w:bottom w:val="nil"/>
              <w:right w:val="nil"/>
            </w:tcBorders>
            <w:shd w:val="clear" w:color="FFFFFF" w:fill="FFFFFF"/>
            <w:noWrap/>
            <w:vAlign w:val="bottom"/>
            <w:hideMark/>
          </w:tcPr>
          <w:p w14:paraId="4EE5F68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98,080</w:t>
            </w:r>
          </w:p>
        </w:tc>
        <w:tc>
          <w:tcPr>
            <w:tcW w:w="1347" w:type="dxa"/>
            <w:tcBorders>
              <w:top w:val="nil"/>
              <w:left w:val="nil"/>
              <w:bottom w:val="nil"/>
              <w:right w:val="nil"/>
            </w:tcBorders>
            <w:shd w:val="clear" w:color="FFFFFF" w:fill="FFFFFF"/>
            <w:noWrap/>
            <w:vAlign w:val="bottom"/>
            <w:hideMark/>
          </w:tcPr>
          <w:p w14:paraId="672E75E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1,820</w:t>
            </w:r>
          </w:p>
        </w:tc>
        <w:tc>
          <w:tcPr>
            <w:tcW w:w="1347" w:type="dxa"/>
            <w:tcBorders>
              <w:top w:val="nil"/>
              <w:left w:val="nil"/>
              <w:bottom w:val="nil"/>
              <w:right w:val="nil"/>
            </w:tcBorders>
            <w:shd w:val="clear" w:color="FFFFFF" w:fill="FFFFFF"/>
            <w:noWrap/>
            <w:vAlign w:val="bottom"/>
            <w:hideMark/>
          </w:tcPr>
          <w:p w14:paraId="7C6ECE6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99,900</w:t>
            </w:r>
          </w:p>
        </w:tc>
      </w:tr>
      <w:tr w:rsidR="00361BA1" w:rsidRPr="00361BA1" w14:paraId="4030C2EB" w14:textId="77777777" w:rsidTr="00361BA1">
        <w:trPr>
          <w:trHeight w:val="255"/>
        </w:trPr>
        <w:tc>
          <w:tcPr>
            <w:tcW w:w="5323" w:type="dxa"/>
            <w:tcBorders>
              <w:top w:val="nil"/>
              <w:left w:val="nil"/>
              <w:bottom w:val="nil"/>
              <w:right w:val="nil"/>
            </w:tcBorders>
            <w:shd w:val="clear" w:color="FFFFFF" w:fill="FFFFFF"/>
            <w:vAlign w:val="bottom"/>
            <w:hideMark/>
          </w:tcPr>
          <w:p w14:paraId="35BF5D8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Accumulated depreciation and impairment</w:t>
            </w:r>
          </w:p>
        </w:tc>
        <w:tc>
          <w:tcPr>
            <w:tcW w:w="1620" w:type="dxa"/>
            <w:tcBorders>
              <w:top w:val="nil"/>
              <w:left w:val="nil"/>
              <w:bottom w:val="nil"/>
              <w:right w:val="nil"/>
            </w:tcBorders>
            <w:shd w:val="clear" w:color="FFFFFF" w:fill="FFFFFF"/>
            <w:noWrap/>
            <w:vAlign w:val="bottom"/>
            <w:hideMark/>
          </w:tcPr>
          <w:p w14:paraId="0974B95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(1,606)</w:t>
            </w:r>
          </w:p>
        </w:tc>
        <w:tc>
          <w:tcPr>
            <w:tcW w:w="1347" w:type="dxa"/>
            <w:tcBorders>
              <w:top w:val="nil"/>
              <w:left w:val="nil"/>
              <w:bottom w:val="nil"/>
              <w:right w:val="nil"/>
            </w:tcBorders>
            <w:shd w:val="clear" w:color="FFFFFF" w:fill="FFFFFF"/>
            <w:noWrap/>
            <w:vAlign w:val="bottom"/>
            <w:hideMark/>
          </w:tcPr>
          <w:p w14:paraId="5DF75DF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(1,774)</w:t>
            </w:r>
          </w:p>
        </w:tc>
        <w:tc>
          <w:tcPr>
            <w:tcW w:w="1347" w:type="dxa"/>
            <w:tcBorders>
              <w:top w:val="nil"/>
              <w:left w:val="nil"/>
              <w:bottom w:val="nil"/>
              <w:right w:val="nil"/>
            </w:tcBorders>
            <w:shd w:val="clear" w:color="FFFFFF" w:fill="FFFFFF"/>
            <w:noWrap/>
            <w:vAlign w:val="bottom"/>
            <w:hideMark/>
          </w:tcPr>
          <w:p w14:paraId="75DD271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(3,380)</w:t>
            </w:r>
          </w:p>
        </w:tc>
      </w:tr>
      <w:tr w:rsidR="00361BA1" w:rsidRPr="00361BA1" w14:paraId="6A340CC4" w14:textId="77777777" w:rsidTr="00361BA1">
        <w:trPr>
          <w:trHeight w:val="255"/>
        </w:trPr>
        <w:tc>
          <w:tcPr>
            <w:tcW w:w="5323" w:type="dxa"/>
            <w:tcBorders>
              <w:top w:val="single" w:sz="4" w:space="0" w:color="auto"/>
              <w:left w:val="nil"/>
              <w:bottom w:val="single" w:sz="4" w:space="0" w:color="auto"/>
              <w:right w:val="nil"/>
            </w:tcBorders>
            <w:shd w:val="clear" w:color="FFFFFF" w:fill="FFFFFF"/>
            <w:vAlign w:val="bottom"/>
            <w:hideMark/>
          </w:tcPr>
          <w:p w14:paraId="29B2821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book value as at 1 July 2019</w:t>
            </w:r>
          </w:p>
        </w:tc>
        <w:tc>
          <w:tcPr>
            <w:tcW w:w="1620" w:type="dxa"/>
            <w:tcBorders>
              <w:top w:val="single" w:sz="4" w:space="0" w:color="auto"/>
              <w:left w:val="nil"/>
              <w:bottom w:val="single" w:sz="4" w:space="0" w:color="auto"/>
              <w:right w:val="nil"/>
            </w:tcBorders>
            <w:shd w:val="clear" w:color="FFFFFF" w:fill="FFFFFF"/>
            <w:noWrap/>
            <w:vAlign w:val="bottom"/>
            <w:hideMark/>
          </w:tcPr>
          <w:p w14:paraId="4034B81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96,474</w:t>
            </w:r>
          </w:p>
        </w:tc>
        <w:tc>
          <w:tcPr>
            <w:tcW w:w="1347" w:type="dxa"/>
            <w:tcBorders>
              <w:top w:val="single" w:sz="4" w:space="0" w:color="auto"/>
              <w:left w:val="nil"/>
              <w:bottom w:val="single" w:sz="4" w:space="0" w:color="auto"/>
              <w:right w:val="nil"/>
            </w:tcBorders>
            <w:shd w:val="clear" w:color="FFFFFF" w:fill="FFFFFF"/>
            <w:noWrap/>
            <w:vAlign w:val="bottom"/>
            <w:hideMark/>
          </w:tcPr>
          <w:p w14:paraId="4186419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46</w:t>
            </w:r>
          </w:p>
        </w:tc>
        <w:tc>
          <w:tcPr>
            <w:tcW w:w="1347" w:type="dxa"/>
            <w:tcBorders>
              <w:top w:val="single" w:sz="4" w:space="0" w:color="auto"/>
              <w:left w:val="nil"/>
              <w:bottom w:val="single" w:sz="4" w:space="0" w:color="auto"/>
              <w:right w:val="nil"/>
            </w:tcBorders>
            <w:shd w:val="clear" w:color="FFFFFF" w:fill="FFFFFF"/>
            <w:noWrap/>
            <w:vAlign w:val="bottom"/>
            <w:hideMark/>
          </w:tcPr>
          <w:p w14:paraId="568FEAE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96,520</w:t>
            </w:r>
          </w:p>
        </w:tc>
      </w:tr>
      <w:tr w:rsidR="00361BA1" w:rsidRPr="00361BA1" w14:paraId="6007030B" w14:textId="77777777" w:rsidTr="00361BA1">
        <w:trPr>
          <w:trHeight w:val="255"/>
        </w:trPr>
        <w:tc>
          <w:tcPr>
            <w:tcW w:w="5323" w:type="dxa"/>
            <w:tcBorders>
              <w:top w:val="nil"/>
              <w:left w:val="nil"/>
              <w:bottom w:val="nil"/>
              <w:right w:val="nil"/>
            </w:tcBorders>
            <w:shd w:val="clear" w:color="FFFFFF" w:fill="FFFFFF"/>
            <w:vAlign w:val="bottom"/>
            <w:hideMark/>
          </w:tcPr>
          <w:p w14:paraId="69DA9B6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Recognition of right of use asset on initial application of AASB 16</w:t>
            </w:r>
          </w:p>
        </w:tc>
        <w:tc>
          <w:tcPr>
            <w:tcW w:w="1620" w:type="dxa"/>
            <w:tcBorders>
              <w:top w:val="nil"/>
              <w:left w:val="nil"/>
              <w:bottom w:val="nil"/>
              <w:right w:val="nil"/>
            </w:tcBorders>
            <w:shd w:val="clear" w:color="FFFFFF" w:fill="FFFFFF"/>
            <w:noWrap/>
            <w:vAlign w:val="bottom"/>
            <w:hideMark/>
          </w:tcPr>
          <w:p w14:paraId="0288EDA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194,473</w:t>
            </w:r>
          </w:p>
        </w:tc>
        <w:tc>
          <w:tcPr>
            <w:tcW w:w="1347" w:type="dxa"/>
            <w:tcBorders>
              <w:top w:val="nil"/>
              <w:left w:val="nil"/>
              <w:bottom w:val="nil"/>
              <w:right w:val="nil"/>
            </w:tcBorders>
            <w:shd w:val="clear" w:color="FFFFFF" w:fill="FFFFFF"/>
            <w:noWrap/>
            <w:vAlign w:val="bottom"/>
            <w:hideMark/>
          </w:tcPr>
          <w:p w14:paraId="5A12DA3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1,606</w:t>
            </w:r>
          </w:p>
        </w:tc>
        <w:tc>
          <w:tcPr>
            <w:tcW w:w="1347" w:type="dxa"/>
            <w:tcBorders>
              <w:top w:val="nil"/>
              <w:left w:val="nil"/>
              <w:bottom w:val="nil"/>
              <w:right w:val="nil"/>
            </w:tcBorders>
            <w:shd w:val="clear" w:color="FFFFFF" w:fill="FFFFFF"/>
            <w:noWrap/>
            <w:vAlign w:val="bottom"/>
            <w:hideMark/>
          </w:tcPr>
          <w:p w14:paraId="204A5E0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196,079</w:t>
            </w:r>
          </w:p>
        </w:tc>
      </w:tr>
      <w:tr w:rsidR="00361BA1" w:rsidRPr="00361BA1" w14:paraId="03ADC3BD" w14:textId="77777777" w:rsidTr="00361BA1">
        <w:trPr>
          <w:trHeight w:val="255"/>
        </w:trPr>
        <w:tc>
          <w:tcPr>
            <w:tcW w:w="5323" w:type="dxa"/>
            <w:tcBorders>
              <w:top w:val="single" w:sz="4" w:space="0" w:color="auto"/>
              <w:left w:val="nil"/>
              <w:bottom w:val="single" w:sz="4" w:space="0" w:color="auto"/>
              <w:right w:val="nil"/>
            </w:tcBorders>
            <w:shd w:val="clear" w:color="FFFFFF" w:fill="FFFFFF"/>
            <w:vAlign w:val="bottom"/>
            <w:hideMark/>
          </w:tcPr>
          <w:p w14:paraId="080CB38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Adjusted Net book value as at 1 July 2019</w:t>
            </w:r>
          </w:p>
        </w:tc>
        <w:tc>
          <w:tcPr>
            <w:tcW w:w="1620" w:type="dxa"/>
            <w:tcBorders>
              <w:top w:val="single" w:sz="4" w:space="0" w:color="auto"/>
              <w:left w:val="nil"/>
              <w:bottom w:val="single" w:sz="4" w:space="0" w:color="auto"/>
              <w:right w:val="nil"/>
            </w:tcBorders>
            <w:shd w:val="clear" w:color="FFFFFF" w:fill="FFFFFF"/>
            <w:noWrap/>
            <w:vAlign w:val="bottom"/>
            <w:hideMark/>
          </w:tcPr>
          <w:p w14:paraId="6A504FE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290,947</w:t>
            </w:r>
          </w:p>
        </w:tc>
        <w:tc>
          <w:tcPr>
            <w:tcW w:w="1347" w:type="dxa"/>
            <w:tcBorders>
              <w:top w:val="single" w:sz="4" w:space="0" w:color="auto"/>
              <w:left w:val="nil"/>
              <w:bottom w:val="single" w:sz="4" w:space="0" w:color="auto"/>
              <w:right w:val="nil"/>
            </w:tcBorders>
            <w:shd w:val="clear" w:color="FFFFFF" w:fill="FFFFFF"/>
            <w:noWrap/>
            <w:vAlign w:val="bottom"/>
            <w:hideMark/>
          </w:tcPr>
          <w:p w14:paraId="2615650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1,652</w:t>
            </w:r>
          </w:p>
        </w:tc>
        <w:tc>
          <w:tcPr>
            <w:tcW w:w="1347" w:type="dxa"/>
            <w:tcBorders>
              <w:top w:val="single" w:sz="4" w:space="0" w:color="auto"/>
              <w:left w:val="nil"/>
              <w:bottom w:val="single" w:sz="4" w:space="0" w:color="auto"/>
              <w:right w:val="nil"/>
            </w:tcBorders>
            <w:shd w:val="clear" w:color="FFFFFF" w:fill="FFFFFF"/>
            <w:noWrap/>
            <w:vAlign w:val="bottom"/>
            <w:hideMark/>
          </w:tcPr>
          <w:p w14:paraId="1DD15B7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292,599</w:t>
            </w:r>
          </w:p>
        </w:tc>
      </w:tr>
      <w:tr w:rsidR="00361BA1" w:rsidRPr="00361BA1" w14:paraId="7D5BF53F" w14:textId="77777777" w:rsidTr="00361BA1">
        <w:trPr>
          <w:trHeight w:val="255"/>
        </w:trPr>
        <w:tc>
          <w:tcPr>
            <w:tcW w:w="5323" w:type="dxa"/>
            <w:tcBorders>
              <w:top w:val="nil"/>
              <w:left w:val="nil"/>
              <w:bottom w:val="nil"/>
              <w:right w:val="nil"/>
            </w:tcBorders>
            <w:shd w:val="clear" w:color="FFFFFF" w:fill="FFFFFF"/>
            <w:noWrap/>
            <w:vAlign w:val="bottom"/>
            <w:hideMark/>
          </w:tcPr>
          <w:p w14:paraId="3C3ADA4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620" w:type="dxa"/>
            <w:tcBorders>
              <w:top w:val="nil"/>
              <w:left w:val="nil"/>
              <w:bottom w:val="nil"/>
              <w:right w:val="nil"/>
            </w:tcBorders>
            <w:shd w:val="clear" w:color="FFFFFF" w:fill="FFFFFF"/>
            <w:noWrap/>
            <w:vAlign w:val="bottom"/>
            <w:hideMark/>
          </w:tcPr>
          <w:p w14:paraId="38D51E4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62F84C8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6A9BFD9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5D49BCC6" w14:textId="77777777" w:rsidTr="00361BA1">
        <w:trPr>
          <w:trHeight w:val="255"/>
        </w:trPr>
        <w:tc>
          <w:tcPr>
            <w:tcW w:w="5323" w:type="dxa"/>
            <w:tcBorders>
              <w:top w:val="nil"/>
              <w:left w:val="nil"/>
              <w:bottom w:val="nil"/>
              <w:right w:val="nil"/>
            </w:tcBorders>
            <w:shd w:val="clear" w:color="FFFFFF" w:fill="FFFFFF"/>
            <w:vAlign w:val="bottom"/>
            <w:hideMark/>
          </w:tcPr>
          <w:p w14:paraId="4BDC73F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Additions</w:t>
            </w:r>
          </w:p>
        </w:tc>
        <w:tc>
          <w:tcPr>
            <w:tcW w:w="1620" w:type="dxa"/>
            <w:tcBorders>
              <w:top w:val="nil"/>
              <w:left w:val="nil"/>
              <w:bottom w:val="nil"/>
              <w:right w:val="nil"/>
            </w:tcBorders>
            <w:shd w:val="clear" w:color="FFFFFF" w:fill="FFFFFF"/>
            <w:noWrap/>
            <w:vAlign w:val="bottom"/>
            <w:hideMark/>
          </w:tcPr>
          <w:p w14:paraId="63598AC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7D2E733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7A06431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033AC412" w14:textId="77777777" w:rsidTr="00361BA1">
        <w:trPr>
          <w:trHeight w:val="255"/>
        </w:trPr>
        <w:tc>
          <w:tcPr>
            <w:tcW w:w="5323" w:type="dxa"/>
            <w:tcBorders>
              <w:top w:val="nil"/>
              <w:left w:val="nil"/>
              <w:bottom w:val="nil"/>
              <w:right w:val="nil"/>
            </w:tcBorders>
            <w:shd w:val="clear" w:color="FFFFFF" w:fill="FFFFFF"/>
            <w:noWrap/>
            <w:vAlign w:val="bottom"/>
            <w:hideMark/>
          </w:tcPr>
          <w:p w14:paraId="70DBE0E7" w14:textId="77777777" w:rsidR="00361BA1" w:rsidRPr="00361BA1" w:rsidRDefault="00361BA1" w:rsidP="00361BA1">
            <w:pPr>
              <w:spacing w:before="0" w:after="0" w:line="260" w:lineRule="atLeast"/>
              <w:ind w:leftChars="100" w:left="220"/>
              <w:rPr>
                <w:rFonts w:eastAsia="Times New Roman"/>
                <w:sz w:val="18"/>
                <w:szCs w:val="18"/>
                <w:lang w:eastAsia="en-US"/>
              </w:rPr>
            </w:pPr>
            <w:r w:rsidRPr="00361BA1">
              <w:rPr>
                <w:rFonts w:eastAsia="Times New Roman"/>
                <w:sz w:val="18"/>
                <w:szCs w:val="18"/>
                <w:lang w:eastAsia="en-US"/>
              </w:rPr>
              <w:t>Purchase or internally developed</w:t>
            </w:r>
          </w:p>
        </w:tc>
        <w:tc>
          <w:tcPr>
            <w:tcW w:w="1620" w:type="dxa"/>
            <w:tcBorders>
              <w:top w:val="nil"/>
              <w:left w:val="nil"/>
              <w:bottom w:val="nil"/>
              <w:right w:val="nil"/>
            </w:tcBorders>
            <w:shd w:val="clear" w:color="FFFFFF" w:fill="FFFFFF"/>
            <w:noWrap/>
            <w:vAlign w:val="bottom"/>
            <w:hideMark/>
          </w:tcPr>
          <w:p w14:paraId="3E4FEA1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27,466</w:t>
            </w:r>
          </w:p>
        </w:tc>
        <w:tc>
          <w:tcPr>
            <w:tcW w:w="1347" w:type="dxa"/>
            <w:tcBorders>
              <w:top w:val="nil"/>
              <w:left w:val="nil"/>
              <w:bottom w:val="nil"/>
              <w:right w:val="nil"/>
            </w:tcBorders>
            <w:shd w:val="clear" w:color="FFFFFF" w:fill="FFFFFF"/>
            <w:noWrap/>
            <w:vAlign w:val="bottom"/>
            <w:hideMark/>
          </w:tcPr>
          <w:p w14:paraId="1AD53F7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1347" w:type="dxa"/>
            <w:tcBorders>
              <w:top w:val="nil"/>
              <w:left w:val="nil"/>
              <w:bottom w:val="nil"/>
              <w:right w:val="nil"/>
            </w:tcBorders>
            <w:shd w:val="clear" w:color="FFFFFF" w:fill="FFFFFF"/>
            <w:noWrap/>
            <w:vAlign w:val="bottom"/>
            <w:hideMark/>
          </w:tcPr>
          <w:p w14:paraId="01F0856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27,466</w:t>
            </w:r>
          </w:p>
        </w:tc>
      </w:tr>
      <w:tr w:rsidR="00361BA1" w:rsidRPr="00361BA1" w14:paraId="5BAFE547" w14:textId="77777777" w:rsidTr="00361BA1">
        <w:trPr>
          <w:trHeight w:val="255"/>
        </w:trPr>
        <w:tc>
          <w:tcPr>
            <w:tcW w:w="5323" w:type="dxa"/>
            <w:tcBorders>
              <w:top w:val="nil"/>
              <w:left w:val="nil"/>
              <w:bottom w:val="nil"/>
              <w:right w:val="nil"/>
            </w:tcBorders>
            <w:shd w:val="clear" w:color="FFFFFF" w:fill="FFFFFF"/>
            <w:noWrap/>
            <w:vAlign w:val="bottom"/>
            <w:hideMark/>
          </w:tcPr>
          <w:p w14:paraId="00809F7E" w14:textId="77777777" w:rsidR="00361BA1" w:rsidRPr="00361BA1" w:rsidRDefault="00361BA1" w:rsidP="00361BA1">
            <w:pPr>
              <w:spacing w:before="0" w:after="0" w:line="260" w:lineRule="atLeast"/>
              <w:ind w:leftChars="100" w:left="220"/>
              <w:rPr>
                <w:rFonts w:eastAsia="Times New Roman"/>
                <w:sz w:val="18"/>
                <w:szCs w:val="18"/>
                <w:lang w:eastAsia="en-US"/>
              </w:rPr>
            </w:pPr>
            <w:r w:rsidRPr="00361BA1">
              <w:rPr>
                <w:rFonts w:eastAsia="Times New Roman"/>
                <w:sz w:val="18"/>
                <w:szCs w:val="18"/>
                <w:lang w:eastAsia="en-US"/>
              </w:rPr>
              <w:t>Right-of-use assets</w:t>
            </w:r>
          </w:p>
        </w:tc>
        <w:tc>
          <w:tcPr>
            <w:tcW w:w="1620" w:type="dxa"/>
            <w:tcBorders>
              <w:top w:val="nil"/>
              <w:left w:val="nil"/>
              <w:bottom w:val="nil"/>
              <w:right w:val="nil"/>
            </w:tcBorders>
            <w:shd w:val="clear" w:color="FFFFFF" w:fill="FFFFFF"/>
            <w:noWrap/>
            <w:vAlign w:val="bottom"/>
            <w:hideMark/>
          </w:tcPr>
          <w:p w14:paraId="61734AA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34,918</w:t>
            </w:r>
          </w:p>
        </w:tc>
        <w:tc>
          <w:tcPr>
            <w:tcW w:w="1347" w:type="dxa"/>
            <w:tcBorders>
              <w:top w:val="nil"/>
              <w:left w:val="nil"/>
              <w:bottom w:val="nil"/>
              <w:right w:val="nil"/>
            </w:tcBorders>
            <w:shd w:val="clear" w:color="FFFFFF" w:fill="FFFFFF"/>
            <w:noWrap/>
            <w:vAlign w:val="bottom"/>
            <w:hideMark/>
          </w:tcPr>
          <w:p w14:paraId="1F04EA5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1,383</w:t>
            </w:r>
          </w:p>
        </w:tc>
        <w:tc>
          <w:tcPr>
            <w:tcW w:w="1347" w:type="dxa"/>
            <w:tcBorders>
              <w:top w:val="nil"/>
              <w:left w:val="nil"/>
              <w:bottom w:val="nil"/>
              <w:right w:val="nil"/>
            </w:tcBorders>
            <w:shd w:val="clear" w:color="FFFFFF" w:fill="FFFFFF"/>
            <w:noWrap/>
            <w:vAlign w:val="bottom"/>
            <w:hideMark/>
          </w:tcPr>
          <w:p w14:paraId="1A9EDDC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36,301</w:t>
            </w:r>
          </w:p>
        </w:tc>
      </w:tr>
      <w:tr w:rsidR="00361BA1" w:rsidRPr="00361BA1" w14:paraId="61B9809F" w14:textId="77777777" w:rsidTr="00361BA1">
        <w:trPr>
          <w:trHeight w:val="255"/>
        </w:trPr>
        <w:tc>
          <w:tcPr>
            <w:tcW w:w="5323" w:type="dxa"/>
            <w:tcBorders>
              <w:top w:val="nil"/>
              <w:left w:val="nil"/>
              <w:bottom w:val="nil"/>
              <w:right w:val="nil"/>
            </w:tcBorders>
            <w:shd w:val="clear" w:color="FFFFFF" w:fill="FFFFFF"/>
            <w:vAlign w:val="bottom"/>
            <w:hideMark/>
          </w:tcPr>
          <w:p w14:paraId="05FBAC8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Depreciation expense</w:t>
            </w:r>
          </w:p>
        </w:tc>
        <w:tc>
          <w:tcPr>
            <w:tcW w:w="1620" w:type="dxa"/>
            <w:tcBorders>
              <w:top w:val="nil"/>
              <w:left w:val="nil"/>
              <w:bottom w:val="nil"/>
              <w:right w:val="nil"/>
            </w:tcBorders>
            <w:shd w:val="clear" w:color="FFFFFF" w:fill="FFFFFF"/>
            <w:noWrap/>
            <w:vAlign w:val="bottom"/>
            <w:hideMark/>
          </w:tcPr>
          <w:p w14:paraId="2316D22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(22,357)</w:t>
            </w:r>
          </w:p>
        </w:tc>
        <w:tc>
          <w:tcPr>
            <w:tcW w:w="1347" w:type="dxa"/>
            <w:tcBorders>
              <w:top w:val="nil"/>
              <w:left w:val="nil"/>
              <w:bottom w:val="nil"/>
              <w:right w:val="nil"/>
            </w:tcBorders>
            <w:shd w:val="clear" w:color="FFFFFF" w:fill="FFFFFF"/>
            <w:noWrap/>
            <w:vAlign w:val="bottom"/>
            <w:hideMark/>
          </w:tcPr>
          <w:p w14:paraId="3D88AF2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w:t>
            </w:r>
          </w:p>
        </w:tc>
        <w:tc>
          <w:tcPr>
            <w:tcW w:w="1347" w:type="dxa"/>
            <w:tcBorders>
              <w:top w:val="nil"/>
              <w:left w:val="nil"/>
              <w:bottom w:val="nil"/>
              <w:right w:val="nil"/>
            </w:tcBorders>
            <w:shd w:val="clear" w:color="FFFFFF" w:fill="FFFFFF"/>
            <w:noWrap/>
            <w:vAlign w:val="bottom"/>
            <w:hideMark/>
          </w:tcPr>
          <w:p w14:paraId="3FB36F1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(22,370)</w:t>
            </w:r>
          </w:p>
        </w:tc>
      </w:tr>
      <w:tr w:rsidR="00361BA1" w:rsidRPr="00361BA1" w14:paraId="2A1E6C78" w14:textId="77777777" w:rsidTr="00361BA1">
        <w:trPr>
          <w:trHeight w:val="255"/>
        </w:trPr>
        <w:tc>
          <w:tcPr>
            <w:tcW w:w="5323" w:type="dxa"/>
            <w:tcBorders>
              <w:top w:val="nil"/>
              <w:left w:val="nil"/>
              <w:bottom w:val="nil"/>
              <w:right w:val="nil"/>
            </w:tcBorders>
            <w:shd w:val="clear" w:color="FFFFFF" w:fill="FFFFFF"/>
            <w:vAlign w:val="bottom"/>
            <w:hideMark/>
          </w:tcPr>
          <w:p w14:paraId="2488479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ROU Depreciation expense</w:t>
            </w:r>
          </w:p>
        </w:tc>
        <w:tc>
          <w:tcPr>
            <w:tcW w:w="1620" w:type="dxa"/>
            <w:tcBorders>
              <w:top w:val="nil"/>
              <w:left w:val="nil"/>
              <w:bottom w:val="nil"/>
              <w:right w:val="nil"/>
            </w:tcBorders>
            <w:shd w:val="clear" w:color="FFFFFF" w:fill="FFFFFF"/>
            <w:noWrap/>
            <w:vAlign w:val="bottom"/>
            <w:hideMark/>
          </w:tcPr>
          <w:p w14:paraId="1B2FB1B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(38,484)</w:t>
            </w:r>
          </w:p>
        </w:tc>
        <w:tc>
          <w:tcPr>
            <w:tcW w:w="1347" w:type="dxa"/>
            <w:tcBorders>
              <w:top w:val="nil"/>
              <w:left w:val="nil"/>
              <w:bottom w:val="nil"/>
              <w:right w:val="nil"/>
            </w:tcBorders>
            <w:shd w:val="clear" w:color="FFFFFF" w:fill="FFFFFF"/>
            <w:noWrap/>
            <w:vAlign w:val="bottom"/>
            <w:hideMark/>
          </w:tcPr>
          <w:p w14:paraId="0FC294D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(1,052)</w:t>
            </w:r>
          </w:p>
        </w:tc>
        <w:tc>
          <w:tcPr>
            <w:tcW w:w="1347" w:type="dxa"/>
            <w:tcBorders>
              <w:top w:val="nil"/>
              <w:left w:val="nil"/>
              <w:bottom w:val="nil"/>
              <w:right w:val="nil"/>
            </w:tcBorders>
            <w:shd w:val="clear" w:color="FFFFFF" w:fill="FFFFFF"/>
            <w:noWrap/>
            <w:vAlign w:val="bottom"/>
            <w:hideMark/>
          </w:tcPr>
          <w:p w14:paraId="36D525F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(39,536)</w:t>
            </w:r>
          </w:p>
        </w:tc>
      </w:tr>
      <w:tr w:rsidR="00361BA1" w:rsidRPr="00361BA1" w14:paraId="6DBC31D6" w14:textId="77777777" w:rsidTr="00361BA1">
        <w:trPr>
          <w:trHeight w:val="255"/>
        </w:trPr>
        <w:tc>
          <w:tcPr>
            <w:tcW w:w="5323" w:type="dxa"/>
            <w:tcBorders>
              <w:top w:val="nil"/>
              <w:left w:val="nil"/>
              <w:bottom w:val="nil"/>
              <w:right w:val="nil"/>
            </w:tcBorders>
            <w:shd w:val="clear" w:color="FFFFFF" w:fill="FFFFFF"/>
            <w:noWrap/>
            <w:vAlign w:val="bottom"/>
            <w:hideMark/>
          </w:tcPr>
          <w:p w14:paraId="6C33F51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 movements</w:t>
            </w:r>
          </w:p>
        </w:tc>
        <w:tc>
          <w:tcPr>
            <w:tcW w:w="1620" w:type="dxa"/>
            <w:tcBorders>
              <w:top w:val="nil"/>
              <w:left w:val="nil"/>
              <w:bottom w:val="nil"/>
              <w:right w:val="nil"/>
            </w:tcBorders>
            <w:shd w:val="clear" w:color="FFFFFF" w:fill="FFFFFF"/>
            <w:noWrap/>
            <w:vAlign w:val="bottom"/>
            <w:hideMark/>
          </w:tcPr>
          <w:p w14:paraId="204F11E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w:t>
            </w:r>
          </w:p>
        </w:tc>
        <w:tc>
          <w:tcPr>
            <w:tcW w:w="1347" w:type="dxa"/>
            <w:tcBorders>
              <w:top w:val="nil"/>
              <w:left w:val="nil"/>
              <w:bottom w:val="nil"/>
              <w:right w:val="nil"/>
            </w:tcBorders>
            <w:shd w:val="clear" w:color="FFFFFF" w:fill="FFFFFF"/>
            <w:noWrap/>
            <w:vAlign w:val="bottom"/>
            <w:hideMark/>
          </w:tcPr>
          <w:p w14:paraId="146DD55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w:t>
            </w:r>
          </w:p>
        </w:tc>
        <w:tc>
          <w:tcPr>
            <w:tcW w:w="1347" w:type="dxa"/>
            <w:tcBorders>
              <w:top w:val="nil"/>
              <w:left w:val="nil"/>
              <w:bottom w:val="nil"/>
              <w:right w:val="nil"/>
            </w:tcBorders>
            <w:shd w:val="clear" w:color="FFFFFF" w:fill="FFFFFF"/>
            <w:noWrap/>
            <w:vAlign w:val="bottom"/>
            <w:hideMark/>
          </w:tcPr>
          <w:p w14:paraId="549EDE1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w:t>
            </w:r>
          </w:p>
        </w:tc>
      </w:tr>
      <w:tr w:rsidR="00361BA1" w:rsidRPr="00361BA1" w14:paraId="055DD440" w14:textId="77777777" w:rsidTr="00361BA1">
        <w:trPr>
          <w:trHeight w:val="255"/>
        </w:trPr>
        <w:tc>
          <w:tcPr>
            <w:tcW w:w="5323" w:type="dxa"/>
            <w:tcBorders>
              <w:top w:val="nil"/>
              <w:left w:val="nil"/>
              <w:bottom w:val="nil"/>
              <w:right w:val="nil"/>
            </w:tcBorders>
            <w:shd w:val="clear" w:color="FFFFFF" w:fill="FFFFFF"/>
            <w:noWrap/>
            <w:vAlign w:val="bottom"/>
            <w:hideMark/>
          </w:tcPr>
          <w:p w14:paraId="67D0D22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 movements on right-of-use assets</w:t>
            </w:r>
          </w:p>
        </w:tc>
        <w:tc>
          <w:tcPr>
            <w:tcW w:w="1620" w:type="dxa"/>
            <w:tcBorders>
              <w:top w:val="nil"/>
              <w:left w:val="nil"/>
              <w:bottom w:val="nil"/>
              <w:right w:val="nil"/>
            </w:tcBorders>
            <w:shd w:val="clear" w:color="FFFFFF" w:fill="FFFFFF"/>
            <w:noWrap/>
            <w:vAlign w:val="bottom"/>
            <w:hideMark/>
          </w:tcPr>
          <w:p w14:paraId="511A31B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(761)</w:t>
            </w:r>
          </w:p>
        </w:tc>
        <w:tc>
          <w:tcPr>
            <w:tcW w:w="1347" w:type="dxa"/>
            <w:tcBorders>
              <w:top w:val="nil"/>
              <w:left w:val="nil"/>
              <w:bottom w:val="nil"/>
              <w:right w:val="nil"/>
            </w:tcBorders>
            <w:shd w:val="clear" w:color="FFFFFF" w:fill="FFFFFF"/>
            <w:noWrap/>
            <w:vAlign w:val="bottom"/>
            <w:hideMark/>
          </w:tcPr>
          <w:p w14:paraId="74F1879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1347" w:type="dxa"/>
            <w:tcBorders>
              <w:top w:val="nil"/>
              <w:left w:val="nil"/>
              <w:bottom w:val="nil"/>
              <w:right w:val="nil"/>
            </w:tcBorders>
            <w:shd w:val="clear" w:color="FFFFFF" w:fill="FFFFFF"/>
            <w:noWrap/>
            <w:vAlign w:val="bottom"/>
            <w:hideMark/>
          </w:tcPr>
          <w:p w14:paraId="70EB13A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(761)</w:t>
            </w:r>
          </w:p>
        </w:tc>
      </w:tr>
      <w:tr w:rsidR="00361BA1" w:rsidRPr="00361BA1" w14:paraId="6A9665D1" w14:textId="77777777" w:rsidTr="00361BA1">
        <w:trPr>
          <w:trHeight w:val="255"/>
        </w:trPr>
        <w:tc>
          <w:tcPr>
            <w:tcW w:w="5323" w:type="dxa"/>
            <w:tcBorders>
              <w:top w:val="nil"/>
              <w:left w:val="nil"/>
              <w:bottom w:val="nil"/>
              <w:right w:val="nil"/>
            </w:tcBorders>
            <w:shd w:val="clear" w:color="FFFFFF" w:fill="FFFFFF"/>
            <w:noWrap/>
            <w:vAlign w:val="bottom"/>
          </w:tcPr>
          <w:p w14:paraId="7BA441F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Write offs</w:t>
            </w:r>
          </w:p>
        </w:tc>
        <w:tc>
          <w:tcPr>
            <w:tcW w:w="1620" w:type="dxa"/>
            <w:tcBorders>
              <w:top w:val="nil"/>
              <w:left w:val="nil"/>
              <w:bottom w:val="nil"/>
              <w:right w:val="nil"/>
            </w:tcBorders>
            <w:shd w:val="clear" w:color="FFFFFF" w:fill="FFFFFF"/>
            <w:noWrap/>
            <w:vAlign w:val="bottom"/>
          </w:tcPr>
          <w:p w14:paraId="67845D3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w:t>
            </w:r>
          </w:p>
        </w:tc>
        <w:tc>
          <w:tcPr>
            <w:tcW w:w="1347" w:type="dxa"/>
            <w:tcBorders>
              <w:top w:val="nil"/>
              <w:left w:val="nil"/>
              <w:bottom w:val="nil"/>
              <w:right w:val="nil"/>
            </w:tcBorders>
            <w:shd w:val="clear" w:color="FFFFFF" w:fill="FFFFFF"/>
            <w:noWrap/>
            <w:vAlign w:val="bottom"/>
          </w:tcPr>
          <w:p w14:paraId="5BF95D8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1347" w:type="dxa"/>
            <w:tcBorders>
              <w:top w:val="nil"/>
              <w:left w:val="nil"/>
              <w:bottom w:val="nil"/>
              <w:right w:val="nil"/>
            </w:tcBorders>
            <w:shd w:val="clear" w:color="FFFFFF" w:fill="FFFFFF"/>
            <w:noWrap/>
            <w:vAlign w:val="bottom"/>
          </w:tcPr>
          <w:p w14:paraId="0884D2C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w:t>
            </w:r>
          </w:p>
        </w:tc>
      </w:tr>
      <w:tr w:rsidR="00361BA1" w:rsidRPr="00361BA1" w14:paraId="239F6CAE" w14:textId="77777777" w:rsidTr="00361BA1">
        <w:trPr>
          <w:trHeight w:val="255"/>
        </w:trPr>
        <w:tc>
          <w:tcPr>
            <w:tcW w:w="5323" w:type="dxa"/>
            <w:tcBorders>
              <w:top w:val="single" w:sz="4" w:space="0" w:color="auto"/>
              <w:left w:val="nil"/>
              <w:bottom w:val="single" w:sz="4" w:space="0" w:color="auto"/>
              <w:right w:val="nil"/>
            </w:tcBorders>
            <w:shd w:val="clear" w:color="FFFFFF" w:fill="FFFFFF"/>
            <w:vAlign w:val="bottom"/>
            <w:hideMark/>
          </w:tcPr>
          <w:p w14:paraId="26CD011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book value 30 June 2020</w:t>
            </w:r>
          </w:p>
        </w:tc>
        <w:tc>
          <w:tcPr>
            <w:tcW w:w="1620" w:type="dxa"/>
            <w:tcBorders>
              <w:top w:val="single" w:sz="4" w:space="0" w:color="auto"/>
              <w:left w:val="nil"/>
              <w:bottom w:val="single" w:sz="4" w:space="0" w:color="auto"/>
              <w:right w:val="nil"/>
            </w:tcBorders>
            <w:shd w:val="clear" w:color="FFFFFF" w:fill="FFFFFF"/>
            <w:noWrap/>
            <w:vAlign w:val="bottom"/>
            <w:hideMark/>
          </w:tcPr>
          <w:p w14:paraId="21B03E2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291,701</w:t>
            </w:r>
          </w:p>
        </w:tc>
        <w:tc>
          <w:tcPr>
            <w:tcW w:w="1347" w:type="dxa"/>
            <w:tcBorders>
              <w:top w:val="single" w:sz="4" w:space="0" w:color="auto"/>
              <w:left w:val="nil"/>
              <w:bottom w:val="single" w:sz="4" w:space="0" w:color="auto"/>
              <w:right w:val="nil"/>
            </w:tcBorders>
            <w:shd w:val="clear" w:color="FFFFFF" w:fill="FFFFFF"/>
            <w:noWrap/>
            <w:vAlign w:val="bottom"/>
            <w:hideMark/>
          </w:tcPr>
          <w:p w14:paraId="014D33B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1,969</w:t>
            </w:r>
          </w:p>
        </w:tc>
        <w:tc>
          <w:tcPr>
            <w:tcW w:w="1347" w:type="dxa"/>
            <w:tcBorders>
              <w:top w:val="single" w:sz="4" w:space="0" w:color="auto"/>
              <w:left w:val="nil"/>
              <w:bottom w:val="single" w:sz="4" w:space="0" w:color="auto"/>
              <w:right w:val="nil"/>
            </w:tcBorders>
            <w:shd w:val="clear" w:color="FFFFFF" w:fill="FFFFFF"/>
            <w:noWrap/>
            <w:vAlign w:val="bottom"/>
            <w:hideMark/>
          </w:tcPr>
          <w:p w14:paraId="09C69DC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293,670</w:t>
            </w:r>
          </w:p>
        </w:tc>
      </w:tr>
      <w:tr w:rsidR="00361BA1" w:rsidRPr="00361BA1" w14:paraId="286490E4" w14:textId="77777777" w:rsidTr="00361BA1">
        <w:trPr>
          <w:trHeight w:val="255"/>
        </w:trPr>
        <w:tc>
          <w:tcPr>
            <w:tcW w:w="5323" w:type="dxa"/>
            <w:tcBorders>
              <w:top w:val="nil"/>
              <w:left w:val="nil"/>
              <w:bottom w:val="nil"/>
              <w:right w:val="nil"/>
            </w:tcBorders>
            <w:shd w:val="clear" w:color="FFFFFF" w:fill="FFFFFF"/>
            <w:noWrap/>
            <w:vAlign w:val="bottom"/>
            <w:hideMark/>
          </w:tcPr>
          <w:p w14:paraId="3619139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620" w:type="dxa"/>
            <w:tcBorders>
              <w:top w:val="nil"/>
              <w:left w:val="nil"/>
              <w:bottom w:val="nil"/>
              <w:right w:val="nil"/>
            </w:tcBorders>
            <w:shd w:val="clear" w:color="FFFFFF" w:fill="FFFFFF"/>
            <w:noWrap/>
            <w:vAlign w:val="bottom"/>
            <w:hideMark/>
          </w:tcPr>
          <w:p w14:paraId="7B111E7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5AC9DF5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0D8AFEF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2A3B6BAB" w14:textId="77777777" w:rsidTr="00361BA1">
        <w:trPr>
          <w:trHeight w:val="255"/>
        </w:trPr>
        <w:tc>
          <w:tcPr>
            <w:tcW w:w="5323" w:type="dxa"/>
            <w:tcBorders>
              <w:top w:val="nil"/>
              <w:left w:val="nil"/>
              <w:bottom w:val="nil"/>
              <w:right w:val="nil"/>
            </w:tcBorders>
            <w:shd w:val="clear" w:color="FFFFFF" w:fill="FFFFFF"/>
            <w:vAlign w:val="bottom"/>
            <w:hideMark/>
          </w:tcPr>
          <w:p w14:paraId="35174D0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book value as of 30 June 2020 represented by:</w:t>
            </w:r>
          </w:p>
        </w:tc>
        <w:tc>
          <w:tcPr>
            <w:tcW w:w="1620" w:type="dxa"/>
            <w:tcBorders>
              <w:top w:val="nil"/>
              <w:left w:val="nil"/>
              <w:bottom w:val="nil"/>
              <w:right w:val="nil"/>
            </w:tcBorders>
            <w:shd w:val="clear" w:color="FFFFFF" w:fill="FFFFFF"/>
            <w:noWrap/>
            <w:vAlign w:val="bottom"/>
            <w:hideMark/>
          </w:tcPr>
          <w:p w14:paraId="59F2C2FC"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512F154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347" w:type="dxa"/>
            <w:tcBorders>
              <w:top w:val="nil"/>
              <w:left w:val="nil"/>
              <w:bottom w:val="nil"/>
              <w:right w:val="nil"/>
            </w:tcBorders>
            <w:shd w:val="clear" w:color="FFFFFF" w:fill="FFFFFF"/>
            <w:noWrap/>
            <w:vAlign w:val="bottom"/>
            <w:hideMark/>
          </w:tcPr>
          <w:p w14:paraId="1650864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61CDBBAE" w14:textId="77777777" w:rsidTr="00361BA1">
        <w:trPr>
          <w:trHeight w:val="255"/>
        </w:trPr>
        <w:tc>
          <w:tcPr>
            <w:tcW w:w="5323" w:type="dxa"/>
            <w:tcBorders>
              <w:top w:val="nil"/>
              <w:left w:val="nil"/>
              <w:bottom w:val="nil"/>
              <w:right w:val="nil"/>
            </w:tcBorders>
            <w:shd w:val="clear" w:color="FFFFFF" w:fill="FFFFFF"/>
            <w:vAlign w:val="bottom"/>
            <w:hideMark/>
          </w:tcPr>
          <w:p w14:paraId="449E42D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Gross book value</w:t>
            </w:r>
          </w:p>
        </w:tc>
        <w:tc>
          <w:tcPr>
            <w:tcW w:w="1620" w:type="dxa"/>
            <w:tcBorders>
              <w:top w:val="nil"/>
              <w:left w:val="nil"/>
              <w:bottom w:val="nil"/>
              <w:right w:val="nil"/>
            </w:tcBorders>
            <w:shd w:val="clear" w:color="FFFFFF" w:fill="FFFFFF"/>
            <w:noWrap/>
            <w:vAlign w:val="bottom"/>
            <w:hideMark/>
          </w:tcPr>
          <w:p w14:paraId="0677AD3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354,719</w:t>
            </w:r>
          </w:p>
        </w:tc>
        <w:tc>
          <w:tcPr>
            <w:tcW w:w="1347" w:type="dxa"/>
            <w:tcBorders>
              <w:top w:val="nil"/>
              <w:left w:val="nil"/>
              <w:bottom w:val="nil"/>
              <w:right w:val="nil"/>
            </w:tcBorders>
            <w:shd w:val="clear" w:color="FFFFFF" w:fill="FFFFFF"/>
            <w:noWrap/>
            <w:vAlign w:val="bottom"/>
            <w:hideMark/>
          </w:tcPr>
          <w:p w14:paraId="383BFE4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3,256</w:t>
            </w:r>
          </w:p>
        </w:tc>
        <w:tc>
          <w:tcPr>
            <w:tcW w:w="1347" w:type="dxa"/>
            <w:tcBorders>
              <w:top w:val="nil"/>
              <w:left w:val="nil"/>
              <w:bottom w:val="nil"/>
              <w:right w:val="nil"/>
            </w:tcBorders>
            <w:shd w:val="clear" w:color="FFFFFF" w:fill="FFFFFF"/>
            <w:noWrap/>
            <w:vAlign w:val="bottom"/>
            <w:hideMark/>
          </w:tcPr>
          <w:p w14:paraId="7096BC9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357,975</w:t>
            </w:r>
          </w:p>
        </w:tc>
      </w:tr>
      <w:tr w:rsidR="00361BA1" w:rsidRPr="00361BA1" w14:paraId="330E146B" w14:textId="77777777" w:rsidTr="00361BA1">
        <w:trPr>
          <w:trHeight w:val="255"/>
        </w:trPr>
        <w:tc>
          <w:tcPr>
            <w:tcW w:w="5323" w:type="dxa"/>
            <w:tcBorders>
              <w:top w:val="nil"/>
              <w:left w:val="nil"/>
              <w:bottom w:val="nil"/>
              <w:right w:val="nil"/>
            </w:tcBorders>
            <w:shd w:val="clear" w:color="FFFFFF" w:fill="FFFFFF"/>
            <w:vAlign w:val="bottom"/>
            <w:hideMark/>
          </w:tcPr>
          <w:p w14:paraId="2CA5DF5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Accumulated depreciation and impairment</w:t>
            </w:r>
          </w:p>
        </w:tc>
        <w:tc>
          <w:tcPr>
            <w:tcW w:w="1620" w:type="dxa"/>
            <w:tcBorders>
              <w:top w:val="nil"/>
              <w:left w:val="nil"/>
              <w:bottom w:val="nil"/>
              <w:right w:val="nil"/>
            </w:tcBorders>
            <w:shd w:val="clear" w:color="FFFFFF" w:fill="FFFFFF"/>
            <w:noWrap/>
            <w:vAlign w:val="bottom"/>
            <w:hideMark/>
          </w:tcPr>
          <w:p w14:paraId="72762AB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(63,018)</w:t>
            </w:r>
          </w:p>
        </w:tc>
        <w:tc>
          <w:tcPr>
            <w:tcW w:w="1347" w:type="dxa"/>
            <w:tcBorders>
              <w:top w:val="nil"/>
              <w:left w:val="nil"/>
              <w:bottom w:val="nil"/>
              <w:right w:val="nil"/>
            </w:tcBorders>
            <w:shd w:val="clear" w:color="FFFFFF" w:fill="FFFFFF"/>
            <w:noWrap/>
            <w:vAlign w:val="bottom"/>
            <w:hideMark/>
          </w:tcPr>
          <w:p w14:paraId="3A511F4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(1,287)</w:t>
            </w:r>
          </w:p>
        </w:tc>
        <w:tc>
          <w:tcPr>
            <w:tcW w:w="1347" w:type="dxa"/>
            <w:tcBorders>
              <w:top w:val="nil"/>
              <w:left w:val="nil"/>
              <w:bottom w:val="nil"/>
              <w:right w:val="nil"/>
            </w:tcBorders>
            <w:shd w:val="clear" w:color="FFFFFF" w:fill="FFFFFF"/>
            <w:noWrap/>
            <w:vAlign w:val="bottom"/>
            <w:hideMark/>
          </w:tcPr>
          <w:p w14:paraId="552978D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(64,305)</w:t>
            </w:r>
          </w:p>
        </w:tc>
      </w:tr>
      <w:tr w:rsidR="00361BA1" w:rsidRPr="00361BA1" w14:paraId="7DED6418" w14:textId="77777777" w:rsidTr="00361BA1">
        <w:trPr>
          <w:trHeight w:val="255"/>
        </w:trPr>
        <w:tc>
          <w:tcPr>
            <w:tcW w:w="5323" w:type="dxa"/>
            <w:tcBorders>
              <w:top w:val="single" w:sz="4" w:space="0" w:color="auto"/>
              <w:left w:val="nil"/>
              <w:bottom w:val="single" w:sz="4" w:space="0" w:color="auto"/>
              <w:right w:val="nil"/>
            </w:tcBorders>
            <w:shd w:val="clear" w:color="FFFFFF" w:fill="FFFFFF"/>
            <w:noWrap/>
            <w:vAlign w:val="bottom"/>
            <w:hideMark/>
          </w:tcPr>
          <w:p w14:paraId="3E3222D0" w14:textId="77777777" w:rsidR="00361BA1" w:rsidRPr="00361BA1" w:rsidRDefault="00361BA1" w:rsidP="00361BA1">
            <w:pPr>
              <w:spacing w:before="0" w:after="0" w:line="260" w:lineRule="atLeast"/>
              <w:ind w:left="0"/>
              <w:rPr>
                <w:rFonts w:eastAsia="Times New Roman"/>
                <w:b/>
                <w:bCs/>
                <w:i/>
                <w:iCs/>
                <w:sz w:val="18"/>
                <w:szCs w:val="18"/>
                <w:lang w:eastAsia="en-US"/>
              </w:rPr>
            </w:pPr>
            <w:r w:rsidRPr="00361BA1">
              <w:rPr>
                <w:rFonts w:eastAsia="Times New Roman"/>
                <w:b/>
                <w:bCs/>
                <w:i/>
                <w:iCs/>
                <w:sz w:val="18"/>
                <w:szCs w:val="18"/>
                <w:lang w:eastAsia="en-US"/>
              </w:rPr>
              <w:t> </w:t>
            </w:r>
          </w:p>
        </w:tc>
        <w:tc>
          <w:tcPr>
            <w:tcW w:w="1620" w:type="dxa"/>
            <w:tcBorders>
              <w:top w:val="single" w:sz="4" w:space="0" w:color="auto"/>
              <w:left w:val="nil"/>
              <w:bottom w:val="single" w:sz="4" w:space="0" w:color="auto"/>
              <w:right w:val="nil"/>
            </w:tcBorders>
            <w:shd w:val="clear" w:color="FFFFFF" w:fill="FFFFFF"/>
            <w:noWrap/>
            <w:vAlign w:val="bottom"/>
            <w:hideMark/>
          </w:tcPr>
          <w:p w14:paraId="246E6C8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291,701</w:t>
            </w:r>
          </w:p>
        </w:tc>
        <w:tc>
          <w:tcPr>
            <w:tcW w:w="1347" w:type="dxa"/>
            <w:tcBorders>
              <w:top w:val="single" w:sz="4" w:space="0" w:color="auto"/>
              <w:left w:val="nil"/>
              <w:bottom w:val="single" w:sz="4" w:space="0" w:color="auto"/>
              <w:right w:val="nil"/>
            </w:tcBorders>
            <w:shd w:val="clear" w:color="FFFFFF" w:fill="FFFFFF"/>
            <w:noWrap/>
            <w:vAlign w:val="bottom"/>
            <w:hideMark/>
          </w:tcPr>
          <w:p w14:paraId="3B45CD7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1,969</w:t>
            </w:r>
          </w:p>
        </w:tc>
        <w:tc>
          <w:tcPr>
            <w:tcW w:w="1347" w:type="dxa"/>
            <w:tcBorders>
              <w:top w:val="single" w:sz="4" w:space="0" w:color="auto"/>
              <w:left w:val="nil"/>
              <w:bottom w:val="single" w:sz="4" w:space="0" w:color="auto"/>
              <w:right w:val="nil"/>
            </w:tcBorders>
            <w:shd w:val="clear" w:color="FFFFFF" w:fill="FFFFFF"/>
            <w:noWrap/>
            <w:vAlign w:val="bottom"/>
            <w:hideMark/>
          </w:tcPr>
          <w:p w14:paraId="7FE7E29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293,670</w:t>
            </w:r>
          </w:p>
        </w:tc>
      </w:tr>
      <w:tr w:rsidR="00361BA1" w:rsidRPr="00361BA1" w14:paraId="4D30EA65" w14:textId="77777777" w:rsidTr="00361BA1">
        <w:trPr>
          <w:trHeight w:val="255"/>
        </w:trPr>
        <w:tc>
          <w:tcPr>
            <w:tcW w:w="5323" w:type="dxa"/>
            <w:tcBorders>
              <w:top w:val="nil"/>
              <w:left w:val="nil"/>
              <w:bottom w:val="nil"/>
              <w:right w:val="nil"/>
            </w:tcBorders>
            <w:shd w:val="clear" w:color="FFFFFF" w:fill="FFFFFF"/>
            <w:noWrap/>
            <w:vAlign w:val="bottom"/>
            <w:hideMark/>
          </w:tcPr>
          <w:p w14:paraId="1725DC7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620" w:type="dxa"/>
            <w:tcBorders>
              <w:top w:val="nil"/>
              <w:left w:val="nil"/>
              <w:bottom w:val="nil"/>
              <w:right w:val="nil"/>
            </w:tcBorders>
            <w:shd w:val="clear" w:color="FFFFFF" w:fill="FFFFFF"/>
            <w:noWrap/>
            <w:vAlign w:val="bottom"/>
            <w:hideMark/>
          </w:tcPr>
          <w:p w14:paraId="228687E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1E19AE1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347" w:type="dxa"/>
            <w:tcBorders>
              <w:top w:val="nil"/>
              <w:left w:val="nil"/>
              <w:bottom w:val="nil"/>
              <w:right w:val="nil"/>
            </w:tcBorders>
            <w:shd w:val="clear" w:color="FFFFFF" w:fill="FFFFFF"/>
            <w:noWrap/>
            <w:vAlign w:val="bottom"/>
            <w:hideMark/>
          </w:tcPr>
          <w:p w14:paraId="5A38B97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2EC511E" w14:textId="77777777" w:rsidTr="00361BA1">
        <w:trPr>
          <w:trHeight w:val="255"/>
        </w:trPr>
        <w:tc>
          <w:tcPr>
            <w:tcW w:w="5323" w:type="dxa"/>
            <w:tcBorders>
              <w:top w:val="single" w:sz="4" w:space="0" w:color="auto"/>
              <w:left w:val="nil"/>
              <w:bottom w:val="single" w:sz="4" w:space="0" w:color="auto"/>
              <w:right w:val="nil"/>
            </w:tcBorders>
            <w:shd w:val="clear" w:color="FFFFFF" w:fill="FFFFFF"/>
            <w:vAlign w:val="bottom"/>
            <w:hideMark/>
          </w:tcPr>
          <w:p w14:paraId="689CF37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Carrying amount of right-of-use assets</w:t>
            </w:r>
          </w:p>
        </w:tc>
        <w:tc>
          <w:tcPr>
            <w:tcW w:w="1620" w:type="dxa"/>
            <w:tcBorders>
              <w:top w:val="single" w:sz="4" w:space="0" w:color="auto"/>
              <w:left w:val="nil"/>
              <w:bottom w:val="single" w:sz="4" w:space="0" w:color="auto"/>
              <w:right w:val="nil"/>
            </w:tcBorders>
            <w:shd w:val="clear" w:color="FFFFFF" w:fill="FFFFFF"/>
            <w:noWrap/>
            <w:vAlign w:val="bottom"/>
            <w:hideMark/>
          </w:tcPr>
          <w:p w14:paraId="68340C3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190,146</w:t>
            </w:r>
          </w:p>
        </w:tc>
        <w:tc>
          <w:tcPr>
            <w:tcW w:w="1347" w:type="dxa"/>
            <w:tcBorders>
              <w:top w:val="single" w:sz="4" w:space="0" w:color="auto"/>
              <w:left w:val="nil"/>
              <w:bottom w:val="single" w:sz="4" w:space="0" w:color="auto"/>
              <w:right w:val="nil"/>
            </w:tcBorders>
            <w:shd w:val="clear" w:color="FFFFFF" w:fill="FFFFFF"/>
            <w:noWrap/>
            <w:vAlign w:val="bottom"/>
            <w:hideMark/>
          </w:tcPr>
          <w:p w14:paraId="2FC595D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1,937</w:t>
            </w:r>
          </w:p>
        </w:tc>
        <w:tc>
          <w:tcPr>
            <w:tcW w:w="1347" w:type="dxa"/>
            <w:tcBorders>
              <w:top w:val="single" w:sz="4" w:space="0" w:color="auto"/>
              <w:left w:val="nil"/>
              <w:bottom w:val="single" w:sz="4" w:space="0" w:color="auto"/>
              <w:right w:val="nil"/>
            </w:tcBorders>
            <w:shd w:val="clear" w:color="FFFFFF" w:fill="FFFFFF"/>
            <w:noWrap/>
            <w:vAlign w:val="bottom"/>
            <w:hideMark/>
          </w:tcPr>
          <w:p w14:paraId="4A12163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192,083</w:t>
            </w:r>
          </w:p>
        </w:tc>
      </w:tr>
    </w:tbl>
    <w:p w14:paraId="2EF0CAC2" w14:textId="77777777" w:rsidR="00361BA1" w:rsidRPr="00361BA1" w:rsidRDefault="00361BA1" w:rsidP="00361BA1">
      <w:pPr>
        <w:spacing w:before="0" w:after="0"/>
        <w:ind w:left="142"/>
        <w:rPr>
          <w:rFonts w:eastAsia="Times New Roman"/>
          <w:sz w:val="18"/>
          <w:szCs w:val="18"/>
          <w:lang w:eastAsia="en-US"/>
        </w:rPr>
      </w:pPr>
    </w:p>
    <w:p w14:paraId="669F4CAA" w14:textId="77777777" w:rsidR="00361BA1" w:rsidRPr="00361BA1" w:rsidRDefault="00361BA1" w:rsidP="00361BA1">
      <w:pPr>
        <w:spacing w:before="0" w:after="0"/>
        <w:ind w:left="142"/>
        <w:rPr>
          <w:rFonts w:eastAsia="Times New Roman"/>
          <w:sz w:val="18"/>
          <w:szCs w:val="18"/>
          <w:lang w:eastAsia="en-US"/>
        </w:rPr>
      </w:pPr>
      <w:r w:rsidRPr="00361BA1">
        <w:rPr>
          <w:rFonts w:eastAsia="Times New Roman"/>
          <w:sz w:val="18"/>
          <w:szCs w:val="18"/>
          <w:lang w:eastAsia="en-US"/>
        </w:rPr>
        <w:t>All items of leasehold improvements and plant and equipment were assessed for indications of impairment as at 30 June 2020 and no indicators of impairment were found.</w:t>
      </w:r>
    </w:p>
    <w:p w14:paraId="084D0DF2" w14:textId="77777777" w:rsidR="00361BA1" w:rsidRPr="00361BA1" w:rsidRDefault="00361BA1" w:rsidP="00361BA1">
      <w:pPr>
        <w:spacing w:before="0" w:after="0"/>
        <w:ind w:left="142"/>
        <w:rPr>
          <w:rFonts w:eastAsia="Times New Roman"/>
          <w:sz w:val="18"/>
          <w:szCs w:val="18"/>
          <w:lang w:eastAsia="en-US"/>
        </w:rPr>
      </w:pPr>
    </w:p>
    <w:p w14:paraId="0F1CBDE1" w14:textId="77777777" w:rsidR="00361BA1" w:rsidRPr="00361BA1" w:rsidRDefault="00361BA1" w:rsidP="00361BA1">
      <w:pPr>
        <w:spacing w:before="0" w:after="0"/>
        <w:ind w:left="142"/>
        <w:rPr>
          <w:rFonts w:eastAsia="Times New Roman"/>
          <w:sz w:val="18"/>
          <w:szCs w:val="18"/>
          <w:lang w:eastAsia="en-US"/>
        </w:rPr>
      </w:pPr>
      <w:r w:rsidRPr="00361BA1">
        <w:rPr>
          <w:rFonts w:eastAsia="Times New Roman"/>
          <w:sz w:val="18"/>
          <w:szCs w:val="18"/>
          <w:lang w:eastAsia="en-US"/>
        </w:rPr>
        <w:t>No leasehold improvements or plant and equipment are expected to be sold or disposed of within the next 12 months.</w:t>
      </w:r>
    </w:p>
    <w:p w14:paraId="5CAD26B8" w14:textId="77777777" w:rsidR="00361BA1" w:rsidRPr="00361BA1" w:rsidRDefault="00361BA1" w:rsidP="00361BA1">
      <w:pPr>
        <w:spacing w:before="0" w:after="0"/>
        <w:ind w:left="142"/>
        <w:rPr>
          <w:rFonts w:eastAsia="Times New Roman"/>
          <w:sz w:val="18"/>
          <w:szCs w:val="18"/>
          <w:lang w:eastAsia="en-US"/>
        </w:rPr>
      </w:pPr>
    </w:p>
    <w:p w14:paraId="79B353B5" w14:textId="77777777" w:rsidR="00361BA1" w:rsidRPr="00361BA1" w:rsidRDefault="00361BA1" w:rsidP="00361BA1">
      <w:pPr>
        <w:spacing w:before="0" w:after="0"/>
        <w:ind w:left="142"/>
        <w:rPr>
          <w:rFonts w:eastAsia="Times New Roman"/>
          <w:sz w:val="18"/>
          <w:szCs w:val="18"/>
          <w:lang w:eastAsia="en-US"/>
        </w:rPr>
      </w:pPr>
      <w:r w:rsidRPr="00361BA1">
        <w:rPr>
          <w:rFonts w:eastAsia="Times New Roman"/>
          <w:sz w:val="18"/>
          <w:szCs w:val="18"/>
          <w:lang w:eastAsia="en-US"/>
        </w:rPr>
        <w:t>Leasehold improvements and plant and equipment, other than right-of-use assets, are measured at their estimated fair value in the financial statements and are classified as level 3 assets.</w:t>
      </w:r>
    </w:p>
    <w:p w14:paraId="6F9F320C" w14:textId="77777777" w:rsidR="00361BA1" w:rsidRPr="00361BA1" w:rsidRDefault="00361BA1" w:rsidP="00361BA1">
      <w:pPr>
        <w:spacing w:before="0" w:after="0"/>
        <w:ind w:left="142"/>
        <w:rPr>
          <w:rFonts w:eastAsia="Times New Roman"/>
          <w:sz w:val="18"/>
          <w:szCs w:val="18"/>
          <w:lang w:eastAsia="en-US"/>
        </w:rPr>
      </w:pPr>
    </w:p>
    <w:p w14:paraId="494FFAC2" w14:textId="77777777" w:rsidR="00361BA1" w:rsidRPr="00361BA1" w:rsidRDefault="00361BA1" w:rsidP="00361BA1">
      <w:pPr>
        <w:spacing w:before="0" w:after="0"/>
        <w:ind w:left="142"/>
        <w:rPr>
          <w:rFonts w:eastAsia="Times New Roman"/>
          <w:sz w:val="18"/>
          <w:szCs w:val="18"/>
          <w:lang w:eastAsia="en-US"/>
        </w:rPr>
      </w:pPr>
      <w:r w:rsidRPr="00361BA1">
        <w:rPr>
          <w:rFonts w:eastAsia="Times New Roman"/>
          <w:sz w:val="18"/>
          <w:szCs w:val="18"/>
          <w:lang w:eastAsia="en-US"/>
        </w:rPr>
        <w:t>The Agency had leasehold improvements commitments of $7.201m as at 30 June 2020.</w:t>
      </w:r>
    </w:p>
    <w:p w14:paraId="1C53BCD2" w14:textId="77777777" w:rsidR="00361BA1" w:rsidRPr="00361BA1" w:rsidRDefault="00361BA1" w:rsidP="00361BA1">
      <w:pPr>
        <w:spacing w:before="0" w:after="0"/>
        <w:ind w:left="142"/>
        <w:rPr>
          <w:rFonts w:eastAsia="Times New Roman"/>
          <w:sz w:val="18"/>
          <w:szCs w:val="18"/>
          <w:lang w:eastAsia="en-US"/>
        </w:rPr>
      </w:pPr>
      <w:r w:rsidRPr="00361BA1">
        <w:rPr>
          <w:rFonts w:eastAsia="Times New Roman"/>
          <w:sz w:val="18"/>
          <w:szCs w:val="18"/>
          <w:lang w:eastAsia="en-US"/>
        </w:rPr>
        <w:br w:type="page"/>
      </w:r>
    </w:p>
    <w:p w14:paraId="537F7DAF" w14:textId="77777777" w:rsidR="00361BA1" w:rsidRPr="00361BA1" w:rsidRDefault="00361BA1" w:rsidP="00361BA1">
      <w:pPr>
        <w:spacing w:before="0" w:after="0"/>
        <w:ind w:left="142"/>
        <w:rPr>
          <w:rFonts w:eastAsia="Times New Roman"/>
          <w:sz w:val="18"/>
          <w:szCs w:val="18"/>
          <w:lang w:eastAsia="en-US"/>
        </w:rPr>
        <w:sectPr w:rsidR="00361BA1" w:rsidRPr="00361BA1" w:rsidSect="00361BA1">
          <w:pgSz w:w="11906" w:h="16838" w:code="9"/>
          <w:pgMar w:top="1673" w:right="1134" w:bottom="1134" w:left="1134" w:header="958" w:footer="737" w:gutter="0"/>
          <w:cols w:space="708"/>
          <w:docGrid w:linePitch="360"/>
        </w:sectPr>
      </w:pPr>
    </w:p>
    <w:p w14:paraId="5D0581A8" w14:textId="77777777" w:rsidR="00361BA1" w:rsidRPr="00361BA1" w:rsidRDefault="00361BA1" w:rsidP="00361BA1">
      <w:pPr>
        <w:autoSpaceDE w:val="0"/>
        <w:autoSpaceDN w:val="0"/>
        <w:adjustRightInd w:val="0"/>
        <w:spacing w:before="0" w:after="0"/>
        <w:ind w:left="0"/>
        <w:rPr>
          <w:rFonts w:eastAsia="Times New Roman"/>
          <w:b/>
          <w:bCs/>
          <w:sz w:val="18"/>
          <w:szCs w:val="18"/>
          <w:lang w:eastAsia="en-US"/>
        </w:rPr>
      </w:pPr>
      <w:r w:rsidRPr="00361BA1">
        <w:rPr>
          <w:rFonts w:eastAsia="Times New Roman"/>
          <w:noProof/>
          <w:sz w:val="18"/>
          <w:szCs w:val="18"/>
          <w:lang w:eastAsia="en-AU"/>
        </w:rPr>
        <w:lastRenderedPageBreak/>
        <mc:AlternateContent>
          <mc:Choice Requires="wps">
            <w:drawing>
              <wp:anchor distT="0" distB="0" distL="114300" distR="114300" simplePos="0" relativeHeight="251703296" behindDoc="0" locked="0" layoutInCell="1" allowOverlap="1" wp14:anchorId="55E2611F" wp14:editId="58D580F4">
                <wp:simplePos x="0" y="0"/>
                <wp:positionH relativeFrom="column">
                  <wp:posOffset>-80539</wp:posOffset>
                </wp:positionH>
                <wp:positionV relativeFrom="paragraph">
                  <wp:posOffset>-70874</wp:posOffset>
                </wp:positionV>
                <wp:extent cx="6337300" cy="8959006"/>
                <wp:effectExtent l="0" t="0" r="25400" b="13970"/>
                <wp:wrapNone/>
                <wp:docPr id="248" name="Rectangle 248" descr="Notes to and forming part of the financial statements: accounting polic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8959006"/>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276C6E" id="Rectangle 248" o:spid="_x0000_s1026" alt="Notes to and forming part of the financial statements: accounting policy" style="position:absolute;margin-left:-6.35pt;margin-top:-5.6pt;width:499pt;height:70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" filled="f" strokecolor="purple"/>
            </w:pict>
          </mc:Fallback>
        </mc:AlternateContent>
      </w:r>
      <w:r w:rsidRPr="00361BA1">
        <w:rPr>
          <w:rFonts w:eastAsia="Times New Roman"/>
          <w:b/>
          <w:sz w:val="18"/>
          <w:szCs w:val="18"/>
          <w:lang w:eastAsia="en-AU"/>
        </w:rPr>
        <w:t>A</w:t>
      </w:r>
      <w:r w:rsidRPr="00361BA1">
        <w:rPr>
          <w:rFonts w:eastAsia="Times New Roman"/>
          <w:b/>
          <w:bCs/>
          <w:sz w:val="18"/>
          <w:szCs w:val="18"/>
          <w:lang w:eastAsia="en-US"/>
        </w:rPr>
        <w:t>ccounting Policy</w:t>
      </w:r>
    </w:p>
    <w:p w14:paraId="374BF721" w14:textId="77777777" w:rsidR="00361BA1" w:rsidRPr="00361BA1" w:rsidRDefault="00361BA1" w:rsidP="00361BA1">
      <w:pPr>
        <w:spacing w:before="0" w:after="0"/>
        <w:ind w:left="0"/>
        <w:rPr>
          <w:rFonts w:eastAsia="Times New Roman"/>
          <w:sz w:val="18"/>
          <w:szCs w:val="18"/>
          <w:lang w:eastAsia="en-US"/>
        </w:rPr>
      </w:pPr>
    </w:p>
    <w:p w14:paraId="78547272" w14:textId="77777777" w:rsidR="00361BA1" w:rsidRPr="00361BA1" w:rsidRDefault="00361BA1" w:rsidP="00361BA1">
      <w:pPr>
        <w:spacing w:before="0" w:after="0"/>
        <w:ind w:left="0"/>
        <w:jc w:val="both"/>
        <w:rPr>
          <w:rFonts w:eastAsia="Times New Roman"/>
          <w:sz w:val="18"/>
          <w:szCs w:val="18"/>
          <w:lang w:eastAsia="en-US"/>
        </w:rPr>
      </w:pPr>
      <w:r w:rsidRPr="00361BA1">
        <w:rPr>
          <w:rFonts w:eastAsia="Times New Roman"/>
          <w:sz w:val="18"/>
          <w:szCs w:val="18"/>
          <w:lang w:eastAsia="en-US"/>
        </w:rPr>
        <w:t>Assets are recorded at cost on acquisition except as stated below. The cost of acquisition includes the fair value of assets transferred in exchange and liabilities undertaken. Non-financial assets are initially measured at their fair value plus transaction costs where appropriate.</w:t>
      </w:r>
    </w:p>
    <w:p w14:paraId="5AB767DD" w14:textId="77777777" w:rsidR="00361BA1" w:rsidRPr="00361BA1" w:rsidRDefault="00361BA1" w:rsidP="00361BA1">
      <w:pPr>
        <w:spacing w:before="0" w:after="0"/>
        <w:ind w:left="0"/>
        <w:jc w:val="both"/>
        <w:rPr>
          <w:rFonts w:eastAsia="Times New Roman"/>
          <w:sz w:val="18"/>
          <w:szCs w:val="18"/>
          <w:lang w:eastAsia="en-US"/>
        </w:rPr>
      </w:pPr>
    </w:p>
    <w:p w14:paraId="49186B37" w14:textId="77777777" w:rsidR="00361BA1" w:rsidRPr="00361BA1" w:rsidRDefault="00361BA1" w:rsidP="00361BA1">
      <w:pPr>
        <w:spacing w:before="0" w:after="0"/>
        <w:ind w:left="0"/>
        <w:jc w:val="both"/>
        <w:rPr>
          <w:rFonts w:eastAsia="Times New Roman"/>
          <w:sz w:val="18"/>
          <w:szCs w:val="18"/>
          <w:lang w:eastAsia="en-US"/>
        </w:rPr>
      </w:pPr>
      <w:r w:rsidRPr="00361BA1">
        <w:rPr>
          <w:rFonts w:eastAsia="Times New Roman"/>
          <w:sz w:val="18"/>
          <w:szCs w:val="18"/>
          <w:lang w:eastAsia="en-US"/>
        </w:rPr>
        <w:t xml:space="preserve">Assets acquired at no cost, or for nominal consideration, are initially recognised as assets and income at their fair value at the date of acquisition. </w:t>
      </w:r>
    </w:p>
    <w:p w14:paraId="48D60654" w14:textId="77777777" w:rsidR="00361BA1" w:rsidRPr="00361BA1" w:rsidRDefault="00361BA1" w:rsidP="00361BA1">
      <w:pPr>
        <w:spacing w:before="0" w:after="0"/>
        <w:ind w:left="0"/>
        <w:jc w:val="both"/>
        <w:rPr>
          <w:rFonts w:eastAsia="Times New Roman"/>
          <w:sz w:val="18"/>
          <w:szCs w:val="18"/>
          <w:lang w:eastAsia="en-US"/>
        </w:rPr>
      </w:pPr>
    </w:p>
    <w:p w14:paraId="55BDAD30" w14:textId="77777777" w:rsidR="00361BA1" w:rsidRPr="00361BA1" w:rsidRDefault="00361BA1" w:rsidP="00361BA1">
      <w:pPr>
        <w:spacing w:before="0" w:after="0"/>
        <w:ind w:left="0"/>
        <w:jc w:val="both"/>
        <w:rPr>
          <w:rFonts w:eastAsia="Times New Roman"/>
          <w:i/>
          <w:iCs/>
          <w:sz w:val="18"/>
          <w:szCs w:val="18"/>
          <w:u w:val="single"/>
          <w:lang w:eastAsia="en-AU"/>
        </w:rPr>
      </w:pPr>
      <w:r w:rsidRPr="00361BA1">
        <w:rPr>
          <w:rFonts w:eastAsia="Times New Roman"/>
          <w:i/>
          <w:iCs/>
          <w:sz w:val="18"/>
          <w:szCs w:val="18"/>
          <w:u w:val="single"/>
          <w:lang w:eastAsia="en-AU"/>
        </w:rPr>
        <w:t>Asset recognition threshold</w:t>
      </w:r>
    </w:p>
    <w:p w14:paraId="68AA011F"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Purchases of leasehold improvements, plant and equipment are recognised initially at cost in the Statement of Financial Position, except for purchases costing less than $5,000 which are expensed in the year of acquisition (other than where they form part of a group of similar items which are significant in total).</w:t>
      </w:r>
    </w:p>
    <w:p w14:paraId="5CF9F7AC" w14:textId="77777777" w:rsidR="00361BA1" w:rsidRPr="00361BA1" w:rsidRDefault="00361BA1" w:rsidP="00361BA1">
      <w:pPr>
        <w:spacing w:before="0" w:after="0"/>
        <w:ind w:left="0"/>
        <w:jc w:val="both"/>
        <w:rPr>
          <w:rFonts w:eastAsia="Times New Roman"/>
          <w:sz w:val="18"/>
          <w:szCs w:val="18"/>
          <w:lang w:eastAsia="en-AU"/>
        </w:rPr>
      </w:pPr>
    </w:p>
    <w:p w14:paraId="7C9F7386"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w:t>
      </w:r>
    </w:p>
    <w:p w14:paraId="0C1FC70E" w14:textId="77777777" w:rsidR="00361BA1" w:rsidRPr="00361BA1" w:rsidRDefault="00361BA1" w:rsidP="00361BA1">
      <w:pPr>
        <w:spacing w:before="0" w:after="0"/>
        <w:ind w:left="0"/>
        <w:jc w:val="both"/>
        <w:rPr>
          <w:rFonts w:eastAsia="Times New Roman"/>
          <w:sz w:val="18"/>
          <w:szCs w:val="18"/>
          <w:lang w:eastAsia="en-AU"/>
        </w:rPr>
      </w:pPr>
    </w:p>
    <w:p w14:paraId="3A2422CD" w14:textId="77777777" w:rsidR="00361BA1" w:rsidRPr="00361BA1" w:rsidRDefault="00361BA1" w:rsidP="00361BA1">
      <w:pPr>
        <w:spacing w:before="0" w:after="0"/>
        <w:ind w:left="0"/>
        <w:jc w:val="both"/>
        <w:rPr>
          <w:rFonts w:eastAsia="Times New Roman"/>
          <w:i/>
          <w:iCs/>
          <w:sz w:val="18"/>
          <w:szCs w:val="18"/>
          <w:u w:val="single"/>
          <w:lang w:eastAsia="en-AU"/>
        </w:rPr>
      </w:pPr>
      <w:r w:rsidRPr="00361BA1">
        <w:rPr>
          <w:rFonts w:eastAsia="Times New Roman"/>
          <w:i/>
          <w:iCs/>
          <w:sz w:val="18"/>
          <w:szCs w:val="18"/>
          <w:u w:val="single"/>
          <w:lang w:eastAsia="en-AU"/>
        </w:rPr>
        <w:t>Lease Right of Use (ROU) Assets</w:t>
      </w:r>
    </w:p>
    <w:p w14:paraId="1757ED97" w14:textId="77777777" w:rsidR="00361BA1" w:rsidRPr="00361BA1" w:rsidRDefault="00361BA1" w:rsidP="00361BA1">
      <w:pPr>
        <w:spacing w:before="0" w:after="0"/>
        <w:ind w:left="0"/>
        <w:jc w:val="both"/>
        <w:rPr>
          <w:rFonts w:eastAsia="Times New Roman"/>
          <w:sz w:val="18"/>
          <w:szCs w:val="18"/>
          <w:highlight w:val="yellow"/>
          <w:lang w:eastAsia="en-AU"/>
        </w:rPr>
      </w:pPr>
      <w:r w:rsidRPr="00361BA1">
        <w:rPr>
          <w:rFonts w:eastAsia="Times New Roman"/>
          <w:sz w:val="18"/>
          <w:szCs w:val="18"/>
          <w:lang w:eastAsia="en-AU"/>
        </w:rPr>
        <w:t>Purchases of leased ROU assets are capitalised at the commencement date of the lease and comprise the initial lease liability amount, including an estimate of any ‘make good’ provision in the lease, initial direct costs incurred when entering into the lease less any lease incentives received. These assets are accounted for by Commonwealth lessees as separate asset classes to the corresponding assets owned outright, but are included in the same column as where the corresponding underlying assets would be presented if they were owned.</w:t>
      </w:r>
    </w:p>
    <w:p w14:paraId="2342688A" w14:textId="77777777" w:rsidR="00361BA1" w:rsidRPr="00361BA1" w:rsidRDefault="00361BA1" w:rsidP="00361BA1">
      <w:pPr>
        <w:spacing w:before="0" w:after="0"/>
        <w:ind w:left="0"/>
        <w:jc w:val="both"/>
        <w:rPr>
          <w:rFonts w:eastAsia="Times New Roman"/>
          <w:sz w:val="18"/>
          <w:szCs w:val="18"/>
          <w:highlight w:val="yellow"/>
          <w:lang w:eastAsia="en-AU"/>
        </w:rPr>
      </w:pPr>
    </w:p>
    <w:p w14:paraId="45B12FD4"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On initial adoption of AASB 16 the Agency has adjusted the ROU assets at the date of initial application by the amount of any provision for onerous leases recognised immediately before the date of initial application. Following initial application, an impairment review is undertaken for any right of use lease asset that shows indicators of impairment and an impairment loss is recognised against any right of use lease asset that is impaired. Lease ROU assets continue to be measured at cost after initial recognition in Commonwealth agency, General Government Sector and Whole of Government financial statements.</w:t>
      </w:r>
    </w:p>
    <w:p w14:paraId="3984AC9C" w14:textId="77777777" w:rsidR="00361BA1" w:rsidRPr="00361BA1" w:rsidRDefault="00361BA1" w:rsidP="00361BA1">
      <w:pPr>
        <w:spacing w:before="0" w:after="0"/>
        <w:ind w:left="0"/>
        <w:jc w:val="both"/>
        <w:rPr>
          <w:rFonts w:eastAsia="Times New Roman"/>
          <w:i/>
          <w:iCs/>
          <w:sz w:val="18"/>
          <w:szCs w:val="18"/>
          <w:u w:val="single"/>
          <w:lang w:eastAsia="en-AU"/>
        </w:rPr>
      </w:pPr>
    </w:p>
    <w:p w14:paraId="31DEB949" w14:textId="77777777" w:rsidR="00361BA1" w:rsidRPr="00361BA1" w:rsidRDefault="00361BA1" w:rsidP="00361BA1">
      <w:pPr>
        <w:spacing w:before="0" w:after="0"/>
        <w:ind w:left="0"/>
        <w:jc w:val="both"/>
        <w:rPr>
          <w:rFonts w:eastAsia="Times New Roman"/>
          <w:i/>
          <w:iCs/>
          <w:sz w:val="18"/>
          <w:szCs w:val="18"/>
          <w:u w:val="single"/>
          <w:lang w:eastAsia="en-AU"/>
        </w:rPr>
      </w:pPr>
      <w:r w:rsidRPr="00361BA1">
        <w:rPr>
          <w:rFonts w:eastAsia="Times New Roman"/>
          <w:i/>
          <w:iCs/>
          <w:sz w:val="18"/>
          <w:szCs w:val="18"/>
          <w:u w:val="single"/>
          <w:lang w:eastAsia="en-AU"/>
        </w:rPr>
        <w:t>Revaluations</w:t>
      </w:r>
    </w:p>
    <w:p w14:paraId="4876EC7A" w14:textId="347BB766"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Following initial recognition at cost, items of leasehold improvements, plant and equipment (excluding ROU assets) are carried at fair value (or an amount not materially different from fair value) less accumulated depreciation and accumulated impairment losses. Valuations are conducted with sufficient frequency to ensure that the carrying value of items does not differ materially from their fair value at each reporting date.</w:t>
      </w:r>
    </w:p>
    <w:p w14:paraId="155ADEB0" w14:textId="6872C1B3" w:rsidR="00361BA1" w:rsidRPr="00361BA1" w:rsidRDefault="00361BA1" w:rsidP="00361BA1">
      <w:pPr>
        <w:spacing w:before="0" w:after="0"/>
        <w:ind w:left="0"/>
        <w:jc w:val="both"/>
        <w:rPr>
          <w:rFonts w:eastAsia="Times New Roman"/>
          <w:sz w:val="18"/>
          <w:szCs w:val="18"/>
          <w:lang w:eastAsia="en-AU"/>
        </w:rPr>
      </w:pPr>
    </w:p>
    <w:p w14:paraId="5A1DBBA9"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noProof/>
          <w:sz w:val="18"/>
          <w:szCs w:val="18"/>
          <w:lang w:eastAsia="en-AU"/>
        </w:rPr>
        <mc:AlternateContent>
          <mc:Choice Requires="wps">
            <w:drawing>
              <wp:anchor distT="0" distB="0" distL="114300" distR="114300" simplePos="0" relativeHeight="251704320" behindDoc="0" locked="0" layoutInCell="1" allowOverlap="1" wp14:anchorId="798418E6" wp14:editId="2B07F345">
                <wp:simplePos x="0" y="0"/>
                <wp:positionH relativeFrom="column">
                  <wp:posOffset>-38862</wp:posOffset>
                </wp:positionH>
                <wp:positionV relativeFrom="paragraph">
                  <wp:posOffset>2507996</wp:posOffset>
                </wp:positionV>
                <wp:extent cx="9575292" cy="1493901"/>
                <wp:effectExtent l="0" t="0" r="26035" b="11430"/>
                <wp:wrapNone/>
                <wp:docPr id="1" name="Rectangle 1" descr="Notes to and forming part of the financial statements: accounting policy continu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292" cy="1493901"/>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83C2D1" id="Rectangle 1" o:spid="_x0000_s1026" alt="Notes to and forming part of the financial statements: accounting policy continued" style="position:absolute;margin-left:-3.05pt;margin-top:197.5pt;width:753.95pt;height:1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" filled="f" strokecolor="purple"/>
            </w:pict>
          </mc:Fallback>
        </mc:AlternateContent>
      </w:r>
      <w:r w:rsidRPr="00361BA1">
        <w:rPr>
          <w:rFonts w:eastAsia="Times New Roman"/>
          <w:sz w:val="18"/>
          <w:szCs w:val="18"/>
          <w:lang w:eastAsia="en-AU"/>
        </w:rPr>
        <w:t xml:space="preserve">The Agency’s leasehold improvements are stated at their revalued amounts, being the fair value at the date of revaluation, less any subsequent accumulated depreciation. The fair value measurements of the </w:t>
      </w:r>
      <w:r w:rsidRPr="00361BA1">
        <w:rPr>
          <w:rFonts w:eastAsia="Times New Roman"/>
          <w:sz w:val="18"/>
          <w:szCs w:val="18"/>
          <w:lang w:eastAsia="en-AU"/>
        </w:rPr>
        <w:t>Agency’s leasehold improvements as at 30 June 2020 were reassessed by Jones Lang LaSalle (JLL), independent valuers. JLL have appropriate qualifications and experience in the fair value measurement of similar assets in the Government sector.</w:t>
      </w:r>
    </w:p>
    <w:p w14:paraId="41B5254D" w14:textId="77777777" w:rsidR="00361BA1" w:rsidRPr="00361BA1" w:rsidRDefault="00361BA1" w:rsidP="00361BA1">
      <w:pPr>
        <w:spacing w:before="0" w:after="0"/>
        <w:ind w:left="0"/>
        <w:jc w:val="both"/>
        <w:rPr>
          <w:rFonts w:eastAsia="Times New Roman"/>
          <w:sz w:val="18"/>
          <w:szCs w:val="18"/>
          <w:lang w:eastAsia="en-AU"/>
        </w:rPr>
      </w:pPr>
    </w:p>
    <w:p w14:paraId="5D64CBD2"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7EEC10C0" w14:textId="77777777" w:rsidR="00361BA1" w:rsidRPr="00361BA1" w:rsidRDefault="00361BA1" w:rsidP="00361BA1">
      <w:pPr>
        <w:spacing w:before="0" w:after="0"/>
        <w:ind w:left="0"/>
        <w:jc w:val="both"/>
        <w:rPr>
          <w:rFonts w:eastAsia="Times New Roman"/>
          <w:sz w:val="18"/>
          <w:szCs w:val="18"/>
          <w:lang w:eastAsia="en-AU"/>
        </w:rPr>
      </w:pPr>
    </w:p>
    <w:p w14:paraId="414B914F"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 xml:space="preserve">Any accumulated depreciation as at the revaluation date is eliminated against the gross carrying amount of the asset and the asset is restated to the revalued amount. </w:t>
      </w:r>
    </w:p>
    <w:p w14:paraId="0B124B69" w14:textId="77777777" w:rsidR="00361BA1" w:rsidRPr="00361BA1" w:rsidRDefault="00361BA1" w:rsidP="00361BA1">
      <w:pPr>
        <w:spacing w:before="0" w:after="0"/>
        <w:ind w:left="0"/>
        <w:rPr>
          <w:rFonts w:eastAsia="Times New Roman"/>
          <w:i/>
          <w:iCs/>
          <w:sz w:val="18"/>
          <w:szCs w:val="18"/>
          <w:u w:val="single"/>
          <w:lang w:eastAsia="en-AU"/>
        </w:rPr>
      </w:pPr>
    </w:p>
    <w:p w14:paraId="57E3A81A" w14:textId="77777777" w:rsidR="00361BA1" w:rsidRPr="00361BA1" w:rsidRDefault="00361BA1" w:rsidP="00361BA1">
      <w:pPr>
        <w:spacing w:before="0" w:after="0"/>
        <w:ind w:left="0"/>
        <w:rPr>
          <w:rFonts w:eastAsia="Times New Roman"/>
          <w:i/>
          <w:iCs/>
          <w:sz w:val="18"/>
          <w:szCs w:val="18"/>
          <w:u w:val="single"/>
          <w:lang w:eastAsia="en-AU"/>
        </w:rPr>
      </w:pPr>
      <w:r w:rsidRPr="00361BA1">
        <w:rPr>
          <w:rFonts w:eastAsia="Times New Roman"/>
          <w:i/>
          <w:iCs/>
          <w:sz w:val="18"/>
          <w:szCs w:val="18"/>
          <w:u w:val="single"/>
          <w:lang w:eastAsia="en-AU"/>
        </w:rPr>
        <w:t>Depreciation</w:t>
      </w:r>
    </w:p>
    <w:p w14:paraId="53B4C6AF"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r w:rsidRPr="00361BA1">
        <w:rPr>
          <w:rFonts w:eastAsia="Times New Roman"/>
          <w:sz w:val="18"/>
          <w:szCs w:val="18"/>
          <w:lang w:eastAsia="en-US"/>
        </w:rPr>
        <w:t>Depreciable leasehold improvements, plant and equipment assets (other than leasehold improvements under construction) are written-off to their estimated residual values over their estimated useful lives using the straight-line method of depreciation. The estimated useful lives, residual values and depreciation methods are reviewed at the end of each reporting period, with the effect of any changes in estimates accounted for on a prospective basis. The table below outlines the d</w:t>
      </w:r>
      <w:r w:rsidRPr="00361BA1">
        <w:rPr>
          <w:rFonts w:eastAsia="Times New Roman"/>
          <w:sz w:val="18"/>
          <w:szCs w:val="18"/>
          <w:lang w:eastAsia="en-AU"/>
        </w:rPr>
        <w:t>epreciation rates applying to each class of depreciable asset based on the following useful lives:</w:t>
      </w:r>
    </w:p>
    <w:p w14:paraId="59370E3A" w14:textId="77777777" w:rsidR="00361BA1" w:rsidRPr="00361BA1" w:rsidRDefault="00361BA1" w:rsidP="00361BA1">
      <w:pPr>
        <w:spacing w:before="0" w:after="0"/>
        <w:ind w:left="0"/>
        <w:rPr>
          <w:rFonts w:eastAsia="Times New Roman"/>
          <w:sz w:val="18"/>
          <w:szCs w:val="18"/>
          <w:lang w:eastAsia="en-AU"/>
        </w:rPr>
      </w:pPr>
    </w:p>
    <w:tbl>
      <w:tblPr>
        <w:tblStyle w:val="LightShading11"/>
        <w:tblW w:w="4536" w:type="dxa"/>
        <w:tblLayout w:type="fixed"/>
        <w:tblLook w:val="04A0" w:firstRow="1" w:lastRow="0" w:firstColumn="1" w:lastColumn="0" w:noHBand="0" w:noVBand="1"/>
        <w:tblDescription w:val="Notes to and forming part of the financial statements: accounting policy - asset class and useful life"/>
      </w:tblPr>
      <w:tblGrid>
        <w:gridCol w:w="2835"/>
        <w:gridCol w:w="1701"/>
      </w:tblGrid>
      <w:tr w:rsidR="00361BA1" w:rsidRPr="00361BA1" w14:paraId="63B2A557" w14:textId="77777777" w:rsidTr="00D97797">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auto"/>
          </w:tcPr>
          <w:p w14:paraId="30299B11" w14:textId="77777777" w:rsidR="00361BA1" w:rsidRPr="00361BA1" w:rsidRDefault="00361BA1" w:rsidP="00361BA1">
            <w:pPr>
              <w:spacing w:before="0" w:after="0" w:line="260" w:lineRule="atLeast"/>
              <w:ind w:left="0"/>
              <w:rPr>
                <w:rFonts w:eastAsia="Times New Roman"/>
                <w:color w:val="auto"/>
                <w:sz w:val="18"/>
                <w:szCs w:val="18"/>
                <w:lang w:eastAsia="en-AU"/>
              </w:rPr>
            </w:pPr>
            <w:r w:rsidRPr="00361BA1">
              <w:rPr>
                <w:rFonts w:eastAsia="Times New Roman"/>
                <w:color w:val="auto"/>
                <w:sz w:val="18"/>
                <w:szCs w:val="18"/>
                <w:lang w:eastAsia="en-AU"/>
              </w:rPr>
              <w:t>Asset class</w:t>
            </w:r>
          </w:p>
        </w:tc>
        <w:tc>
          <w:tcPr>
            <w:tcW w:w="1701" w:type="dxa"/>
            <w:tcBorders>
              <w:bottom w:val="nil"/>
            </w:tcBorders>
            <w:shd w:val="clear" w:color="auto" w:fill="auto"/>
          </w:tcPr>
          <w:p w14:paraId="472EA667" w14:textId="77777777" w:rsidR="00361BA1" w:rsidRPr="00361BA1" w:rsidRDefault="00361BA1" w:rsidP="00361BA1">
            <w:pPr>
              <w:spacing w:before="0" w:after="0" w:line="260" w:lineRule="atLeast"/>
              <w:ind w:left="0"/>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en-AU"/>
              </w:rPr>
            </w:pPr>
            <w:r w:rsidRPr="00361BA1">
              <w:rPr>
                <w:rFonts w:eastAsia="Times New Roman"/>
                <w:color w:val="auto"/>
                <w:sz w:val="18"/>
                <w:szCs w:val="18"/>
                <w:lang w:eastAsia="en-AU"/>
              </w:rPr>
              <w:t xml:space="preserve">Useful life </w:t>
            </w:r>
          </w:p>
        </w:tc>
      </w:tr>
      <w:tr w:rsidR="00361BA1" w:rsidRPr="00361BA1" w14:paraId="7E46A601" w14:textId="77777777" w:rsidTr="00D97797">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auto"/>
          </w:tcPr>
          <w:p w14:paraId="577DF856" w14:textId="77777777" w:rsidR="00361BA1" w:rsidRPr="00D97797" w:rsidRDefault="00361BA1" w:rsidP="00361BA1">
            <w:pPr>
              <w:spacing w:before="0" w:line="260" w:lineRule="atLeast"/>
              <w:ind w:left="0"/>
              <w:rPr>
                <w:rFonts w:eastAsia="Calibri"/>
                <w:b w:val="0"/>
                <w:sz w:val="18"/>
                <w:szCs w:val="18"/>
                <w:lang w:eastAsia="en-AU"/>
              </w:rPr>
            </w:pPr>
            <w:r w:rsidRPr="00D97797">
              <w:rPr>
                <w:rFonts w:eastAsia="Calibri"/>
                <w:b w:val="0"/>
                <w:sz w:val="18"/>
                <w:szCs w:val="18"/>
                <w:lang w:eastAsia="en-AU"/>
              </w:rPr>
              <w:t>Plant and equipment</w:t>
            </w:r>
          </w:p>
        </w:tc>
        <w:tc>
          <w:tcPr>
            <w:tcW w:w="1701" w:type="dxa"/>
            <w:tcBorders>
              <w:bottom w:val="nil"/>
            </w:tcBorders>
            <w:shd w:val="clear" w:color="auto" w:fill="auto"/>
          </w:tcPr>
          <w:p w14:paraId="16ACCD24" w14:textId="77777777" w:rsidR="00361BA1" w:rsidRPr="00D97797" w:rsidRDefault="00361BA1" w:rsidP="00361BA1">
            <w:pPr>
              <w:spacing w:before="0" w:line="260" w:lineRule="atLeast"/>
              <w:ind w:left="0"/>
              <w:cnfStyle w:val="100000000000" w:firstRow="1" w:lastRow="0" w:firstColumn="0" w:lastColumn="0" w:oddVBand="0" w:evenVBand="0" w:oddHBand="0" w:evenHBand="0" w:firstRowFirstColumn="0" w:firstRowLastColumn="0" w:lastRowFirstColumn="0" w:lastRowLastColumn="0"/>
              <w:rPr>
                <w:rFonts w:eastAsia="Calibri"/>
                <w:b w:val="0"/>
                <w:bCs w:val="0"/>
                <w:sz w:val="18"/>
                <w:szCs w:val="18"/>
                <w:lang w:eastAsia="en-AU"/>
              </w:rPr>
            </w:pPr>
            <w:r w:rsidRPr="00D97797">
              <w:rPr>
                <w:rFonts w:eastAsia="Calibri"/>
                <w:b w:val="0"/>
                <w:sz w:val="18"/>
                <w:szCs w:val="18"/>
                <w:lang w:eastAsia="en-AU"/>
              </w:rPr>
              <w:t>3 to 10 years</w:t>
            </w:r>
          </w:p>
        </w:tc>
      </w:tr>
      <w:tr w:rsidR="00361BA1" w:rsidRPr="00361BA1" w14:paraId="13B36AAD" w14:textId="77777777" w:rsidTr="00D97797">
        <w:trPr>
          <w:cnfStyle w:val="100000000000" w:firstRow="1" w:lastRow="0" w:firstColumn="0" w:lastColumn="0" w:oddVBand="0" w:evenVBand="0" w:oddHBand="0" w:evenHBand="0" w:firstRowFirstColumn="0" w:firstRowLastColumn="0" w:lastRowFirstColumn="0" w:lastRowLastColumn="0"/>
          <w:trHeight w:val="251"/>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775B82F3" w14:textId="77777777" w:rsidR="00361BA1" w:rsidRPr="00D97797" w:rsidRDefault="00361BA1" w:rsidP="00361BA1">
            <w:pPr>
              <w:spacing w:before="0" w:after="0" w:line="260" w:lineRule="atLeast"/>
              <w:ind w:left="0"/>
              <w:rPr>
                <w:rFonts w:eastAsia="Calibri"/>
                <w:b w:val="0"/>
                <w:sz w:val="18"/>
                <w:szCs w:val="18"/>
                <w:lang w:eastAsia="en-AU"/>
              </w:rPr>
            </w:pPr>
            <w:r w:rsidRPr="00D97797">
              <w:rPr>
                <w:rFonts w:eastAsia="Calibri"/>
                <w:b w:val="0"/>
                <w:sz w:val="18"/>
                <w:szCs w:val="18"/>
                <w:lang w:eastAsia="en-AU"/>
              </w:rPr>
              <w:t>Leasehold improvements</w:t>
            </w:r>
          </w:p>
        </w:tc>
        <w:tc>
          <w:tcPr>
            <w:tcW w:w="1701" w:type="dxa"/>
            <w:shd w:val="clear" w:color="auto" w:fill="auto"/>
          </w:tcPr>
          <w:p w14:paraId="0CBB9798" w14:textId="77777777" w:rsidR="00361BA1" w:rsidRPr="00D97797" w:rsidRDefault="00361BA1" w:rsidP="00361BA1">
            <w:pPr>
              <w:autoSpaceDE w:val="0"/>
              <w:autoSpaceDN w:val="0"/>
              <w:adjustRightInd w:val="0"/>
              <w:spacing w:before="0" w:after="0" w:line="260" w:lineRule="atLeast"/>
              <w:ind w:left="0"/>
              <w:contextualSpacing/>
              <w:cnfStyle w:val="100000000000" w:firstRow="1" w:lastRow="0" w:firstColumn="0" w:lastColumn="0" w:oddVBand="0" w:evenVBand="0" w:oddHBand="0" w:evenHBand="0" w:firstRowFirstColumn="0" w:firstRowLastColumn="0" w:lastRowFirstColumn="0" w:lastRowLastColumn="0"/>
              <w:rPr>
                <w:rFonts w:eastAsia="Calibri"/>
                <w:b w:val="0"/>
                <w:bCs w:val="0"/>
                <w:sz w:val="18"/>
                <w:szCs w:val="18"/>
                <w:lang w:eastAsia="en-AU"/>
              </w:rPr>
            </w:pPr>
            <w:r w:rsidRPr="00D97797">
              <w:rPr>
                <w:rFonts w:eastAsia="Calibri"/>
                <w:b w:val="0"/>
                <w:sz w:val="18"/>
                <w:szCs w:val="18"/>
                <w:lang w:eastAsia="en-AU"/>
              </w:rPr>
              <w:t>Lesser of 10 years or the lease term</w:t>
            </w:r>
          </w:p>
        </w:tc>
      </w:tr>
    </w:tbl>
    <w:p w14:paraId="65103B1F" w14:textId="77777777" w:rsidR="00361BA1" w:rsidRPr="00361BA1" w:rsidRDefault="00361BA1" w:rsidP="00361BA1">
      <w:pPr>
        <w:spacing w:before="0" w:after="0" w:line="260" w:lineRule="atLeast"/>
        <w:ind w:left="0"/>
        <w:rPr>
          <w:rFonts w:eastAsia="Times New Roman"/>
          <w:sz w:val="18"/>
          <w:szCs w:val="18"/>
          <w:lang w:eastAsia="en-AU"/>
        </w:rPr>
      </w:pPr>
    </w:p>
    <w:p w14:paraId="3AB91105"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The depreciation rates for ROU assets are based on the commencement date to the earlier of the end of the useful life of the ROU asset (capped to 10 years) or the end of the lease term.</w:t>
      </w:r>
    </w:p>
    <w:p w14:paraId="68CEB0D9" w14:textId="77777777" w:rsidR="00361BA1" w:rsidRPr="00361BA1" w:rsidRDefault="00361BA1" w:rsidP="00361BA1">
      <w:pPr>
        <w:spacing w:before="0" w:after="0"/>
        <w:ind w:left="0"/>
        <w:rPr>
          <w:rFonts w:eastAsia="Times New Roman"/>
          <w:i/>
          <w:iCs/>
          <w:sz w:val="18"/>
          <w:szCs w:val="18"/>
          <w:u w:val="single"/>
          <w:lang w:eastAsia="en-AU"/>
        </w:rPr>
      </w:pPr>
    </w:p>
    <w:p w14:paraId="5C637256" w14:textId="77777777" w:rsidR="00361BA1" w:rsidRPr="00361BA1" w:rsidRDefault="00361BA1" w:rsidP="00361BA1">
      <w:pPr>
        <w:spacing w:before="0" w:after="0"/>
        <w:ind w:left="0"/>
        <w:rPr>
          <w:rFonts w:eastAsia="Times New Roman"/>
          <w:i/>
          <w:iCs/>
          <w:sz w:val="18"/>
          <w:szCs w:val="18"/>
          <w:u w:val="single"/>
          <w:lang w:eastAsia="en-AU"/>
        </w:rPr>
      </w:pPr>
      <w:r w:rsidRPr="00361BA1">
        <w:rPr>
          <w:rFonts w:eastAsia="Times New Roman"/>
          <w:i/>
          <w:iCs/>
          <w:sz w:val="18"/>
          <w:szCs w:val="18"/>
          <w:u w:val="single"/>
          <w:lang w:eastAsia="en-AU"/>
        </w:rPr>
        <w:t>Impairment</w:t>
      </w:r>
    </w:p>
    <w:p w14:paraId="6E263098" w14:textId="77777777" w:rsidR="00361BA1" w:rsidRPr="00361BA1" w:rsidRDefault="00361BA1" w:rsidP="00361BA1">
      <w:pPr>
        <w:spacing w:before="0" w:after="0"/>
        <w:ind w:left="0"/>
        <w:jc w:val="both"/>
        <w:rPr>
          <w:rFonts w:eastAsia="Times New Roman"/>
          <w:sz w:val="18"/>
          <w:szCs w:val="18"/>
          <w:lang w:eastAsia="en-AU"/>
        </w:rPr>
      </w:pPr>
      <w:r w:rsidRPr="00361BA1">
        <w:rPr>
          <w:rFonts w:eastAsia="Times New Roman"/>
          <w:sz w:val="18"/>
          <w:szCs w:val="18"/>
          <w:lang w:eastAsia="en-AU"/>
        </w:rPr>
        <w:t xml:space="preserve">All assets are assessed for impairment annually.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Agency were deprived of the asset, its value in use is taken to be its depreciated replacement cost. </w:t>
      </w:r>
    </w:p>
    <w:p w14:paraId="4A2331E0" w14:textId="0AABFBC9" w:rsidR="00361BA1" w:rsidRPr="00361BA1" w:rsidRDefault="00361BA1" w:rsidP="00361BA1">
      <w:pPr>
        <w:spacing w:before="0" w:after="0"/>
        <w:ind w:left="0"/>
        <w:jc w:val="both"/>
        <w:rPr>
          <w:rFonts w:eastAsia="Times New Roman"/>
          <w:sz w:val="18"/>
          <w:szCs w:val="18"/>
          <w:lang w:eastAsia="en-AU"/>
        </w:rPr>
      </w:pPr>
    </w:p>
    <w:p w14:paraId="433D458D" w14:textId="6CDAE5E9" w:rsidR="00361BA1" w:rsidRPr="00361BA1" w:rsidRDefault="00361BA1" w:rsidP="00361BA1">
      <w:pPr>
        <w:spacing w:before="0" w:after="0"/>
        <w:ind w:left="0"/>
        <w:jc w:val="both"/>
        <w:rPr>
          <w:rFonts w:eastAsia="Times New Roman"/>
          <w:i/>
          <w:iCs/>
          <w:sz w:val="18"/>
          <w:szCs w:val="18"/>
          <w:u w:val="single"/>
          <w:lang w:eastAsia="en-AU"/>
        </w:rPr>
      </w:pPr>
      <w:r w:rsidRPr="00361BA1">
        <w:rPr>
          <w:rFonts w:eastAsia="Times New Roman"/>
          <w:i/>
          <w:iCs/>
          <w:sz w:val="18"/>
          <w:szCs w:val="18"/>
          <w:u w:val="single"/>
          <w:lang w:eastAsia="en-AU"/>
        </w:rPr>
        <w:t>Fair Value</w:t>
      </w:r>
    </w:p>
    <w:p w14:paraId="20A210A2" w14:textId="2852DE1F" w:rsidR="00361BA1" w:rsidRPr="00361BA1" w:rsidRDefault="00361BA1" w:rsidP="00361BA1">
      <w:pPr>
        <w:spacing w:before="0" w:after="0"/>
        <w:ind w:left="0"/>
        <w:jc w:val="both"/>
        <w:rPr>
          <w:rFonts w:eastAsia="Times New Roman"/>
          <w:iCs/>
          <w:sz w:val="18"/>
          <w:szCs w:val="18"/>
          <w:lang w:eastAsia="en-AU"/>
        </w:rPr>
      </w:pPr>
      <w:r w:rsidRPr="00361BA1">
        <w:rPr>
          <w:rFonts w:eastAsia="Times New Roman"/>
          <w:iCs/>
          <w:sz w:val="18"/>
          <w:szCs w:val="18"/>
          <w:lang w:eastAsia="en-AU"/>
        </w:rPr>
        <w:t xml:space="preserve">All leasehold improvements and plant and equipment are measured at their estimated fair value in the Statement of Financial Position. All leasehold improvements and plant and equipment, other than ROU plant and equipment, held by the Agency are categorised under </w:t>
      </w:r>
      <w:r w:rsidR="000709AC" w:rsidRPr="00361BA1">
        <w:rPr>
          <w:rFonts w:eastAsia="Times New Roman"/>
          <w:noProof/>
          <w:sz w:val="18"/>
          <w:szCs w:val="18"/>
          <w:lang w:eastAsia="en-AU"/>
        </w:rPr>
        <w:lastRenderedPageBreak/>
        <mc:AlternateContent>
          <mc:Choice Requires="wps">
            <w:drawing>
              <wp:anchor distT="0" distB="0" distL="114300" distR="114300" simplePos="0" relativeHeight="251706368" behindDoc="0" locked="0" layoutInCell="1" allowOverlap="1" wp14:anchorId="7B13E27B" wp14:editId="4825FD0E">
                <wp:simplePos x="0" y="0"/>
                <wp:positionH relativeFrom="column">
                  <wp:posOffset>-80010</wp:posOffset>
                </wp:positionH>
                <wp:positionV relativeFrom="paragraph">
                  <wp:posOffset>-38306</wp:posOffset>
                </wp:positionV>
                <wp:extent cx="6337300" cy="3847880"/>
                <wp:effectExtent l="0" t="0" r="25400" b="19685"/>
                <wp:wrapNone/>
                <wp:docPr id="249" name="Rectangle 249" descr="Notes to and forming part of the financial statements: accounting policy continu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384788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9827DD5" id="Rectangle 249" o:spid="_x0000_s1026" alt="Notes to and forming part of the financial statements: accounting policy continued" style="position:absolute;margin-left:-6.3pt;margin-top:-3pt;width:499pt;height:30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" filled="f" strokecolor="purple"/>
            </w:pict>
          </mc:Fallback>
        </mc:AlternateContent>
      </w:r>
      <w:r w:rsidRPr="00361BA1">
        <w:rPr>
          <w:rFonts w:eastAsia="Times New Roman"/>
          <w:iCs/>
          <w:sz w:val="18"/>
          <w:szCs w:val="18"/>
          <w:lang w:eastAsia="en-AU"/>
        </w:rPr>
        <w:t>Level 3 in accordance with the hierarchy listed in AASB 13.</w:t>
      </w:r>
    </w:p>
    <w:p w14:paraId="0464EB99" w14:textId="073B2BB8" w:rsidR="00361BA1" w:rsidRPr="00361BA1" w:rsidRDefault="00361BA1" w:rsidP="00361BA1">
      <w:pPr>
        <w:spacing w:before="0" w:after="0"/>
        <w:ind w:left="0"/>
        <w:jc w:val="both"/>
        <w:rPr>
          <w:rFonts w:eastAsia="Times New Roman"/>
          <w:iCs/>
          <w:sz w:val="18"/>
          <w:szCs w:val="18"/>
          <w:lang w:eastAsia="en-AU"/>
        </w:rPr>
      </w:pPr>
    </w:p>
    <w:p w14:paraId="2EAF10C5" w14:textId="7BA6807C" w:rsidR="00361BA1" w:rsidRPr="00361BA1" w:rsidRDefault="00361BA1" w:rsidP="00361BA1">
      <w:pPr>
        <w:spacing w:before="0" w:after="0"/>
        <w:ind w:left="0"/>
        <w:jc w:val="both"/>
        <w:rPr>
          <w:rFonts w:eastAsia="Times New Roman"/>
          <w:iCs/>
          <w:sz w:val="18"/>
          <w:szCs w:val="18"/>
          <w:lang w:eastAsia="en-AU"/>
        </w:rPr>
      </w:pPr>
      <w:r w:rsidRPr="00361BA1">
        <w:rPr>
          <w:rFonts w:eastAsia="Times New Roman"/>
          <w:iCs/>
          <w:sz w:val="18"/>
          <w:szCs w:val="18"/>
          <w:lang w:eastAsia="en-AU"/>
        </w:rPr>
        <w:t>Level 3 measurements use inputs to estimate fair value where there are no observable market prices for the assets being valued. The future economic benefits of the Agency’s leasehold improvements and plant and equipment are not primarily dependent on their ability to generate cash flows. The Agency has not disclosed quantitative information about the significant unobservable inputs for the level 3 measurements in these classes.</w:t>
      </w:r>
    </w:p>
    <w:p w14:paraId="0D231449" w14:textId="4F8B70E4" w:rsidR="00361BA1" w:rsidRPr="00361BA1" w:rsidRDefault="00361BA1" w:rsidP="00361BA1">
      <w:pPr>
        <w:spacing w:before="0" w:after="0"/>
        <w:ind w:left="0"/>
        <w:jc w:val="both"/>
        <w:rPr>
          <w:rFonts w:eastAsia="Times New Roman"/>
          <w:i/>
          <w:iCs/>
          <w:sz w:val="18"/>
          <w:szCs w:val="18"/>
          <w:u w:val="single"/>
          <w:lang w:eastAsia="en-AU"/>
        </w:rPr>
      </w:pPr>
    </w:p>
    <w:p w14:paraId="15CDE946" w14:textId="5B5C8E0A" w:rsidR="00361BA1" w:rsidRPr="00361BA1" w:rsidRDefault="00361BA1" w:rsidP="00361BA1">
      <w:pPr>
        <w:spacing w:before="0" w:after="0"/>
        <w:ind w:left="0"/>
        <w:jc w:val="both"/>
        <w:rPr>
          <w:rFonts w:eastAsia="Times New Roman"/>
          <w:i/>
          <w:iCs/>
          <w:sz w:val="18"/>
          <w:szCs w:val="18"/>
          <w:u w:val="single"/>
          <w:lang w:eastAsia="en-AU"/>
        </w:rPr>
      </w:pPr>
      <w:r w:rsidRPr="00361BA1">
        <w:rPr>
          <w:rFonts w:eastAsia="Times New Roman"/>
          <w:i/>
          <w:iCs/>
          <w:sz w:val="18"/>
          <w:szCs w:val="18"/>
          <w:u w:val="single"/>
          <w:lang w:eastAsia="en-AU"/>
        </w:rPr>
        <w:t>De-recognition</w:t>
      </w:r>
    </w:p>
    <w:p w14:paraId="177AD11D" w14:textId="4C66041C" w:rsidR="00361BA1" w:rsidRPr="00361BA1" w:rsidRDefault="00361BA1" w:rsidP="00361BA1">
      <w:pPr>
        <w:autoSpaceDE w:val="0"/>
        <w:autoSpaceDN w:val="0"/>
        <w:adjustRightInd w:val="0"/>
        <w:spacing w:before="0" w:after="0"/>
        <w:ind w:left="0"/>
        <w:jc w:val="both"/>
        <w:rPr>
          <w:rFonts w:eastAsia="Times New Roman"/>
          <w:sz w:val="18"/>
          <w:szCs w:val="18"/>
          <w:lang w:eastAsia="en-US"/>
        </w:rPr>
      </w:pPr>
      <w:r w:rsidRPr="00361BA1">
        <w:rPr>
          <w:rFonts w:eastAsia="Times New Roman"/>
          <w:sz w:val="18"/>
          <w:szCs w:val="18"/>
          <w:lang w:eastAsia="en-US"/>
        </w:rPr>
        <w:t>An item of buildings or plant and equipment is derecognised upon disposal or when no further future economic benefits are expected from its use or its disposal. Any gain or loss arising on disposal or retirement of an item of leasehold improvements or plant and equipment is determined as the difference between the sale proceeds and the carrying amount of the asset and is recognised in the statement of comprehensive income.</w:t>
      </w:r>
    </w:p>
    <w:p w14:paraId="5DB4FF3A" w14:textId="77777777" w:rsidR="00361BA1" w:rsidRPr="00361BA1" w:rsidRDefault="00361BA1" w:rsidP="00361BA1">
      <w:pPr>
        <w:autoSpaceDE w:val="0"/>
        <w:autoSpaceDN w:val="0"/>
        <w:adjustRightInd w:val="0"/>
        <w:spacing w:before="0" w:after="0"/>
        <w:ind w:left="0"/>
        <w:jc w:val="both"/>
        <w:rPr>
          <w:rFonts w:eastAsia="Times New Roman"/>
          <w:b/>
          <w:bCs/>
          <w:sz w:val="18"/>
          <w:szCs w:val="18"/>
          <w:lang w:eastAsia="en-US"/>
        </w:rPr>
      </w:pPr>
    </w:p>
    <w:p w14:paraId="03B04F08" w14:textId="61AC5CC3" w:rsidR="00361BA1" w:rsidRPr="00361BA1" w:rsidRDefault="00361BA1" w:rsidP="00361BA1">
      <w:pPr>
        <w:autoSpaceDE w:val="0"/>
        <w:autoSpaceDN w:val="0"/>
        <w:adjustRightInd w:val="0"/>
        <w:spacing w:before="0" w:after="0"/>
        <w:ind w:left="0"/>
        <w:jc w:val="both"/>
        <w:rPr>
          <w:rFonts w:eastAsia="Times New Roman"/>
          <w:b/>
          <w:bCs/>
          <w:sz w:val="18"/>
          <w:szCs w:val="18"/>
          <w:lang w:eastAsia="en-US"/>
        </w:rPr>
      </w:pPr>
      <w:r w:rsidRPr="00361BA1">
        <w:rPr>
          <w:rFonts w:eastAsia="Times New Roman"/>
          <w:b/>
          <w:bCs/>
          <w:sz w:val="18"/>
          <w:szCs w:val="18"/>
          <w:lang w:eastAsia="en-US"/>
        </w:rPr>
        <w:t>Key judgements and estimates</w:t>
      </w:r>
    </w:p>
    <w:p w14:paraId="1DD49C28"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r w:rsidRPr="00361BA1">
        <w:rPr>
          <w:rFonts w:eastAsia="Times New Roman"/>
          <w:sz w:val="18"/>
          <w:szCs w:val="18"/>
          <w:lang w:eastAsia="en-AU"/>
        </w:rPr>
        <w:t xml:space="preserve">The estimated fair value of leasehold improvements and plant and equipment (excluding ROU assets) is determined annually by an independent valuer using the </w:t>
      </w:r>
      <w:r w:rsidRPr="00361BA1">
        <w:rPr>
          <w:rFonts w:eastAsia="Times New Roman"/>
          <w:sz w:val="18"/>
          <w:szCs w:val="18"/>
          <w:lang w:eastAsia="en-AU"/>
        </w:rPr>
        <w:t>Cost Approach and is subject to management assessment.</w:t>
      </w:r>
    </w:p>
    <w:p w14:paraId="0077717E"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p>
    <w:p w14:paraId="0149A2C7"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r w:rsidRPr="00361BA1">
        <w:rPr>
          <w:rFonts w:eastAsia="Times New Roman"/>
          <w:sz w:val="18"/>
          <w:szCs w:val="18"/>
          <w:lang w:eastAsia="en-AU"/>
        </w:rPr>
        <w:t>The Cost Approach seeks to estimate the amount required to replace the service capacity of an asset at its highest and best use and is determined as either the Replacement Cost of New Assets (RCN) or the Depreciated Replacement Cost (DRC).</w:t>
      </w:r>
    </w:p>
    <w:p w14:paraId="00F66206"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p>
    <w:p w14:paraId="071B21DD"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r w:rsidRPr="00361BA1">
        <w:rPr>
          <w:rFonts w:eastAsia="Times New Roman"/>
          <w:sz w:val="18"/>
          <w:szCs w:val="18"/>
          <w:lang w:eastAsia="en-AU"/>
        </w:rPr>
        <w:t>Assets Under Construction are valued as RCN determined as the amount a market participant would pay to acquire or construct a new substitute asset of comparable utility and relevant to the asset’s location. Inputs including current local market prices for asset components such as materials and labour costs are utilised in determining RCN.</w:t>
      </w:r>
    </w:p>
    <w:p w14:paraId="36EEBD6D"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pPr>
    </w:p>
    <w:p w14:paraId="7FE5BEEE" w14:textId="77777777" w:rsidR="00361BA1" w:rsidRPr="00361BA1" w:rsidRDefault="00361BA1" w:rsidP="00361BA1">
      <w:pPr>
        <w:autoSpaceDE w:val="0"/>
        <w:autoSpaceDN w:val="0"/>
        <w:adjustRightInd w:val="0"/>
        <w:spacing w:before="0" w:after="0"/>
        <w:ind w:left="0"/>
        <w:jc w:val="both"/>
        <w:rPr>
          <w:rFonts w:eastAsia="Times New Roman"/>
          <w:sz w:val="18"/>
          <w:szCs w:val="18"/>
          <w:lang w:eastAsia="en-AU"/>
        </w:rPr>
        <w:sectPr w:rsidR="00361BA1" w:rsidRPr="00361BA1" w:rsidSect="00361BA1">
          <w:type w:val="continuous"/>
          <w:pgSz w:w="11906" w:h="16838" w:code="9"/>
          <w:pgMar w:top="1670" w:right="1134" w:bottom="1134" w:left="1134" w:header="958" w:footer="737" w:gutter="0"/>
          <w:cols w:num="2" w:space="708"/>
          <w:docGrid w:linePitch="360"/>
        </w:sectPr>
      </w:pPr>
      <w:r w:rsidRPr="00361BA1">
        <w:rPr>
          <w:rFonts w:eastAsia="Times New Roman"/>
          <w:sz w:val="18"/>
          <w:szCs w:val="18"/>
          <w:lang w:eastAsia="en-AU"/>
        </w:rPr>
        <w:t>Leasehold improvements, plant and equipment (excluding ROU assets) are valued using DRC. Under DRC the replacement costs of new assets are adjusted for physical depreciation and obsolescence such as physical deterioration, functional or technical obsolescence and conditions of the economic environment specific to the asset. For leasehold improvements, the consumed economic benefit/asset obsolescence deduction is determined based on the term of the associated lease.</w:t>
      </w:r>
    </w:p>
    <w:p w14:paraId="2BDAAA5F" w14:textId="5E06806F" w:rsidR="00361BA1" w:rsidRPr="00361BA1" w:rsidRDefault="00361BA1" w:rsidP="00361BA1">
      <w:pPr>
        <w:spacing w:before="0" w:after="0" w:line="260" w:lineRule="atLeast"/>
        <w:ind w:left="0"/>
        <w:rPr>
          <w:rFonts w:ascii="Times New Roman" w:eastAsia="Times New Roman" w:hAnsi="Times New Roman" w:cs="Times New Roman"/>
          <w:szCs w:val="20"/>
          <w:lang w:eastAsia="en-AU"/>
        </w:rPr>
      </w:pPr>
    </w:p>
    <w:p w14:paraId="7EC6C65D" w14:textId="77777777" w:rsidR="00361BA1" w:rsidRPr="00361BA1" w:rsidRDefault="00361BA1" w:rsidP="00361BA1">
      <w:pPr>
        <w:spacing w:before="0" w:after="0"/>
        <w:ind w:left="0"/>
        <w:rPr>
          <w:rFonts w:eastAsia="Times New Roman"/>
          <w:sz w:val="18"/>
          <w:szCs w:val="18"/>
          <w:lang w:eastAsia="en-US"/>
        </w:rPr>
      </w:pPr>
    </w:p>
    <w:tbl>
      <w:tblPr>
        <w:tblW w:w="9639" w:type="dxa"/>
        <w:tblLayout w:type="fixed"/>
        <w:tblLook w:val="04A0" w:firstRow="1" w:lastRow="0" w:firstColumn="1" w:lastColumn="0" w:noHBand="0" w:noVBand="1"/>
      </w:tblPr>
      <w:tblGrid>
        <w:gridCol w:w="6367"/>
        <w:gridCol w:w="1246"/>
        <w:gridCol w:w="236"/>
        <w:gridCol w:w="1790"/>
      </w:tblGrid>
      <w:tr w:rsidR="00361BA1" w:rsidRPr="00361BA1" w14:paraId="503FFEED" w14:textId="77777777" w:rsidTr="00084A73">
        <w:trPr>
          <w:trHeight w:val="255"/>
        </w:trPr>
        <w:tc>
          <w:tcPr>
            <w:tcW w:w="6367" w:type="dxa"/>
            <w:tcBorders>
              <w:top w:val="nil"/>
              <w:left w:val="nil"/>
              <w:bottom w:val="nil"/>
              <w:right w:val="nil"/>
            </w:tcBorders>
            <w:shd w:val="clear" w:color="FFFFFF" w:fill="FFFFFF"/>
            <w:noWrap/>
            <w:vAlign w:val="bottom"/>
            <w:hideMark/>
          </w:tcPr>
          <w:p w14:paraId="2AB4E568" w14:textId="3F89E63F" w:rsidR="00361BA1" w:rsidRPr="00361BA1" w:rsidRDefault="00361BA1" w:rsidP="00361BA1">
            <w:pPr>
              <w:spacing w:before="0" w:after="0" w:line="260" w:lineRule="atLeast"/>
              <w:ind w:left="0"/>
              <w:rPr>
                <w:rFonts w:eastAsia="Times New Roman"/>
                <w:sz w:val="18"/>
                <w:szCs w:val="18"/>
                <w:lang w:eastAsia="en-US"/>
              </w:rPr>
            </w:pPr>
            <w:bookmarkStart w:id="79" w:name="Note_ONA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78D197E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1BBE547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vAlign w:val="bottom"/>
            <w:hideMark/>
          </w:tcPr>
          <w:p w14:paraId="6FBA118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79"/>
      <w:tr w:rsidR="00361BA1" w:rsidRPr="00361BA1" w14:paraId="5B03DECA" w14:textId="77777777" w:rsidTr="00084A73">
        <w:trPr>
          <w:trHeight w:val="263"/>
        </w:trPr>
        <w:tc>
          <w:tcPr>
            <w:tcW w:w="6367" w:type="dxa"/>
            <w:tcBorders>
              <w:top w:val="nil"/>
              <w:left w:val="nil"/>
              <w:bottom w:val="nil"/>
              <w:right w:val="nil"/>
            </w:tcBorders>
            <w:shd w:val="clear" w:color="FFFFFF" w:fill="FFFFFF"/>
            <w:noWrap/>
            <w:vAlign w:val="bottom"/>
            <w:hideMark/>
          </w:tcPr>
          <w:p w14:paraId="4223A6A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6CBC7B3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15CF586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vAlign w:val="bottom"/>
            <w:hideMark/>
          </w:tcPr>
          <w:p w14:paraId="4E7E36A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18296223" w14:textId="77777777" w:rsidTr="00084A73">
        <w:trPr>
          <w:trHeight w:val="263"/>
        </w:trPr>
        <w:tc>
          <w:tcPr>
            <w:tcW w:w="6367" w:type="dxa"/>
            <w:tcBorders>
              <w:top w:val="nil"/>
              <w:left w:val="nil"/>
              <w:bottom w:val="nil"/>
              <w:right w:val="nil"/>
            </w:tcBorders>
            <w:shd w:val="clear" w:color="FFFFFF" w:fill="FFFFFF"/>
            <w:noWrap/>
            <w:vAlign w:val="bottom"/>
            <w:hideMark/>
          </w:tcPr>
          <w:p w14:paraId="3E86CCB7"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2.2B: Other non-financial assets</w:t>
            </w:r>
          </w:p>
        </w:tc>
        <w:tc>
          <w:tcPr>
            <w:tcW w:w="1246" w:type="dxa"/>
            <w:tcBorders>
              <w:top w:val="nil"/>
              <w:left w:val="nil"/>
              <w:bottom w:val="nil"/>
              <w:right w:val="nil"/>
            </w:tcBorders>
            <w:shd w:val="clear" w:color="FFFFFF" w:fill="FFFFFF"/>
            <w:noWrap/>
            <w:vAlign w:val="bottom"/>
            <w:hideMark/>
          </w:tcPr>
          <w:p w14:paraId="5468607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348D8B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5CADF1F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5215590C" w14:textId="77777777" w:rsidTr="00084A73">
        <w:trPr>
          <w:trHeight w:val="278"/>
        </w:trPr>
        <w:tc>
          <w:tcPr>
            <w:tcW w:w="6367" w:type="dxa"/>
            <w:tcBorders>
              <w:top w:val="nil"/>
              <w:left w:val="nil"/>
              <w:bottom w:val="nil"/>
              <w:right w:val="nil"/>
            </w:tcBorders>
            <w:shd w:val="clear" w:color="FFFFFF" w:fill="FFFFFF"/>
            <w:noWrap/>
            <w:vAlign w:val="bottom"/>
            <w:hideMark/>
          </w:tcPr>
          <w:p w14:paraId="06A6896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Participant advances</w:t>
            </w:r>
            <w:r w:rsidRPr="00361BA1">
              <w:rPr>
                <w:rFonts w:eastAsia="Times New Roman"/>
                <w:sz w:val="18"/>
                <w:szCs w:val="18"/>
                <w:vertAlign w:val="superscript"/>
                <w:lang w:eastAsia="en-US"/>
              </w:rPr>
              <w:t>1</w:t>
            </w:r>
          </w:p>
        </w:tc>
        <w:tc>
          <w:tcPr>
            <w:tcW w:w="1246" w:type="dxa"/>
            <w:tcBorders>
              <w:top w:val="nil"/>
              <w:left w:val="nil"/>
              <w:bottom w:val="nil"/>
              <w:right w:val="nil"/>
            </w:tcBorders>
            <w:shd w:val="clear" w:color="FFFFFF" w:fill="FFFFFF"/>
            <w:noWrap/>
            <w:vAlign w:val="bottom"/>
            <w:hideMark/>
          </w:tcPr>
          <w:p w14:paraId="3DF2AA4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779</w:t>
            </w:r>
          </w:p>
        </w:tc>
        <w:tc>
          <w:tcPr>
            <w:tcW w:w="236" w:type="dxa"/>
            <w:tcBorders>
              <w:top w:val="nil"/>
              <w:left w:val="nil"/>
              <w:bottom w:val="nil"/>
              <w:right w:val="nil"/>
            </w:tcBorders>
            <w:shd w:val="clear" w:color="FFFFFF" w:fill="FFFFFF"/>
            <w:noWrap/>
            <w:vAlign w:val="bottom"/>
            <w:hideMark/>
          </w:tcPr>
          <w:p w14:paraId="217A7E6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734FA90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5,775</w:t>
            </w:r>
          </w:p>
        </w:tc>
      </w:tr>
      <w:tr w:rsidR="00361BA1" w:rsidRPr="00361BA1" w14:paraId="430601C0" w14:textId="77777777" w:rsidTr="00084A73">
        <w:trPr>
          <w:trHeight w:val="255"/>
        </w:trPr>
        <w:tc>
          <w:tcPr>
            <w:tcW w:w="6367" w:type="dxa"/>
            <w:tcBorders>
              <w:top w:val="nil"/>
              <w:left w:val="nil"/>
              <w:bottom w:val="nil"/>
              <w:right w:val="nil"/>
            </w:tcBorders>
            <w:shd w:val="clear" w:color="FFFFFF" w:fill="FFFFFF"/>
            <w:noWrap/>
            <w:vAlign w:val="bottom"/>
            <w:hideMark/>
          </w:tcPr>
          <w:p w14:paraId="18060EF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Impairment Allowance - participant advances</w:t>
            </w:r>
          </w:p>
        </w:tc>
        <w:tc>
          <w:tcPr>
            <w:tcW w:w="1246" w:type="dxa"/>
            <w:tcBorders>
              <w:top w:val="nil"/>
              <w:left w:val="nil"/>
              <w:bottom w:val="nil"/>
              <w:right w:val="nil"/>
            </w:tcBorders>
            <w:shd w:val="clear" w:color="FFFFFF" w:fill="FFFFFF"/>
            <w:noWrap/>
            <w:vAlign w:val="bottom"/>
            <w:hideMark/>
          </w:tcPr>
          <w:p w14:paraId="3B79830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(779)</w:t>
            </w:r>
          </w:p>
        </w:tc>
        <w:tc>
          <w:tcPr>
            <w:tcW w:w="236" w:type="dxa"/>
            <w:tcBorders>
              <w:top w:val="nil"/>
              <w:left w:val="nil"/>
              <w:bottom w:val="nil"/>
              <w:right w:val="nil"/>
            </w:tcBorders>
            <w:shd w:val="clear" w:color="FFFFFF" w:fill="FFFFFF"/>
            <w:noWrap/>
            <w:vAlign w:val="bottom"/>
            <w:hideMark/>
          </w:tcPr>
          <w:p w14:paraId="3FA5A20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5046B12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(4,996)</w:t>
            </w:r>
          </w:p>
        </w:tc>
      </w:tr>
      <w:tr w:rsidR="00361BA1" w:rsidRPr="00361BA1" w14:paraId="7D4C2215" w14:textId="77777777" w:rsidTr="00084A73">
        <w:trPr>
          <w:trHeight w:val="255"/>
        </w:trPr>
        <w:tc>
          <w:tcPr>
            <w:tcW w:w="6367" w:type="dxa"/>
            <w:tcBorders>
              <w:top w:val="nil"/>
              <w:left w:val="nil"/>
              <w:bottom w:val="nil"/>
              <w:right w:val="nil"/>
            </w:tcBorders>
            <w:shd w:val="clear" w:color="FFFFFF" w:fill="FFFFFF"/>
            <w:noWrap/>
            <w:vAlign w:val="bottom"/>
            <w:hideMark/>
          </w:tcPr>
          <w:p w14:paraId="587DF68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participant advances (net)</w:t>
            </w:r>
          </w:p>
        </w:tc>
        <w:tc>
          <w:tcPr>
            <w:tcW w:w="1246" w:type="dxa"/>
            <w:tcBorders>
              <w:top w:val="single" w:sz="4" w:space="0" w:color="auto"/>
              <w:left w:val="nil"/>
              <w:bottom w:val="single" w:sz="4" w:space="0" w:color="auto"/>
              <w:right w:val="nil"/>
            </w:tcBorders>
            <w:shd w:val="clear" w:color="FFFFFF" w:fill="FFFFFF"/>
            <w:noWrap/>
            <w:vAlign w:val="bottom"/>
            <w:hideMark/>
          </w:tcPr>
          <w:p w14:paraId="7367290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579CD94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single" w:sz="4" w:space="0" w:color="auto"/>
              <w:left w:val="nil"/>
              <w:bottom w:val="single" w:sz="4" w:space="0" w:color="auto"/>
              <w:right w:val="nil"/>
            </w:tcBorders>
            <w:shd w:val="clear" w:color="FFFFFF" w:fill="FFFFFF"/>
            <w:noWrap/>
            <w:vAlign w:val="bottom"/>
            <w:hideMark/>
          </w:tcPr>
          <w:p w14:paraId="3748C22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779</w:t>
            </w:r>
          </w:p>
        </w:tc>
      </w:tr>
      <w:tr w:rsidR="00361BA1" w:rsidRPr="00361BA1" w14:paraId="356059FE" w14:textId="77777777" w:rsidTr="00084A73">
        <w:trPr>
          <w:trHeight w:val="255"/>
        </w:trPr>
        <w:tc>
          <w:tcPr>
            <w:tcW w:w="6367" w:type="dxa"/>
            <w:tcBorders>
              <w:top w:val="nil"/>
              <w:left w:val="nil"/>
              <w:bottom w:val="nil"/>
              <w:right w:val="nil"/>
            </w:tcBorders>
            <w:shd w:val="clear" w:color="FFFFFF" w:fill="FFFFFF"/>
            <w:noWrap/>
            <w:vAlign w:val="bottom"/>
            <w:hideMark/>
          </w:tcPr>
          <w:p w14:paraId="6CC4856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4A3D968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7C5A7F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34C99B8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01D3E596" w14:textId="77777777" w:rsidTr="00084A73">
        <w:trPr>
          <w:trHeight w:val="278"/>
        </w:trPr>
        <w:tc>
          <w:tcPr>
            <w:tcW w:w="6367" w:type="dxa"/>
            <w:tcBorders>
              <w:top w:val="nil"/>
              <w:left w:val="nil"/>
              <w:bottom w:val="nil"/>
              <w:right w:val="nil"/>
            </w:tcBorders>
            <w:shd w:val="clear" w:color="FFFFFF" w:fill="FFFFFF"/>
            <w:noWrap/>
            <w:vAlign w:val="bottom"/>
            <w:hideMark/>
          </w:tcPr>
          <w:p w14:paraId="4C6937D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Participant plan prepayments</w:t>
            </w:r>
            <w:r w:rsidRPr="00361BA1">
              <w:rPr>
                <w:rFonts w:eastAsia="Times New Roman"/>
                <w:sz w:val="18"/>
                <w:szCs w:val="18"/>
                <w:vertAlign w:val="superscript"/>
                <w:lang w:eastAsia="en-US"/>
              </w:rPr>
              <w:t>2</w:t>
            </w:r>
          </w:p>
        </w:tc>
        <w:tc>
          <w:tcPr>
            <w:tcW w:w="1246" w:type="dxa"/>
            <w:tcBorders>
              <w:top w:val="nil"/>
              <w:left w:val="nil"/>
              <w:bottom w:val="nil"/>
              <w:right w:val="nil"/>
            </w:tcBorders>
            <w:shd w:val="clear" w:color="FFFFFF" w:fill="FFFFFF"/>
            <w:noWrap/>
            <w:vAlign w:val="bottom"/>
            <w:hideMark/>
          </w:tcPr>
          <w:p w14:paraId="7B9039C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4,847</w:t>
            </w:r>
          </w:p>
        </w:tc>
        <w:tc>
          <w:tcPr>
            <w:tcW w:w="236" w:type="dxa"/>
            <w:tcBorders>
              <w:top w:val="nil"/>
              <w:left w:val="nil"/>
              <w:bottom w:val="nil"/>
              <w:right w:val="nil"/>
            </w:tcBorders>
            <w:shd w:val="clear" w:color="FFFFFF" w:fill="FFFFFF"/>
            <w:noWrap/>
            <w:vAlign w:val="bottom"/>
            <w:hideMark/>
          </w:tcPr>
          <w:p w14:paraId="670464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2E86BB8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4,664</w:t>
            </w:r>
          </w:p>
        </w:tc>
      </w:tr>
      <w:tr w:rsidR="00361BA1" w:rsidRPr="00361BA1" w14:paraId="2422E028" w14:textId="77777777" w:rsidTr="00084A73">
        <w:trPr>
          <w:trHeight w:val="255"/>
        </w:trPr>
        <w:tc>
          <w:tcPr>
            <w:tcW w:w="6367" w:type="dxa"/>
            <w:tcBorders>
              <w:top w:val="nil"/>
              <w:left w:val="nil"/>
              <w:bottom w:val="nil"/>
              <w:right w:val="nil"/>
            </w:tcBorders>
            <w:shd w:val="clear" w:color="FFFFFF" w:fill="FFFFFF"/>
            <w:noWrap/>
            <w:vAlign w:val="bottom"/>
            <w:hideMark/>
          </w:tcPr>
          <w:p w14:paraId="391B54E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 prepayments</w:t>
            </w:r>
          </w:p>
        </w:tc>
        <w:tc>
          <w:tcPr>
            <w:tcW w:w="1246" w:type="dxa"/>
            <w:tcBorders>
              <w:top w:val="nil"/>
              <w:left w:val="nil"/>
              <w:bottom w:val="nil"/>
              <w:right w:val="nil"/>
            </w:tcBorders>
            <w:shd w:val="clear" w:color="FFFFFF" w:fill="FFFFFF"/>
            <w:noWrap/>
            <w:vAlign w:val="bottom"/>
            <w:hideMark/>
          </w:tcPr>
          <w:p w14:paraId="6895F31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7,567</w:t>
            </w:r>
          </w:p>
        </w:tc>
        <w:tc>
          <w:tcPr>
            <w:tcW w:w="236" w:type="dxa"/>
            <w:tcBorders>
              <w:top w:val="nil"/>
              <w:left w:val="nil"/>
              <w:bottom w:val="nil"/>
              <w:right w:val="nil"/>
            </w:tcBorders>
            <w:shd w:val="clear" w:color="FFFFFF" w:fill="FFFFFF"/>
            <w:noWrap/>
            <w:vAlign w:val="bottom"/>
            <w:hideMark/>
          </w:tcPr>
          <w:p w14:paraId="5B9BDF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nil"/>
              <w:left w:val="nil"/>
              <w:bottom w:val="nil"/>
              <w:right w:val="nil"/>
            </w:tcBorders>
            <w:shd w:val="clear" w:color="FFFFFF" w:fill="FFFFFF"/>
            <w:noWrap/>
            <w:vAlign w:val="bottom"/>
            <w:hideMark/>
          </w:tcPr>
          <w:p w14:paraId="05D0539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390</w:t>
            </w:r>
          </w:p>
        </w:tc>
      </w:tr>
      <w:tr w:rsidR="00361BA1" w:rsidRPr="00361BA1" w14:paraId="16492B55" w14:textId="77777777" w:rsidTr="00084A73">
        <w:trPr>
          <w:trHeight w:val="255"/>
        </w:trPr>
        <w:tc>
          <w:tcPr>
            <w:tcW w:w="6367" w:type="dxa"/>
            <w:tcBorders>
              <w:top w:val="nil"/>
              <w:left w:val="nil"/>
              <w:bottom w:val="nil"/>
              <w:right w:val="nil"/>
            </w:tcBorders>
            <w:shd w:val="clear" w:color="FFFFFF" w:fill="FFFFFF"/>
            <w:vAlign w:val="bottom"/>
            <w:hideMark/>
          </w:tcPr>
          <w:p w14:paraId="68FE296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other non-financial assets</w:t>
            </w:r>
          </w:p>
        </w:tc>
        <w:tc>
          <w:tcPr>
            <w:tcW w:w="1246" w:type="dxa"/>
            <w:tcBorders>
              <w:top w:val="single" w:sz="4" w:space="0" w:color="auto"/>
              <w:left w:val="nil"/>
              <w:bottom w:val="single" w:sz="4" w:space="0" w:color="auto"/>
              <w:right w:val="nil"/>
            </w:tcBorders>
            <w:shd w:val="clear" w:color="FFFFFF" w:fill="FFFFFF"/>
            <w:noWrap/>
            <w:vAlign w:val="bottom"/>
            <w:hideMark/>
          </w:tcPr>
          <w:p w14:paraId="7986800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12,414</w:t>
            </w:r>
          </w:p>
        </w:tc>
        <w:tc>
          <w:tcPr>
            <w:tcW w:w="236" w:type="dxa"/>
            <w:tcBorders>
              <w:top w:val="nil"/>
              <w:left w:val="nil"/>
              <w:bottom w:val="nil"/>
              <w:right w:val="nil"/>
            </w:tcBorders>
            <w:shd w:val="clear" w:color="FFFFFF" w:fill="FFFFFF"/>
            <w:noWrap/>
            <w:vAlign w:val="bottom"/>
            <w:hideMark/>
          </w:tcPr>
          <w:p w14:paraId="37EB385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790" w:type="dxa"/>
            <w:tcBorders>
              <w:top w:val="single" w:sz="4" w:space="0" w:color="auto"/>
              <w:left w:val="nil"/>
              <w:bottom w:val="single" w:sz="4" w:space="0" w:color="auto"/>
              <w:right w:val="nil"/>
            </w:tcBorders>
            <w:shd w:val="clear" w:color="FFFFFF" w:fill="FFFFFF"/>
            <w:noWrap/>
            <w:vAlign w:val="bottom"/>
            <w:hideMark/>
          </w:tcPr>
          <w:p w14:paraId="55DCE4F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5,833</w:t>
            </w:r>
          </w:p>
        </w:tc>
      </w:tr>
    </w:tbl>
    <w:p w14:paraId="10100D8F"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p w14:paraId="52E4EAD5" w14:textId="77777777" w:rsidR="00361BA1" w:rsidRPr="00361BA1" w:rsidRDefault="00361BA1" w:rsidP="00361BA1">
      <w:pPr>
        <w:spacing w:before="0" w:after="80"/>
        <w:ind w:left="0"/>
        <w:rPr>
          <w:rFonts w:eastAsia="Times New Roman" w:cs="Times New Roman"/>
          <w:sz w:val="18"/>
          <w:szCs w:val="20"/>
          <w:lang w:eastAsia="en-AU"/>
        </w:rPr>
      </w:pPr>
      <w:r w:rsidRPr="00361BA1">
        <w:rPr>
          <w:rFonts w:eastAsia="Times New Roman" w:cs="Times New Roman"/>
          <w:sz w:val="18"/>
          <w:szCs w:val="20"/>
          <w:lang w:eastAsia="en-AU"/>
        </w:rPr>
        <w:t>No indicators of impairment were found for other non-financial assets.</w:t>
      </w:r>
    </w:p>
    <w:tbl>
      <w:tblPr>
        <w:tblStyle w:val="TableGrid2"/>
        <w:tblW w:w="53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ootnotes"/>
      </w:tblPr>
      <w:tblGrid>
        <w:gridCol w:w="281"/>
        <w:gridCol w:w="9359"/>
      </w:tblGrid>
      <w:tr w:rsidR="00361BA1" w:rsidRPr="00361BA1" w14:paraId="356A4423" w14:textId="77777777" w:rsidTr="00D97797">
        <w:trPr>
          <w:trHeight w:val="618"/>
          <w:tblHeader/>
        </w:trPr>
        <w:tc>
          <w:tcPr>
            <w:tcW w:w="146" w:type="pct"/>
            <w:tcMar>
              <w:left w:w="0" w:type="dxa"/>
              <w:right w:w="0" w:type="dxa"/>
            </w:tcMar>
          </w:tcPr>
          <w:p w14:paraId="3311DCF3" w14:textId="77777777" w:rsidR="00361BA1" w:rsidRPr="00361BA1" w:rsidRDefault="00361BA1" w:rsidP="00361BA1">
            <w:pPr>
              <w:spacing w:before="0" w:after="0" w:line="260" w:lineRule="atLeast"/>
              <w:ind w:left="0"/>
              <w:jc w:val="center"/>
              <w:rPr>
                <w:rFonts w:ascii="Times New Roman" w:eastAsia="Times New Roman" w:hAnsi="Times New Roman" w:cs="Times New Roman"/>
                <w:lang w:eastAsia="en-US"/>
              </w:rPr>
            </w:pPr>
            <w:r w:rsidRPr="00361BA1">
              <w:rPr>
                <w:rFonts w:eastAsia="Calibri"/>
                <w:sz w:val="18"/>
                <w:szCs w:val="18"/>
                <w:vertAlign w:val="superscript"/>
                <w:lang w:eastAsia="en-US"/>
              </w:rPr>
              <w:t>1</w:t>
            </w:r>
          </w:p>
        </w:tc>
        <w:tc>
          <w:tcPr>
            <w:tcW w:w="4854" w:type="pct"/>
            <w:tcMar>
              <w:left w:w="0" w:type="dxa"/>
              <w:right w:w="0" w:type="dxa"/>
            </w:tcMar>
          </w:tcPr>
          <w:p w14:paraId="4F561B8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Participant advances represent payments that have been made to self-managed participants in the Scheme in advance of support being provided.</w:t>
            </w:r>
          </w:p>
        </w:tc>
      </w:tr>
      <w:tr w:rsidR="00361BA1" w:rsidRPr="00361BA1" w14:paraId="57064EB7" w14:textId="77777777" w:rsidTr="00D97797">
        <w:trPr>
          <w:trHeight w:val="618"/>
          <w:tblHeader/>
        </w:trPr>
        <w:tc>
          <w:tcPr>
            <w:tcW w:w="146" w:type="pct"/>
            <w:tcMar>
              <w:left w:w="0" w:type="dxa"/>
              <w:right w:w="0" w:type="dxa"/>
            </w:tcMar>
          </w:tcPr>
          <w:p w14:paraId="48C4BA7F" w14:textId="77777777" w:rsidR="00361BA1" w:rsidRPr="00361BA1" w:rsidRDefault="00361BA1" w:rsidP="00361BA1">
            <w:pPr>
              <w:spacing w:before="0" w:after="0" w:line="260" w:lineRule="atLeast"/>
              <w:ind w:left="0"/>
              <w:jc w:val="center"/>
              <w:rPr>
                <w:rFonts w:eastAsia="Calibri"/>
                <w:color w:val="00B050"/>
                <w:sz w:val="18"/>
                <w:szCs w:val="18"/>
                <w:vertAlign w:val="superscript"/>
                <w:lang w:eastAsia="en-US"/>
              </w:rPr>
            </w:pPr>
            <w:r w:rsidRPr="00361BA1">
              <w:rPr>
                <w:rFonts w:eastAsia="Calibri"/>
                <w:sz w:val="18"/>
                <w:szCs w:val="18"/>
                <w:vertAlign w:val="superscript"/>
                <w:lang w:eastAsia="en-US"/>
              </w:rPr>
              <w:t>2</w:t>
            </w:r>
          </w:p>
        </w:tc>
        <w:tc>
          <w:tcPr>
            <w:tcW w:w="4854" w:type="pct"/>
            <w:tcMar>
              <w:left w:w="0" w:type="dxa"/>
              <w:right w:w="0" w:type="dxa"/>
            </w:tcMar>
          </w:tcPr>
          <w:p w14:paraId="3E33746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xml:space="preserve">Participant plan prepayments represent payments that have been made to providers in advance of supports being utilised by participants. </w:t>
            </w:r>
          </w:p>
        </w:tc>
      </w:tr>
    </w:tbl>
    <w:p w14:paraId="2806A982"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22A1B0B4" w14:textId="77777777" w:rsidR="00361BA1" w:rsidRPr="00361BA1" w:rsidRDefault="00361BA1" w:rsidP="00361BA1">
      <w:pPr>
        <w:spacing w:before="0" w:after="0"/>
        <w:ind w:left="0"/>
        <w:rPr>
          <w:rFonts w:ascii="Times New Roman" w:eastAsia="Times New Roman" w:hAnsi="Times New Roman" w:cs="Times New Roman"/>
          <w:szCs w:val="20"/>
          <w:lang w:eastAsia="en-US"/>
        </w:rPr>
      </w:pPr>
      <w:r w:rsidRPr="00361BA1">
        <w:rPr>
          <w:rFonts w:ascii="Times New Roman" w:eastAsia="Times New Roman" w:hAnsi="Times New Roman" w:cs="Times New Roman"/>
          <w:szCs w:val="20"/>
          <w:lang w:eastAsia="en-US"/>
        </w:rPr>
        <w:br w:type="page"/>
      </w:r>
    </w:p>
    <w:p w14:paraId="3004A004" w14:textId="3F57AF77" w:rsidR="00361BA1" w:rsidRPr="00361BA1" w:rsidRDefault="00361BA1" w:rsidP="00084A73">
      <w:pPr>
        <w:pStyle w:val="SubHeading"/>
      </w:pPr>
      <w:bookmarkStart w:id="80" w:name="_Toc41479165"/>
      <w:r w:rsidRPr="00361BA1">
        <w:lastRenderedPageBreak/>
        <w:t>Payables</w:t>
      </w:r>
      <w:bookmarkEnd w:id="80"/>
    </w:p>
    <w:tbl>
      <w:tblPr>
        <w:tblW w:w="9087" w:type="dxa"/>
        <w:tblLayout w:type="fixed"/>
        <w:tblLook w:val="04A0" w:firstRow="1" w:lastRow="0" w:firstColumn="1" w:lastColumn="0" w:noHBand="0" w:noVBand="1"/>
      </w:tblPr>
      <w:tblGrid>
        <w:gridCol w:w="6367"/>
        <w:gridCol w:w="1246"/>
        <w:gridCol w:w="236"/>
        <w:gridCol w:w="1238"/>
      </w:tblGrid>
      <w:tr w:rsidR="00361BA1" w:rsidRPr="00361BA1" w14:paraId="127F309A" w14:textId="77777777" w:rsidTr="00361BA1">
        <w:trPr>
          <w:trHeight w:val="255"/>
        </w:trPr>
        <w:tc>
          <w:tcPr>
            <w:tcW w:w="6367" w:type="dxa"/>
            <w:tcBorders>
              <w:top w:val="nil"/>
              <w:left w:val="nil"/>
              <w:bottom w:val="nil"/>
              <w:right w:val="nil"/>
            </w:tcBorders>
            <w:shd w:val="clear" w:color="FFFFFF" w:fill="FFFFFF"/>
            <w:noWrap/>
            <w:vAlign w:val="bottom"/>
            <w:hideMark/>
          </w:tcPr>
          <w:p w14:paraId="3C7B7CE4" w14:textId="77777777" w:rsidR="00361BA1" w:rsidRPr="00361BA1" w:rsidRDefault="00361BA1" w:rsidP="00361BA1">
            <w:pPr>
              <w:spacing w:before="0" w:after="0" w:line="260" w:lineRule="atLeast"/>
              <w:ind w:left="0"/>
              <w:rPr>
                <w:rFonts w:eastAsia="Times New Roman"/>
                <w:sz w:val="18"/>
                <w:szCs w:val="18"/>
                <w:lang w:eastAsia="en-US"/>
              </w:rPr>
            </w:pPr>
            <w:bookmarkStart w:id="81" w:name="Note_SPA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6872FC9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1E50E47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059077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81"/>
      <w:tr w:rsidR="00361BA1" w:rsidRPr="00361BA1" w14:paraId="33AAF626" w14:textId="77777777" w:rsidTr="00361BA1">
        <w:trPr>
          <w:trHeight w:val="263"/>
        </w:trPr>
        <w:tc>
          <w:tcPr>
            <w:tcW w:w="6367" w:type="dxa"/>
            <w:tcBorders>
              <w:top w:val="nil"/>
              <w:left w:val="nil"/>
              <w:bottom w:val="nil"/>
              <w:right w:val="nil"/>
            </w:tcBorders>
            <w:shd w:val="clear" w:color="FFFFFF" w:fill="FFFFFF"/>
            <w:noWrap/>
            <w:vAlign w:val="bottom"/>
            <w:hideMark/>
          </w:tcPr>
          <w:p w14:paraId="3478406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noWrap/>
            <w:vAlign w:val="bottom"/>
            <w:hideMark/>
          </w:tcPr>
          <w:p w14:paraId="044BEC6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6FB86F8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19C490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7B655D88" w14:textId="77777777" w:rsidTr="00361BA1">
        <w:trPr>
          <w:trHeight w:val="263"/>
        </w:trPr>
        <w:tc>
          <w:tcPr>
            <w:tcW w:w="6367" w:type="dxa"/>
            <w:tcBorders>
              <w:top w:val="nil"/>
              <w:left w:val="nil"/>
              <w:bottom w:val="nil"/>
              <w:right w:val="nil"/>
            </w:tcBorders>
            <w:shd w:val="clear" w:color="FFFFFF" w:fill="FFFFFF"/>
            <w:noWrap/>
            <w:vAlign w:val="bottom"/>
            <w:hideMark/>
          </w:tcPr>
          <w:p w14:paraId="40B1F0C3"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2.3A: Suppliers</w:t>
            </w:r>
          </w:p>
        </w:tc>
        <w:tc>
          <w:tcPr>
            <w:tcW w:w="1246" w:type="dxa"/>
            <w:tcBorders>
              <w:top w:val="nil"/>
              <w:left w:val="nil"/>
              <w:bottom w:val="nil"/>
              <w:right w:val="nil"/>
            </w:tcBorders>
            <w:shd w:val="clear" w:color="FFFFFF" w:fill="FFFFFF"/>
            <w:noWrap/>
            <w:vAlign w:val="bottom"/>
            <w:hideMark/>
          </w:tcPr>
          <w:p w14:paraId="056E445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2401C0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080771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r>
      <w:tr w:rsidR="00361BA1" w:rsidRPr="00361BA1" w14:paraId="7664909B" w14:textId="77777777" w:rsidTr="00361BA1">
        <w:trPr>
          <w:trHeight w:val="255"/>
        </w:trPr>
        <w:tc>
          <w:tcPr>
            <w:tcW w:w="6367" w:type="dxa"/>
            <w:tcBorders>
              <w:top w:val="nil"/>
              <w:left w:val="nil"/>
              <w:bottom w:val="nil"/>
              <w:right w:val="nil"/>
            </w:tcBorders>
            <w:shd w:val="clear" w:color="FFFFFF" w:fill="FFFFFF"/>
            <w:vAlign w:val="bottom"/>
            <w:hideMark/>
          </w:tcPr>
          <w:p w14:paraId="7AC222B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Trade creditors and accruals</w:t>
            </w:r>
          </w:p>
        </w:tc>
        <w:tc>
          <w:tcPr>
            <w:tcW w:w="1246" w:type="dxa"/>
            <w:tcBorders>
              <w:top w:val="nil"/>
              <w:left w:val="nil"/>
              <w:bottom w:val="nil"/>
              <w:right w:val="nil"/>
            </w:tcBorders>
            <w:shd w:val="clear" w:color="FFFFFF" w:fill="FFFFFF"/>
            <w:noWrap/>
            <w:vAlign w:val="bottom"/>
            <w:hideMark/>
          </w:tcPr>
          <w:p w14:paraId="04BBA21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288,845</w:t>
            </w:r>
          </w:p>
        </w:tc>
        <w:tc>
          <w:tcPr>
            <w:tcW w:w="236" w:type="dxa"/>
            <w:tcBorders>
              <w:top w:val="nil"/>
              <w:left w:val="nil"/>
              <w:bottom w:val="nil"/>
              <w:right w:val="nil"/>
            </w:tcBorders>
            <w:shd w:val="clear" w:color="FFFFFF" w:fill="FFFFFF"/>
            <w:noWrap/>
            <w:vAlign w:val="bottom"/>
            <w:hideMark/>
          </w:tcPr>
          <w:p w14:paraId="2D457EA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E18BF0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130,910</w:t>
            </w:r>
          </w:p>
        </w:tc>
      </w:tr>
      <w:tr w:rsidR="00361BA1" w:rsidRPr="00361BA1" w14:paraId="34961D31" w14:textId="77777777" w:rsidTr="00361BA1">
        <w:trPr>
          <w:trHeight w:val="255"/>
        </w:trPr>
        <w:tc>
          <w:tcPr>
            <w:tcW w:w="6367" w:type="dxa"/>
            <w:tcBorders>
              <w:top w:val="nil"/>
              <w:left w:val="nil"/>
              <w:bottom w:val="nil"/>
              <w:right w:val="nil"/>
            </w:tcBorders>
            <w:shd w:val="clear" w:color="FFFFFF" w:fill="FFFFFF"/>
            <w:vAlign w:val="bottom"/>
            <w:hideMark/>
          </w:tcPr>
          <w:p w14:paraId="0B0C853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Operating lease liabilities</w:t>
            </w:r>
          </w:p>
        </w:tc>
        <w:tc>
          <w:tcPr>
            <w:tcW w:w="1246" w:type="dxa"/>
            <w:tcBorders>
              <w:top w:val="nil"/>
              <w:left w:val="nil"/>
              <w:bottom w:val="nil"/>
              <w:right w:val="nil"/>
            </w:tcBorders>
            <w:shd w:val="clear" w:color="FFFFFF" w:fill="FFFFFF"/>
            <w:noWrap/>
            <w:vAlign w:val="bottom"/>
            <w:hideMark/>
          </w:tcPr>
          <w:p w14:paraId="7A5E7E7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1625A67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D7109E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9,417</w:t>
            </w:r>
          </w:p>
        </w:tc>
      </w:tr>
      <w:tr w:rsidR="00361BA1" w:rsidRPr="00361BA1" w14:paraId="0A908933" w14:textId="77777777" w:rsidTr="00361BA1">
        <w:trPr>
          <w:trHeight w:val="255"/>
        </w:trPr>
        <w:tc>
          <w:tcPr>
            <w:tcW w:w="6367" w:type="dxa"/>
            <w:tcBorders>
              <w:top w:val="nil"/>
              <w:left w:val="nil"/>
              <w:bottom w:val="nil"/>
              <w:right w:val="nil"/>
            </w:tcBorders>
            <w:shd w:val="clear" w:color="FFFFFF" w:fill="FFFFFF"/>
            <w:vAlign w:val="bottom"/>
            <w:hideMark/>
          </w:tcPr>
          <w:p w14:paraId="7DEAA9B4"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suppliers</w:t>
            </w:r>
          </w:p>
        </w:tc>
        <w:tc>
          <w:tcPr>
            <w:tcW w:w="1246" w:type="dxa"/>
            <w:tcBorders>
              <w:top w:val="single" w:sz="4" w:space="0" w:color="auto"/>
              <w:left w:val="nil"/>
              <w:bottom w:val="single" w:sz="4" w:space="0" w:color="auto"/>
              <w:right w:val="nil"/>
            </w:tcBorders>
            <w:shd w:val="clear" w:color="FFFFFF" w:fill="FFFFFF"/>
            <w:noWrap/>
            <w:vAlign w:val="bottom"/>
            <w:hideMark/>
          </w:tcPr>
          <w:p w14:paraId="2E7D547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288,845</w:t>
            </w:r>
          </w:p>
        </w:tc>
        <w:tc>
          <w:tcPr>
            <w:tcW w:w="236" w:type="dxa"/>
            <w:tcBorders>
              <w:top w:val="nil"/>
              <w:left w:val="nil"/>
              <w:bottom w:val="nil"/>
              <w:right w:val="nil"/>
            </w:tcBorders>
            <w:shd w:val="clear" w:color="FFFFFF" w:fill="FFFFFF"/>
            <w:noWrap/>
            <w:vAlign w:val="bottom"/>
            <w:hideMark/>
          </w:tcPr>
          <w:p w14:paraId="191EB05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496032F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140,327</w:t>
            </w:r>
          </w:p>
        </w:tc>
      </w:tr>
    </w:tbl>
    <w:p w14:paraId="65EC1DFA"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2E46DF5B" w14:textId="77777777" w:rsidR="00361BA1" w:rsidRPr="00361BA1" w:rsidRDefault="00361BA1" w:rsidP="00361BA1">
      <w:pPr>
        <w:spacing w:before="0" w:after="0"/>
        <w:ind w:left="0"/>
        <w:rPr>
          <w:rFonts w:eastAsia="Times New Roman"/>
          <w:sz w:val="18"/>
          <w:szCs w:val="18"/>
          <w:lang w:eastAsia="en-US"/>
        </w:rPr>
      </w:pPr>
      <w:r w:rsidRPr="00361BA1">
        <w:rPr>
          <w:rFonts w:eastAsia="Times New Roman"/>
          <w:sz w:val="18"/>
          <w:szCs w:val="18"/>
          <w:lang w:eastAsia="en-US"/>
        </w:rPr>
        <w:t>Settlement is expected to be made for suppliers within 30 days (</w:t>
      </w:r>
      <w:r w:rsidRPr="00361BA1">
        <w:rPr>
          <w:rFonts w:eastAsia="Times New Roman"/>
          <w:sz w:val="18"/>
          <w:szCs w:val="18"/>
          <w:lang w:eastAsia="en-US"/>
        </w:rPr>
        <w:fldChar w:fldCharType="begin"/>
      </w:r>
      <w:r w:rsidRPr="00361BA1">
        <w:rPr>
          <w:rFonts w:eastAsia="Times New Roman"/>
          <w:sz w:val="18"/>
          <w:szCs w:val="18"/>
          <w:lang w:eastAsia="en-US"/>
        </w:rPr>
        <w:instrText xml:space="preserve"> DOCPROPERTY  prYear  \* MERGEFORMAT </w:instrText>
      </w:r>
      <w:r w:rsidRPr="00361BA1">
        <w:rPr>
          <w:rFonts w:eastAsia="Times New Roman"/>
          <w:sz w:val="18"/>
          <w:szCs w:val="18"/>
          <w:lang w:eastAsia="en-US"/>
        </w:rPr>
        <w:fldChar w:fldCharType="separate"/>
      </w:r>
      <w:r w:rsidRPr="00361BA1">
        <w:rPr>
          <w:rFonts w:eastAsia="Times New Roman"/>
          <w:sz w:val="18"/>
          <w:szCs w:val="18"/>
          <w:lang w:eastAsia="en-US"/>
        </w:rPr>
        <w:t>2019</w:t>
      </w:r>
      <w:r w:rsidRPr="00361BA1">
        <w:rPr>
          <w:rFonts w:eastAsia="Times New Roman"/>
          <w:sz w:val="18"/>
          <w:szCs w:val="18"/>
          <w:lang w:eastAsia="en-US"/>
        </w:rPr>
        <w:fldChar w:fldCharType="end"/>
      </w:r>
      <w:r w:rsidRPr="00361BA1">
        <w:rPr>
          <w:rFonts w:eastAsia="Times New Roman"/>
          <w:sz w:val="18"/>
          <w:szCs w:val="18"/>
          <w:lang w:eastAsia="en-US"/>
        </w:rPr>
        <w:t>: 30 days).</w:t>
      </w:r>
    </w:p>
    <w:p w14:paraId="6FF3703C" w14:textId="77777777" w:rsidR="00361BA1" w:rsidRPr="00361BA1" w:rsidRDefault="00361BA1" w:rsidP="00361BA1">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0FD9F5B2" w14:textId="77777777" w:rsidTr="00361BA1">
        <w:trPr>
          <w:trHeight w:val="263"/>
        </w:trPr>
        <w:tc>
          <w:tcPr>
            <w:tcW w:w="6367" w:type="dxa"/>
            <w:tcBorders>
              <w:top w:val="nil"/>
              <w:left w:val="nil"/>
              <w:bottom w:val="nil"/>
              <w:right w:val="nil"/>
            </w:tcBorders>
            <w:shd w:val="clear" w:color="FFFFFF" w:fill="FFFFFF"/>
            <w:noWrap/>
            <w:vAlign w:val="bottom"/>
            <w:hideMark/>
          </w:tcPr>
          <w:p w14:paraId="6925A741"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82" w:name="Note_OPBTABLE1" w:colFirst="0" w:colLast="0"/>
            <w:r w:rsidRPr="00361BA1">
              <w:rPr>
                <w:rFonts w:eastAsia="Times New Roman"/>
                <w:b/>
                <w:bCs/>
                <w:sz w:val="18"/>
                <w:szCs w:val="18"/>
                <w:u w:val="single"/>
                <w:lang w:eastAsia="en-US"/>
              </w:rPr>
              <w:t>Note 2.3B: Other payables</w:t>
            </w:r>
          </w:p>
        </w:tc>
        <w:tc>
          <w:tcPr>
            <w:tcW w:w="1246" w:type="dxa"/>
            <w:tcBorders>
              <w:top w:val="nil"/>
              <w:left w:val="nil"/>
              <w:bottom w:val="nil"/>
              <w:right w:val="nil"/>
            </w:tcBorders>
            <w:shd w:val="clear" w:color="FFFFFF" w:fill="FFFFFF"/>
            <w:noWrap/>
            <w:vAlign w:val="bottom"/>
            <w:hideMark/>
          </w:tcPr>
          <w:p w14:paraId="648E536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321D09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34BD9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82"/>
      <w:tr w:rsidR="00361BA1" w:rsidRPr="00361BA1" w14:paraId="50753BAD" w14:textId="77777777" w:rsidTr="00361BA1">
        <w:trPr>
          <w:trHeight w:val="255"/>
        </w:trPr>
        <w:tc>
          <w:tcPr>
            <w:tcW w:w="6367" w:type="dxa"/>
            <w:tcBorders>
              <w:top w:val="nil"/>
              <w:left w:val="nil"/>
              <w:bottom w:val="nil"/>
              <w:right w:val="nil"/>
            </w:tcBorders>
            <w:shd w:val="clear" w:color="FFFFFF" w:fill="FFFFFF"/>
            <w:vAlign w:val="bottom"/>
            <w:hideMark/>
          </w:tcPr>
          <w:p w14:paraId="37B35CC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Salaries and wages</w:t>
            </w:r>
          </w:p>
        </w:tc>
        <w:tc>
          <w:tcPr>
            <w:tcW w:w="1246" w:type="dxa"/>
            <w:tcBorders>
              <w:top w:val="nil"/>
              <w:left w:val="nil"/>
              <w:bottom w:val="nil"/>
              <w:right w:val="nil"/>
            </w:tcBorders>
            <w:shd w:val="clear" w:color="FFFFFF" w:fill="FFFFFF"/>
            <w:noWrap/>
            <w:vAlign w:val="bottom"/>
            <w:hideMark/>
          </w:tcPr>
          <w:p w14:paraId="76FBD24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5,031</w:t>
            </w:r>
          </w:p>
        </w:tc>
        <w:tc>
          <w:tcPr>
            <w:tcW w:w="236" w:type="dxa"/>
            <w:tcBorders>
              <w:top w:val="nil"/>
              <w:left w:val="nil"/>
              <w:bottom w:val="nil"/>
              <w:right w:val="nil"/>
            </w:tcBorders>
            <w:shd w:val="clear" w:color="FFFFFF" w:fill="FFFFFF"/>
            <w:noWrap/>
            <w:vAlign w:val="bottom"/>
            <w:hideMark/>
          </w:tcPr>
          <w:p w14:paraId="35BDE0C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065122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1,833</w:t>
            </w:r>
          </w:p>
        </w:tc>
      </w:tr>
      <w:tr w:rsidR="00361BA1" w:rsidRPr="00361BA1" w14:paraId="7BB5C3CA" w14:textId="77777777" w:rsidTr="00361BA1">
        <w:trPr>
          <w:trHeight w:val="255"/>
        </w:trPr>
        <w:tc>
          <w:tcPr>
            <w:tcW w:w="6367" w:type="dxa"/>
            <w:tcBorders>
              <w:top w:val="nil"/>
              <w:left w:val="nil"/>
              <w:bottom w:val="nil"/>
              <w:right w:val="nil"/>
            </w:tcBorders>
            <w:shd w:val="clear" w:color="FFFFFF" w:fill="FFFFFF"/>
            <w:vAlign w:val="bottom"/>
            <w:hideMark/>
          </w:tcPr>
          <w:p w14:paraId="3C7F44D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Superannuation</w:t>
            </w:r>
          </w:p>
        </w:tc>
        <w:tc>
          <w:tcPr>
            <w:tcW w:w="1246" w:type="dxa"/>
            <w:tcBorders>
              <w:top w:val="nil"/>
              <w:left w:val="nil"/>
              <w:bottom w:val="nil"/>
              <w:right w:val="nil"/>
            </w:tcBorders>
            <w:shd w:val="clear" w:color="FFFFFF" w:fill="FFFFFF"/>
            <w:noWrap/>
            <w:vAlign w:val="bottom"/>
            <w:hideMark/>
          </w:tcPr>
          <w:p w14:paraId="7980187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882</w:t>
            </w:r>
          </w:p>
        </w:tc>
        <w:tc>
          <w:tcPr>
            <w:tcW w:w="236" w:type="dxa"/>
            <w:tcBorders>
              <w:top w:val="nil"/>
              <w:left w:val="nil"/>
              <w:bottom w:val="nil"/>
              <w:right w:val="nil"/>
            </w:tcBorders>
            <w:shd w:val="clear" w:color="FFFFFF" w:fill="FFFFFF"/>
            <w:noWrap/>
            <w:vAlign w:val="bottom"/>
            <w:hideMark/>
          </w:tcPr>
          <w:p w14:paraId="423831F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0E2111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335</w:t>
            </w:r>
          </w:p>
        </w:tc>
      </w:tr>
      <w:tr w:rsidR="00361BA1" w:rsidRPr="00361BA1" w14:paraId="4864B33B" w14:textId="77777777" w:rsidTr="00361BA1">
        <w:trPr>
          <w:trHeight w:val="255"/>
        </w:trPr>
        <w:tc>
          <w:tcPr>
            <w:tcW w:w="6367" w:type="dxa"/>
            <w:tcBorders>
              <w:top w:val="nil"/>
              <w:left w:val="nil"/>
              <w:bottom w:val="nil"/>
              <w:right w:val="nil"/>
            </w:tcBorders>
            <w:shd w:val="clear" w:color="FFFFFF" w:fill="FFFFFF"/>
            <w:vAlign w:val="bottom"/>
            <w:hideMark/>
          </w:tcPr>
          <w:p w14:paraId="07251DF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Other</w:t>
            </w:r>
          </w:p>
        </w:tc>
        <w:tc>
          <w:tcPr>
            <w:tcW w:w="1246" w:type="dxa"/>
            <w:tcBorders>
              <w:top w:val="nil"/>
              <w:left w:val="nil"/>
              <w:bottom w:val="nil"/>
              <w:right w:val="nil"/>
            </w:tcBorders>
            <w:shd w:val="clear" w:color="FFFFFF" w:fill="FFFFFF"/>
            <w:noWrap/>
            <w:vAlign w:val="bottom"/>
            <w:hideMark/>
          </w:tcPr>
          <w:p w14:paraId="35FA417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121</w:t>
            </w:r>
          </w:p>
        </w:tc>
        <w:tc>
          <w:tcPr>
            <w:tcW w:w="236" w:type="dxa"/>
            <w:tcBorders>
              <w:top w:val="nil"/>
              <w:left w:val="nil"/>
              <w:bottom w:val="nil"/>
              <w:right w:val="nil"/>
            </w:tcBorders>
            <w:shd w:val="clear" w:color="FFFFFF" w:fill="FFFFFF"/>
            <w:noWrap/>
            <w:vAlign w:val="bottom"/>
            <w:hideMark/>
          </w:tcPr>
          <w:p w14:paraId="5CADBAA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FDDBB3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125</w:t>
            </w:r>
          </w:p>
        </w:tc>
      </w:tr>
      <w:tr w:rsidR="00361BA1" w:rsidRPr="00361BA1" w14:paraId="0ADBDD25" w14:textId="77777777" w:rsidTr="00361BA1">
        <w:trPr>
          <w:trHeight w:val="255"/>
        </w:trPr>
        <w:tc>
          <w:tcPr>
            <w:tcW w:w="6367" w:type="dxa"/>
            <w:tcBorders>
              <w:top w:val="nil"/>
              <w:left w:val="nil"/>
              <w:bottom w:val="nil"/>
              <w:right w:val="nil"/>
            </w:tcBorders>
            <w:shd w:val="clear" w:color="FFFFFF" w:fill="FFFFFF"/>
            <w:vAlign w:val="bottom"/>
            <w:hideMark/>
          </w:tcPr>
          <w:p w14:paraId="5A3CAE6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xml:space="preserve">Total other payables </w:t>
            </w:r>
          </w:p>
        </w:tc>
        <w:tc>
          <w:tcPr>
            <w:tcW w:w="1246" w:type="dxa"/>
            <w:tcBorders>
              <w:top w:val="single" w:sz="4" w:space="0" w:color="auto"/>
              <w:left w:val="nil"/>
              <w:bottom w:val="single" w:sz="4" w:space="0" w:color="auto"/>
              <w:right w:val="nil"/>
            </w:tcBorders>
            <w:shd w:val="clear" w:color="FFFFFF" w:fill="FFFFFF"/>
            <w:noWrap/>
            <w:vAlign w:val="bottom"/>
            <w:hideMark/>
          </w:tcPr>
          <w:p w14:paraId="64FAB82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6,034</w:t>
            </w:r>
          </w:p>
        </w:tc>
        <w:tc>
          <w:tcPr>
            <w:tcW w:w="236" w:type="dxa"/>
            <w:tcBorders>
              <w:top w:val="nil"/>
              <w:left w:val="nil"/>
              <w:bottom w:val="nil"/>
              <w:right w:val="nil"/>
            </w:tcBorders>
            <w:shd w:val="clear" w:color="FFFFFF" w:fill="FFFFFF"/>
            <w:noWrap/>
            <w:vAlign w:val="bottom"/>
            <w:hideMark/>
          </w:tcPr>
          <w:p w14:paraId="0178504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7FAC2A3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2,293</w:t>
            </w:r>
          </w:p>
        </w:tc>
      </w:tr>
    </w:tbl>
    <w:p w14:paraId="2FBF81C6"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60E25EA5"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6755D859"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Cs/>
          <w:sz w:val="18"/>
          <w:szCs w:val="18"/>
          <w:lang w:eastAsia="en-US"/>
        </w:rPr>
        <w:t>Financial liabilities, including supplier and other payables, are initially measured at fair value, net of transaction costs. These liabilities are subsequently measured at amortised cost using the effective interest method, with interest expense recognised on an effective yield basis.</w:t>
      </w:r>
      <w:r w:rsidRPr="00361BA1">
        <w:rPr>
          <w:rFonts w:eastAsia="Times New Roman"/>
          <w:b/>
          <w:bCs/>
          <w:color w:val="FF0000"/>
          <w:sz w:val="18"/>
          <w:szCs w:val="18"/>
          <w:lang w:eastAsia="en-US"/>
        </w:rPr>
        <w:t xml:space="preserve"> </w:t>
      </w:r>
    </w:p>
    <w:p w14:paraId="6359CA90"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06BCD64D" w14:textId="4B811C2B" w:rsidR="00361BA1" w:rsidRPr="00361BA1" w:rsidRDefault="00361BA1" w:rsidP="00084A73">
      <w:pPr>
        <w:pStyle w:val="SubHeading"/>
      </w:pPr>
      <w:bookmarkStart w:id="83" w:name="_Toc41479166"/>
      <w:r w:rsidRPr="00361BA1">
        <w:t>Unearned Income</w:t>
      </w:r>
      <w:bookmarkEnd w:id="83"/>
    </w:p>
    <w:tbl>
      <w:tblPr>
        <w:tblW w:w="9087" w:type="dxa"/>
        <w:tblLayout w:type="fixed"/>
        <w:tblLook w:val="04A0" w:firstRow="1" w:lastRow="0" w:firstColumn="1" w:lastColumn="0" w:noHBand="0" w:noVBand="1"/>
      </w:tblPr>
      <w:tblGrid>
        <w:gridCol w:w="6367"/>
        <w:gridCol w:w="1246"/>
        <w:gridCol w:w="236"/>
        <w:gridCol w:w="1238"/>
      </w:tblGrid>
      <w:tr w:rsidR="00361BA1" w:rsidRPr="00361BA1" w14:paraId="5548BB83" w14:textId="77777777" w:rsidTr="00361BA1">
        <w:trPr>
          <w:trHeight w:val="240"/>
        </w:trPr>
        <w:tc>
          <w:tcPr>
            <w:tcW w:w="6367" w:type="dxa"/>
            <w:tcBorders>
              <w:top w:val="nil"/>
              <w:left w:val="nil"/>
              <w:bottom w:val="nil"/>
              <w:right w:val="nil"/>
            </w:tcBorders>
            <w:shd w:val="clear" w:color="FFFFFF" w:fill="FFFFFF"/>
            <w:noWrap/>
            <w:vAlign w:val="bottom"/>
            <w:hideMark/>
          </w:tcPr>
          <w:p w14:paraId="1575EF3D"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84" w:name="Note_PPPTABLE1" w:colFirst="0" w:colLast="0"/>
            <w:r w:rsidRPr="00361BA1">
              <w:rPr>
                <w:rFonts w:eastAsia="Times New Roman"/>
                <w:b/>
                <w:bCs/>
                <w:sz w:val="18"/>
                <w:szCs w:val="18"/>
                <w:u w:val="single"/>
                <w:lang w:eastAsia="en-US"/>
              </w:rPr>
              <w:t>Note 2.4: Unearned revenue</w:t>
            </w:r>
          </w:p>
        </w:tc>
        <w:tc>
          <w:tcPr>
            <w:tcW w:w="1246" w:type="dxa"/>
            <w:tcBorders>
              <w:top w:val="nil"/>
              <w:left w:val="nil"/>
              <w:bottom w:val="nil"/>
              <w:right w:val="nil"/>
            </w:tcBorders>
            <w:shd w:val="clear" w:color="FFFFFF" w:fill="FFFFFF"/>
            <w:noWrap/>
            <w:vAlign w:val="bottom"/>
            <w:hideMark/>
          </w:tcPr>
          <w:p w14:paraId="6867B18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D1274F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81EEBC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84"/>
      <w:tr w:rsidR="00361BA1" w:rsidRPr="00361BA1" w14:paraId="2F4E2C7C" w14:textId="77777777" w:rsidTr="00361BA1">
        <w:trPr>
          <w:trHeight w:val="255"/>
        </w:trPr>
        <w:tc>
          <w:tcPr>
            <w:tcW w:w="6367" w:type="dxa"/>
            <w:tcBorders>
              <w:top w:val="nil"/>
              <w:left w:val="nil"/>
              <w:bottom w:val="nil"/>
              <w:right w:val="nil"/>
            </w:tcBorders>
            <w:shd w:val="clear" w:color="FFFFFF" w:fill="FFFFFF"/>
            <w:vAlign w:val="bottom"/>
            <w:hideMark/>
          </w:tcPr>
          <w:p w14:paraId="624E78A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Revenue received in advance - related entities</w:t>
            </w:r>
          </w:p>
        </w:tc>
        <w:tc>
          <w:tcPr>
            <w:tcW w:w="1246" w:type="dxa"/>
            <w:tcBorders>
              <w:top w:val="nil"/>
              <w:left w:val="nil"/>
              <w:bottom w:val="nil"/>
              <w:right w:val="nil"/>
            </w:tcBorders>
            <w:shd w:val="clear" w:color="FFFFFF" w:fill="FFFFFF"/>
            <w:noWrap/>
            <w:vAlign w:val="bottom"/>
            <w:hideMark/>
          </w:tcPr>
          <w:p w14:paraId="7777F70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16,593</w:t>
            </w:r>
          </w:p>
        </w:tc>
        <w:tc>
          <w:tcPr>
            <w:tcW w:w="236" w:type="dxa"/>
            <w:tcBorders>
              <w:top w:val="nil"/>
              <w:left w:val="nil"/>
              <w:bottom w:val="nil"/>
              <w:right w:val="nil"/>
            </w:tcBorders>
            <w:shd w:val="clear" w:color="FFFFFF" w:fill="FFFFFF"/>
            <w:noWrap/>
            <w:vAlign w:val="bottom"/>
            <w:hideMark/>
          </w:tcPr>
          <w:p w14:paraId="504DEA7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5828C65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390A1EDF" w14:textId="77777777" w:rsidTr="00361BA1">
        <w:trPr>
          <w:trHeight w:val="255"/>
        </w:trPr>
        <w:tc>
          <w:tcPr>
            <w:tcW w:w="6367" w:type="dxa"/>
            <w:tcBorders>
              <w:top w:val="nil"/>
              <w:left w:val="nil"/>
              <w:bottom w:val="nil"/>
              <w:right w:val="nil"/>
            </w:tcBorders>
            <w:shd w:val="clear" w:color="FFFFFF" w:fill="FFFFFF"/>
            <w:vAlign w:val="bottom"/>
            <w:hideMark/>
          </w:tcPr>
          <w:p w14:paraId="650D56F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Revenue received in advance - external entities</w:t>
            </w:r>
          </w:p>
        </w:tc>
        <w:tc>
          <w:tcPr>
            <w:tcW w:w="1246" w:type="dxa"/>
            <w:tcBorders>
              <w:top w:val="nil"/>
              <w:left w:val="nil"/>
              <w:bottom w:val="nil"/>
              <w:right w:val="nil"/>
            </w:tcBorders>
            <w:shd w:val="clear" w:color="FFFFFF" w:fill="FFFFFF"/>
            <w:noWrap/>
            <w:vAlign w:val="bottom"/>
            <w:hideMark/>
          </w:tcPr>
          <w:p w14:paraId="4BCDBA8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619,010</w:t>
            </w:r>
          </w:p>
        </w:tc>
        <w:tc>
          <w:tcPr>
            <w:tcW w:w="236" w:type="dxa"/>
            <w:tcBorders>
              <w:top w:val="nil"/>
              <w:left w:val="nil"/>
              <w:bottom w:val="nil"/>
              <w:right w:val="nil"/>
            </w:tcBorders>
            <w:shd w:val="clear" w:color="FFFFFF" w:fill="FFFFFF"/>
            <w:noWrap/>
            <w:vAlign w:val="bottom"/>
            <w:hideMark/>
          </w:tcPr>
          <w:p w14:paraId="2E7A093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nil"/>
              <w:left w:val="nil"/>
              <w:bottom w:val="nil"/>
              <w:right w:val="nil"/>
            </w:tcBorders>
            <w:shd w:val="clear" w:color="FFFFFF" w:fill="FFFFFF"/>
            <w:noWrap/>
            <w:vAlign w:val="bottom"/>
            <w:hideMark/>
          </w:tcPr>
          <w:p w14:paraId="1ABF541A"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430,000</w:t>
            </w:r>
          </w:p>
        </w:tc>
      </w:tr>
      <w:tr w:rsidR="00361BA1" w:rsidRPr="00361BA1" w14:paraId="07C696CD" w14:textId="77777777" w:rsidTr="00361BA1">
        <w:trPr>
          <w:trHeight w:val="255"/>
        </w:trPr>
        <w:tc>
          <w:tcPr>
            <w:tcW w:w="6367" w:type="dxa"/>
            <w:tcBorders>
              <w:top w:val="nil"/>
              <w:left w:val="nil"/>
              <w:bottom w:val="nil"/>
              <w:right w:val="nil"/>
            </w:tcBorders>
            <w:shd w:val="clear" w:color="FFFFFF" w:fill="FFFFFF"/>
            <w:vAlign w:val="bottom"/>
            <w:hideMark/>
          </w:tcPr>
          <w:p w14:paraId="544F180B"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unearned revenue</w:t>
            </w:r>
          </w:p>
        </w:tc>
        <w:tc>
          <w:tcPr>
            <w:tcW w:w="1246" w:type="dxa"/>
            <w:tcBorders>
              <w:top w:val="single" w:sz="4" w:space="0" w:color="auto"/>
              <w:left w:val="nil"/>
              <w:bottom w:val="single" w:sz="4" w:space="0" w:color="auto"/>
              <w:right w:val="nil"/>
            </w:tcBorders>
            <w:shd w:val="clear" w:color="FFFFFF" w:fill="FFFFFF"/>
            <w:noWrap/>
            <w:vAlign w:val="bottom"/>
            <w:hideMark/>
          </w:tcPr>
          <w:p w14:paraId="795A3F5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635,603</w:t>
            </w:r>
          </w:p>
        </w:tc>
        <w:tc>
          <w:tcPr>
            <w:tcW w:w="236" w:type="dxa"/>
            <w:tcBorders>
              <w:top w:val="nil"/>
              <w:left w:val="nil"/>
              <w:bottom w:val="nil"/>
              <w:right w:val="nil"/>
            </w:tcBorders>
            <w:shd w:val="clear" w:color="FFFFFF" w:fill="FFFFFF"/>
            <w:noWrap/>
            <w:vAlign w:val="bottom"/>
            <w:hideMark/>
          </w:tcPr>
          <w:p w14:paraId="163C51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230EBF1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430,000</w:t>
            </w:r>
          </w:p>
        </w:tc>
      </w:tr>
      <w:tr w:rsidR="00361BA1" w:rsidRPr="00361BA1" w14:paraId="2CBDB641" w14:textId="77777777" w:rsidTr="00361BA1">
        <w:trPr>
          <w:trHeight w:val="255"/>
        </w:trPr>
        <w:tc>
          <w:tcPr>
            <w:tcW w:w="6367" w:type="dxa"/>
            <w:tcBorders>
              <w:top w:val="nil"/>
              <w:left w:val="nil"/>
              <w:bottom w:val="nil"/>
              <w:right w:val="nil"/>
            </w:tcBorders>
            <w:shd w:val="clear" w:color="FFFFFF" w:fill="FFFFFF"/>
            <w:vAlign w:val="bottom"/>
          </w:tcPr>
          <w:p w14:paraId="6893F316"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1246" w:type="dxa"/>
            <w:tcBorders>
              <w:top w:val="single" w:sz="4" w:space="0" w:color="auto"/>
              <w:left w:val="nil"/>
              <w:right w:val="nil"/>
            </w:tcBorders>
            <w:shd w:val="clear" w:color="FFFFFF" w:fill="FFFFFF"/>
            <w:noWrap/>
            <w:vAlign w:val="bottom"/>
          </w:tcPr>
          <w:p w14:paraId="0EE1912D" w14:textId="77777777" w:rsidR="00361BA1" w:rsidRPr="00361BA1" w:rsidRDefault="00361BA1" w:rsidP="00361BA1">
            <w:pPr>
              <w:spacing w:before="0" w:after="0" w:line="260" w:lineRule="atLeast"/>
              <w:ind w:left="0"/>
              <w:jc w:val="right"/>
              <w:rPr>
                <w:rFonts w:eastAsia="Times New Roman"/>
                <w:b/>
                <w:bCs/>
                <w:sz w:val="18"/>
                <w:szCs w:val="18"/>
                <w:lang w:eastAsia="en-US"/>
              </w:rPr>
            </w:pPr>
          </w:p>
        </w:tc>
        <w:tc>
          <w:tcPr>
            <w:tcW w:w="236" w:type="dxa"/>
            <w:tcBorders>
              <w:top w:val="nil"/>
              <w:left w:val="nil"/>
              <w:bottom w:val="nil"/>
              <w:right w:val="nil"/>
            </w:tcBorders>
            <w:shd w:val="clear" w:color="FFFFFF" w:fill="FFFFFF"/>
            <w:noWrap/>
            <w:vAlign w:val="bottom"/>
          </w:tcPr>
          <w:p w14:paraId="7E8B1A53" w14:textId="77777777" w:rsidR="00361BA1" w:rsidRPr="00361BA1" w:rsidRDefault="00361BA1" w:rsidP="00361BA1">
            <w:pPr>
              <w:spacing w:before="0" w:after="0" w:line="260" w:lineRule="atLeast"/>
              <w:ind w:left="0"/>
              <w:rPr>
                <w:rFonts w:eastAsia="Times New Roman"/>
                <w:sz w:val="18"/>
                <w:szCs w:val="18"/>
                <w:lang w:eastAsia="en-US"/>
              </w:rPr>
            </w:pPr>
          </w:p>
        </w:tc>
        <w:tc>
          <w:tcPr>
            <w:tcW w:w="1238" w:type="dxa"/>
            <w:tcBorders>
              <w:top w:val="single" w:sz="4" w:space="0" w:color="auto"/>
              <w:left w:val="nil"/>
              <w:right w:val="nil"/>
            </w:tcBorders>
            <w:shd w:val="clear" w:color="FFFFFF" w:fill="FFFFFF"/>
            <w:noWrap/>
            <w:vAlign w:val="bottom"/>
          </w:tcPr>
          <w:p w14:paraId="397DDE16" w14:textId="77777777" w:rsidR="00361BA1" w:rsidRPr="00361BA1" w:rsidRDefault="00361BA1" w:rsidP="00361BA1">
            <w:pPr>
              <w:spacing w:before="0" w:after="0" w:line="260" w:lineRule="atLeast"/>
              <w:ind w:left="0"/>
              <w:jc w:val="right"/>
              <w:rPr>
                <w:rFonts w:eastAsia="Times New Roman"/>
                <w:sz w:val="18"/>
                <w:szCs w:val="18"/>
                <w:lang w:eastAsia="en-US"/>
              </w:rPr>
            </w:pPr>
          </w:p>
        </w:tc>
      </w:tr>
    </w:tbl>
    <w:p w14:paraId="0505A14D" w14:textId="77777777" w:rsidR="00361BA1" w:rsidRPr="00361BA1" w:rsidRDefault="00361BA1" w:rsidP="00361BA1">
      <w:pPr>
        <w:pBdr>
          <w:top w:val="single" w:sz="4" w:space="0" w:color="800080"/>
          <w:left w:val="single" w:sz="4" w:space="0" w:color="800080"/>
          <w:bottom w:val="single" w:sz="4" w:space="1" w:color="800080"/>
          <w:right w:val="single" w:sz="4" w:space="0"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4409B79A" w14:textId="77777777" w:rsidR="00361BA1" w:rsidRPr="00361BA1" w:rsidRDefault="00361BA1" w:rsidP="00361BA1">
      <w:pPr>
        <w:pBdr>
          <w:top w:val="single" w:sz="4" w:space="0"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Accounting policies for unearned income are contained in Note 1.2A Rendering of services. </w:t>
      </w:r>
    </w:p>
    <w:p w14:paraId="43D5645D"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6C782052" w14:textId="58D2565A" w:rsidR="00361BA1" w:rsidRPr="00361BA1" w:rsidRDefault="00361BA1" w:rsidP="00084A73">
      <w:pPr>
        <w:pStyle w:val="SubHeading"/>
      </w:pPr>
      <w:bookmarkStart w:id="85" w:name="_Toc41479167"/>
      <w:r w:rsidRPr="00361BA1">
        <w:t>Interest Bearing Liabilities</w:t>
      </w:r>
      <w:bookmarkEnd w:id="85"/>
    </w:p>
    <w:tbl>
      <w:tblPr>
        <w:tblW w:w="9087" w:type="dxa"/>
        <w:tblLayout w:type="fixed"/>
        <w:tblLook w:val="04A0" w:firstRow="1" w:lastRow="0" w:firstColumn="1" w:lastColumn="0" w:noHBand="0" w:noVBand="1"/>
      </w:tblPr>
      <w:tblGrid>
        <w:gridCol w:w="6367"/>
        <w:gridCol w:w="1246"/>
        <w:gridCol w:w="236"/>
        <w:gridCol w:w="1238"/>
      </w:tblGrid>
      <w:tr w:rsidR="00361BA1" w:rsidRPr="00361BA1" w14:paraId="760AEB2A" w14:textId="77777777" w:rsidTr="00361BA1">
        <w:trPr>
          <w:trHeight w:val="255"/>
        </w:trPr>
        <w:tc>
          <w:tcPr>
            <w:tcW w:w="6367" w:type="dxa"/>
            <w:tcBorders>
              <w:top w:val="nil"/>
              <w:left w:val="nil"/>
              <w:bottom w:val="nil"/>
              <w:right w:val="nil"/>
            </w:tcBorders>
            <w:shd w:val="clear" w:color="FFFFFF" w:fill="FFFFFF"/>
            <w:noWrap/>
            <w:vAlign w:val="bottom"/>
            <w:hideMark/>
          </w:tcPr>
          <w:p w14:paraId="577CD024"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86" w:name="Note_LEATABLE1" w:colFirst="0" w:colLast="0"/>
            <w:r w:rsidRPr="00361BA1">
              <w:rPr>
                <w:rFonts w:eastAsia="Times New Roman"/>
                <w:b/>
                <w:bCs/>
                <w:sz w:val="18"/>
                <w:szCs w:val="18"/>
                <w:u w:val="single"/>
                <w:lang w:eastAsia="en-US"/>
              </w:rPr>
              <w:t>Note 2.5: Leases</w:t>
            </w:r>
          </w:p>
        </w:tc>
        <w:tc>
          <w:tcPr>
            <w:tcW w:w="1246" w:type="dxa"/>
            <w:tcBorders>
              <w:top w:val="nil"/>
              <w:left w:val="nil"/>
              <w:bottom w:val="nil"/>
              <w:right w:val="nil"/>
            </w:tcBorders>
            <w:shd w:val="clear" w:color="FFFFFF" w:fill="FFFFFF"/>
            <w:noWrap/>
            <w:vAlign w:val="bottom"/>
            <w:hideMark/>
          </w:tcPr>
          <w:p w14:paraId="6A49D3B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D4BD6C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17AFB6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86"/>
      <w:tr w:rsidR="00361BA1" w:rsidRPr="00361BA1" w14:paraId="0C44F17C" w14:textId="77777777" w:rsidTr="00361BA1">
        <w:trPr>
          <w:trHeight w:val="278"/>
        </w:trPr>
        <w:tc>
          <w:tcPr>
            <w:tcW w:w="6367" w:type="dxa"/>
            <w:tcBorders>
              <w:top w:val="nil"/>
              <w:left w:val="nil"/>
              <w:bottom w:val="nil"/>
              <w:right w:val="nil"/>
            </w:tcBorders>
            <w:shd w:val="clear" w:color="FFFFFF" w:fill="FFFFFF"/>
            <w:vAlign w:val="bottom"/>
            <w:hideMark/>
          </w:tcPr>
          <w:p w14:paraId="1BECA12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Lease liabilities</w:t>
            </w:r>
            <w:r w:rsidRPr="00361BA1">
              <w:rPr>
                <w:rFonts w:eastAsia="Times New Roman"/>
                <w:sz w:val="18"/>
                <w:szCs w:val="18"/>
                <w:vertAlign w:val="superscript"/>
                <w:lang w:eastAsia="en-US"/>
              </w:rPr>
              <w:t>1</w:t>
            </w:r>
          </w:p>
        </w:tc>
        <w:tc>
          <w:tcPr>
            <w:tcW w:w="1246" w:type="dxa"/>
            <w:tcBorders>
              <w:top w:val="nil"/>
              <w:left w:val="nil"/>
              <w:bottom w:val="nil"/>
              <w:right w:val="nil"/>
            </w:tcBorders>
            <w:shd w:val="clear" w:color="FFFFFF" w:fill="FFFFFF"/>
            <w:noWrap/>
            <w:vAlign w:val="bottom"/>
            <w:hideMark/>
          </w:tcPr>
          <w:p w14:paraId="5FEFD2A6"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c>
          <w:tcPr>
            <w:tcW w:w="236" w:type="dxa"/>
            <w:tcBorders>
              <w:top w:val="nil"/>
              <w:left w:val="nil"/>
              <w:bottom w:val="nil"/>
              <w:right w:val="nil"/>
            </w:tcBorders>
            <w:shd w:val="clear" w:color="FFFFFF" w:fill="FFFFFF"/>
            <w:noWrap/>
            <w:vAlign w:val="bottom"/>
            <w:hideMark/>
          </w:tcPr>
          <w:p w14:paraId="0E7116F4"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c>
          <w:tcPr>
            <w:tcW w:w="1238" w:type="dxa"/>
            <w:tcBorders>
              <w:top w:val="nil"/>
              <w:left w:val="nil"/>
              <w:bottom w:val="nil"/>
              <w:right w:val="nil"/>
            </w:tcBorders>
            <w:shd w:val="clear" w:color="FFFFFF" w:fill="FFFFFF"/>
            <w:noWrap/>
            <w:vAlign w:val="bottom"/>
            <w:hideMark/>
          </w:tcPr>
          <w:p w14:paraId="238A50A8" w14:textId="77777777" w:rsidR="00361BA1" w:rsidRPr="00361BA1" w:rsidRDefault="00361BA1" w:rsidP="00361BA1">
            <w:pPr>
              <w:spacing w:before="0" w:after="0" w:line="260" w:lineRule="atLeast"/>
              <w:ind w:left="0"/>
              <w:rPr>
                <w:rFonts w:eastAsia="Times New Roman"/>
                <w:sz w:val="16"/>
                <w:szCs w:val="16"/>
                <w:lang w:eastAsia="en-US"/>
              </w:rPr>
            </w:pPr>
            <w:r w:rsidRPr="00361BA1">
              <w:rPr>
                <w:rFonts w:eastAsia="Times New Roman"/>
                <w:sz w:val="16"/>
                <w:szCs w:val="16"/>
                <w:lang w:eastAsia="en-US"/>
              </w:rPr>
              <w:t> </w:t>
            </w:r>
          </w:p>
        </w:tc>
      </w:tr>
      <w:tr w:rsidR="00361BA1" w:rsidRPr="00361BA1" w14:paraId="015E5B17" w14:textId="77777777" w:rsidTr="00361BA1">
        <w:trPr>
          <w:trHeight w:val="255"/>
        </w:trPr>
        <w:tc>
          <w:tcPr>
            <w:tcW w:w="6367" w:type="dxa"/>
            <w:tcBorders>
              <w:top w:val="nil"/>
              <w:left w:val="nil"/>
              <w:bottom w:val="nil"/>
              <w:right w:val="nil"/>
            </w:tcBorders>
            <w:shd w:val="clear" w:color="FFFFFF" w:fill="FFFFFF"/>
            <w:noWrap/>
            <w:vAlign w:val="bottom"/>
            <w:hideMark/>
          </w:tcPr>
          <w:p w14:paraId="4BF0DB37"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Buildings</w:t>
            </w:r>
          </w:p>
        </w:tc>
        <w:tc>
          <w:tcPr>
            <w:tcW w:w="1246" w:type="dxa"/>
            <w:tcBorders>
              <w:top w:val="nil"/>
              <w:left w:val="nil"/>
              <w:bottom w:val="nil"/>
              <w:right w:val="nil"/>
            </w:tcBorders>
            <w:shd w:val="clear" w:color="FFFFFF" w:fill="FFFFFF"/>
            <w:noWrap/>
            <w:vAlign w:val="bottom"/>
            <w:hideMark/>
          </w:tcPr>
          <w:p w14:paraId="7216BD8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193,972</w:t>
            </w:r>
          </w:p>
        </w:tc>
        <w:tc>
          <w:tcPr>
            <w:tcW w:w="236" w:type="dxa"/>
            <w:tcBorders>
              <w:top w:val="nil"/>
              <w:left w:val="nil"/>
              <w:bottom w:val="nil"/>
              <w:right w:val="nil"/>
            </w:tcBorders>
            <w:shd w:val="clear" w:color="FFFFFF" w:fill="FFFFFF"/>
            <w:noWrap/>
            <w:vAlign w:val="bottom"/>
            <w:hideMark/>
          </w:tcPr>
          <w:p w14:paraId="6D7190C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8CBE6B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70B5CC86" w14:textId="77777777" w:rsidTr="00361BA1">
        <w:trPr>
          <w:trHeight w:val="255"/>
        </w:trPr>
        <w:tc>
          <w:tcPr>
            <w:tcW w:w="6367" w:type="dxa"/>
            <w:tcBorders>
              <w:top w:val="nil"/>
              <w:left w:val="nil"/>
              <w:bottom w:val="nil"/>
              <w:right w:val="nil"/>
            </w:tcBorders>
            <w:shd w:val="clear" w:color="FFFFFF" w:fill="FFFFFF"/>
            <w:noWrap/>
            <w:vAlign w:val="bottom"/>
            <w:hideMark/>
          </w:tcPr>
          <w:p w14:paraId="1BD930B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Plant and equipment</w:t>
            </w:r>
          </w:p>
        </w:tc>
        <w:tc>
          <w:tcPr>
            <w:tcW w:w="1246" w:type="dxa"/>
            <w:tcBorders>
              <w:top w:val="nil"/>
              <w:left w:val="nil"/>
              <w:bottom w:val="nil"/>
              <w:right w:val="nil"/>
            </w:tcBorders>
            <w:shd w:val="clear" w:color="FFFFFF" w:fill="FFFFFF"/>
            <w:noWrap/>
            <w:vAlign w:val="bottom"/>
            <w:hideMark/>
          </w:tcPr>
          <w:p w14:paraId="762E882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2,001</w:t>
            </w:r>
          </w:p>
        </w:tc>
        <w:tc>
          <w:tcPr>
            <w:tcW w:w="236" w:type="dxa"/>
            <w:tcBorders>
              <w:top w:val="nil"/>
              <w:left w:val="nil"/>
              <w:bottom w:val="nil"/>
              <w:right w:val="nil"/>
            </w:tcBorders>
            <w:shd w:val="clear" w:color="FFFFFF" w:fill="FFFFFF"/>
            <w:noWrap/>
            <w:vAlign w:val="bottom"/>
            <w:hideMark/>
          </w:tcPr>
          <w:p w14:paraId="722A94A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694ACC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24107D37" w14:textId="77777777" w:rsidTr="00361BA1">
        <w:trPr>
          <w:trHeight w:val="255"/>
        </w:trPr>
        <w:tc>
          <w:tcPr>
            <w:tcW w:w="6367" w:type="dxa"/>
            <w:tcBorders>
              <w:top w:val="nil"/>
              <w:left w:val="nil"/>
              <w:bottom w:val="nil"/>
              <w:right w:val="nil"/>
            </w:tcBorders>
            <w:shd w:val="clear" w:color="FFFFFF" w:fill="FFFFFF"/>
            <w:vAlign w:val="bottom"/>
            <w:hideMark/>
          </w:tcPr>
          <w:p w14:paraId="0974164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xml:space="preserve">Total leases </w:t>
            </w:r>
          </w:p>
        </w:tc>
        <w:tc>
          <w:tcPr>
            <w:tcW w:w="1246" w:type="dxa"/>
            <w:tcBorders>
              <w:top w:val="single" w:sz="4" w:space="0" w:color="auto"/>
              <w:left w:val="nil"/>
              <w:bottom w:val="single" w:sz="4" w:space="0" w:color="auto"/>
              <w:right w:val="nil"/>
            </w:tcBorders>
            <w:shd w:val="clear" w:color="FFFFFF" w:fill="FFFFFF"/>
            <w:noWrap/>
            <w:vAlign w:val="bottom"/>
            <w:hideMark/>
          </w:tcPr>
          <w:p w14:paraId="4587ADA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195,973</w:t>
            </w:r>
          </w:p>
        </w:tc>
        <w:tc>
          <w:tcPr>
            <w:tcW w:w="236" w:type="dxa"/>
            <w:tcBorders>
              <w:top w:val="nil"/>
              <w:left w:val="nil"/>
              <w:bottom w:val="nil"/>
              <w:right w:val="nil"/>
            </w:tcBorders>
            <w:shd w:val="clear" w:color="FFFFFF" w:fill="FFFFFF"/>
            <w:noWrap/>
            <w:vAlign w:val="bottom"/>
            <w:hideMark/>
          </w:tcPr>
          <w:p w14:paraId="011EF12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1B15880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bl>
    <w:p w14:paraId="27A071F3"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514033A2" w14:textId="77777777" w:rsidR="00361BA1" w:rsidRPr="00361BA1" w:rsidRDefault="00361BA1" w:rsidP="00361BA1">
      <w:pPr>
        <w:spacing w:before="0" w:after="0"/>
        <w:ind w:left="0"/>
        <w:rPr>
          <w:rFonts w:eastAsia="Times New Roman"/>
          <w:sz w:val="18"/>
          <w:szCs w:val="18"/>
          <w:highlight w:val="yellow"/>
          <w:lang w:eastAsia="en-US"/>
        </w:rPr>
      </w:pPr>
      <w:r w:rsidRPr="00361BA1">
        <w:rPr>
          <w:rFonts w:eastAsia="Times New Roman"/>
          <w:sz w:val="18"/>
          <w:szCs w:val="18"/>
          <w:vertAlign w:val="superscript"/>
          <w:lang w:eastAsia="en-US"/>
        </w:rPr>
        <w:t>1</w:t>
      </w:r>
      <w:r w:rsidRPr="00361BA1">
        <w:rPr>
          <w:rFonts w:eastAsia="Times New Roman"/>
          <w:sz w:val="18"/>
          <w:szCs w:val="18"/>
          <w:lang w:eastAsia="en-US"/>
        </w:rPr>
        <w:t>The Entity has applied AASB 16 using the modified retrospective approach and therefore the comparative information has not been restated and continues to be reported under AASB 117.</w:t>
      </w:r>
    </w:p>
    <w:p w14:paraId="2709A076"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375D9F7E" w14:textId="77777777" w:rsidR="00361BA1" w:rsidRPr="00361BA1" w:rsidRDefault="00361BA1" w:rsidP="00361BA1">
      <w:pPr>
        <w:spacing w:before="0" w:after="0"/>
        <w:ind w:left="0"/>
        <w:rPr>
          <w:rFonts w:eastAsia="Times New Roman"/>
          <w:sz w:val="18"/>
          <w:szCs w:val="18"/>
          <w:lang w:eastAsia="en-AU"/>
        </w:rPr>
      </w:pPr>
      <w:r w:rsidRPr="00361BA1">
        <w:rPr>
          <w:rFonts w:eastAsia="Times New Roman"/>
          <w:sz w:val="18"/>
          <w:szCs w:val="18"/>
          <w:lang w:eastAsia="en-AU"/>
        </w:rPr>
        <w:t>Total cash outflow for leases for the period ended 30 June 2020 was $37.2m.</w:t>
      </w:r>
    </w:p>
    <w:p w14:paraId="1DBC6956"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6021C36F"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0A536633"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3C846315"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Refer Overview section for accounting policy on leases.</w:t>
      </w:r>
    </w:p>
    <w:p w14:paraId="3DD9EB14" w14:textId="77777777" w:rsidR="00361BA1" w:rsidRPr="00361BA1" w:rsidRDefault="00361BA1" w:rsidP="00361BA1">
      <w:pPr>
        <w:spacing w:before="0" w:after="0"/>
        <w:ind w:left="0"/>
        <w:rPr>
          <w:rFonts w:ascii="Times New Roman" w:eastAsia="Times New Roman" w:hAnsi="Times New Roman" w:cs="Times New Roman"/>
          <w:szCs w:val="20"/>
          <w:lang w:eastAsia="en-US"/>
        </w:rPr>
      </w:pPr>
    </w:p>
    <w:p w14:paraId="6C1C3EEC" w14:textId="77777777" w:rsidR="00361BA1" w:rsidRPr="00361BA1" w:rsidRDefault="00361BA1" w:rsidP="00361BA1">
      <w:pPr>
        <w:spacing w:before="0" w:after="0"/>
        <w:ind w:left="0"/>
        <w:rPr>
          <w:rFonts w:ascii="Times New Roman" w:eastAsia="Times New Roman" w:hAnsi="Times New Roman" w:cs="Times New Roman"/>
          <w:szCs w:val="20"/>
          <w:lang w:eastAsia="en-US"/>
        </w:rPr>
      </w:pPr>
      <w:r w:rsidRPr="00361BA1">
        <w:rPr>
          <w:rFonts w:ascii="Times New Roman" w:eastAsia="Times New Roman" w:hAnsi="Times New Roman" w:cs="Times New Roman"/>
          <w:szCs w:val="20"/>
          <w:lang w:eastAsia="en-US"/>
        </w:rPr>
        <w:br w:type="page"/>
      </w:r>
    </w:p>
    <w:p w14:paraId="12A6C9B7" w14:textId="44CF2F73" w:rsidR="00361BA1" w:rsidRPr="00361BA1" w:rsidRDefault="00361BA1" w:rsidP="00084A73">
      <w:pPr>
        <w:pStyle w:val="SubHeading"/>
      </w:pPr>
      <w:bookmarkStart w:id="87" w:name="_Toc41479168"/>
      <w:r w:rsidRPr="00361BA1">
        <w:lastRenderedPageBreak/>
        <w:t>Provisions</w:t>
      </w:r>
      <w:bookmarkEnd w:id="87"/>
    </w:p>
    <w:p w14:paraId="23952D33" w14:textId="77777777" w:rsidR="00361BA1" w:rsidRPr="00361BA1" w:rsidRDefault="00361BA1" w:rsidP="00361BA1">
      <w:pPr>
        <w:spacing w:before="0" w:after="0"/>
        <w:ind w:left="0" w:right="607"/>
        <w:rPr>
          <w:rFonts w:eastAsia="Times New Roman" w:cs="Times New Roman"/>
          <w:b/>
          <w:sz w:val="18"/>
          <w:szCs w:val="18"/>
          <w:lang w:eastAsia="en-US"/>
        </w:rPr>
      </w:pPr>
      <w:r w:rsidRPr="00361BA1">
        <w:rPr>
          <w:rFonts w:eastAsia="Times New Roman" w:cs="Times New Roman"/>
          <w:b/>
          <w:sz w:val="18"/>
          <w:szCs w:val="18"/>
          <w:lang w:eastAsia="en-US"/>
        </w:rPr>
        <w:t xml:space="preserve">Reconciliation of provisions </w:t>
      </w:r>
    </w:p>
    <w:tbl>
      <w:tblPr>
        <w:tblW w:w="9087" w:type="dxa"/>
        <w:tblLayout w:type="fixed"/>
        <w:tblCellMar>
          <w:left w:w="57" w:type="dxa"/>
          <w:right w:w="57" w:type="dxa"/>
        </w:tblCellMar>
        <w:tblLook w:val="04A0" w:firstRow="1" w:lastRow="0" w:firstColumn="1" w:lastColumn="0" w:noHBand="0" w:noVBand="1"/>
      </w:tblPr>
      <w:tblGrid>
        <w:gridCol w:w="4871"/>
        <w:gridCol w:w="1542"/>
        <w:gridCol w:w="1471"/>
        <w:gridCol w:w="1203"/>
      </w:tblGrid>
      <w:tr w:rsidR="00361BA1" w:rsidRPr="00361BA1" w14:paraId="4509D788" w14:textId="77777777" w:rsidTr="00361BA1">
        <w:trPr>
          <w:trHeight w:val="687"/>
        </w:trPr>
        <w:tc>
          <w:tcPr>
            <w:tcW w:w="4871" w:type="dxa"/>
            <w:tcBorders>
              <w:top w:val="single" w:sz="4" w:space="0" w:color="auto"/>
              <w:left w:val="nil"/>
              <w:bottom w:val="nil"/>
              <w:right w:val="nil"/>
            </w:tcBorders>
            <w:shd w:val="clear" w:color="FFFFFF" w:fill="FFFFFF"/>
            <w:vAlign w:val="bottom"/>
            <w:hideMark/>
          </w:tcPr>
          <w:p w14:paraId="2CF3CE74" w14:textId="77777777" w:rsidR="00361BA1" w:rsidRPr="00361BA1" w:rsidRDefault="00361BA1" w:rsidP="00361BA1">
            <w:pPr>
              <w:spacing w:before="0" w:after="0" w:line="260" w:lineRule="atLeast"/>
              <w:ind w:left="0"/>
              <w:rPr>
                <w:rFonts w:eastAsia="Times New Roman"/>
                <w:sz w:val="18"/>
                <w:szCs w:val="18"/>
                <w:lang w:eastAsia="en-US"/>
              </w:rPr>
            </w:pPr>
            <w:bookmarkStart w:id="88" w:name="Note_ROPTABLE1" w:colFirst="0" w:colLast="0"/>
            <w:r w:rsidRPr="00361BA1">
              <w:rPr>
                <w:rFonts w:eastAsia="Times New Roman"/>
                <w:sz w:val="18"/>
                <w:szCs w:val="18"/>
                <w:lang w:eastAsia="en-US"/>
              </w:rPr>
              <w:t> </w:t>
            </w:r>
          </w:p>
        </w:tc>
        <w:tc>
          <w:tcPr>
            <w:tcW w:w="1542" w:type="dxa"/>
            <w:tcBorders>
              <w:top w:val="single" w:sz="4" w:space="0" w:color="auto"/>
              <w:left w:val="nil"/>
              <w:bottom w:val="nil"/>
              <w:right w:val="nil"/>
            </w:tcBorders>
            <w:shd w:val="clear" w:color="FFFFFF" w:fill="FFFFFF"/>
            <w:vAlign w:val="bottom"/>
            <w:hideMark/>
          </w:tcPr>
          <w:p w14:paraId="2043F23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Participant plan provision</w:t>
            </w:r>
          </w:p>
        </w:tc>
        <w:tc>
          <w:tcPr>
            <w:tcW w:w="1471" w:type="dxa"/>
            <w:tcBorders>
              <w:top w:val="single" w:sz="4" w:space="0" w:color="auto"/>
              <w:left w:val="nil"/>
              <w:bottom w:val="nil"/>
              <w:right w:val="nil"/>
            </w:tcBorders>
            <w:shd w:val="clear" w:color="FFFFFF" w:fill="FFFFFF"/>
            <w:vAlign w:val="bottom"/>
            <w:hideMark/>
          </w:tcPr>
          <w:p w14:paraId="69AFD2B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Provision for restoration obligations</w:t>
            </w:r>
          </w:p>
        </w:tc>
        <w:tc>
          <w:tcPr>
            <w:tcW w:w="1203" w:type="dxa"/>
            <w:tcBorders>
              <w:top w:val="single" w:sz="4" w:space="0" w:color="auto"/>
              <w:left w:val="nil"/>
              <w:bottom w:val="nil"/>
              <w:right w:val="nil"/>
            </w:tcBorders>
            <w:shd w:val="clear" w:color="FFFFFF" w:fill="FFFFFF"/>
            <w:vAlign w:val="bottom"/>
            <w:hideMark/>
          </w:tcPr>
          <w:p w14:paraId="1932984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Total</w:t>
            </w:r>
          </w:p>
        </w:tc>
      </w:tr>
      <w:bookmarkEnd w:id="88"/>
      <w:tr w:rsidR="00361BA1" w:rsidRPr="00361BA1" w14:paraId="736C40FF" w14:textId="77777777" w:rsidTr="00361BA1">
        <w:trPr>
          <w:trHeight w:val="255"/>
        </w:trPr>
        <w:tc>
          <w:tcPr>
            <w:tcW w:w="4871" w:type="dxa"/>
            <w:tcBorders>
              <w:top w:val="nil"/>
              <w:left w:val="nil"/>
              <w:bottom w:val="single" w:sz="4" w:space="0" w:color="auto"/>
              <w:right w:val="nil"/>
            </w:tcBorders>
            <w:shd w:val="clear" w:color="FFFFFF" w:fill="FFFFFF"/>
            <w:vAlign w:val="bottom"/>
            <w:hideMark/>
          </w:tcPr>
          <w:p w14:paraId="259E452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542" w:type="dxa"/>
            <w:tcBorders>
              <w:top w:val="nil"/>
              <w:left w:val="nil"/>
              <w:bottom w:val="single" w:sz="4" w:space="0" w:color="auto"/>
              <w:right w:val="nil"/>
            </w:tcBorders>
            <w:shd w:val="clear" w:color="FFFFFF" w:fill="FFFFFF"/>
            <w:vAlign w:val="bottom"/>
            <w:hideMark/>
          </w:tcPr>
          <w:p w14:paraId="43D01E0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1471" w:type="dxa"/>
            <w:tcBorders>
              <w:top w:val="nil"/>
              <w:left w:val="nil"/>
              <w:bottom w:val="single" w:sz="4" w:space="0" w:color="auto"/>
              <w:right w:val="nil"/>
            </w:tcBorders>
            <w:shd w:val="clear" w:color="FFFFFF" w:fill="FFFFFF"/>
            <w:vAlign w:val="bottom"/>
            <w:hideMark/>
          </w:tcPr>
          <w:p w14:paraId="221D784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1203" w:type="dxa"/>
            <w:tcBorders>
              <w:top w:val="nil"/>
              <w:left w:val="nil"/>
              <w:bottom w:val="single" w:sz="4" w:space="0" w:color="auto"/>
              <w:right w:val="nil"/>
            </w:tcBorders>
            <w:shd w:val="clear" w:color="FFFFFF" w:fill="FFFFFF"/>
            <w:vAlign w:val="bottom"/>
            <w:hideMark/>
          </w:tcPr>
          <w:p w14:paraId="5F9BB49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r>
      <w:tr w:rsidR="00361BA1" w:rsidRPr="00361BA1" w14:paraId="116F5D74" w14:textId="77777777" w:rsidTr="00361BA1">
        <w:trPr>
          <w:trHeight w:val="255"/>
        </w:trPr>
        <w:tc>
          <w:tcPr>
            <w:tcW w:w="4871" w:type="dxa"/>
            <w:tcBorders>
              <w:top w:val="nil"/>
              <w:left w:val="nil"/>
              <w:bottom w:val="nil"/>
              <w:right w:val="nil"/>
            </w:tcBorders>
            <w:shd w:val="clear" w:color="FFFFFF" w:fill="FFFFFF"/>
            <w:vAlign w:val="bottom"/>
            <w:hideMark/>
          </w:tcPr>
          <w:p w14:paraId="1B067AA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Carrying amount 1 July 2019</w:t>
            </w:r>
          </w:p>
        </w:tc>
        <w:tc>
          <w:tcPr>
            <w:tcW w:w="1542" w:type="dxa"/>
            <w:tcBorders>
              <w:top w:val="nil"/>
              <w:left w:val="nil"/>
              <w:bottom w:val="nil"/>
              <w:right w:val="nil"/>
            </w:tcBorders>
            <w:shd w:val="clear" w:color="FFFFFF" w:fill="FFFFFF"/>
            <w:noWrap/>
            <w:vAlign w:val="bottom"/>
            <w:hideMark/>
          </w:tcPr>
          <w:p w14:paraId="629C815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1,380,845</w:t>
            </w:r>
          </w:p>
        </w:tc>
        <w:tc>
          <w:tcPr>
            <w:tcW w:w="1471" w:type="dxa"/>
            <w:tcBorders>
              <w:top w:val="nil"/>
              <w:left w:val="nil"/>
              <w:bottom w:val="nil"/>
              <w:right w:val="nil"/>
            </w:tcBorders>
            <w:shd w:val="clear" w:color="FFFFFF" w:fill="FFFFFF"/>
            <w:noWrap/>
            <w:vAlign w:val="bottom"/>
            <w:hideMark/>
          </w:tcPr>
          <w:p w14:paraId="291A6ED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6,880</w:t>
            </w:r>
          </w:p>
        </w:tc>
        <w:tc>
          <w:tcPr>
            <w:tcW w:w="1203" w:type="dxa"/>
            <w:tcBorders>
              <w:top w:val="nil"/>
              <w:left w:val="nil"/>
              <w:bottom w:val="nil"/>
              <w:right w:val="nil"/>
            </w:tcBorders>
            <w:shd w:val="clear" w:color="FFFFFF" w:fill="FFFFFF"/>
            <w:noWrap/>
            <w:vAlign w:val="bottom"/>
            <w:hideMark/>
          </w:tcPr>
          <w:p w14:paraId="761B53E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1,387,725</w:t>
            </w:r>
          </w:p>
        </w:tc>
      </w:tr>
      <w:tr w:rsidR="00361BA1" w:rsidRPr="00361BA1" w14:paraId="04635F48" w14:textId="77777777" w:rsidTr="00361BA1">
        <w:trPr>
          <w:trHeight w:val="255"/>
        </w:trPr>
        <w:tc>
          <w:tcPr>
            <w:tcW w:w="4871" w:type="dxa"/>
            <w:tcBorders>
              <w:top w:val="nil"/>
              <w:left w:val="nil"/>
              <w:bottom w:val="nil"/>
              <w:right w:val="nil"/>
            </w:tcBorders>
            <w:shd w:val="clear" w:color="FFFFFF" w:fill="FFFFFF"/>
            <w:vAlign w:val="bottom"/>
            <w:hideMark/>
          </w:tcPr>
          <w:p w14:paraId="7860E10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Additional provisions made</w:t>
            </w:r>
          </w:p>
        </w:tc>
        <w:tc>
          <w:tcPr>
            <w:tcW w:w="1542" w:type="dxa"/>
            <w:tcBorders>
              <w:top w:val="nil"/>
              <w:left w:val="nil"/>
              <w:bottom w:val="nil"/>
              <w:right w:val="nil"/>
            </w:tcBorders>
            <w:shd w:val="clear" w:color="FFFFFF" w:fill="FFFFFF"/>
            <w:noWrap/>
            <w:vAlign w:val="bottom"/>
            <w:hideMark/>
          </w:tcPr>
          <w:p w14:paraId="37A520E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1,510,699</w:t>
            </w:r>
          </w:p>
        </w:tc>
        <w:tc>
          <w:tcPr>
            <w:tcW w:w="1471" w:type="dxa"/>
            <w:tcBorders>
              <w:top w:val="nil"/>
              <w:left w:val="nil"/>
              <w:bottom w:val="nil"/>
              <w:right w:val="nil"/>
            </w:tcBorders>
            <w:shd w:val="clear" w:color="FFFFFF" w:fill="FFFFFF"/>
            <w:noWrap/>
            <w:vAlign w:val="bottom"/>
            <w:hideMark/>
          </w:tcPr>
          <w:p w14:paraId="54ED399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560</w:t>
            </w:r>
          </w:p>
        </w:tc>
        <w:tc>
          <w:tcPr>
            <w:tcW w:w="1203" w:type="dxa"/>
            <w:tcBorders>
              <w:top w:val="nil"/>
              <w:left w:val="nil"/>
              <w:bottom w:val="nil"/>
              <w:right w:val="nil"/>
            </w:tcBorders>
            <w:shd w:val="clear" w:color="FFFFFF" w:fill="FFFFFF"/>
            <w:noWrap/>
            <w:vAlign w:val="bottom"/>
            <w:hideMark/>
          </w:tcPr>
          <w:p w14:paraId="2BC6CAE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1,511,259</w:t>
            </w:r>
          </w:p>
        </w:tc>
      </w:tr>
      <w:tr w:rsidR="00361BA1" w:rsidRPr="00361BA1" w14:paraId="2EC22AC7" w14:textId="77777777" w:rsidTr="00361BA1">
        <w:trPr>
          <w:trHeight w:val="255"/>
        </w:trPr>
        <w:tc>
          <w:tcPr>
            <w:tcW w:w="4871" w:type="dxa"/>
            <w:tcBorders>
              <w:top w:val="nil"/>
              <w:left w:val="nil"/>
              <w:bottom w:val="nil"/>
              <w:right w:val="nil"/>
            </w:tcBorders>
            <w:shd w:val="clear" w:color="FFFFFF" w:fill="FFFFFF"/>
            <w:vAlign w:val="bottom"/>
            <w:hideMark/>
          </w:tcPr>
          <w:p w14:paraId="734B12B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Amounts reversed</w:t>
            </w:r>
          </w:p>
        </w:tc>
        <w:tc>
          <w:tcPr>
            <w:tcW w:w="1542" w:type="dxa"/>
            <w:tcBorders>
              <w:top w:val="nil"/>
              <w:left w:val="nil"/>
              <w:bottom w:val="nil"/>
              <w:right w:val="nil"/>
            </w:tcBorders>
            <w:shd w:val="clear" w:color="FFFFFF" w:fill="FFFFFF"/>
            <w:noWrap/>
            <w:vAlign w:val="bottom"/>
            <w:hideMark/>
          </w:tcPr>
          <w:p w14:paraId="2218D95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(217,384)</w:t>
            </w:r>
          </w:p>
        </w:tc>
        <w:tc>
          <w:tcPr>
            <w:tcW w:w="1471" w:type="dxa"/>
            <w:tcBorders>
              <w:top w:val="nil"/>
              <w:left w:val="nil"/>
              <w:bottom w:val="nil"/>
              <w:right w:val="nil"/>
            </w:tcBorders>
            <w:shd w:val="clear" w:color="FFFFFF" w:fill="FFFFFF"/>
            <w:noWrap/>
            <w:vAlign w:val="bottom"/>
            <w:hideMark/>
          </w:tcPr>
          <w:p w14:paraId="2E5755C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(380)</w:t>
            </w:r>
          </w:p>
        </w:tc>
        <w:tc>
          <w:tcPr>
            <w:tcW w:w="1203" w:type="dxa"/>
            <w:tcBorders>
              <w:top w:val="nil"/>
              <w:left w:val="nil"/>
              <w:bottom w:val="nil"/>
              <w:right w:val="nil"/>
            </w:tcBorders>
            <w:shd w:val="clear" w:color="FFFFFF" w:fill="FFFFFF"/>
            <w:noWrap/>
            <w:vAlign w:val="bottom"/>
            <w:hideMark/>
          </w:tcPr>
          <w:p w14:paraId="67832F8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(217,764)</w:t>
            </w:r>
          </w:p>
        </w:tc>
      </w:tr>
      <w:tr w:rsidR="00361BA1" w:rsidRPr="00361BA1" w14:paraId="218EFF47" w14:textId="77777777" w:rsidTr="00361BA1">
        <w:trPr>
          <w:trHeight w:val="255"/>
        </w:trPr>
        <w:tc>
          <w:tcPr>
            <w:tcW w:w="4871" w:type="dxa"/>
            <w:tcBorders>
              <w:top w:val="nil"/>
              <w:left w:val="nil"/>
              <w:bottom w:val="nil"/>
              <w:right w:val="nil"/>
            </w:tcBorders>
            <w:shd w:val="clear" w:color="FFFFFF" w:fill="FFFFFF"/>
            <w:vAlign w:val="bottom"/>
            <w:hideMark/>
          </w:tcPr>
          <w:p w14:paraId="69EFCFA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Amounts used</w:t>
            </w:r>
          </w:p>
        </w:tc>
        <w:tc>
          <w:tcPr>
            <w:tcW w:w="1542" w:type="dxa"/>
            <w:tcBorders>
              <w:top w:val="nil"/>
              <w:left w:val="nil"/>
              <w:bottom w:val="nil"/>
              <w:right w:val="nil"/>
            </w:tcBorders>
            <w:shd w:val="clear" w:color="FFFFFF" w:fill="FFFFFF"/>
            <w:noWrap/>
            <w:vAlign w:val="bottom"/>
            <w:hideMark/>
          </w:tcPr>
          <w:p w14:paraId="2FFD74A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(1,099,180)</w:t>
            </w:r>
          </w:p>
        </w:tc>
        <w:tc>
          <w:tcPr>
            <w:tcW w:w="1471" w:type="dxa"/>
            <w:tcBorders>
              <w:top w:val="nil"/>
              <w:left w:val="nil"/>
              <w:bottom w:val="nil"/>
              <w:right w:val="nil"/>
            </w:tcBorders>
            <w:shd w:val="clear" w:color="FFFFFF" w:fill="FFFFFF"/>
            <w:noWrap/>
            <w:vAlign w:val="bottom"/>
            <w:hideMark/>
          </w:tcPr>
          <w:p w14:paraId="29714612"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w:t>
            </w:r>
          </w:p>
        </w:tc>
        <w:tc>
          <w:tcPr>
            <w:tcW w:w="1203" w:type="dxa"/>
            <w:tcBorders>
              <w:top w:val="nil"/>
              <w:left w:val="nil"/>
              <w:bottom w:val="nil"/>
              <w:right w:val="nil"/>
            </w:tcBorders>
            <w:shd w:val="clear" w:color="FFFFFF" w:fill="FFFFFF"/>
            <w:noWrap/>
            <w:vAlign w:val="bottom"/>
            <w:hideMark/>
          </w:tcPr>
          <w:p w14:paraId="7999EFB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(1,099,187)</w:t>
            </w:r>
          </w:p>
        </w:tc>
      </w:tr>
      <w:tr w:rsidR="00361BA1" w:rsidRPr="00361BA1" w14:paraId="422DB5C9" w14:textId="77777777" w:rsidTr="00361BA1">
        <w:trPr>
          <w:trHeight w:val="255"/>
        </w:trPr>
        <w:tc>
          <w:tcPr>
            <w:tcW w:w="4871" w:type="dxa"/>
            <w:tcBorders>
              <w:top w:val="nil"/>
              <w:left w:val="nil"/>
              <w:bottom w:val="nil"/>
              <w:right w:val="nil"/>
            </w:tcBorders>
            <w:shd w:val="clear" w:color="FFFFFF" w:fill="FFFFFF"/>
            <w:vAlign w:val="bottom"/>
            <w:hideMark/>
          </w:tcPr>
          <w:p w14:paraId="05E4039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Unwinding of discount or change in discount rate</w:t>
            </w:r>
          </w:p>
        </w:tc>
        <w:tc>
          <w:tcPr>
            <w:tcW w:w="1542" w:type="dxa"/>
            <w:tcBorders>
              <w:top w:val="nil"/>
              <w:left w:val="nil"/>
              <w:bottom w:val="nil"/>
              <w:right w:val="nil"/>
            </w:tcBorders>
            <w:shd w:val="clear" w:color="FFFFFF" w:fill="FFFFFF"/>
            <w:noWrap/>
            <w:vAlign w:val="bottom"/>
            <w:hideMark/>
          </w:tcPr>
          <w:p w14:paraId="17696AB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1471" w:type="dxa"/>
            <w:tcBorders>
              <w:top w:val="nil"/>
              <w:left w:val="nil"/>
              <w:bottom w:val="nil"/>
              <w:right w:val="nil"/>
            </w:tcBorders>
            <w:shd w:val="clear" w:color="FFFFFF" w:fill="FFFFFF"/>
            <w:noWrap/>
            <w:vAlign w:val="bottom"/>
            <w:hideMark/>
          </w:tcPr>
          <w:p w14:paraId="422F487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(328)</w:t>
            </w:r>
          </w:p>
        </w:tc>
        <w:tc>
          <w:tcPr>
            <w:tcW w:w="1203" w:type="dxa"/>
            <w:tcBorders>
              <w:top w:val="nil"/>
              <w:left w:val="nil"/>
              <w:bottom w:val="nil"/>
              <w:right w:val="nil"/>
            </w:tcBorders>
            <w:shd w:val="clear" w:color="FFFFFF" w:fill="FFFFFF"/>
            <w:noWrap/>
            <w:vAlign w:val="bottom"/>
            <w:hideMark/>
          </w:tcPr>
          <w:p w14:paraId="2AFCE01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(328)</w:t>
            </w:r>
          </w:p>
        </w:tc>
      </w:tr>
      <w:tr w:rsidR="00361BA1" w:rsidRPr="00361BA1" w14:paraId="097CF536" w14:textId="77777777" w:rsidTr="00361BA1">
        <w:trPr>
          <w:trHeight w:val="255"/>
        </w:trPr>
        <w:tc>
          <w:tcPr>
            <w:tcW w:w="4871" w:type="dxa"/>
            <w:tcBorders>
              <w:top w:val="single" w:sz="4" w:space="0" w:color="auto"/>
              <w:left w:val="nil"/>
              <w:bottom w:val="single" w:sz="4" w:space="0" w:color="auto"/>
              <w:right w:val="nil"/>
            </w:tcBorders>
            <w:shd w:val="clear" w:color="FFFFFF" w:fill="FFFFFF"/>
            <w:vAlign w:val="bottom"/>
            <w:hideMark/>
          </w:tcPr>
          <w:p w14:paraId="6EA3BB4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Closing balance 30 June 2020</w:t>
            </w:r>
          </w:p>
        </w:tc>
        <w:tc>
          <w:tcPr>
            <w:tcW w:w="1542" w:type="dxa"/>
            <w:tcBorders>
              <w:top w:val="single" w:sz="4" w:space="0" w:color="auto"/>
              <w:left w:val="nil"/>
              <w:bottom w:val="single" w:sz="4" w:space="0" w:color="auto"/>
              <w:right w:val="nil"/>
            </w:tcBorders>
            <w:shd w:val="clear" w:color="FFFFFF" w:fill="FFFFFF"/>
            <w:noWrap/>
            <w:vAlign w:val="bottom"/>
            <w:hideMark/>
          </w:tcPr>
          <w:p w14:paraId="1A549C2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1,574,980</w:t>
            </w:r>
          </w:p>
        </w:tc>
        <w:tc>
          <w:tcPr>
            <w:tcW w:w="1471" w:type="dxa"/>
            <w:tcBorders>
              <w:top w:val="single" w:sz="4" w:space="0" w:color="auto"/>
              <w:left w:val="nil"/>
              <w:bottom w:val="single" w:sz="4" w:space="0" w:color="auto"/>
              <w:right w:val="nil"/>
            </w:tcBorders>
            <w:shd w:val="clear" w:color="FFFFFF" w:fill="FFFFFF"/>
            <w:noWrap/>
            <w:vAlign w:val="bottom"/>
            <w:hideMark/>
          </w:tcPr>
          <w:p w14:paraId="3AF6C29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6,725</w:t>
            </w:r>
          </w:p>
        </w:tc>
        <w:tc>
          <w:tcPr>
            <w:tcW w:w="1203" w:type="dxa"/>
            <w:tcBorders>
              <w:top w:val="single" w:sz="4" w:space="0" w:color="auto"/>
              <w:left w:val="nil"/>
              <w:bottom w:val="single" w:sz="4" w:space="0" w:color="auto"/>
              <w:right w:val="nil"/>
            </w:tcBorders>
            <w:shd w:val="clear" w:color="FFFFFF" w:fill="FFFFFF"/>
            <w:noWrap/>
            <w:vAlign w:val="bottom"/>
            <w:hideMark/>
          </w:tcPr>
          <w:p w14:paraId="2794909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1,581,705</w:t>
            </w:r>
          </w:p>
        </w:tc>
      </w:tr>
    </w:tbl>
    <w:p w14:paraId="19D7DD1B" w14:textId="77777777" w:rsidR="00361BA1" w:rsidRPr="00361BA1" w:rsidRDefault="00361BA1" w:rsidP="00361BA1">
      <w:pPr>
        <w:spacing w:before="0" w:after="0"/>
        <w:ind w:left="0"/>
        <w:rPr>
          <w:rFonts w:ascii="Times New Roman" w:eastAsia="Times New Roman" w:hAnsi="Times New Roman" w:cs="Times New Roman"/>
          <w:sz w:val="16"/>
          <w:szCs w:val="16"/>
          <w:lang w:eastAsia="en-US"/>
        </w:rPr>
      </w:pPr>
    </w:p>
    <w:tbl>
      <w:tblPr>
        <w:tblW w:w="9087" w:type="dxa"/>
        <w:tblLayout w:type="fixed"/>
        <w:tblLook w:val="04A0" w:firstRow="1" w:lastRow="0" w:firstColumn="1" w:lastColumn="0" w:noHBand="0" w:noVBand="1"/>
      </w:tblPr>
      <w:tblGrid>
        <w:gridCol w:w="9087"/>
      </w:tblGrid>
      <w:tr w:rsidR="00361BA1" w:rsidRPr="00361BA1" w14:paraId="3C3E8F21" w14:textId="77777777" w:rsidTr="00361BA1">
        <w:trPr>
          <w:trHeight w:val="1092"/>
        </w:trPr>
        <w:tc>
          <w:tcPr>
            <w:tcW w:w="9087" w:type="dxa"/>
            <w:tcBorders>
              <w:top w:val="nil"/>
              <w:left w:val="nil"/>
              <w:bottom w:val="nil"/>
              <w:right w:val="nil"/>
            </w:tcBorders>
            <w:shd w:val="clear" w:color="FFFFFF" w:fill="FFFFFF"/>
            <w:hideMark/>
          </w:tcPr>
          <w:p w14:paraId="094A090A" w14:textId="77777777" w:rsidR="00361BA1" w:rsidRPr="00361BA1" w:rsidRDefault="00361BA1" w:rsidP="00361BA1">
            <w:pPr>
              <w:spacing w:before="0" w:after="0" w:line="260" w:lineRule="atLeast"/>
              <w:ind w:left="0"/>
              <w:rPr>
                <w:rFonts w:eastAsia="Times New Roman"/>
                <w:sz w:val="18"/>
                <w:szCs w:val="18"/>
                <w:lang w:eastAsia="en-US"/>
              </w:rPr>
            </w:pPr>
            <w:bookmarkStart w:id="89" w:name="OLE_LINK8"/>
            <w:r w:rsidRPr="00361BA1">
              <w:rPr>
                <w:rFonts w:eastAsia="Times New Roman"/>
                <w:sz w:val="18"/>
                <w:szCs w:val="18"/>
                <w:lang w:eastAsia="en-US"/>
              </w:rPr>
              <w:t>The valuation of the participant provision was undertaken as at 30 June 2020 by the Scheme Actuary.</w:t>
            </w:r>
            <w:r w:rsidRPr="00361BA1">
              <w:rPr>
                <w:rFonts w:eastAsia="Times New Roman"/>
                <w:sz w:val="18"/>
                <w:szCs w:val="18"/>
                <w:lang w:eastAsia="en-US"/>
              </w:rPr>
              <w:br/>
              <w:t>All participant provisions are expected to be settled within 12 months.</w:t>
            </w:r>
            <w:r w:rsidRPr="00361BA1">
              <w:rPr>
                <w:rFonts w:eastAsia="Times New Roman"/>
                <w:sz w:val="18"/>
                <w:szCs w:val="18"/>
                <w:lang w:eastAsia="en-US"/>
              </w:rPr>
              <w:br/>
              <w:t xml:space="preserve">No liability is recorded for any participant supports to be provided in future reporting periods as the relevant recognition criteria are not met. </w:t>
            </w:r>
          </w:p>
          <w:bookmarkEnd w:id="89"/>
          <w:p w14:paraId="784968E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Agency has 52 (</w:t>
            </w:r>
            <w:r w:rsidRPr="00361BA1">
              <w:rPr>
                <w:rFonts w:eastAsia="Times New Roman"/>
                <w:sz w:val="18"/>
                <w:szCs w:val="18"/>
                <w:lang w:eastAsia="en-US"/>
              </w:rPr>
              <w:fldChar w:fldCharType="begin"/>
            </w:r>
            <w:r w:rsidRPr="00361BA1">
              <w:rPr>
                <w:rFonts w:eastAsia="Times New Roman"/>
                <w:sz w:val="18"/>
                <w:szCs w:val="18"/>
                <w:lang w:eastAsia="en-US"/>
              </w:rPr>
              <w:instrText xml:space="preserve"> DOCPROPERTY  prYear  \* MERGEFORMAT </w:instrText>
            </w:r>
            <w:r w:rsidRPr="00361BA1">
              <w:rPr>
                <w:rFonts w:eastAsia="Times New Roman"/>
                <w:sz w:val="18"/>
                <w:szCs w:val="18"/>
                <w:lang w:eastAsia="en-US"/>
              </w:rPr>
              <w:fldChar w:fldCharType="separate"/>
            </w:r>
            <w:r w:rsidRPr="00361BA1">
              <w:rPr>
                <w:rFonts w:eastAsia="Times New Roman"/>
                <w:sz w:val="18"/>
                <w:szCs w:val="18"/>
                <w:lang w:eastAsia="en-US"/>
              </w:rPr>
              <w:t>2019</w:t>
            </w:r>
            <w:r w:rsidRPr="00361BA1">
              <w:rPr>
                <w:rFonts w:eastAsia="Times New Roman"/>
                <w:sz w:val="18"/>
                <w:szCs w:val="18"/>
                <w:lang w:eastAsia="en-US"/>
              </w:rPr>
              <w:fldChar w:fldCharType="end"/>
            </w:r>
            <w:r w:rsidRPr="00361BA1">
              <w:rPr>
                <w:rFonts w:eastAsia="Times New Roman"/>
                <w:sz w:val="18"/>
                <w:szCs w:val="18"/>
                <w:lang w:eastAsia="en-US"/>
              </w:rPr>
              <w:t>: 48) agreements for the leasing of premises, which have provisions requiring the entity to restore the premises to their original condition at the conclusion of the lease. The Agency has made a provision to reflect the present value of this obligation.</w:t>
            </w:r>
          </w:p>
          <w:p w14:paraId="334A1619" w14:textId="77777777" w:rsidR="00361BA1" w:rsidRPr="00361BA1" w:rsidRDefault="00361BA1" w:rsidP="00361BA1">
            <w:pPr>
              <w:spacing w:before="0" w:after="0" w:line="260" w:lineRule="atLeast"/>
              <w:ind w:left="0"/>
              <w:rPr>
                <w:rFonts w:eastAsia="Times New Roman"/>
                <w:sz w:val="18"/>
                <w:szCs w:val="18"/>
                <w:lang w:eastAsia="en-US"/>
              </w:rPr>
            </w:pPr>
          </w:p>
        </w:tc>
      </w:tr>
    </w:tbl>
    <w:p w14:paraId="4705BADB"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bookmarkStart w:id="90" w:name="_Toc443469538"/>
      <w:bookmarkStart w:id="91" w:name="_Toc444065792"/>
      <w:bookmarkStart w:id="92" w:name="_Toc444079989"/>
      <w:bookmarkStart w:id="93" w:name="_Toc447030543"/>
      <w:bookmarkStart w:id="94" w:name="_Toc447030695"/>
      <w:bookmarkStart w:id="95" w:name="_Toc447030788"/>
      <w:bookmarkStart w:id="96" w:name="OLE_LINK9"/>
      <w:r w:rsidRPr="00361BA1">
        <w:rPr>
          <w:rFonts w:eastAsia="Times New Roman"/>
          <w:b/>
          <w:sz w:val="18"/>
          <w:szCs w:val="18"/>
          <w:lang w:eastAsia="en-US"/>
        </w:rPr>
        <w:t>Accounting Policy</w:t>
      </w:r>
    </w:p>
    <w:p w14:paraId="41DE438B"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The Agency makes a provision for the reasonable and necessary support provided to participants during the period but not yet notified to the Agency. The provision represents the best estimate of the amount based on available evidence in relation to rates of expenditure by participants and is informed by actuarial analysis.</w:t>
      </w:r>
    </w:p>
    <w:p w14:paraId="06D1F920"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b/>
          <w:sz w:val="18"/>
          <w:szCs w:val="18"/>
          <w:lang w:eastAsia="en-US"/>
        </w:rPr>
      </w:pPr>
      <w:r w:rsidRPr="00361BA1">
        <w:rPr>
          <w:rFonts w:eastAsia="Times New Roman"/>
          <w:b/>
          <w:sz w:val="18"/>
          <w:szCs w:val="18"/>
          <w:lang w:eastAsia="en-US"/>
        </w:rPr>
        <w:t>Key judgements and estimates</w:t>
      </w:r>
    </w:p>
    <w:p w14:paraId="404EFAFF"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The Agency recognises a liability for the costs of reasonable and necessary support at the time that services are provided to participants in the Scheme. Due to the administrative processes associated with receiving and processing claims at the end of an accounting period, the Agency may not have been notified of the full value of all services provided during that period. Therefore, the Agency records a provision for the reasonable and necessary support provided to participants during the period but not yet notified to the Agency based on its best estimate of the outstanding liability. Accounting standards, information on committed supports contained within participant plans, the claims received by the Agency over time relating back to committed supports and the expected utilisation of committed supports within participant plans are used as guidance. The expected utilisation rates is a significant factor in the estimation of the outstanding liability, with sensitivity analysis performed on the 30 June 2020 balance identifying that for each 0.5% increase or decrease in the utilisation the estimated liability increases or decreases by $120.8m.</w:t>
      </w:r>
    </w:p>
    <w:p w14:paraId="30FFCF38"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As at 30 June 2020, the expected utilisation of committed support provision raised by financial years is as follows:</w:t>
      </w:r>
    </w:p>
    <w:p w14:paraId="60BD753A"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2013-14: 64.67% (2019: 64.66%)</w:t>
      </w:r>
    </w:p>
    <w:p w14:paraId="5F4722C3"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2014-15: 74.68% (2019: 74.65%)</w:t>
      </w:r>
    </w:p>
    <w:p w14:paraId="470D73DF"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2015-16: 74.99% (2019: 74.97%)</w:t>
      </w:r>
    </w:p>
    <w:p w14:paraId="6A231477"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2016-17: 67.60% (2019: 67.55%)</w:t>
      </w:r>
    </w:p>
    <w:p w14:paraId="5ED50CFE"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2017-18: 70.28% (2019: 70.24%)</w:t>
      </w:r>
    </w:p>
    <w:p w14:paraId="2E605E77"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2018-19: 71.56% (2019: 72.95%)</w:t>
      </w:r>
    </w:p>
    <w:p w14:paraId="4214CE2D"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 xml:space="preserve">  2019-20: 73.63%</w:t>
      </w:r>
    </w:p>
    <w:p w14:paraId="3336711C" w14:textId="77777777" w:rsidR="00361BA1" w:rsidRPr="00361BA1" w:rsidRDefault="00361BA1" w:rsidP="00084A73">
      <w:pPr>
        <w:pBdr>
          <w:top w:val="single" w:sz="4" w:space="1" w:color="800080"/>
          <w:left w:val="single" w:sz="4" w:space="4" w:color="800080"/>
          <w:bottom w:val="single" w:sz="4" w:space="1" w:color="800080"/>
          <w:right w:val="single" w:sz="4" w:space="31" w:color="800080"/>
        </w:pBdr>
        <w:spacing w:before="0" w:line="120" w:lineRule="atLeast"/>
        <w:ind w:left="142" w:right="607"/>
        <w:rPr>
          <w:rFonts w:eastAsia="Times New Roman"/>
          <w:sz w:val="18"/>
          <w:szCs w:val="18"/>
          <w:lang w:eastAsia="en-US"/>
        </w:rPr>
      </w:pPr>
      <w:r w:rsidRPr="00361BA1">
        <w:rPr>
          <w:rFonts w:eastAsia="Times New Roman"/>
          <w:sz w:val="18"/>
          <w:szCs w:val="18"/>
          <w:lang w:eastAsia="en-US"/>
        </w:rPr>
        <w:t>Given the rapid growth of the Scheme and the changing patterns of participant payments over time, the estimates of the participant plan provision includes an allowance for uncertainty referred to as the ‘risk margin’. The risk margin is based on historical variations in payments by the Scheme and is estimated to provide a 75% (2019: 75%) probability of sufficiency. As at 30 June 2020 for each 0.5% increase or decrease in risk margin the estimated liability increases/decreases by $8.5m.</w:t>
      </w:r>
    </w:p>
    <w:p w14:paraId="4A9E1411"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142" w:right="607"/>
        <w:rPr>
          <w:rFonts w:eastAsia="Times New Roman"/>
          <w:sz w:val="18"/>
          <w:szCs w:val="18"/>
          <w:lang w:eastAsia="en-US"/>
        </w:rPr>
        <w:sectPr w:rsidR="00361BA1" w:rsidRPr="00361BA1" w:rsidSect="00361BA1">
          <w:type w:val="continuous"/>
          <w:pgSz w:w="11906" w:h="16838" w:code="9"/>
          <w:pgMar w:top="1134" w:right="1700" w:bottom="1134" w:left="1134" w:header="958" w:footer="737" w:gutter="0"/>
          <w:cols w:space="708"/>
          <w:docGrid w:linePitch="360"/>
        </w:sectPr>
      </w:pPr>
    </w:p>
    <w:p w14:paraId="2D74A24C" w14:textId="77777777" w:rsidR="00361BA1" w:rsidRPr="00361BA1" w:rsidRDefault="00361BA1" w:rsidP="00361BA1">
      <w:pPr>
        <w:numPr>
          <w:ilvl w:val="0"/>
          <w:numId w:val="52"/>
        </w:numPr>
        <w:shd w:val="clear" w:color="00CC99" w:fill="800080"/>
        <w:spacing w:before="0" w:after="0" w:line="260" w:lineRule="atLeast"/>
        <w:outlineLvl w:val="0"/>
        <w:rPr>
          <w:rFonts w:ascii="Arial Bold" w:eastAsia="Times New Roman" w:hAnsi="Arial Bold" w:cs="Times New Roman"/>
          <w:b/>
          <w:color w:val="FFFFFF"/>
          <w:sz w:val="24"/>
          <w:szCs w:val="20"/>
          <w:lang w:eastAsia="en-US"/>
        </w:rPr>
      </w:pPr>
      <w:bookmarkStart w:id="97" w:name="_Toc41479169"/>
      <w:bookmarkStart w:id="98" w:name="_Toc443469540"/>
      <w:bookmarkStart w:id="99" w:name="_Toc444065794"/>
      <w:bookmarkStart w:id="100" w:name="_Toc444079991"/>
      <w:bookmarkEnd w:id="90"/>
      <w:bookmarkEnd w:id="91"/>
      <w:bookmarkEnd w:id="92"/>
      <w:bookmarkEnd w:id="93"/>
      <w:bookmarkEnd w:id="94"/>
      <w:bookmarkEnd w:id="95"/>
      <w:bookmarkEnd w:id="96"/>
      <w:r w:rsidRPr="00361BA1">
        <w:rPr>
          <w:rFonts w:ascii="Arial Bold" w:eastAsia="Times New Roman" w:hAnsi="Arial Bold" w:cs="Times New Roman"/>
          <w:b/>
          <w:color w:val="FFFFFF"/>
          <w:sz w:val="24"/>
          <w:szCs w:val="20"/>
          <w:lang w:eastAsia="en-US"/>
        </w:rPr>
        <w:lastRenderedPageBreak/>
        <w:t>People and Relationship</w:t>
      </w:r>
      <w:bookmarkEnd w:id="97"/>
    </w:p>
    <w:p w14:paraId="6E831A71"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r w:rsidRPr="00361BA1">
        <w:rPr>
          <w:rFonts w:eastAsia="Times New Roman" w:cs="Times New Roman"/>
          <w:color w:val="FFFFFF"/>
          <w:sz w:val="18"/>
          <w:szCs w:val="18"/>
          <w:lang w:eastAsia="en-US"/>
        </w:rPr>
        <w:t>This section describes a range of employment and post-employment benefits provided to our employees and our relationships with other key people.</w:t>
      </w:r>
    </w:p>
    <w:p w14:paraId="369A6347" w14:textId="696E876E" w:rsidR="00361BA1" w:rsidRPr="00361BA1" w:rsidRDefault="00361BA1" w:rsidP="00084A73">
      <w:pPr>
        <w:pStyle w:val="SubHeading"/>
      </w:pPr>
      <w:bookmarkStart w:id="101" w:name="_Toc41479170"/>
      <w:r w:rsidRPr="00361BA1">
        <w:t>Employee Provisions</w:t>
      </w:r>
      <w:bookmarkEnd w:id="101"/>
    </w:p>
    <w:p w14:paraId="5BDF68F1"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4EAD21A7" w14:textId="77777777" w:rsidTr="00361BA1">
        <w:trPr>
          <w:trHeight w:val="255"/>
        </w:trPr>
        <w:tc>
          <w:tcPr>
            <w:tcW w:w="6367" w:type="dxa"/>
            <w:tcBorders>
              <w:top w:val="nil"/>
              <w:left w:val="nil"/>
              <w:bottom w:val="nil"/>
              <w:right w:val="nil"/>
            </w:tcBorders>
            <w:shd w:val="clear" w:color="FFFFFF" w:fill="FFFFFF"/>
            <w:noWrap/>
            <w:vAlign w:val="bottom"/>
            <w:hideMark/>
          </w:tcPr>
          <w:p w14:paraId="24C9D0B3" w14:textId="77777777" w:rsidR="00361BA1" w:rsidRPr="00361BA1" w:rsidRDefault="00361BA1" w:rsidP="00361BA1">
            <w:pPr>
              <w:spacing w:before="0" w:after="0" w:line="260" w:lineRule="atLeast"/>
              <w:ind w:left="0"/>
              <w:rPr>
                <w:rFonts w:eastAsia="Times New Roman"/>
                <w:sz w:val="18"/>
                <w:szCs w:val="18"/>
                <w:lang w:eastAsia="en-US"/>
              </w:rPr>
            </w:pPr>
            <w:bookmarkStart w:id="102" w:name="Note_PRO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6D58332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6BAE332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14EC776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102"/>
      <w:tr w:rsidR="00361BA1" w:rsidRPr="00361BA1" w14:paraId="1A4BED3C" w14:textId="77777777" w:rsidTr="00361BA1">
        <w:trPr>
          <w:trHeight w:val="255"/>
        </w:trPr>
        <w:tc>
          <w:tcPr>
            <w:tcW w:w="6367" w:type="dxa"/>
            <w:tcBorders>
              <w:top w:val="nil"/>
              <w:left w:val="nil"/>
              <w:bottom w:val="nil"/>
              <w:right w:val="nil"/>
            </w:tcBorders>
            <w:shd w:val="clear" w:color="FFFFFF" w:fill="FFFFFF"/>
            <w:noWrap/>
            <w:vAlign w:val="bottom"/>
            <w:hideMark/>
          </w:tcPr>
          <w:p w14:paraId="62F0D3D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4BFBC695"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14FE160D"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72A0B4FB"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71622657" w14:textId="77777777" w:rsidTr="00361BA1">
        <w:trPr>
          <w:trHeight w:val="255"/>
        </w:trPr>
        <w:tc>
          <w:tcPr>
            <w:tcW w:w="6367" w:type="dxa"/>
            <w:tcBorders>
              <w:top w:val="nil"/>
              <w:left w:val="nil"/>
              <w:bottom w:val="nil"/>
              <w:right w:val="nil"/>
            </w:tcBorders>
            <w:shd w:val="clear" w:color="FFFFFF" w:fill="FFFFFF"/>
            <w:noWrap/>
            <w:vAlign w:val="bottom"/>
            <w:hideMark/>
          </w:tcPr>
          <w:p w14:paraId="6DD8C793"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3.1: Employee provisions</w:t>
            </w:r>
          </w:p>
        </w:tc>
        <w:tc>
          <w:tcPr>
            <w:tcW w:w="1246" w:type="dxa"/>
            <w:tcBorders>
              <w:top w:val="nil"/>
              <w:left w:val="nil"/>
              <w:bottom w:val="nil"/>
              <w:right w:val="nil"/>
            </w:tcBorders>
            <w:shd w:val="clear" w:color="FFFFFF" w:fill="FFFFFF"/>
            <w:noWrap/>
            <w:vAlign w:val="bottom"/>
            <w:hideMark/>
          </w:tcPr>
          <w:p w14:paraId="306D35C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8B427E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626C576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0FCB4197" w14:textId="77777777" w:rsidTr="00361BA1">
        <w:trPr>
          <w:trHeight w:val="255"/>
        </w:trPr>
        <w:tc>
          <w:tcPr>
            <w:tcW w:w="6367" w:type="dxa"/>
            <w:tcBorders>
              <w:top w:val="nil"/>
              <w:left w:val="nil"/>
              <w:bottom w:val="nil"/>
              <w:right w:val="nil"/>
            </w:tcBorders>
            <w:shd w:val="clear" w:color="FFFFFF" w:fill="FFFFFF"/>
            <w:vAlign w:val="bottom"/>
            <w:hideMark/>
          </w:tcPr>
          <w:p w14:paraId="5D65D795"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Leave</w:t>
            </w:r>
          </w:p>
        </w:tc>
        <w:tc>
          <w:tcPr>
            <w:tcW w:w="1246" w:type="dxa"/>
            <w:tcBorders>
              <w:top w:val="nil"/>
              <w:left w:val="nil"/>
              <w:bottom w:val="nil"/>
              <w:right w:val="nil"/>
            </w:tcBorders>
            <w:shd w:val="clear" w:color="FFFFFF" w:fill="FFFFFF"/>
            <w:noWrap/>
            <w:vAlign w:val="bottom"/>
            <w:hideMark/>
          </w:tcPr>
          <w:p w14:paraId="270C524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79,618</w:t>
            </w:r>
          </w:p>
        </w:tc>
        <w:tc>
          <w:tcPr>
            <w:tcW w:w="236" w:type="dxa"/>
            <w:tcBorders>
              <w:top w:val="nil"/>
              <w:left w:val="nil"/>
              <w:bottom w:val="nil"/>
              <w:right w:val="nil"/>
            </w:tcBorders>
            <w:shd w:val="clear" w:color="FFFFFF" w:fill="FFFFFF"/>
            <w:noWrap/>
            <w:vAlign w:val="bottom"/>
            <w:hideMark/>
          </w:tcPr>
          <w:p w14:paraId="1EBC93B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37C3A0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63,684</w:t>
            </w:r>
          </w:p>
        </w:tc>
      </w:tr>
      <w:tr w:rsidR="00361BA1" w:rsidRPr="00361BA1" w14:paraId="0D8D3754" w14:textId="77777777" w:rsidTr="00361BA1">
        <w:trPr>
          <w:trHeight w:val="255"/>
        </w:trPr>
        <w:tc>
          <w:tcPr>
            <w:tcW w:w="6367" w:type="dxa"/>
            <w:tcBorders>
              <w:top w:val="nil"/>
              <w:left w:val="nil"/>
              <w:bottom w:val="nil"/>
              <w:right w:val="nil"/>
            </w:tcBorders>
            <w:shd w:val="clear" w:color="FFFFFF" w:fill="FFFFFF"/>
            <w:vAlign w:val="bottom"/>
            <w:hideMark/>
          </w:tcPr>
          <w:p w14:paraId="039FFAE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employee provisions</w:t>
            </w:r>
          </w:p>
        </w:tc>
        <w:tc>
          <w:tcPr>
            <w:tcW w:w="1246" w:type="dxa"/>
            <w:tcBorders>
              <w:top w:val="single" w:sz="4" w:space="0" w:color="auto"/>
              <w:left w:val="nil"/>
              <w:bottom w:val="single" w:sz="4" w:space="0" w:color="auto"/>
              <w:right w:val="nil"/>
            </w:tcBorders>
            <w:shd w:val="clear" w:color="FFFFFF" w:fill="FFFFFF"/>
            <w:noWrap/>
            <w:vAlign w:val="bottom"/>
            <w:hideMark/>
          </w:tcPr>
          <w:p w14:paraId="2B6A0B0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79,618</w:t>
            </w:r>
          </w:p>
        </w:tc>
        <w:tc>
          <w:tcPr>
            <w:tcW w:w="236" w:type="dxa"/>
            <w:tcBorders>
              <w:top w:val="nil"/>
              <w:left w:val="nil"/>
              <w:bottom w:val="nil"/>
              <w:right w:val="nil"/>
            </w:tcBorders>
            <w:shd w:val="clear" w:color="FFFFFF" w:fill="FFFFFF"/>
            <w:noWrap/>
            <w:vAlign w:val="bottom"/>
            <w:hideMark/>
          </w:tcPr>
          <w:p w14:paraId="1E34BB9F"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80E743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63,684</w:t>
            </w:r>
          </w:p>
        </w:tc>
      </w:tr>
    </w:tbl>
    <w:p w14:paraId="7D9040B8"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bookmarkStart w:id="103" w:name="_Toc443469546"/>
      <w:bookmarkStart w:id="104" w:name="_Toc444065801"/>
      <w:bookmarkStart w:id="105" w:name="_Toc444079997"/>
    </w:p>
    <w:p w14:paraId="220FBD52"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50DEAA9C"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Liabilities for ‘short-term employee benefits’ (as defined in AASB 119 </w:t>
      </w:r>
      <w:r w:rsidRPr="00361BA1">
        <w:rPr>
          <w:rFonts w:eastAsia="Times New Roman"/>
          <w:bCs/>
          <w:i/>
          <w:sz w:val="18"/>
          <w:szCs w:val="18"/>
          <w:lang w:eastAsia="en-US"/>
        </w:rPr>
        <w:t>Employee Benefits</w:t>
      </w:r>
      <w:r w:rsidRPr="00361BA1">
        <w:rPr>
          <w:rFonts w:eastAsia="Times New Roman"/>
          <w:bCs/>
          <w:sz w:val="18"/>
          <w:szCs w:val="18"/>
          <w:lang w:eastAsia="en-US"/>
        </w:rPr>
        <w:t>) and termination benefits expected within twelve months of the end of the reporting period are measured at their nominal amounts. The nominal amount is calculated with regard to the salary rates expected to be paid on settlement of the liability.</w:t>
      </w:r>
    </w:p>
    <w:p w14:paraId="094408E1"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361BA1">
        <w:rPr>
          <w:rFonts w:eastAsia="Times New Roman"/>
          <w:bCs/>
          <w:i/>
          <w:sz w:val="18"/>
          <w:szCs w:val="18"/>
          <w:u w:val="single"/>
          <w:lang w:eastAsia="en-US"/>
        </w:rPr>
        <w:t>Leave</w:t>
      </w:r>
    </w:p>
    <w:p w14:paraId="121549ED"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The liability for employee benefits includes provision for annual leave and long service leave.  No provision has been made for sick leave as all sick leave is non-vesting and the average sick leave taken in future years by employees of the Agency is estimated to be less than the annual entitlement for sick leave.</w:t>
      </w:r>
      <w:r w:rsidRPr="00361BA1">
        <w:rPr>
          <w:rFonts w:eastAsia="Times New Roman"/>
          <w:bCs/>
          <w:sz w:val="18"/>
          <w:szCs w:val="18"/>
          <w:lang w:eastAsia="en-US"/>
        </w:rPr>
        <w:tab/>
      </w:r>
    </w:p>
    <w:p w14:paraId="55C1C6B0"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 The liability for annual and long service leave has been determined by reference to the work of an actuary as at 30 June 2019 updated by the Agency to reflect any changes in parameters to 30 June 2020. </w:t>
      </w:r>
    </w:p>
    <w:p w14:paraId="05F0339E"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361BA1">
        <w:rPr>
          <w:rFonts w:eastAsia="Times New Roman"/>
          <w:bCs/>
          <w:i/>
          <w:sz w:val="18"/>
          <w:szCs w:val="18"/>
          <w:u w:val="single"/>
          <w:lang w:eastAsia="en-US"/>
        </w:rPr>
        <w:t>Superannuation</w:t>
      </w:r>
    </w:p>
    <w:p w14:paraId="6AF8FA87"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Agency staff are members of the Commonwealth Superannuation Scheme (CSS), the Public Sector Superannuation Scheme (PSS), the PSS accumulation plan (PSSap) or other superannuation funds held outside the Australian Government. The CSS and PSS are defined benefit schemes for the Australian Government. The PSSap is a defined contribution scheme.</w:t>
      </w:r>
      <w:r w:rsidRPr="00361BA1">
        <w:rPr>
          <w:rFonts w:eastAsia="Times New Roman"/>
          <w:bCs/>
          <w:sz w:val="18"/>
          <w:szCs w:val="18"/>
          <w:lang w:eastAsia="en-US"/>
        </w:rPr>
        <w:tab/>
      </w:r>
    </w:p>
    <w:p w14:paraId="6CB00DD8"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The liability for defined benefits is recognised in the financial statements of the Australian Government and is settled by the Australian Government in due course. This liability is reported in the Department of Finance’s administered schedules and notes.</w:t>
      </w:r>
    </w:p>
    <w:p w14:paraId="390FFA9A"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The Agency makes employer contributions to employee superannuation schemes at rates determined by an actuary to be sufficient to meet the current cost to the Government. The Agency accounts for these contributions as if they were contributions to defined contribution plans in accordance with AASB 119 </w:t>
      </w:r>
      <w:r w:rsidRPr="00361BA1">
        <w:rPr>
          <w:rFonts w:eastAsia="Times New Roman"/>
          <w:bCs/>
          <w:i/>
          <w:sz w:val="18"/>
          <w:szCs w:val="18"/>
          <w:lang w:eastAsia="en-US"/>
        </w:rPr>
        <w:t>Employee Benefits</w:t>
      </w:r>
      <w:r w:rsidRPr="00361BA1">
        <w:rPr>
          <w:rFonts w:eastAsia="Times New Roman"/>
          <w:bCs/>
          <w:sz w:val="18"/>
          <w:szCs w:val="18"/>
          <w:lang w:eastAsia="en-US"/>
        </w:rPr>
        <w:t>.</w:t>
      </w:r>
    </w:p>
    <w:p w14:paraId="350DA569"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 xml:space="preserve">The liability for superannuation recognised as at 30 June represents outstanding contributions. </w:t>
      </w:r>
    </w:p>
    <w:p w14:paraId="678F8136"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Key Accounting judgements and estimates</w:t>
      </w:r>
    </w:p>
    <w:p w14:paraId="075CED2E"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i/>
          <w:sz w:val="18"/>
          <w:szCs w:val="18"/>
          <w:lang w:eastAsia="en-US"/>
        </w:rPr>
      </w:pPr>
      <w:r w:rsidRPr="00361BA1">
        <w:rPr>
          <w:rFonts w:eastAsia="Times New Roman"/>
          <w:bCs/>
          <w:sz w:val="18"/>
          <w:szCs w:val="18"/>
          <w:lang w:eastAsia="en-US"/>
        </w:rPr>
        <w:t>The liability for long service leave has been determined by reference to the work of an actuary as at 30 June 2019 updated by the Agency to reflect any changes in parameters to 30 June 2020. The estimate of the present value of the liability for long service leave takes into account attrition rates and pay increases through promotion and inflation. The estimate of future costs requires management and independent actuarial assessment of assumed salary growth rates, future on-cost rates and the experience of employee departures. The future costs are then discounted to present value using market yields on government bonds in accordance with AASB 119</w:t>
      </w:r>
      <w:r w:rsidRPr="00361BA1">
        <w:rPr>
          <w:rFonts w:eastAsia="Times New Roman"/>
          <w:bCs/>
          <w:i/>
          <w:sz w:val="18"/>
          <w:szCs w:val="18"/>
          <w:lang w:eastAsia="en-US"/>
        </w:rPr>
        <w:t>.</w:t>
      </w:r>
    </w:p>
    <w:p w14:paraId="1303BB28" w14:textId="77777777" w:rsidR="00361BA1" w:rsidRPr="00361BA1" w:rsidRDefault="00361BA1" w:rsidP="00361BA1">
      <w:pPr>
        <w:spacing w:before="0" w:after="0"/>
        <w:ind w:left="0"/>
        <w:rPr>
          <w:rFonts w:eastAsia="Times New Roman" w:cs="Times New Roman"/>
          <w:b/>
          <w:sz w:val="20"/>
          <w:szCs w:val="20"/>
          <w:lang w:eastAsia="en-US"/>
        </w:rPr>
      </w:pPr>
      <w:r w:rsidRPr="00361BA1">
        <w:rPr>
          <w:rFonts w:ascii="Times New Roman" w:eastAsia="Times New Roman" w:hAnsi="Times New Roman" w:cs="Times New Roman"/>
          <w:szCs w:val="20"/>
          <w:lang w:eastAsia="en-US"/>
        </w:rPr>
        <w:br w:type="page"/>
      </w:r>
    </w:p>
    <w:p w14:paraId="112F9EEA" w14:textId="40498700" w:rsidR="00361BA1" w:rsidRPr="00361BA1" w:rsidRDefault="00361BA1" w:rsidP="00084A73">
      <w:pPr>
        <w:pStyle w:val="SubHeading"/>
      </w:pPr>
      <w:bookmarkStart w:id="106" w:name="_Toc447030547"/>
      <w:bookmarkStart w:id="107" w:name="_Toc447030699"/>
      <w:bookmarkStart w:id="108" w:name="_Toc447030792"/>
      <w:bookmarkStart w:id="109" w:name="_Toc41479171"/>
      <w:r w:rsidRPr="00361BA1">
        <w:lastRenderedPageBreak/>
        <w:t>Board and Other Key Management Personnel Remuneration</w:t>
      </w:r>
      <w:bookmarkEnd w:id="103"/>
      <w:bookmarkEnd w:id="104"/>
      <w:bookmarkEnd w:id="105"/>
      <w:bookmarkEnd w:id="106"/>
      <w:bookmarkEnd w:id="107"/>
      <w:bookmarkEnd w:id="108"/>
      <w:bookmarkEnd w:id="109"/>
    </w:p>
    <w:p w14:paraId="6AF01F04" w14:textId="77777777" w:rsidR="00361BA1" w:rsidRPr="00361BA1" w:rsidRDefault="00361BA1" w:rsidP="00361BA1">
      <w:pPr>
        <w:autoSpaceDE w:val="0"/>
        <w:autoSpaceDN w:val="0"/>
        <w:adjustRightInd w:val="0"/>
        <w:spacing w:before="0" w:after="0"/>
        <w:ind w:left="0"/>
        <w:rPr>
          <w:rFonts w:ascii="Cambria" w:eastAsia="Times New Roman" w:hAnsi="Cambria" w:cs="Cambria"/>
          <w:sz w:val="18"/>
          <w:szCs w:val="18"/>
          <w:lang w:eastAsia="en-AU"/>
        </w:rPr>
      </w:pPr>
    </w:p>
    <w:p w14:paraId="18E2DC82" w14:textId="77777777" w:rsidR="00361BA1" w:rsidRPr="00361BA1" w:rsidRDefault="00361BA1" w:rsidP="00361BA1">
      <w:pPr>
        <w:autoSpaceDE w:val="0"/>
        <w:autoSpaceDN w:val="0"/>
        <w:adjustRightInd w:val="0"/>
        <w:spacing w:before="0" w:after="0"/>
        <w:ind w:left="0"/>
        <w:rPr>
          <w:rFonts w:eastAsia="Times New Roman" w:cs="Times New Roman"/>
          <w:sz w:val="18"/>
          <w:szCs w:val="20"/>
          <w:lang w:eastAsia="en-US"/>
        </w:rPr>
      </w:pPr>
      <w:r w:rsidRPr="00361BA1">
        <w:rPr>
          <w:rFonts w:eastAsia="Times New Roman"/>
          <w:sz w:val="18"/>
          <w:szCs w:val="18"/>
          <w:lang w:eastAsia="en-US"/>
        </w:rPr>
        <w:t xml:space="preserve">Key Management Personnel are those persons having authority and responsibility for planning, directing and controlling the activities of the Agency, directly or indirectly. The Agency has determined the key management personnel to be Board Members, the Chief Executive and other members of the Executive Leadership Team. </w:t>
      </w:r>
      <w:r w:rsidRPr="00361BA1">
        <w:rPr>
          <w:rFonts w:eastAsia="Times New Roman" w:cs="Times New Roman"/>
          <w:sz w:val="18"/>
          <w:szCs w:val="20"/>
          <w:lang w:eastAsia="en-US"/>
        </w:rPr>
        <w:t>Despite the formal definition of Key Management Personnel, Board members are independent of management.</w:t>
      </w:r>
    </w:p>
    <w:p w14:paraId="52322B09" w14:textId="77777777" w:rsidR="00361BA1" w:rsidRPr="00361BA1" w:rsidRDefault="00361BA1" w:rsidP="00361BA1">
      <w:pPr>
        <w:autoSpaceDE w:val="0"/>
        <w:autoSpaceDN w:val="0"/>
        <w:adjustRightInd w:val="0"/>
        <w:spacing w:before="0" w:after="0"/>
        <w:ind w:left="0"/>
        <w:rPr>
          <w:rFonts w:eastAsia="Times New Roman"/>
          <w:sz w:val="18"/>
          <w:szCs w:val="18"/>
          <w:lang w:eastAsia="en-US"/>
        </w:rPr>
      </w:pPr>
      <w:r w:rsidRPr="00361BA1">
        <w:rPr>
          <w:rFonts w:eastAsia="Times New Roman"/>
          <w:sz w:val="18"/>
          <w:szCs w:val="18"/>
          <w:lang w:eastAsia="en-US"/>
        </w:rPr>
        <w:t>Key management personnel remuneration is reported in the table below:</w:t>
      </w:r>
    </w:p>
    <w:p w14:paraId="69A9E0DE" w14:textId="77777777" w:rsidR="00361BA1" w:rsidRPr="00361BA1" w:rsidRDefault="00361BA1" w:rsidP="00361BA1">
      <w:pPr>
        <w:autoSpaceDE w:val="0"/>
        <w:autoSpaceDN w:val="0"/>
        <w:adjustRightInd w:val="0"/>
        <w:spacing w:before="0" w:after="0"/>
        <w:ind w:left="0"/>
        <w:rPr>
          <w:rFonts w:eastAsia="Times New Roman"/>
          <w:sz w:val="18"/>
          <w:szCs w:val="18"/>
          <w:lang w:eastAsia="en-US"/>
        </w:rPr>
      </w:pPr>
    </w:p>
    <w:tbl>
      <w:tblPr>
        <w:tblW w:w="9072" w:type="dxa"/>
        <w:tblLayout w:type="fixed"/>
        <w:tblLook w:val="04A0" w:firstRow="1" w:lastRow="0" w:firstColumn="1" w:lastColumn="0" w:noHBand="0" w:noVBand="1"/>
      </w:tblPr>
      <w:tblGrid>
        <w:gridCol w:w="6367"/>
        <w:gridCol w:w="1430"/>
        <w:gridCol w:w="236"/>
        <w:gridCol w:w="1039"/>
      </w:tblGrid>
      <w:tr w:rsidR="00361BA1" w:rsidRPr="00361BA1" w14:paraId="07998580" w14:textId="77777777" w:rsidTr="00084A73">
        <w:trPr>
          <w:trHeight w:val="255"/>
        </w:trPr>
        <w:tc>
          <w:tcPr>
            <w:tcW w:w="6367" w:type="dxa"/>
            <w:tcBorders>
              <w:top w:val="nil"/>
              <w:left w:val="nil"/>
              <w:bottom w:val="nil"/>
              <w:right w:val="nil"/>
            </w:tcBorders>
            <w:shd w:val="clear" w:color="FFFFFF" w:fill="FFFFFF"/>
            <w:noWrap/>
            <w:vAlign w:val="bottom"/>
            <w:hideMark/>
          </w:tcPr>
          <w:p w14:paraId="3524945E" w14:textId="77777777" w:rsidR="00361BA1" w:rsidRPr="00361BA1" w:rsidRDefault="00361BA1" w:rsidP="00361BA1">
            <w:pPr>
              <w:spacing w:before="0" w:after="0" w:line="260" w:lineRule="atLeast"/>
              <w:ind w:left="0"/>
              <w:rPr>
                <w:rFonts w:eastAsia="Times New Roman"/>
                <w:b/>
                <w:bCs/>
                <w:sz w:val="18"/>
                <w:szCs w:val="18"/>
                <w:lang w:eastAsia="en-US"/>
              </w:rPr>
            </w:pPr>
            <w:bookmarkStart w:id="110" w:name="Note_ERETABLE1" w:colFirst="0" w:colLast="0"/>
            <w:r w:rsidRPr="00361BA1">
              <w:rPr>
                <w:rFonts w:eastAsia="Times New Roman"/>
                <w:b/>
                <w:bCs/>
                <w:sz w:val="18"/>
                <w:szCs w:val="18"/>
                <w:lang w:eastAsia="en-US"/>
              </w:rPr>
              <w:t> </w:t>
            </w:r>
          </w:p>
        </w:tc>
        <w:tc>
          <w:tcPr>
            <w:tcW w:w="1430" w:type="dxa"/>
            <w:tcBorders>
              <w:top w:val="nil"/>
              <w:left w:val="nil"/>
              <w:bottom w:val="nil"/>
              <w:right w:val="nil"/>
            </w:tcBorders>
            <w:shd w:val="clear" w:color="FFFFFF" w:fill="FFFFFF"/>
            <w:vAlign w:val="bottom"/>
            <w:hideMark/>
          </w:tcPr>
          <w:p w14:paraId="575CAD5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1971EE1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9" w:type="dxa"/>
            <w:tcBorders>
              <w:top w:val="nil"/>
              <w:left w:val="nil"/>
              <w:bottom w:val="nil"/>
              <w:right w:val="nil"/>
            </w:tcBorders>
            <w:shd w:val="clear" w:color="FFFFFF" w:fill="FFFFFF"/>
            <w:vAlign w:val="bottom"/>
            <w:hideMark/>
          </w:tcPr>
          <w:p w14:paraId="42C7D74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110"/>
      <w:tr w:rsidR="00361BA1" w:rsidRPr="00361BA1" w14:paraId="54DE8A88" w14:textId="77777777" w:rsidTr="00084A73">
        <w:trPr>
          <w:trHeight w:val="255"/>
        </w:trPr>
        <w:tc>
          <w:tcPr>
            <w:tcW w:w="6367" w:type="dxa"/>
            <w:tcBorders>
              <w:top w:val="nil"/>
              <w:left w:val="nil"/>
              <w:bottom w:val="nil"/>
              <w:right w:val="nil"/>
            </w:tcBorders>
            <w:shd w:val="clear" w:color="FFFFFF" w:fill="FFFFFF"/>
            <w:noWrap/>
            <w:vAlign w:val="bottom"/>
            <w:hideMark/>
          </w:tcPr>
          <w:p w14:paraId="27A32B6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430" w:type="dxa"/>
            <w:tcBorders>
              <w:top w:val="nil"/>
              <w:left w:val="nil"/>
              <w:bottom w:val="nil"/>
              <w:right w:val="nil"/>
            </w:tcBorders>
            <w:shd w:val="clear" w:color="FFFFFF" w:fill="FFFFFF"/>
            <w:vAlign w:val="bottom"/>
            <w:hideMark/>
          </w:tcPr>
          <w:p w14:paraId="39C51F8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5A585E3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9" w:type="dxa"/>
            <w:tcBorders>
              <w:top w:val="nil"/>
              <w:left w:val="nil"/>
              <w:bottom w:val="nil"/>
              <w:right w:val="nil"/>
            </w:tcBorders>
            <w:shd w:val="clear" w:color="FFFFFF" w:fill="FFFFFF"/>
            <w:vAlign w:val="bottom"/>
            <w:hideMark/>
          </w:tcPr>
          <w:p w14:paraId="0B22E60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5F98FCBA" w14:textId="77777777" w:rsidTr="00084A73">
        <w:trPr>
          <w:trHeight w:val="263"/>
        </w:trPr>
        <w:tc>
          <w:tcPr>
            <w:tcW w:w="6367" w:type="dxa"/>
            <w:tcBorders>
              <w:top w:val="nil"/>
              <w:left w:val="nil"/>
              <w:bottom w:val="nil"/>
              <w:right w:val="nil"/>
            </w:tcBorders>
            <w:shd w:val="clear" w:color="FFFFFF" w:fill="FFFFFF"/>
            <w:noWrap/>
            <w:vAlign w:val="bottom"/>
            <w:hideMark/>
          </w:tcPr>
          <w:p w14:paraId="787558E5"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3.2: Board and Key Management Personnel Remuneration</w:t>
            </w:r>
            <w:r w:rsidRPr="00361BA1">
              <w:rPr>
                <w:rFonts w:eastAsia="Times New Roman"/>
                <w:b/>
                <w:bCs/>
                <w:sz w:val="18"/>
                <w:szCs w:val="18"/>
                <w:u w:val="single"/>
                <w:vertAlign w:val="superscript"/>
                <w:lang w:eastAsia="en-US"/>
              </w:rPr>
              <w:t>1</w:t>
            </w:r>
          </w:p>
        </w:tc>
        <w:tc>
          <w:tcPr>
            <w:tcW w:w="1430" w:type="dxa"/>
            <w:tcBorders>
              <w:top w:val="nil"/>
              <w:left w:val="nil"/>
              <w:bottom w:val="nil"/>
              <w:right w:val="nil"/>
            </w:tcBorders>
            <w:shd w:val="clear" w:color="FFFFFF" w:fill="FFFFFF"/>
            <w:vAlign w:val="bottom"/>
            <w:hideMark/>
          </w:tcPr>
          <w:p w14:paraId="48E0530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0DF48A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39" w:type="dxa"/>
            <w:tcBorders>
              <w:top w:val="nil"/>
              <w:left w:val="nil"/>
              <w:bottom w:val="nil"/>
              <w:right w:val="nil"/>
            </w:tcBorders>
            <w:shd w:val="clear" w:color="FFFFFF" w:fill="FFFFFF"/>
            <w:vAlign w:val="bottom"/>
            <w:hideMark/>
          </w:tcPr>
          <w:p w14:paraId="70F41A1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0D93C83C" w14:textId="77777777" w:rsidTr="00084A73">
        <w:trPr>
          <w:trHeight w:val="278"/>
        </w:trPr>
        <w:tc>
          <w:tcPr>
            <w:tcW w:w="6367" w:type="dxa"/>
            <w:tcBorders>
              <w:top w:val="nil"/>
              <w:left w:val="nil"/>
              <w:bottom w:val="nil"/>
              <w:right w:val="nil"/>
            </w:tcBorders>
            <w:shd w:val="clear" w:color="FFFFFF" w:fill="FFFFFF"/>
            <w:noWrap/>
            <w:vAlign w:val="bottom"/>
            <w:hideMark/>
          </w:tcPr>
          <w:p w14:paraId="0B2463D5"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Short-term employee benefits</w:t>
            </w:r>
            <w:r w:rsidRPr="00361BA1">
              <w:rPr>
                <w:rFonts w:eastAsia="Times New Roman"/>
                <w:sz w:val="18"/>
                <w:szCs w:val="18"/>
                <w:vertAlign w:val="superscript"/>
                <w:lang w:eastAsia="en-US"/>
              </w:rPr>
              <w:t>2, 3</w:t>
            </w:r>
          </w:p>
        </w:tc>
        <w:tc>
          <w:tcPr>
            <w:tcW w:w="1430" w:type="dxa"/>
            <w:tcBorders>
              <w:top w:val="nil"/>
              <w:left w:val="nil"/>
              <w:bottom w:val="nil"/>
              <w:right w:val="nil"/>
            </w:tcBorders>
            <w:shd w:val="clear" w:color="FFFFFF" w:fill="FFFFFF"/>
            <w:noWrap/>
            <w:vAlign w:val="bottom"/>
            <w:hideMark/>
          </w:tcPr>
          <w:p w14:paraId="0E16AA5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5,170</w:t>
            </w:r>
          </w:p>
        </w:tc>
        <w:tc>
          <w:tcPr>
            <w:tcW w:w="236" w:type="dxa"/>
            <w:tcBorders>
              <w:top w:val="nil"/>
              <w:left w:val="nil"/>
              <w:bottom w:val="nil"/>
              <w:right w:val="nil"/>
            </w:tcBorders>
            <w:shd w:val="clear" w:color="FFFFFF" w:fill="FFFFFF"/>
            <w:noWrap/>
            <w:vAlign w:val="bottom"/>
            <w:hideMark/>
          </w:tcPr>
          <w:p w14:paraId="169080ED" w14:textId="77777777" w:rsidR="00361BA1" w:rsidRPr="00361BA1" w:rsidRDefault="00361BA1" w:rsidP="00361BA1">
            <w:pPr>
              <w:spacing w:before="0" w:after="0" w:line="260" w:lineRule="atLeast"/>
              <w:ind w:left="0"/>
              <w:rPr>
                <w:rFonts w:eastAsia="Times New Roman"/>
                <w:b/>
                <w:bCs/>
                <w:color w:val="00B050"/>
                <w:sz w:val="18"/>
                <w:szCs w:val="18"/>
                <w:lang w:eastAsia="en-US"/>
              </w:rPr>
            </w:pPr>
            <w:r w:rsidRPr="00361BA1">
              <w:rPr>
                <w:rFonts w:eastAsia="Times New Roman"/>
                <w:b/>
                <w:bCs/>
                <w:color w:val="00B050"/>
                <w:sz w:val="18"/>
                <w:szCs w:val="18"/>
                <w:lang w:eastAsia="en-US"/>
              </w:rPr>
              <w:t> </w:t>
            </w:r>
          </w:p>
        </w:tc>
        <w:tc>
          <w:tcPr>
            <w:tcW w:w="1039" w:type="dxa"/>
            <w:tcBorders>
              <w:top w:val="nil"/>
              <w:left w:val="nil"/>
              <w:bottom w:val="nil"/>
              <w:right w:val="nil"/>
            </w:tcBorders>
            <w:shd w:val="clear" w:color="FFFFFF" w:fill="FFFFFF"/>
            <w:noWrap/>
            <w:vAlign w:val="bottom"/>
            <w:hideMark/>
          </w:tcPr>
          <w:p w14:paraId="40AED0F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4,771</w:t>
            </w:r>
          </w:p>
        </w:tc>
      </w:tr>
      <w:tr w:rsidR="00361BA1" w:rsidRPr="00361BA1" w14:paraId="602A43DA" w14:textId="77777777" w:rsidTr="00084A73">
        <w:trPr>
          <w:trHeight w:val="255"/>
        </w:trPr>
        <w:tc>
          <w:tcPr>
            <w:tcW w:w="6367" w:type="dxa"/>
            <w:tcBorders>
              <w:top w:val="nil"/>
              <w:left w:val="nil"/>
              <w:bottom w:val="nil"/>
              <w:right w:val="nil"/>
            </w:tcBorders>
            <w:shd w:val="clear" w:color="FFFFFF" w:fill="FFFFFF"/>
            <w:noWrap/>
            <w:vAlign w:val="bottom"/>
            <w:hideMark/>
          </w:tcPr>
          <w:p w14:paraId="79756F39"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Post-employment benefits</w:t>
            </w:r>
          </w:p>
        </w:tc>
        <w:tc>
          <w:tcPr>
            <w:tcW w:w="1430" w:type="dxa"/>
            <w:tcBorders>
              <w:top w:val="nil"/>
              <w:left w:val="nil"/>
              <w:bottom w:val="nil"/>
              <w:right w:val="nil"/>
            </w:tcBorders>
            <w:shd w:val="clear" w:color="FFFFFF" w:fill="FFFFFF"/>
            <w:noWrap/>
            <w:vAlign w:val="bottom"/>
            <w:hideMark/>
          </w:tcPr>
          <w:p w14:paraId="2938DE3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489</w:t>
            </w:r>
          </w:p>
        </w:tc>
        <w:tc>
          <w:tcPr>
            <w:tcW w:w="236" w:type="dxa"/>
            <w:tcBorders>
              <w:top w:val="nil"/>
              <w:left w:val="nil"/>
              <w:bottom w:val="nil"/>
              <w:right w:val="nil"/>
            </w:tcBorders>
            <w:shd w:val="clear" w:color="FFFFFF" w:fill="FFFFFF"/>
            <w:noWrap/>
            <w:vAlign w:val="bottom"/>
            <w:hideMark/>
          </w:tcPr>
          <w:p w14:paraId="05B184E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039" w:type="dxa"/>
            <w:tcBorders>
              <w:top w:val="nil"/>
              <w:left w:val="nil"/>
              <w:bottom w:val="nil"/>
              <w:right w:val="nil"/>
            </w:tcBorders>
            <w:shd w:val="clear" w:color="FFFFFF" w:fill="FFFFFF"/>
            <w:noWrap/>
            <w:vAlign w:val="bottom"/>
            <w:hideMark/>
          </w:tcPr>
          <w:p w14:paraId="0643554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534</w:t>
            </w:r>
          </w:p>
        </w:tc>
      </w:tr>
      <w:tr w:rsidR="00361BA1" w:rsidRPr="00361BA1" w14:paraId="5F94EFD0" w14:textId="77777777" w:rsidTr="00084A73">
        <w:trPr>
          <w:trHeight w:val="255"/>
        </w:trPr>
        <w:tc>
          <w:tcPr>
            <w:tcW w:w="6367" w:type="dxa"/>
            <w:tcBorders>
              <w:top w:val="nil"/>
              <w:left w:val="nil"/>
              <w:bottom w:val="nil"/>
              <w:right w:val="nil"/>
            </w:tcBorders>
            <w:shd w:val="clear" w:color="FFFFFF" w:fill="FFFFFF"/>
            <w:noWrap/>
            <w:vAlign w:val="bottom"/>
            <w:hideMark/>
          </w:tcPr>
          <w:p w14:paraId="5079E699"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Other long-term employee benefits</w:t>
            </w:r>
          </w:p>
        </w:tc>
        <w:tc>
          <w:tcPr>
            <w:tcW w:w="1430" w:type="dxa"/>
            <w:tcBorders>
              <w:top w:val="nil"/>
              <w:left w:val="nil"/>
              <w:bottom w:val="nil"/>
              <w:right w:val="nil"/>
            </w:tcBorders>
            <w:shd w:val="clear" w:color="FFFFFF" w:fill="FFFFFF"/>
            <w:noWrap/>
            <w:vAlign w:val="bottom"/>
            <w:hideMark/>
          </w:tcPr>
          <w:p w14:paraId="6F9064B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69</w:t>
            </w:r>
          </w:p>
        </w:tc>
        <w:tc>
          <w:tcPr>
            <w:tcW w:w="236" w:type="dxa"/>
            <w:tcBorders>
              <w:top w:val="nil"/>
              <w:left w:val="nil"/>
              <w:bottom w:val="nil"/>
              <w:right w:val="nil"/>
            </w:tcBorders>
            <w:shd w:val="clear" w:color="FFFFFF" w:fill="FFFFFF"/>
            <w:noWrap/>
            <w:vAlign w:val="bottom"/>
            <w:hideMark/>
          </w:tcPr>
          <w:p w14:paraId="1174478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039" w:type="dxa"/>
            <w:tcBorders>
              <w:top w:val="nil"/>
              <w:left w:val="nil"/>
              <w:bottom w:val="nil"/>
              <w:right w:val="nil"/>
            </w:tcBorders>
            <w:shd w:val="clear" w:color="FFFFFF" w:fill="FFFFFF"/>
            <w:noWrap/>
            <w:vAlign w:val="bottom"/>
            <w:hideMark/>
          </w:tcPr>
          <w:p w14:paraId="34E8BC8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w:t>
            </w:r>
          </w:p>
        </w:tc>
      </w:tr>
      <w:tr w:rsidR="00361BA1" w:rsidRPr="00361BA1" w14:paraId="06A03C6A" w14:textId="77777777" w:rsidTr="00084A73">
        <w:trPr>
          <w:trHeight w:val="255"/>
        </w:trPr>
        <w:tc>
          <w:tcPr>
            <w:tcW w:w="6367" w:type="dxa"/>
            <w:tcBorders>
              <w:top w:val="nil"/>
              <w:left w:val="nil"/>
              <w:bottom w:val="nil"/>
              <w:right w:val="nil"/>
            </w:tcBorders>
            <w:shd w:val="clear" w:color="FFFFFF" w:fill="FFFFFF"/>
            <w:noWrap/>
            <w:vAlign w:val="bottom"/>
            <w:hideMark/>
          </w:tcPr>
          <w:p w14:paraId="6FC0F2EC"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Termination benefits</w:t>
            </w:r>
          </w:p>
        </w:tc>
        <w:tc>
          <w:tcPr>
            <w:tcW w:w="1430" w:type="dxa"/>
            <w:tcBorders>
              <w:top w:val="nil"/>
              <w:left w:val="nil"/>
              <w:bottom w:val="nil"/>
              <w:right w:val="nil"/>
            </w:tcBorders>
            <w:shd w:val="clear" w:color="FFFFFF" w:fill="FFFFFF"/>
            <w:noWrap/>
            <w:vAlign w:val="bottom"/>
            <w:hideMark/>
          </w:tcPr>
          <w:p w14:paraId="58344B4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6939EE0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039" w:type="dxa"/>
            <w:tcBorders>
              <w:top w:val="nil"/>
              <w:left w:val="nil"/>
              <w:bottom w:val="nil"/>
              <w:right w:val="nil"/>
            </w:tcBorders>
            <w:shd w:val="clear" w:color="FFFFFF" w:fill="FFFFFF"/>
            <w:noWrap/>
            <w:vAlign w:val="bottom"/>
            <w:hideMark/>
          </w:tcPr>
          <w:p w14:paraId="6E6DD56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65069E94" w14:textId="77777777" w:rsidTr="00084A73">
        <w:trPr>
          <w:trHeight w:val="263"/>
        </w:trPr>
        <w:tc>
          <w:tcPr>
            <w:tcW w:w="6367" w:type="dxa"/>
            <w:tcBorders>
              <w:top w:val="nil"/>
              <w:left w:val="nil"/>
              <w:bottom w:val="nil"/>
              <w:right w:val="nil"/>
            </w:tcBorders>
            <w:shd w:val="clear" w:color="FFFFFF" w:fill="FFFFFF"/>
            <w:vAlign w:val="bottom"/>
            <w:hideMark/>
          </w:tcPr>
          <w:p w14:paraId="4C3A755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Board and Key Management Personnel remuneration expenses</w:t>
            </w:r>
            <w:r w:rsidRPr="00361BA1">
              <w:rPr>
                <w:rFonts w:eastAsia="Times New Roman"/>
                <w:b/>
                <w:bCs/>
                <w:sz w:val="18"/>
                <w:szCs w:val="18"/>
                <w:vertAlign w:val="superscript"/>
                <w:lang w:eastAsia="en-US"/>
              </w:rPr>
              <w:t>4</w:t>
            </w:r>
          </w:p>
        </w:tc>
        <w:tc>
          <w:tcPr>
            <w:tcW w:w="1430" w:type="dxa"/>
            <w:tcBorders>
              <w:top w:val="single" w:sz="4" w:space="0" w:color="auto"/>
              <w:left w:val="nil"/>
              <w:bottom w:val="single" w:sz="4" w:space="0" w:color="auto"/>
              <w:right w:val="nil"/>
            </w:tcBorders>
            <w:shd w:val="clear" w:color="FFFFFF" w:fill="FFFFFF"/>
            <w:noWrap/>
            <w:vAlign w:val="bottom"/>
            <w:hideMark/>
          </w:tcPr>
          <w:p w14:paraId="79B370D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5,728</w:t>
            </w:r>
          </w:p>
        </w:tc>
        <w:tc>
          <w:tcPr>
            <w:tcW w:w="236" w:type="dxa"/>
            <w:tcBorders>
              <w:top w:val="nil"/>
              <w:left w:val="nil"/>
              <w:bottom w:val="nil"/>
              <w:right w:val="nil"/>
            </w:tcBorders>
            <w:shd w:val="clear" w:color="FFFFFF" w:fill="FFFFFF"/>
            <w:noWrap/>
            <w:vAlign w:val="bottom"/>
            <w:hideMark/>
          </w:tcPr>
          <w:p w14:paraId="73FD3F8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039" w:type="dxa"/>
            <w:tcBorders>
              <w:top w:val="single" w:sz="4" w:space="0" w:color="auto"/>
              <w:left w:val="nil"/>
              <w:bottom w:val="single" w:sz="4" w:space="0" w:color="auto"/>
              <w:right w:val="nil"/>
            </w:tcBorders>
            <w:shd w:val="clear" w:color="FFFFFF" w:fill="FFFFFF"/>
            <w:noWrap/>
            <w:vAlign w:val="bottom"/>
            <w:hideMark/>
          </w:tcPr>
          <w:p w14:paraId="557AD9E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5,343</w:t>
            </w:r>
          </w:p>
        </w:tc>
      </w:tr>
    </w:tbl>
    <w:p w14:paraId="49FE72ED" w14:textId="77777777" w:rsidR="00361BA1" w:rsidRPr="00361BA1" w:rsidRDefault="00361BA1" w:rsidP="00361BA1">
      <w:pPr>
        <w:spacing w:before="0" w:after="0" w:line="260" w:lineRule="atLeast"/>
        <w:ind w:left="0"/>
        <w:rPr>
          <w:rFonts w:eastAsia="Times New Roman"/>
          <w:sz w:val="18"/>
          <w:szCs w:val="18"/>
          <w:lang w:eastAsia="en-US"/>
        </w:rPr>
      </w:pPr>
    </w:p>
    <w:p w14:paraId="418BBBC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The total number of Board members and Key Management Personnel that are included in the above table is 25 (</w:t>
      </w:r>
      <w:r w:rsidRPr="00361BA1">
        <w:rPr>
          <w:rFonts w:eastAsia="Times New Roman"/>
          <w:sz w:val="18"/>
          <w:szCs w:val="18"/>
          <w:lang w:eastAsia="en-US"/>
        </w:rPr>
        <w:fldChar w:fldCharType="begin"/>
      </w:r>
      <w:r w:rsidRPr="00361BA1">
        <w:rPr>
          <w:rFonts w:eastAsia="Times New Roman"/>
          <w:sz w:val="18"/>
          <w:szCs w:val="18"/>
          <w:lang w:eastAsia="en-US"/>
        </w:rPr>
        <w:instrText xml:space="preserve"> DOCPROPERTY  prYear  \* MERGEFORMAT </w:instrText>
      </w:r>
      <w:r w:rsidRPr="00361BA1">
        <w:rPr>
          <w:rFonts w:eastAsia="Times New Roman"/>
          <w:sz w:val="18"/>
          <w:szCs w:val="18"/>
          <w:lang w:eastAsia="en-US"/>
        </w:rPr>
        <w:fldChar w:fldCharType="separate"/>
      </w:r>
      <w:r w:rsidRPr="00361BA1">
        <w:rPr>
          <w:rFonts w:eastAsia="Times New Roman"/>
          <w:sz w:val="18"/>
          <w:szCs w:val="18"/>
          <w:lang w:eastAsia="en-US"/>
        </w:rPr>
        <w:t>2019</w:t>
      </w:r>
      <w:r w:rsidRPr="00361BA1">
        <w:rPr>
          <w:rFonts w:eastAsia="Times New Roman"/>
          <w:sz w:val="18"/>
          <w:szCs w:val="18"/>
          <w:lang w:eastAsia="en-US"/>
        </w:rPr>
        <w:fldChar w:fldCharType="end"/>
      </w:r>
      <w:r w:rsidRPr="00361BA1">
        <w:rPr>
          <w:rFonts w:eastAsia="Times New Roman"/>
          <w:sz w:val="18"/>
          <w:szCs w:val="18"/>
          <w:lang w:eastAsia="en-US"/>
        </w:rPr>
        <w:t>: 22). During the year a number of executives were in acting roles whilst full-time replacements were recruited leading to the increase in the number of key management personnel being higher than in 2019.</w:t>
      </w:r>
    </w:p>
    <w:p w14:paraId="28B068D0" w14:textId="77777777" w:rsidR="00361BA1" w:rsidRPr="00361BA1" w:rsidRDefault="00361BA1" w:rsidP="00361BA1">
      <w:pPr>
        <w:spacing w:before="0" w:after="0" w:line="260" w:lineRule="atLeast"/>
        <w:ind w:left="0"/>
        <w:rPr>
          <w:rFonts w:eastAsia="Times New Roman"/>
          <w:sz w:val="18"/>
          <w:szCs w:val="18"/>
          <w:lang w:eastAsia="en-US"/>
        </w:rPr>
      </w:pPr>
    </w:p>
    <w:p w14:paraId="12B1B607" w14:textId="77777777" w:rsidR="00361BA1" w:rsidRPr="00361BA1" w:rsidRDefault="00361BA1" w:rsidP="00361BA1">
      <w:pPr>
        <w:spacing w:before="0" w:after="0" w:line="260" w:lineRule="atLeast"/>
        <w:ind w:left="0"/>
        <w:rPr>
          <w:rFonts w:eastAsia="Times New Roman"/>
          <w:sz w:val="18"/>
          <w:szCs w:val="18"/>
          <w:lang w:eastAsia="en-US"/>
        </w:rPr>
      </w:pPr>
      <w:bookmarkStart w:id="111" w:name="_Toc427244156"/>
      <w:r w:rsidRPr="00361BA1">
        <w:rPr>
          <w:rFonts w:eastAsia="Times New Roman"/>
          <w:sz w:val="18"/>
          <w:szCs w:val="18"/>
          <w:vertAlign w:val="superscript"/>
          <w:lang w:eastAsia="en-US"/>
        </w:rPr>
        <w:t xml:space="preserve">1 </w:t>
      </w:r>
      <w:r w:rsidRPr="00361BA1">
        <w:rPr>
          <w:rFonts w:eastAsia="Times New Roman"/>
          <w:sz w:val="18"/>
          <w:szCs w:val="18"/>
          <w:lang w:eastAsia="en-US"/>
        </w:rPr>
        <w:t xml:space="preserve">All remuneration in the table above and reported in Appendix 5.6 of the annual report is calculated on an accrual basis. </w:t>
      </w:r>
    </w:p>
    <w:p w14:paraId="46A0E27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vertAlign w:val="superscript"/>
          <w:lang w:eastAsia="en-US"/>
        </w:rPr>
        <w:t xml:space="preserve">2 </w:t>
      </w:r>
      <w:r w:rsidRPr="00361BA1">
        <w:rPr>
          <w:rFonts w:eastAsia="Times New Roman"/>
          <w:sz w:val="18"/>
          <w:szCs w:val="18"/>
          <w:lang w:eastAsia="en-US"/>
        </w:rPr>
        <w:t>Employee benefits include salary and vehicle allowances.</w:t>
      </w:r>
      <w:bookmarkEnd w:id="111"/>
    </w:p>
    <w:p w14:paraId="251BCFD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vertAlign w:val="superscript"/>
          <w:lang w:eastAsia="en-US"/>
        </w:rPr>
        <w:t>3</w:t>
      </w:r>
      <w:r w:rsidRPr="00361BA1">
        <w:rPr>
          <w:rFonts w:eastAsia="Times New Roman"/>
          <w:sz w:val="18"/>
          <w:szCs w:val="18"/>
          <w:lang w:eastAsia="en-US"/>
        </w:rPr>
        <w:t xml:space="preserve"> Where the Agency engages Key Management Personnel through direct contract arrangements the total contract costs for those individuals are reflected as short-term employee benefits.</w:t>
      </w:r>
    </w:p>
    <w:p w14:paraId="3701F75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vertAlign w:val="superscript"/>
          <w:lang w:eastAsia="en-US"/>
        </w:rPr>
        <w:t xml:space="preserve">4 </w:t>
      </w:r>
      <w:r w:rsidRPr="00361BA1">
        <w:rPr>
          <w:rFonts w:eastAsia="Times New Roman"/>
          <w:sz w:val="18"/>
          <w:szCs w:val="18"/>
          <w:lang w:eastAsia="en-US"/>
        </w:rPr>
        <w:t xml:space="preserve">The above key management personnel remuneration excludes the remuneration and other benefits of the Minister and Portfolio Minister. The Minister’s and Portfolio Minister’s remuneration and other benefits are set by the Remuneration Tribunal and are not paid by the Agency. These expenses are reported in the Department of Finance’s administered schedules and notes. </w:t>
      </w:r>
    </w:p>
    <w:p w14:paraId="617AF5A9" w14:textId="77777777" w:rsidR="00361BA1" w:rsidRPr="00361BA1" w:rsidRDefault="00361BA1" w:rsidP="00361BA1">
      <w:pPr>
        <w:spacing w:before="0" w:after="0" w:line="260" w:lineRule="atLeast"/>
        <w:ind w:left="0"/>
        <w:rPr>
          <w:rFonts w:eastAsia="Times New Roman"/>
          <w:sz w:val="18"/>
          <w:szCs w:val="18"/>
          <w:lang w:eastAsia="en-US"/>
        </w:rPr>
      </w:pPr>
    </w:p>
    <w:p w14:paraId="452F368D" w14:textId="77777777" w:rsidR="00361BA1" w:rsidRPr="00361BA1" w:rsidRDefault="00361BA1" w:rsidP="00361BA1">
      <w:pPr>
        <w:spacing w:before="0" w:after="0" w:line="260" w:lineRule="atLeast"/>
        <w:ind w:left="0"/>
        <w:rPr>
          <w:rFonts w:eastAsia="Times New Roman"/>
          <w:sz w:val="18"/>
          <w:szCs w:val="18"/>
          <w:lang w:eastAsia="en-US"/>
        </w:rPr>
      </w:pPr>
    </w:p>
    <w:p w14:paraId="3F4C971D" w14:textId="0C6FC9AC" w:rsidR="00361BA1" w:rsidRPr="00361BA1" w:rsidRDefault="00361BA1" w:rsidP="00084A73">
      <w:pPr>
        <w:pStyle w:val="SubHeading"/>
      </w:pPr>
      <w:bookmarkStart w:id="112" w:name="_Toc41479172"/>
      <w:r w:rsidRPr="00361BA1">
        <w:t>Related Party Disclosures</w:t>
      </w:r>
      <w:bookmarkEnd w:id="112"/>
    </w:p>
    <w:p w14:paraId="784E0FD8" w14:textId="77777777" w:rsidR="00361BA1" w:rsidRPr="00361BA1" w:rsidRDefault="00361BA1" w:rsidP="00361BA1">
      <w:pPr>
        <w:spacing w:before="0" w:after="0" w:line="40" w:lineRule="atLeast"/>
        <w:ind w:left="0"/>
        <w:rPr>
          <w:rFonts w:eastAsia="Times New Roman" w:cs="Times New Roman"/>
          <w:b/>
          <w:sz w:val="18"/>
          <w:szCs w:val="20"/>
          <w:lang w:eastAsia="en-US"/>
        </w:rPr>
      </w:pPr>
    </w:p>
    <w:p w14:paraId="65C2C947" w14:textId="77777777" w:rsidR="00361BA1" w:rsidRPr="00361BA1" w:rsidRDefault="00361BA1" w:rsidP="00361BA1">
      <w:pPr>
        <w:spacing w:before="0" w:after="0" w:line="40" w:lineRule="atLeast"/>
        <w:ind w:left="0"/>
        <w:rPr>
          <w:rFonts w:eastAsia="Times New Roman" w:cs="Times New Roman"/>
          <w:b/>
          <w:sz w:val="18"/>
          <w:szCs w:val="20"/>
          <w:lang w:eastAsia="en-US"/>
        </w:rPr>
      </w:pPr>
      <w:r w:rsidRPr="00361BA1">
        <w:rPr>
          <w:rFonts w:eastAsia="Times New Roman" w:cs="Times New Roman"/>
          <w:b/>
          <w:sz w:val="18"/>
          <w:szCs w:val="20"/>
          <w:lang w:eastAsia="en-US"/>
        </w:rPr>
        <w:t>Related party relationships:</w:t>
      </w:r>
    </w:p>
    <w:p w14:paraId="7CB093B6" w14:textId="77777777" w:rsidR="00361BA1" w:rsidRPr="00361BA1" w:rsidRDefault="00361BA1" w:rsidP="00361BA1">
      <w:pPr>
        <w:spacing w:before="0" w:after="0" w:line="40" w:lineRule="atLeast"/>
        <w:ind w:left="0"/>
        <w:rPr>
          <w:rFonts w:eastAsia="Times New Roman" w:cs="Times New Roman"/>
          <w:sz w:val="18"/>
          <w:szCs w:val="20"/>
          <w:lang w:eastAsia="en-US"/>
        </w:rPr>
      </w:pPr>
    </w:p>
    <w:p w14:paraId="1D1FB50A" w14:textId="77777777" w:rsidR="00361BA1" w:rsidRPr="00361BA1" w:rsidRDefault="00361BA1" w:rsidP="00361BA1">
      <w:pPr>
        <w:spacing w:before="0" w:after="0" w:line="40" w:lineRule="atLeast"/>
        <w:ind w:left="0"/>
        <w:rPr>
          <w:rFonts w:eastAsia="Times New Roman" w:cs="Times New Roman"/>
          <w:sz w:val="18"/>
          <w:szCs w:val="20"/>
          <w:lang w:eastAsia="en-US"/>
        </w:rPr>
      </w:pPr>
      <w:r w:rsidRPr="00361BA1">
        <w:rPr>
          <w:rFonts w:eastAsia="Times New Roman" w:cs="Times New Roman"/>
          <w:sz w:val="18"/>
          <w:szCs w:val="20"/>
          <w:lang w:eastAsia="en-US"/>
        </w:rPr>
        <w:t>The Agency is an Australian Government controlled entity, which is governed by an independent Board. For reporting purposes the Agency’s related parties are the Department of Social Services (DSS), Services Australia, the Board Members and Key Management Personnel. The definition of Key Management Personnel is included in Note 3.2.</w:t>
      </w:r>
    </w:p>
    <w:p w14:paraId="6471074A" w14:textId="77777777" w:rsidR="00361BA1" w:rsidRPr="00361BA1" w:rsidRDefault="00361BA1" w:rsidP="00361BA1">
      <w:pPr>
        <w:spacing w:before="0" w:after="0" w:line="40" w:lineRule="atLeast"/>
        <w:ind w:left="0"/>
        <w:rPr>
          <w:rFonts w:eastAsia="Times New Roman" w:cs="Times New Roman"/>
          <w:sz w:val="18"/>
          <w:szCs w:val="20"/>
          <w:lang w:eastAsia="en-US"/>
        </w:rPr>
      </w:pPr>
    </w:p>
    <w:p w14:paraId="5F3186BC" w14:textId="77777777" w:rsidR="00361BA1" w:rsidRPr="00361BA1" w:rsidRDefault="00361BA1" w:rsidP="00361BA1">
      <w:pPr>
        <w:spacing w:before="0" w:after="0" w:line="40" w:lineRule="atLeast"/>
        <w:ind w:left="0"/>
        <w:rPr>
          <w:rFonts w:eastAsia="Times New Roman" w:cs="Times New Roman"/>
          <w:sz w:val="18"/>
          <w:szCs w:val="20"/>
          <w:lang w:eastAsia="en-US"/>
        </w:rPr>
      </w:pPr>
      <w:r w:rsidRPr="00361BA1">
        <w:rPr>
          <w:rFonts w:eastAsia="Times New Roman" w:cs="Times New Roman"/>
          <w:sz w:val="18"/>
          <w:szCs w:val="20"/>
          <w:lang w:eastAsia="en-US"/>
        </w:rPr>
        <w:t>There were no loans to any Board members, Key Management Personnel or other related parties during the period (</w:t>
      </w:r>
      <w:r w:rsidRPr="00361BA1">
        <w:rPr>
          <w:rFonts w:eastAsia="Times New Roman" w:cs="Times New Roman"/>
          <w:sz w:val="18"/>
          <w:szCs w:val="20"/>
          <w:lang w:eastAsia="en-US"/>
        </w:rPr>
        <w:fldChar w:fldCharType="begin"/>
      </w:r>
      <w:r w:rsidRPr="00361BA1">
        <w:rPr>
          <w:rFonts w:eastAsia="Times New Roman" w:cs="Times New Roman"/>
          <w:sz w:val="18"/>
          <w:szCs w:val="20"/>
          <w:lang w:eastAsia="en-US"/>
        </w:rPr>
        <w:instrText xml:space="preserve"> DOCPROPERTY  prYear  \* MERGEFORMAT </w:instrText>
      </w:r>
      <w:r w:rsidRPr="00361BA1">
        <w:rPr>
          <w:rFonts w:eastAsia="Times New Roman" w:cs="Times New Roman"/>
          <w:sz w:val="18"/>
          <w:szCs w:val="20"/>
          <w:lang w:eastAsia="en-US"/>
        </w:rPr>
        <w:fldChar w:fldCharType="separate"/>
      </w:r>
      <w:r w:rsidRPr="00361BA1">
        <w:rPr>
          <w:rFonts w:eastAsia="Times New Roman" w:cs="Times New Roman"/>
          <w:sz w:val="18"/>
          <w:szCs w:val="20"/>
          <w:lang w:eastAsia="en-US"/>
        </w:rPr>
        <w:t>2019</w:t>
      </w:r>
      <w:r w:rsidRPr="00361BA1">
        <w:rPr>
          <w:rFonts w:eastAsia="Times New Roman" w:cs="Times New Roman"/>
          <w:sz w:val="18"/>
          <w:szCs w:val="20"/>
          <w:lang w:eastAsia="en-US"/>
        </w:rPr>
        <w:fldChar w:fldCharType="end"/>
      </w:r>
      <w:r w:rsidRPr="00361BA1">
        <w:rPr>
          <w:rFonts w:eastAsia="Times New Roman" w:cs="Times New Roman"/>
          <w:sz w:val="18"/>
          <w:szCs w:val="20"/>
          <w:lang w:eastAsia="en-US"/>
        </w:rPr>
        <w:t>: Nil).</w:t>
      </w:r>
    </w:p>
    <w:p w14:paraId="0A0AC6DF" w14:textId="77777777" w:rsidR="00361BA1" w:rsidRPr="00361BA1" w:rsidRDefault="00361BA1" w:rsidP="00361BA1">
      <w:pPr>
        <w:spacing w:before="0" w:after="0" w:line="40" w:lineRule="atLeast"/>
        <w:ind w:left="0"/>
        <w:rPr>
          <w:rFonts w:eastAsia="Times New Roman" w:cs="Times New Roman"/>
          <w:sz w:val="18"/>
          <w:szCs w:val="20"/>
          <w:highlight w:val="yellow"/>
          <w:lang w:eastAsia="en-US"/>
        </w:rPr>
      </w:pPr>
    </w:p>
    <w:p w14:paraId="5A7C140E" w14:textId="77777777" w:rsidR="00361BA1" w:rsidRPr="00361BA1" w:rsidRDefault="00361BA1" w:rsidP="00361BA1">
      <w:pPr>
        <w:spacing w:before="0" w:after="0" w:line="40" w:lineRule="atLeast"/>
        <w:ind w:left="0"/>
        <w:rPr>
          <w:rFonts w:eastAsia="Times New Roman" w:cs="Times New Roman"/>
          <w:b/>
          <w:sz w:val="18"/>
          <w:szCs w:val="20"/>
          <w:lang w:eastAsia="en-US"/>
        </w:rPr>
      </w:pPr>
      <w:r w:rsidRPr="00361BA1">
        <w:rPr>
          <w:rFonts w:eastAsia="Times New Roman" w:cs="Times New Roman"/>
          <w:b/>
          <w:sz w:val="18"/>
          <w:szCs w:val="20"/>
          <w:lang w:eastAsia="en-US"/>
        </w:rPr>
        <w:t>Transactions with related parties:</w:t>
      </w:r>
    </w:p>
    <w:p w14:paraId="651A3C05" w14:textId="77777777" w:rsidR="00361BA1" w:rsidRPr="00361BA1" w:rsidRDefault="00361BA1" w:rsidP="00361BA1">
      <w:pPr>
        <w:spacing w:before="0" w:after="0" w:line="40" w:lineRule="atLeast"/>
        <w:ind w:left="0"/>
        <w:rPr>
          <w:rFonts w:eastAsia="Times New Roman" w:cs="Times New Roman"/>
          <w:sz w:val="18"/>
          <w:szCs w:val="20"/>
          <w:lang w:eastAsia="en-US"/>
        </w:rPr>
      </w:pPr>
      <w:r w:rsidRPr="00361BA1">
        <w:rPr>
          <w:rFonts w:eastAsia="Times New Roman" w:cs="Times New Roman"/>
          <w:sz w:val="18"/>
          <w:szCs w:val="20"/>
          <w:lang w:eastAsia="en-US"/>
        </w:rPr>
        <w:t>Given the scope of Government activities, related parties may transact with the government sector in the same capacity as ordinary citizens and/or may have family members that are participants in the Scheme. These transactions are conducted at arm’s length and have not been separately disclosed in this note. A number of Board members and Key Management Personnel fall into this category. Where the Agency has had interactions with DSS and Services Australia, the financial impact of such interactions have been disclosed in sections 1 and 2 of the financial statements.</w:t>
      </w:r>
    </w:p>
    <w:p w14:paraId="3A7D6AFA" w14:textId="77777777" w:rsidR="00361BA1" w:rsidRPr="00361BA1" w:rsidRDefault="00361BA1" w:rsidP="00361BA1">
      <w:pPr>
        <w:spacing w:before="0" w:after="0" w:line="40" w:lineRule="atLeast"/>
        <w:ind w:left="0"/>
        <w:rPr>
          <w:rFonts w:eastAsia="Times New Roman" w:cs="Times New Roman"/>
          <w:sz w:val="18"/>
          <w:szCs w:val="20"/>
          <w:lang w:eastAsia="en-US"/>
        </w:rPr>
      </w:pPr>
    </w:p>
    <w:p w14:paraId="787DC685" w14:textId="77777777" w:rsidR="00361BA1" w:rsidRPr="00361BA1" w:rsidRDefault="00361BA1" w:rsidP="00361BA1">
      <w:pPr>
        <w:spacing w:before="0" w:after="0" w:line="40" w:lineRule="atLeast"/>
        <w:ind w:left="0"/>
        <w:rPr>
          <w:rFonts w:eastAsia="Times New Roman" w:cs="Times New Roman"/>
          <w:sz w:val="18"/>
          <w:szCs w:val="20"/>
          <w:lang w:eastAsia="en-US"/>
        </w:rPr>
      </w:pPr>
      <w:r w:rsidRPr="00361BA1">
        <w:rPr>
          <w:rFonts w:eastAsia="Times New Roman" w:cs="Times New Roman"/>
          <w:sz w:val="18"/>
          <w:szCs w:val="20"/>
          <w:lang w:eastAsia="en-US"/>
        </w:rPr>
        <w:t>The following cash payments were made to parties related to the Board members and KMP executive members during the financial year:</w:t>
      </w:r>
      <w:r w:rsidRPr="00361BA1">
        <w:rPr>
          <w:rFonts w:eastAsia="Times New Roman" w:cs="Times New Roman"/>
          <w:sz w:val="18"/>
          <w:szCs w:val="20"/>
          <w:lang w:eastAsia="en-US"/>
        </w:rPr>
        <w:br w:type="page"/>
      </w:r>
    </w:p>
    <w:tbl>
      <w:tblPr>
        <w:tblW w:w="9072" w:type="dxa"/>
        <w:tblLayout w:type="fixed"/>
        <w:tblLook w:val="04A0" w:firstRow="1" w:lastRow="0" w:firstColumn="1" w:lastColumn="0" w:noHBand="0" w:noVBand="1"/>
      </w:tblPr>
      <w:tblGrid>
        <w:gridCol w:w="2552"/>
        <w:gridCol w:w="1984"/>
        <w:gridCol w:w="2268"/>
        <w:gridCol w:w="851"/>
        <w:gridCol w:w="283"/>
        <w:gridCol w:w="1134"/>
      </w:tblGrid>
      <w:tr w:rsidR="00361BA1" w:rsidRPr="00361BA1" w14:paraId="6422787C" w14:textId="77777777" w:rsidTr="00361BA1">
        <w:trPr>
          <w:trHeight w:val="255"/>
        </w:trPr>
        <w:tc>
          <w:tcPr>
            <w:tcW w:w="2552" w:type="dxa"/>
            <w:tcBorders>
              <w:top w:val="nil"/>
              <w:left w:val="nil"/>
              <w:bottom w:val="nil"/>
              <w:right w:val="nil"/>
            </w:tcBorders>
            <w:shd w:val="clear" w:color="FFFFFF" w:fill="FFFFFF"/>
            <w:noWrap/>
            <w:vAlign w:val="bottom"/>
          </w:tcPr>
          <w:p w14:paraId="0C35C405"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1984" w:type="dxa"/>
            <w:tcBorders>
              <w:top w:val="nil"/>
              <w:left w:val="nil"/>
              <w:bottom w:val="nil"/>
              <w:right w:val="nil"/>
            </w:tcBorders>
            <w:shd w:val="clear" w:color="FFFFFF" w:fill="FFFFFF"/>
          </w:tcPr>
          <w:p w14:paraId="05ADB648"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2268" w:type="dxa"/>
            <w:tcBorders>
              <w:top w:val="nil"/>
              <w:left w:val="nil"/>
              <w:bottom w:val="nil"/>
              <w:right w:val="nil"/>
            </w:tcBorders>
            <w:shd w:val="clear" w:color="FFFFFF" w:fill="FFFFFF"/>
          </w:tcPr>
          <w:p w14:paraId="7436A00D"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851" w:type="dxa"/>
            <w:tcBorders>
              <w:top w:val="nil"/>
              <w:left w:val="nil"/>
              <w:bottom w:val="nil"/>
              <w:right w:val="nil"/>
            </w:tcBorders>
            <w:shd w:val="clear" w:color="FFFFFF" w:fill="FFFFFF"/>
            <w:vAlign w:val="bottom"/>
          </w:tcPr>
          <w:p w14:paraId="6EA6FFE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fldChar w:fldCharType="begin"/>
            </w:r>
            <w:r w:rsidRPr="00361BA1">
              <w:rPr>
                <w:rFonts w:eastAsia="Times New Roman"/>
                <w:b/>
                <w:bCs/>
                <w:sz w:val="18"/>
                <w:szCs w:val="18"/>
                <w:lang w:eastAsia="en-US"/>
              </w:rPr>
              <w:instrText xml:space="preserve"> DOCPROPERTY  crYear  \* MERGEFORMAT </w:instrText>
            </w:r>
            <w:r w:rsidRPr="00361BA1">
              <w:rPr>
                <w:rFonts w:eastAsia="Times New Roman"/>
                <w:b/>
                <w:bCs/>
                <w:sz w:val="18"/>
                <w:szCs w:val="18"/>
                <w:lang w:eastAsia="en-US"/>
              </w:rPr>
              <w:fldChar w:fldCharType="separate"/>
            </w:r>
            <w:r w:rsidRPr="00361BA1">
              <w:rPr>
                <w:rFonts w:eastAsia="Times New Roman"/>
                <w:b/>
                <w:bCs/>
                <w:sz w:val="18"/>
                <w:szCs w:val="18"/>
                <w:lang w:eastAsia="en-US"/>
              </w:rPr>
              <w:t>2020</w:t>
            </w:r>
            <w:r w:rsidRPr="00361BA1">
              <w:rPr>
                <w:rFonts w:eastAsia="Times New Roman"/>
                <w:b/>
                <w:bCs/>
                <w:sz w:val="18"/>
                <w:szCs w:val="18"/>
                <w:lang w:eastAsia="en-US"/>
              </w:rPr>
              <w:fldChar w:fldCharType="end"/>
            </w:r>
          </w:p>
        </w:tc>
        <w:tc>
          <w:tcPr>
            <w:tcW w:w="283" w:type="dxa"/>
            <w:tcBorders>
              <w:top w:val="nil"/>
              <w:left w:val="nil"/>
              <w:bottom w:val="nil"/>
              <w:right w:val="nil"/>
            </w:tcBorders>
            <w:shd w:val="clear" w:color="FFFFFF" w:fill="FFFFFF"/>
            <w:noWrap/>
            <w:vAlign w:val="bottom"/>
          </w:tcPr>
          <w:p w14:paraId="17B3C0B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34" w:type="dxa"/>
            <w:tcBorders>
              <w:top w:val="nil"/>
              <w:left w:val="nil"/>
              <w:bottom w:val="nil"/>
              <w:right w:val="nil"/>
            </w:tcBorders>
            <w:shd w:val="clear" w:color="FFFFFF" w:fill="FFFFFF"/>
            <w:vAlign w:val="bottom"/>
          </w:tcPr>
          <w:p w14:paraId="65F431A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fldChar w:fldCharType="begin"/>
            </w:r>
            <w:r w:rsidRPr="00361BA1">
              <w:rPr>
                <w:rFonts w:eastAsia="Times New Roman"/>
                <w:sz w:val="18"/>
                <w:szCs w:val="18"/>
                <w:lang w:eastAsia="en-US"/>
              </w:rPr>
              <w:instrText xml:space="preserve"> DOCPROPERTY  prYear  \* MERGEFORMAT </w:instrText>
            </w:r>
            <w:r w:rsidRPr="00361BA1">
              <w:rPr>
                <w:rFonts w:eastAsia="Times New Roman"/>
                <w:sz w:val="18"/>
                <w:szCs w:val="18"/>
                <w:lang w:eastAsia="en-US"/>
              </w:rPr>
              <w:fldChar w:fldCharType="separate"/>
            </w:r>
            <w:r w:rsidRPr="00361BA1">
              <w:rPr>
                <w:rFonts w:eastAsia="Times New Roman"/>
                <w:sz w:val="18"/>
                <w:szCs w:val="18"/>
                <w:lang w:eastAsia="en-US"/>
              </w:rPr>
              <w:t>2019</w:t>
            </w:r>
            <w:r w:rsidRPr="00361BA1">
              <w:rPr>
                <w:rFonts w:eastAsia="Times New Roman"/>
                <w:sz w:val="18"/>
                <w:szCs w:val="18"/>
                <w:lang w:eastAsia="en-US"/>
              </w:rPr>
              <w:fldChar w:fldCharType="end"/>
            </w:r>
          </w:p>
        </w:tc>
      </w:tr>
      <w:tr w:rsidR="00361BA1" w:rsidRPr="00361BA1" w14:paraId="551F67C2" w14:textId="77777777" w:rsidTr="00361BA1">
        <w:trPr>
          <w:trHeight w:val="255"/>
        </w:trPr>
        <w:tc>
          <w:tcPr>
            <w:tcW w:w="2552" w:type="dxa"/>
            <w:tcBorders>
              <w:top w:val="nil"/>
              <w:left w:val="nil"/>
              <w:bottom w:val="single" w:sz="4" w:space="0" w:color="auto"/>
              <w:right w:val="nil"/>
            </w:tcBorders>
            <w:shd w:val="clear" w:color="FFFFFF" w:fill="FFFFFF"/>
            <w:noWrap/>
            <w:vAlign w:val="bottom"/>
          </w:tcPr>
          <w:p w14:paraId="1975278F"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1984" w:type="dxa"/>
            <w:tcBorders>
              <w:top w:val="nil"/>
              <w:left w:val="nil"/>
              <w:bottom w:val="single" w:sz="4" w:space="0" w:color="auto"/>
              <w:right w:val="nil"/>
            </w:tcBorders>
            <w:shd w:val="clear" w:color="FFFFFF" w:fill="FFFFFF"/>
          </w:tcPr>
          <w:p w14:paraId="3E7B4BC0"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2268" w:type="dxa"/>
            <w:tcBorders>
              <w:top w:val="nil"/>
              <w:left w:val="nil"/>
              <w:bottom w:val="single" w:sz="4" w:space="0" w:color="auto"/>
              <w:right w:val="nil"/>
            </w:tcBorders>
            <w:shd w:val="clear" w:color="FFFFFF" w:fill="FFFFFF"/>
          </w:tcPr>
          <w:p w14:paraId="1B15E470" w14:textId="77777777" w:rsidR="00361BA1" w:rsidRPr="00361BA1" w:rsidRDefault="00361BA1" w:rsidP="00361BA1">
            <w:pPr>
              <w:spacing w:before="0" w:after="0" w:line="260" w:lineRule="atLeast"/>
              <w:ind w:left="0"/>
              <w:rPr>
                <w:rFonts w:eastAsia="Times New Roman"/>
                <w:b/>
                <w:bCs/>
                <w:sz w:val="18"/>
                <w:szCs w:val="18"/>
                <w:lang w:eastAsia="en-US"/>
              </w:rPr>
            </w:pPr>
          </w:p>
        </w:tc>
        <w:tc>
          <w:tcPr>
            <w:tcW w:w="851" w:type="dxa"/>
            <w:tcBorders>
              <w:top w:val="nil"/>
              <w:left w:val="nil"/>
              <w:bottom w:val="single" w:sz="4" w:space="0" w:color="auto"/>
              <w:right w:val="nil"/>
            </w:tcBorders>
            <w:shd w:val="clear" w:color="FFFFFF" w:fill="FFFFFF"/>
            <w:vAlign w:val="bottom"/>
          </w:tcPr>
          <w:p w14:paraId="31E94E7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83" w:type="dxa"/>
            <w:tcBorders>
              <w:top w:val="nil"/>
              <w:left w:val="nil"/>
              <w:bottom w:val="single" w:sz="4" w:space="0" w:color="auto"/>
              <w:right w:val="nil"/>
            </w:tcBorders>
            <w:shd w:val="clear" w:color="FFFFFF" w:fill="FFFFFF"/>
            <w:noWrap/>
            <w:vAlign w:val="bottom"/>
          </w:tcPr>
          <w:p w14:paraId="5E730FE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134" w:type="dxa"/>
            <w:tcBorders>
              <w:top w:val="nil"/>
              <w:left w:val="nil"/>
              <w:bottom w:val="single" w:sz="4" w:space="0" w:color="auto"/>
              <w:right w:val="nil"/>
            </w:tcBorders>
            <w:shd w:val="clear" w:color="FFFFFF" w:fill="FFFFFF"/>
            <w:vAlign w:val="bottom"/>
          </w:tcPr>
          <w:p w14:paraId="7F35FC5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0F984D29" w14:textId="77777777" w:rsidTr="00361BA1">
        <w:trPr>
          <w:trHeight w:val="255"/>
        </w:trPr>
        <w:tc>
          <w:tcPr>
            <w:tcW w:w="2552" w:type="dxa"/>
            <w:tcBorders>
              <w:top w:val="single" w:sz="4" w:space="0" w:color="auto"/>
              <w:left w:val="nil"/>
              <w:bottom w:val="single" w:sz="4" w:space="0" w:color="auto"/>
              <w:right w:val="nil"/>
            </w:tcBorders>
            <w:shd w:val="clear" w:color="FFFFFF" w:fill="FFFFFF"/>
            <w:noWrap/>
            <w:vAlign w:val="center"/>
            <w:hideMark/>
          </w:tcPr>
          <w:p w14:paraId="30DC4D93" w14:textId="77777777" w:rsidR="00361BA1" w:rsidRPr="00361BA1" w:rsidRDefault="00361BA1" w:rsidP="00361BA1">
            <w:pPr>
              <w:spacing w:before="0" w:after="0" w:line="260" w:lineRule="atLeast"/>
              <w:ind w:left="0"/>
              <w:rPr>
                <w:rFonts w:eastAsia="Times New Roman"/>
                <w:b/>
                <w:sz w:val="18"/>
                <w:szCs w:val="18"/>
                <w:lang w:eastAsia="en-US"/>
              </w:rPr>
            </w:pPr>
            <w:r w:rsidRPr="00361BA1">
              <w:rPr>
                <w:rFonts w:eastAsia="Times New Roman"/>
                <w:b/>
                <w:sz w:val="18"/>
                <w:szCs w:val="18"/>
                <w:lang w:eastAsia="en-US"/>
              </w:rPr>
              <w:t>Board Member</w:t>
            </w:r>
          </w:p>
        </w:tc>
        <w:tc>
          <w:tcPr>
            <w:tcW w:w="4252" w:type="dxa"/>
            <w:gridSpan w:val="2"/>
            <w:tcBorders>
              <w:top w:val="single" w:sz="4" w:space="0" w:color="auto"/>
              <w:left w:val="nil"/>
              <w:bottom w:val="single" w:sz="4" w:space="0" w:color="auto"/>
              <w:right w:val="nil"/>
            </w:tcBorders>
            <w:shd w:val="clear" w:color="FFFFFF" w:fill="FFFFFF"/>
          </w:tcPr>
          <w:p w14:paraId="0E98E0EA"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Related party and payments for services rendered by the related party</w:t>
            </w:r>
            <w:r w:rsidRPr="00361BA1">
              <w:rPr>
                <w:rFonts w:eastAsia="Times New Roman"/>
                <w:bCs/>
                <w:sz w:val="18"/>
                <w:szCs w:val="18"/>
                <w:vertAlign w:val="superscript"/>
                <w:lang w:eastAsia="en-US"/>
              </w:rPr>
              <w:t>1</w:t>
            </w:r>
          </w:p>
        </w:tc>
        <w:tc>
          <w:tcPr>
            <w:tcW w:w="851" w:type="dxa"/>
            <w:tcBorders>
              <w:top w:val="single" w:sz="4" w:space="0" w:color="auto"/>
              <w:left w:val="nil"/>
              <w:bottom w:val="single" w:sz="4" w:space="0" w:color="auto"/>
              <w:right w:val="nil"/>
            </w:tcBorders>
            <w:shd w:val="clear" w:color="FFFFFF" w:fill="FFFFFF"/>
            <w:vAlign w:val="bottom"/>
          </w:tcPr>
          <w:p w14:paraId="19F922B0" w14:textId="77777777" w:rsidR="00361BA1" w:rsidRPr="00361BA1" w:rsidRDefault="00361BA1" w:rsidP="00361BA1">
            <w:pPr>
              <w:spacing w:before="0" w:after="0" w:line="260" w:lineRule="atLeast"/>
              <w:ind w:left="0"/>
              <w:jc w:val="right"/>
              <w:rPr>
                <w:rFonts w:eastAsia="Times New Roman"/>
                <w:b/>
                <w:bCs/>
                <w:sz w:val="18"/>
                <w:szCs w:val="18"/>
                <w:lang w:eastAsia="en-US"/>
              </w:rPr>
            </w:pPr>
          </w:p>
        </w:tc>
        <w:tc>
          <w:tcPr>
            <w:tcW w:w="283" w:type="dxa"/>
            <w:tcBorders>
              <w:top w:val="single" w:sz="4" w:space="0" w:color="auto"/>
              <w:left w:val="nil"/>
              <w:bottom w:val="single" w:sz="4" w:space="0" w:color="auto"/>
              <w:right w:val="nil"/>
            </w:tcBorders>
            <w:shd w:val="clear" w:color="FFFFFF" w:fill="FFFFFF"/>
            <w:noWrap/>
            <w:vAlign w:val="bottom"/>
          </w:tcPr>
          <w:p w14:paraId="05B47DD4"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single" w:sz="4" w:space="0" w:color="auto"/>
              <w:left w:val="nil"/>
              <w:bottom w:val="single" w:sz="4" w:space="0" w:color="auto"/>
              <w:right w:val="nil"/>
            </w:tcBorders>
            <w:shd w:val="clear" w:color="FFFFFF" w:fill="FFFFFF"/>
            <w:vAlign w:val="bottom"/>
          </w:tcPr>
          <w:p w14:paraId="784BD0DB" w14:textId="77777777" w:rsidR="00361BA1" w:rsidRPr="00361BA1" w:rsidRDefault="00361BA1" w:rsidP="00361BA1">
            <w:pPr>
              <w:spacing w:before="0" w:after="0" w:line="260" w:lineRule="atLeast"/>
              <w:ind w:left="0"/>
              <w:jc w:val="right"/>
              <w:rPr>
                <w:rFonts w:eastAsia="Times New Roman"/>
                <w:sz w:val="18"/>
                <w:szCs w:val="18"/>
                <w:lang w:eastAsia="en-US"/>
              </w:rPr>
            </w:pPr>
          </w:p>
        </w:tc>
      </w:tr>
      <w:tr w:rsidR="00361BA1" w:rsidRPr="00361BA1" w14:paraId="782799E2" w14:textId="77777777" w:rsidTr="00361BA1">
        <w:trPr>
          <w:trHeight w:val="255"/>
        </w:trPr>
        <w:tc>
          <w:tcPr>
            <w:tcW w:w="2552" w:type="dxa"/>
            <w:tcBorders>
              <w:top w:val="dotted" w:sz="4" w:space="0" w:color="auto"/>
              <w:left w:val="nil"/>
              <w:bottom w:val="dotted" w:sz="4" w:space="0" w:color="auto"/>
              <w:right w:val="nil"/>
            </w:tcBorders>
            <w:shd w:val="clear" w:color="FFFFFF" w:fill="FFFFFF"/>
            <w:noWrap/>
          </w:tcPr>
          <w:p w14:paraId="60D4CB13" w14:textId="77777777" w:rsidR="00361BA1" w:rsidRPr="00361BA1" w:rsidRDefault="00361BA1" w:rsidP="00361BA1">
            <w:pPr>
              <w:spacing w:before="0" w:after="0" w:line="260" w:lineRule="atLeast"/>
              <w:ind w:left="176"/>
              <w:rPr>
                <w:rFonts w:eastAsia="Times New Roman"/>
                <w:sz w:val="18"/>
                <w:szCs w:val="18"/>
                <w:lang w:eastAsia="en-US"/>
              </w:rPr>
            </w:pPr>
            <w:r w:rsidRPr="00361BA1">
              <w:rPr>
                <w:rFonts w:eastAsia="Times New Roman"/>
                <w:sz w:val="18"/>
                <w:szCs w:val="18"/>
                <w:lang w:eastAsia="en-US"/>
              </w:rPr>
              <w:t>Ms Andrea Staines OAM</w:t>
            </w:r>
          </w:p>
        </w:tc>
        <w:tc>
          <w:tcPr>
            <w:tcW w:w="4252" w:type="dxa"/>
            <w:gridSpan w:val="2"/>
            <w:tcBorders>
              <w:top w:val="dotted" w:sz="4" w:space="0" w:color="auto"/>
              <w:left w:val="nil"/>
              <w:bottom w:val="dotted" w:sz="4" w:space="0" w:color="auto"/>
              <w:right w:val="nil"/>
            </w:tcBorders>
            <w:shd w:val="clear" w:color="FFFFFF" w:fill="FFFFFF"/>
          </w:tcPr>
          <w:p w14:paraId="5E7F860C" w14:textId="77777777" w:rsidR="00361BA1" w:rsidRPr="00361BA1" w:rsidRDefault="00361BA1" w:rsidP="00361BA1">
            <w:pPr>
              <w:spacing w:before="0" w:after="0" w:line="260" w:lineRule="atLeast"/>
              <w:ind w:left="34"/>
              <w:rPr>
                <w:rFonts w:eastAsia="Times New Roman"/>
                <w:sz w:val="18"/>
                <w:szCs w:val="18"/>
                <w:lang w:eastAsia="en-US"/>
              </w:rPr>
            </w:pPr>
            <w:r w:rsidRPr="00361BA1">
              <w:rPr>
                <w:rFonts w:eastAsia="Times New Roman"/>
                <w:sz w:val="18"/>
                <w:szCs w:val="18"/>
                <w:lang w:eastAsia="en-US"/>
              </w:rPr>
              <w:t>Board member of UnitingCare Queensland (service group within the UnitingCare Community). UnitingCare Community provided ECEI services in Queensland.</w:t>
            </w:r>
          </w:p>
        </w:tc>
        <w:tc>
          <w:tcPr>
            <w:tcW w:w="851" w:type="dxa"/>
            <w:tcBorders>
              <w:top w:val="dotted" w:sz="4" w:space="0" w:color="auto"/>
              <w:left w:val="nil"/>
              <w:bottom w:val="dotted" w:sz="4" w:space="0" w:color="auto"/>
              <w:right w:val="nil"/>
            </w:tcBorders>
            <w:shd w:val="clear" w:color="FFFFFF" w:fill="FFFFFF"/>
          </w:tcPr>
          <w:p w14:paraId="5D4654A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5,798</w:t>
            </w:r>
          </w:p>
        </w:tc>
        <w:tc>
          <w:tcPr>
            <w:tcW w:w="283" w:type="dxa"/>
            <w:tcBorders>
              <w:top w:val="dotted" w:sz="4" w:space="0" w:color="auto"/>
              <w:left w:val="nil"/>
              <w:bottom w:val="dotted" w:sz="4" w:space="0" w:color="auto"/>
              <w:right w:val="nil"/>
            </w:tcBorders>
            <w:shd w:val="clear" w:color="FFFFFF" w:fill="FFFFFF"/>
            <w:noWrap/>
          </w:tcPr>
          <w:p w14:paraId="6E2A396C" w14:textId="77777777" w:rsidR="00361BA1" w:rsidRPr="00361BA1" w:rsidRDefault="00361BA1" w:rsidP="00361BA1">
            <w:pPr>
              <w:spacing w:before="0" w:after="0" w:line="260" w:lineRule="atLeast"/>
              <w:ind w:left="176"/>
              <w:rPr>
                <w:rFonts w:eastAsia="Times New Roman"/>
                <w:sz w:val="18"/>
                <w:szCs w:val="18"/>
                <w:lang w:eastAsia="en-US"/>
              </w:rPr>
            </w:pPr>
          </w:p>
        </w:tc>
        <w:tc>
          <w:tcPr>
            <w:tcW w:w="1134" w:type="dxa"/>
            <w:tcBorders>
              <w:top w:val="dotted" w:sz="4" w:space="0" w:color="auto"/>
              <w:left w:val="nil"/>
              <w:bottom w:val="dotted" w:sz="4" w:space="0" w:color="auto"/>
              <w:right w:val="nil"/>
            </w:tcBorders>
            <w:shd w:val="clear" w:color="FFFFFF" w:fill="FFFFFF"/>
          </w:tcPr>
          <w:p w14:paraId="64E9CB42" w14:textId="77777777" w:rsidR="00361BA1" w:rsidRPr="00361BA1" w:rsidRDefault="00361BA1" w:rsidP="00361BA1">
            <w:pPr>
              <w:spacing w:before="0" w:after="0" w:line="260" w:lineRule="atLeast"/>
              <w:ind w:left="176"/>
              <w:jc w:val="right"/>
              <w:rPr>
                <w:rFonts w:eastAsia="Times New Roman"/>
                <w:sz w:val="18"/>
                <w:szCs w:val="18"/>
                <w:lang w:eastAsia="en-US"/>
              </w:rPr>
            </w:pPr>
            <w:r w:rsidRPr="00361BA1">
              <w:rPr>
                <w:rFonts w:eastAsia="Times New Roman"/>
                <w:sz w:val="18"/>
                <w:szCs w:val="18"/>
                <w:lang w:eastAsia="en-US"/>
              </w:rPr>
              <w:t>6,944</w:t>
            </w:r>
          </w:p>
        </w:tc>
      </w:tr>
      <w:tr w:rsidR="00361BA1" w:rsidRPr="00361BA1" w14:paraId="7A61F352" w14:textId="77777777" w:rsidTr="00361BA1">
        <w:trPr>
          <w:trHeight w:val="255"/>
        </w:trPr>
        <w:tc>
          <w:tcPr>
            <w:tcW w:w="2552" w:type="dxa"/>
            <w:tcBorders>
              <w:top w:val="dotted" w:sz="4" w:space="0" w:color="auto"/>
              <w:left w:val="nil"/>
              <w:bottom w:val="dotted" w:sz="4" w:space="0" w:color="auto"/>
              <w:right w:val="nil"/>
            </w:tcBorders>
            <w:shd w:val="clear" w:color="FFFFFF" w:fill="FFFFFF"/>
            <w:noWrap/>
          </w:tcPr>
          <w:p w14:paraId="22477D6C" w14:textId="77777777" w:rsidR="00361BA1" w:rsidRPr="00361BA1" w:rsidRDefault="00361BA1" w:rsidP="00361BA1">
            <w:pPr>
              <w:spacing w:before="0" w:after="0" w:line="260" w:lineRule="atLeast"/>
              <w:ind w:left="176"/>
              <w:rPr>
                <w:rFonts w:eastAsia="Times New Roman"/>
                <w:b/>
                <w:bCs/>
                <w:sz w:val="18"/>
                <w:szCs w:val="18"/>
                <w:u w:val="single"/>
                <w:lang w:eastAsia="en-US"/>
              </w:rPr>
            </w:pPr>
            <w:r w:rsidRPr="00361BA1">
              <w:rPr>
                <w:rFonts w:eastAsia="Times New Roman"/>
                <w:sz w:val="18"/>
                <w:szCs w:val="18"/>
                <w:lang w:eastAsia="en-US"/>
              </w:rPr>
              <w:t>Prof Rhonda Galbally AC</w:t>
            </w:r>
          </w:p>
        </w:tc>
        <w:tc>
          <w:tcPr>
            <w:tcW w:w="4252" w:type="dxa"/>
            <w:gridSpan w:val="2"/>
            <w:tcBorders>
              <w:top w:val="dotted" w:sz="4" w:space="0" w:color="auto"/>
              <w:left w:val="nil"/>
              <w:bottom w:val="dotted" w:sz="4" w:space="0" w:color="auto"/>
              <w:right w:val="nil"/>
            </w:tcBorders>
            <w:shd w:val="clear" w:color="FFFFFF" w:fill="FFFFFF"/>
          </w:tcPr>
          <w:p w14:paraId="2BA357B3"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sz w:val="18"/>
                <w:szCs w:val="18"/>
                <w:lang w:eastAsia="en-US"/>
              </w:rPr>
              <w:t>Adjunct Professor at Deakin University. Deakin University received grants and payments for staff learning and development.</w:t>
            </w:r>
          </w:p>
        </w:tc>
        <w:tc>
          <w:tcPr>
            <w:tcW w:w="851" w:type="dxa"/>
            <w:tcBorders>
              <w:top w:val="dotted" w:sz="4" w:space="0" w:color="auto"/>
              <w:left w:val="nil"/>
              <w:bottom w:val="dotted" w:sz="4" w:space="0" w:color="auto"/>
              <w:right w:val="nil"/>
            </w:tcBorders>
            <w:shd w:val="clear" w:color="FFFFFF" w:fill="FFFFFF"/>
          </w:tcPr>
          <w:p w14:paraId="34684219"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83" w:type="dxa"/>
            <w:tcBorders>
              <w:top w:val="dotted" w:sz="4" w:space="0" w:color="auto"/>
              <w:left w:val="nil"/>
              <w:bottom w:val="dotted" w:sz="4" w:space="0" w:color="auto"/>
              <w:right w:val="nil"/>
            </w:tcBorders>
            <w:shd w:val="clear" w:color="FFFFFF" w:fill="FFFFFF"/>
            <w:noWrap/>
          </w:tcPr>
          <w:p w14:paraId="1EBC8B48"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dotted" w:sz="4" w:space="0" w:color="auto"/>
              <w:left w:val="nil"/>
              <w:bottom w:val="dotted" w:sz="4" w:space="0" w:color="auto"/>
              <w:right w:val="nil"/>
            </w:tcBorders>
            <w:shd w:val="clear" w:color="FFFFFF" w:fill="FFFFFF"/>
          </w:tcPr>
          <w:p w14:paraId="4238069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32</w:t>
            </w:r>
          </w:p>
        </w:tc>
      </w:tr>
      <w:tr w:rsidR="00361BA1" w:rsidRPr="00361BA1" w14:paraId="5EE46A34" w14:textId="77777777" w:rsidTr="00361BA1">
        <w:trPr>
          <w:trHeight w:val="255"/>
        </w:trPr>
        <w:tc>
          <w:tcPr>
            <w:tcW w:w="2552" w:type="dxa"/>
            <w:tcBorders>
              <w:top w:val="dotted" w:sz="4" w:space="0" w:color="auto"/>
              <w:left w:val="nil"/>
              <w:bottom w:val="single" w:sz="4" w:space="0" w:color="auto"/>
              <w:right w:val="nil"/>
            </w:tcBorders>
            <w:shd w:val="clear" w:color="FFFFFF" w:fill="FFFFFF"/>
            <w:noWrap/>
          </w:tcPr>
          <w:p w14:paraId="1AC08588" w14:textId="77777777" w:rsidR="00361BA1" w:rsidRPr="00361BA1" w:rsidRDefault="00361BA1" w:rsidP="00361BA1">
            <w:pPr>
              <w:spacing w:before="0" w:after="0" w:line="260" w:lineRule="atLeast"/>
              <w:ind w:left="176"/>
              <w:rPr>
                <w:rFonts w:eastAsia="Times New Roman"/>
                <w:sz w:val="18"/>
                <w:szCs w:val="18"/>
                <w:lang w:eastAsia="en-US"/>
              </w:rPr>
            </w:pPr>
            <w:r w:rsidRPr="00361BA1">
              <w:rPr>
                <w:rFonts w:eastAsia="Times New Roman"/>
                <w:sz w:val="18"/>
                <w:szCs w:val="18"/>
                <w:lang w:eastAsia="en-US"/>
              </w:rPr>
              <w:t>Mr Glenn Keys AO</w:t>
            </w:r>
          </w:p>
        </w:tc>
        <w:tc>
          <w:tcPr>
            <w:tcW w:w="4252" w:type="dxa"/>
            <w:gridSpan w:val="2"/>
            <w:tcBorders>
              <w:top w:val="dotted" w:sz="4" w:space="0" w:color="auto"/>
              <w:left w:val="nil"/>
              <w:bottom w:val="single" w:sz="4" w:space="0" w:color="auto"/>
              <w:right w:val="nil"/>
            </w:tcBorders>
            <w:shd w:val="clear" w:color="FFFFFF" w:fill="FFFFFF"/>
          </w:tcPr>
          <w:p w14:paraId="66CF65E1"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Member of the University of NSW (Canberra) Advisory Council.  The University of NSW received payments for scholarships, training placements and conferences.</w:t>
            </w:r>
          </w:p>
        </w:tc>
        <w:tc>
          <w:tcPr>
            <w:tcW w:w="851" w:type="dxa"/>
            <w:tcBorders>
              <w:top w:val="dotted" w:sz="4" w:space="0" w:color="auto"/>
              <w:left w:val="nil"/>
              <w:bottom w:val="single" w:sz="4" w:space="0" w:color="auto"/>
              <w:right w:val="nil"/>
            </w:tcBorders>
            <w:shd w:val="clear" w:color="FFFFFF" w:fill="FFFFFF"/>
          </w:tcPr>
          <w:p w14:paraId="3D8460C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23</w:t>
            </w:r>
          </w:p>
        </w:tc>
        <w:tc>
          <w:tcPr>
            <w:tcW w:w="283" w:type="dxa"/>
            <w:tcBorders>
              <w:top w:val="dotted" w:sz="4" w:space="0" w:color="auto"/>
              <w:left w:val="nil"/>
              <w:bottom w:val="single" w:sz="4" w:space="0" w:color="auto"/>
              <w:right w:val="nil"/>
            </w:tcBorders>
            <w:shd w:val="clear" w:color="FFFFFF" w:fill="FFFFFF"/>
            <w:noWrap/>
          </w:tcPr>
          <w:p w14:paraId="1A816552"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dotted" w:sz="4" w:space="0" w:color="auto"/>
              <w:left w:val="nil"/>
              <w:bottom w:val="single" w:sz="4" w:space="0" w:color="auto"/>
              <w:right w:val="nil"/>
            </w:tcBorders>
            <w:shd w:val="clear" w:color="FFFFFF" w:fill="FFFFFF"/>
          </w:tcPr>
          <w:p w14:paraId="7118C90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168</w:t>
            </w:r>
          </w:p>
        </w:tc>
      </w:tr>
      <w:tr w:rsidR="00361BA1" w:rsidRPr="00361BA1" w14:paraId="40987DD8" w14:textId="77777777" w:rsidTr="00361BA1">
        <w:trPr>
          <w:trHeight w:val="255"/>
        </w:trPr>
        <w:tc>
          <w:tcPr>
            <w:tcW w:w="2552" w:type="dxa"/>
            <w:tcBorders>
              <w:top w:val="dotted" w:sz="4" w:space="0" w:color="auto"/>
              <w:left w:val="nil"/>
              <w:bottom w:val="single" w:sz="4" w:space="0" w:color="auto"/>
              <w:right w:val="nil"/>
            </w:tcBorders>
            <w:shd w:val="clear" w:color="FFFFFF" w:fill="FFFFFF"/>
            <w:noWrap/>
          </w:tcPr>
          <w:p w14:paraId="7BCB3F4E" w14:textId="77777777" w:rsidR="00361BA1" w:rsidRPr="00361BA1" w:rsidRDefault="00361BA1" w:rsidP="00361BA1">
            <w:pPr>
              <w:spacing w:before="0" w:after="0" w:line="260" w:lineRule="atLeast"/>
              <w:ind w:left="176"/>
              <w:rPr>
                <w:rFonts w:eastAsia="Times New Roman"/>
                <w:sz w:val="18"/>
                <w:szCs w:val="18"/>
                <w:lang w:eastAsia="en-US"/>
              </w:rPr>
            </w:pPr>
            <w:r w:rsidRPr="00361BA1">
              <w:rPr>
                <w:rFonts w:eastAsia="Times New Roman"/>
                <w:sz w:val="18"/>
                <w:szCs w:val="18"/>
                <w:lang w:eastAsia="en-US"/>
              </w:rPr>
              <w:t>Ms Estelle Pearson</w:t>
            </w:r>
          </w:p>
        </w:tc>
        <w:tc>
          <w:tcPr>
            <w:tcW w:w="4252" w:type="dxa"/>
            <w:gridSpan w:val="2"/>
            <w:tcBorders>
              <w:top w:val="dotted" w:sz="4" w:space="0" w:color="auto"/>
              <w:left w:val="nil"/>
              <w:bottom w:val="single" w:sz="4" w:space="0" w:color="auto"/>
              <w:right w:val="nil"/>
            </w:tcBorders>
            <w:shd w:val="clear" w:color="FFFFFF" w:fill="FFFFFF"/>
          </w:tcPr>
          <w:p w14:paraId="3F487B3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Director of Finity Consulting Pty Ltd which provides actuarial staff secondments to the Agency.</w:t>
            </w:r>
          </w:p>
        </w:tc>
        <w:tc>
          <w:tcPr>
            <w:tcW w:w="851" w:type="dxa"/>
            <w:tcBorders>
              <w:top w:val="dotted" w:sz="4" w:space="0" w:color="auto"/>
              <w:left w:val="nil"/>
              <w:bottom w:val="single" w:sz="4" w:space="0" w:color="auto"/>
              <w:right w:val="nil"/>
            </w:tcBorders>
            <w:shd w:val="clear" w:color="FFFFFF" w:fill="FFFFFF"/>
          </w:tcPr>
          <w:p w14:paraId="5AAAB0F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214</w:t>
            </w:r>
          </w:p>
        </w:tc>
        <w:tc>
          <w:tcPr>
            <w:tcW w:w="283" w:type="dxa"/>
            <w:tcBorders>
              <w:top w:val="dotted" w:sz="4" w:space="0" w:color="auto"/>
              <w:left w:val="nil"/>
              <w:bottom w:val="single" w:sz="4" w:space="0" w:color="auto"/>
              <w:right w:val="nil"/>
            </w:tcBorders>
            <w:shd w:val="clear" w:color="FFFFFF" w:fill="FFFFFF"/>
            <w:noWrap/>
          </w:tcPr>
          <w:p w14:paraId="61549780"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dotted" w:sz="4" w:space="0" w:color="auto"/>
              <w:left w:val="nil"/>
              <w:bottom w:val="single" w:sz="4" w:space="0" w:color="auto"/>
              <w:right w:val="nil"/>
            </w:tcBorders>
            <w:shd w:val="clear" w:color="FFFFFF" w:fill="FFFFFF"/>
          </w:tcPr>
          <w:p w14:paraId="0544EF2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259</w:t>
            </w:r>
          </w:p>
        </w:tc>
      </w:tr>
      <w:tr w:rsidR="00361BA1" w:rsidRPr="00361BA1" w14:paraId="78EB6664" w14:textId="77777777" w:rsidTr="00361BA1">
        <w:trPr>
          <w:trHeight w:val="255"/>
        </w:trPr>
        <w:tc>
          <w:tcPr>
            <w:tcW w:w="2552" w:type="dxa"/>
            <w:tcBorders>
              <w:top w:val="dotted" w:sz="4" w:space="0" w:color="auto"/>
              <w:left w:val="nil"/>
              <w:bottom w:val="single" w:sz="4" w:space="0" w:color="auto"/>
              <w:right w:val="nil"/>
            </w:tcBorders>
            <w:shd w:val="clear" w:color="FFFFFF" w:fill="FFFFFF"/>
            <w:noWrap/>
          </w:tcPr>
          <w:p w14:paraId="3520A1E8" w14:textId="77777777" w:rsidR="00361BA1" w:rsidRPr="00361BA1" w:rsidRDefault="00361BA1" w:rsidP="00361BA1">
            <w:pPr>
              <w:spacing w:before="0" w:after="0" w:line="260" w:lineRule="atLeast"/>
              <w:ind w:left="176"/>
              <w:rPr>
                <w:rFonts w:eastAsia="Times New Roman"/>
                <w:sz w:val="18"/>
                <w:szCs w:val="18"/>
                <w:lang w:eastAsia="en-US"/>
              </w:rPr>
            </w:pPr>
            <w:r w:rsidRPr="00361BA1">
              <w:rPr>
                <w:rFonts w:eastAsia="Times New Roman"/>
                <w:sz w:val="18"/>
                <w:szCs w:val="18"/>
                <w:lang w:eastAsia="en-US"/>
              </w:rPr>
              <w:t>Ms Robyn Kruk AO</w:t>
            </w:r>
          </w:p>
        </w:tc>
        <w:tc>
          <w:tcPr>
            <w:tcW w:w="4252" w:type="dxa"/>
            <w:gridSpan w:val="2"/>
            <w:tcBorders>
              <w:top w:val="dotted" w:sz="4" w:space="0" w:color="auto"/>
              <w:left w:val="nil"/>
              <w:bottom w:val="single" w:sz="4" w:space="0" w:color="auto"/>
              <w:right w:val="nil"/>
            </w:tcBorders>
            <w:shd w:val="clear" w:color="FFFFFF" w:fill="FFFFFF"/>
          </w:tcPr>
          <w:p w14:paraId="3FF0245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Independent Director/Deputy Chair of Mental Health Australia (MHA) and Independent Director of Australian and New Zealand School of Government (ANZSOG). MHA provided consultancy services on pathway enhancements and ANZSOG provided specialist design support to the Agency.</w:t>
            </w:r>
          </w:p>
        </w:tc>
        <w:tc>
          <w:tcPr>
            <w:tcW w:w="851" w:type="dxa"/>
            <w:tcBorders>
              <w:top w:val="dotted" w:sz="4" w:space="0" w:color="auto"/>
              <w:left w:val="nil"/>
              <w:bottom w:val="single" w:sz="4" w:space="0" w:color="auto"/>
              <w:right w:val="nil"/>
            </w:tcBorders>
            <w:shd w:val="clear" w:color="FFFFFF" w:fill="FFFFFF"/>
          </w:tcPr>
          <w:p w14:paraId="7AAED606"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193</w:t>
            </w:r>
          </w:p>
        </w:tc>
        <w:tc>
          <w:tcPr>
            <w:tcW w:w="283" w:type="dxa"/>
            <w:tcBorders>
              <w:top w:val="dotted" w:sz="4" w:space="0" w:color="auto"/>
              <w:left w:val="nil"/>
              <w:bottom w:val="single" w:sz="4" w:space="0" w:color="auto"/>
              <w:right w:val="nil"/>
            </w:tcBorders>
            <w:shd w:val="clear" w:color="FFFFFF" w:fill="FFFFFF"/>
            <w:noWrap/>
          </w:tcPr>
          <w:p w14:paraId="20559BC4"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dotted" w:sz="4" w:space="0" w:color="auto"/>
              <w:left w:val="nil"/>
              <w:bottom w:val="single" w:sz="4" w:space="0" w:color="auto"/>
              <w:right w:val="nil"/>
            </w:tcBorders>
            <w:shd w:val="clear" w:color="FFFFFF" w:fill="FFFFFF"/>
          </w:tcPr>
          <w:p w14:paraId="0F45842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1242CC6" w14:textId="77777777" w:rsidTr="00361BA1">
        <w:trPr>
          <w:trHeight w:val="255"/>
        </w:trPr>
        <w:tc>
          <w:tcPr>
            <w:tcW w:w="2552" w:type="dxa"/>
            <w:tcBorders>
              <w:top w:val="dotted" w:sz="4" w:space="0" w:color="auto"/>
              <w:left w:val="nil"/>
              <w:bottom w:val="single" w:sz="4" w:space="0" w:color="auto"/>
              <w:right w:val="nil"/>
            </w:tcBorders>
            <w:shd w:val="clear" w:color="FFFFFF" w:fill="FFFFFF"/>
            <w:noWrap/>
          </w:tcPr>
          <w:p w14:paraId="79C3FA31" w14:textId="77777777" w:rsidR="00361BA1" w:rsidRPr="00361BA1" w:rsidRDefault="00361BA1" w:rsidP="00361BA1">
            <w:pPr>
              <w:spacing w:before="0" w:after="0" w:line="260" w:lineRule="atLeast"/>
              <w:ind w:left="176"/>
              <w:rPr>
                <w:rFonts w:eastAsia="Times New Roman"/>
                <w:b/>
                <w:bCs/>
                <w:sz w:val="18"/>
                <w:szCs w:val="18"/>
                <w:u w:val="single"/>
                <w:lang w:eastAsia="en-US"/>
              </w:rPr>
            </w:pPr>
            <w:r w:rsidRPr="00361BA1">
              <w:rPr>
                <w:rFonts w:eastAsia="Times New Roman"/>
                <w:sz w:val="18"/>
                <w:szCs w:val="18"/>
                <w:lang w:eastAsia="en-US"/>
              </w:rPr>
              <w:t>Mr John Walsh AM</w:t>
            </w:r>
          </w:p>
        </w:tc>
        <w:tc>
          <w:tcPr>
            <w:tcW w:w="4252" w:type="dxa"/>
            <w:gridSpan w:val="2"/>
            <w:tcBorders>
              <w:top w:val="dotted" w:sz="4" w:space="0" w:color="auto"/>
              <w:left w:val="nil"/>
              <w:bottom w:val="single" w:sz="4" w:space="0" w:color="auto"/>
              <w:right w:val="nil"/>
            </w:tcBorders>
            <w:shd w:val="clear" w:color="FFFFFF" w:fill="FFFFFF"/>
          </w:tcPr>
          <w:p w14:paraId="6E62315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Member of the Innovative Workforce Fund Independent Advisory Group at National Disability Services. National Disability Services was engaged for communication and engagement project activities for service providers.</w:t>
            </w:r>
          </w:p>
        </w:tc>
        <w:tc>
          <w:tcPr>
            <w:tcW w:w="851" w:type="dxa"/>
            <w:tcBorders>
              <w:top w:val="dotted" w:sz="4" w:space="0" w:color="auto"/>
              <w:left w:val="nil"/>
              <w:bottom w:val="single" w:sz="4" w:space="0" w:color="auto"/>
              <w:right w:val="nil"/>
            </w:tcBorders>
            <w:shd w:val="clear" w:color="FFFFFF" w:fill="FFFFFF"/>
          </w:tcPr>
          <w:p w14:paraId="480BED7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w:t>
            </w:r>
          </w:p>
        </w:tc>
        <w:tc>
          <w:tcPr>
            <w:tcW w:w="283" w:type="dxa"/>
            <w:tcBorders>
              <w:top w:val="dotted" w:sz="4" w:space="0" w:color="auto"/>
              <w:left w:val="nil"/>
              <w:bottom w:val="single" w:sz="4" w:space="0" w:color="auto"/>
              <w:right w:val="nil"/>
            </w:tcBorders>
            <w:shd w:val="clear" w:color="FFFFFF" w:fill="FFFFFF"/>
            <w:noWrap/>
          </w:tcPr>
          <w:p w14:paraId="0CA0ADE5"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dotted" w:sz="4" w:space="0" w:color="auto"/>
              <w:left w:val="nil"/>
              <w:bottom w:val="single" w:sz="4" w:space="0" w:color="auto"/>
              <w:right w:val="nil"/>
            </w:tcBorders>
            <w:shd w:val="clear" w:color="FFFFFF" w:fill="FFFFFF"/>
          </w:tcPr>
          <w:p w14:paraId="0B3BD34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w:t>
            </w:r>
          </w:p>
        </w:tc>
      </w:tr>
      <w:tr w:rsidR="00361BA1" w:rsidRPr="00361BA1" w14:paraId="363E3D20" w14:textId="77777777" w:rsidTr="00361BA1">
        <w:trPr>
          <w:trHeight w:val="255"/>
        </w:trPr>
        <w:tc>
          <w:tcPr>
            <w:tcW w:w="2552" w:type="dxa"/>
            <w:tcBorders>
              <w:top w:val="single" w:sz="4" w:space="0" w:color="auto"/>
              <w:left w:val="nil"/>
              <w:bottom w:val="single" w:sz="4" w:space="0" w:color="auto"/>
              <w:right w:val="nil"/>
            </w:tcBorders>
            <w:shd w:val="clear" w:color="FFFFFF" w:fill="FFFFFF"/>
            <w:noWrap/>
            <w:vAlign w:val="center"/>
          </w:tcPr>
          <w:p w14:paraId="33D6585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Key Management Personnel Executive Members</w:t>
            </w:r>
          </w:p>
        </w:tc>
        <w:tc>
          <w:tcPr>
            <w:tcW w:w="4252" w:type="dxa"/>
            <w:gridSpan w:val="2"/>
            <w:tcBorders>
              <w:top w:val="single" w:sz="4" w:space="0" w:color="auto"/>
              <w:left w:val="nil"/>
              <w:bottom w:val="single" w:sz="4" w:space="0" w:color="auto"/>
              <w:right w:val="nil"/>
            </w:tcBorders>
            <w:shd w:val="clear" w:color="FFFFFF" w:fill="FFFFFF"/>
            <w:vAlign w:val="bottom"/>
          </w:tcPr>
          <w:p w14:paraId="41079BC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14:paraId="5BEF2403" w14:textId="77777777" w:rsidR="00361BA1" w:rsidRPr="00361BA1" w:rsidRDefault="00361BA1" w:rsidP="00361BA1">
            <w:pPr>
              <w:spacing w:before="0" w:after="0" w:line="260" w:lineRule="atLeast"/>
              <w:ind w:left="0"/>
              <w:jc w:val="right"/>
              <w:rPr>
                <w:rFonts w:eastAsia="Times New Roman"/>
                <w:b/>
                <w:bCs/>
                <w:sz w:val="18"/>
                <w:szCs w:val="18"/>
                <w:lang w:eastAsia="en-US"/>
              </w:rPr>
            </w:pPr>
          </w:p>
        </w:tc>
        <w:tc>
          <w:tcPr>
            <w:tcW w:w="283" w:type="dxa"/>
            <w:tcBorders>
              <w:top w:val="single" w:sz="4" w:space="0" w:color="auto"/>
              <w:left w:val="nil"/>
              <w:bottom w:val="single" w:sz="4" w:space="0" w:color="auto"/>
              <w:right w:val="nil"/>
            </w:tcBorders>
            <w:shd w:val="clear" w:color="FFFFFF" w:fill="FFFFFF"/>
            <w:noWrap/>
            <w:vAlign w:val="bottom"/>
          </w:tcPr>
          <w:p w14:paraId="00456C52" w14:textId="77777777" w:rsidR="00361BA1" w:rsidRPr="00361BA1" w:rsidRDefault="00361BA1" w:rsidP="00361BA1">
            <w:pPr>
              <w:spacing w:before="0" w:after="0" w:line="260" w:lineRule="atLeast"/>
              <w:ind w:left="0"/>
              <w:rPr>
                <w:rFonts w:eastAsia="Times New Roman"/>
                <w:sz w:val="18"/>
                <w:szCs w:val="18"/>
                <w:lang w:eastAsia="en-US"/>
              </w:rPr>
            </w:pPr>
          </w:p>
        </w:tc>
        <w:tc>
          <w:tcPr>
            <w:tcW w:w="1134" w:type="dxa"/>
            <w:tcBorders>
              <w:top w:val="single" w:sz="4" w:space="0" w:color="auto"/>
              <w:left w:val="nil"/>
              <w:bottom w:val="single" w:sz="4" w:space="0" w:color="auto"/>
              <w:right w:val="nil"/>
            </w:tcBorders>
            <w:shd w:val="clear" w:color="FFFFFF" w:fill="FFFFFF"/>
            <w:vAlign w:val="bottom"/>
          </w:tcPr>
          <w:p w14:paraId="0259487B" w14:textId="77777777" w:rsidR="00361BA1" w:rsidRPr="00361BA1" w:rsidRDefault="00361BA1" w:rsidP="00361BA1">
            <w:pPr>
              <w:spacing w:before="0" w:after="0" w:line="260" w:lineRule="atLeast"/>
              <w:ind w:left="0"/>
              <w:jc w:val="right"/>
              <w:rPr>
                <w:rFonts w:eastAsia="Times New Roman"/>
                <w:sz w:val="18"/>
                <w:szCs w:val="18"/>
                <w:lang w:eastAsia="en-US"/>
              </w:rPr>
            </w:pPr>
          </w:p>
        </w:tc>
      </w:tr>
      <w:tr w:rsidR="00361BA1" w:rsidRPr="00361BA1" w14:paraId="5AE41DA1" w14:textId="77777777" w:rsidTr="00361BA1">
        <w:trPr>
          <w:trHeight w:val="872"/>
        </w:trPr>
        <w:tc>
          <w:tcPr>
            <w:tcW w:w="2552" w:type="dxa"/>
            <w:tcBorders>
              <w:top w:val="single" w:sz="4" w:space="0" w:color="auto"/>
              <w:left w:val="nil"/>
              <w:bottom w:val="single" w:sz="4" w:space="0" w:color="auto"/>
              <w:right w:val="nil"/>
            </w:tcBorders>
            <w:shd w:val="clear" w:color="FFFFFF" w:fill="FFFFFF"/>
            <w:noWrap/>
          </w:tcPr>
          <w:p w14:paraId="0CBBBD72" w14:textId="77777777" w:rsidR="00361BA1" w:rsidRPr="00361BA1" w:rsidRDefault="00361BA1" w:rsidP="00361BA1">
            <w:pPr>
              <w:spacing w:before="0" w:after="0" w:line="260" w:lineRule="atLeast"/>
              <w:ind w:left="176"/>
              <w:rPr>
                <w:rFonts w:eastAsia="Times New Roman"/>
                <w:sz w:val="18"/>
                <w:szCs w:val="18"/>
                <w:lang w:eastAsia="en-US"/>
              </w:rPr>
            </w:pPr>
            <w:r w:rsidRPr="00361BA1">
              <w:rPr>
                <w:rFonts w:eastAsia="Times New Roman"/>
                <w:sz w:val="18"/>
                <w:szCs w:val="18"/>
                <w:lang w:eastAsia="en-US"/>
              </w:rPr>
              <w:t>Mr Hamish Aikman</w:t>
            </w:r>
          </w:p>
          <w:p w14:paraId="195F873F" w14:textId="77777777" w:rsidR="00361BA1" w:rsidRPr="00361BA1" w:rsidRDefault="00361BA1" w:rsidP="00361BA1">
            <w:pPr>
              <w:spacing w:before="0" w:after="0" w:line="260" w:lineRule="atLeast"/>
              <w:ind w:left="176"/>
              <w:rPr>
                <w:rFonts w:eastAsia="Times New Roman"/>
                <w:i/>
                <w:sz w:val="18"/>
                <w:szCs w:val="18"/>
                <w:lang w:eastAsia="en-US"/>
              </w:rPr>
            </w:pPr>
            <w:r w:rsidRPr="00361BA1">
              <w:rPr>
                <w:rFonts w:eastAsia="Times New Roman"/>
                <w:i/>
                <w:sz w:val="18"/>
                <w:szCs w:val="18"/>
                <w:lang w:eastAsia="en-US"/>
              </w:rPr>
              <w:t xml:space="preserve">Chief People Officer </w:t>
            </w:r>
          </w:p>
        </w:tc>
        <w:tc>
          <w:tcPr>
            <w:tcW w:w="4252" w:type="dxa"/>
            <w:gridSpan w:val="2"/>
            <w:tcBorders>
              <w:top w:val="single" w:sz="4" w:space="0" w:color="auto"/>
              <w:left w:val="nil"/>
              <w:bottom w:val="single" w:sz="4" w:space="0" w:color="auto"/>
              <w:right w:val="nil"/>
            </w:tcBorders>
            <w:shd w:val="clear" w:color="FFFFFF" w:fill="FFFFFF"/>
          </w:tcPr>
          <w:p w14:paraId="00D444A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Family relation to Mr Scott Cumbrae-Stewart, who holds the position of Chief Financial Officer at Converge International, the provider of the Agency’s Employee Assistance Program Services.</w:t>
            </w:r>
          </w:p>
        </w:tc>
        <w:tc>
          <w:tcPr>
            <w:tcW w:w="851" w:type="dxa"/>
            <w:tcBorders>
              <w:top w:val="single" w:sz="4" w:space="0" w:color="auto"/>
              <w:left w:val="nil"/>
              <w:bottom w:val="single" w:sz="4" w:space="0" w:color="auto"/>
              <w:right w:val="nil"/>
            </w:tcBorders>
            <w:shd w:val="clear" w:color="FFFFFF" w:fill="FFFFFF"/>
          </w:tcPr>
          <w:p w14:paraId="6A5A2FB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210</w:t>
            </w:r>
          </w:p>
        </w:tc>
        <w:tc>
          <w:tcPr>
            <w:tcW w:w="283" w:type="dxa"/>
            <w:tcBorders>
              <w:top w:val="single" w:sz="4" w:space="0" w:color="auto"/>
              <w:left w:val="nil"/>
              <w:bottom w:val="single" w:sz="4" w:space="0" w:color="auto"/>
              <w:right w:val="nil"/>
            </w:tcBorders>
            <w:shd w:val="clear" w:color="FFFFFF" w:fill="FFFFFF"/>
            <w:noWrap/>
          </w:tcPr>
          <w:p w14:paraId="20E5DED8" w14:textId="77777777" w:rsidR="00361BA1" w:rsidRPr="00361BA1" w:rsidRDefault="00361BA1" w:rsidP="00361BA1">
            <w:pPr>
              <w:spacing w:before="0" w:after="0" w:line="260" w:lineRule="atLeast"/>
              <w:ind w:left="0"/>
              <w:jc w:val="right"/>
              <w:rPr>
                <w:rFonts w:eastAsia="Times New Roman"/>
                <w:sz w:val="18"/>
                <w:szCs w:val="18"/>
                <w:lang w:eastAsia="en-US"/>
              </w:rPr>
            </w:pPr>
          </w:p>
        </w:tc>
        <w:tc>
          <w:tcPr>
            <w:tcW w:w="1134" w:type="dxa"/>
            <w:tcBorders>
              <w:top w:val="single" w:sz="4" w:space="0" w:color="auto"/>
              <w:left w:val="nil"/>
              <w:bottom w:val="single" w:sz="4" w:space="0" w:color="auto"/>
              <w:right w:val="nil"/>
            </w:tcBorders>
            <w:shd w:val="clear" w:color="FFFFFF" w:fill="FFFFFF"/>
          </w:tcPr>
          <w:p w14:paraId="2DA2D57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6C5B65F" w14:textId="77777777" w:rsidTr="00361BA1">
        <w:trPr>
          <w:trHeight w:val="255"/>
        </w:trPr>
        <w:tc>
          <w:tcPr>
            <w:tcW w:w="2552" w:type="dxa"/>
            <w:tcBorders>
              <w:top w:val="single" w:sz="4" w:space="0" w:color="auto"/>
              <w:left w:val="nil"/>
              <w:bottom w:val="single" w:sz="4" w:space="0" w:color="auto"/>
              <w:right w:val="nil"/>
            </w:tcBorders>
            <w:shd w:val="clear" w:color="FFFFFF" w:fill="FFFFFF"/>
            <w:noWrap/>
          </w:tcPr>
          <w:p w14:paraId="7C519CCD" w14:textId="77777777" w:rsidR="00361BA1" w:rsidRPr="00361BA1" w:rsidRDefault="00361BA1" w:rsidP="00361BA1">
            <w:pPr>
              <w:spacing w:before="0" w:after="0" w:line="260" w:lineRule="atLeast"/>
              <w:ind w:left="176"/>
              <w:rPr>
                <w:rFonts w:eastAsia="Times New Roman"/>
                <w:b/>
                <w:bCs/>
                <w:sz w:val="18"/>
                <w:szCs w:val="18"/>
                <w:u w:val="single"/>
                <w:lang w:eastAsia="en-US"/>
              </w:rPr>
            </w:pPr>
            <w:r w:rsidRPr="00361BA1">
              <w:rPr>
                <w:rFonts w:eastAsia="Times New Roman"/>
                <w:sz w:val="18"/>
                <w:szCs w:val="18"/>
                <w:lang w:eastAsia="en-US"/>
              </w:rPr>
              <w:t xml:space="preserve">Ms Sarah Johnson </w:t>
            </w:r>
            <w:r w:rsidRPr="00361BA1">
              <w:rPr>
                <w:rFonts w:eastAsia="Times New Roman"/>
                <w:i/>
                <w:sz w:val="18"/>
                <w:szCs w:val="18"/>
                <w:lang w:eastAsia="en-US"/>
              </w:rPr>
              <w:t>Scheme Actuary</w:t>
            </w:r>
          </w:p>
        </w:tc>
        <w:tc>
          <w:tcPr>
            <w:tcW w:w="4252" w:type="dxa"/>
            <w:gridSpan w:val="2"/>
            <w:tcBorders>
              <w:top w:val="single" w:sz="4" w:space="0" w:color="auto"/>
              <w:left w:val="nil"/>
              <w:bottom w:val="single" w:sz="4" w:space="0" w:color="auto"/>
              <w:right w:val="nil"/>
            </w:tcBorders>
            <w:shd w:val="clear" w:color="FFFFFF" w:fill="FFFFFF"/>
          </w:tcPr>
          <w:p w14:paraId="61F9533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Proprietor of Sarah Consulting Pty Ltd. Sarah Consulting provided scheme actuarial services to the Agency.</w:t>
            </w:r>
          </w:p>
        </w:tc>
        <w:tc>
          <w:tcPr>
            <w:tcW w:w="851" w:type="dxa"/>
            <w:tcBorders>
              <w:top w:val="single" w:sz="4" w:space="0" w:color="auto"/>
              <w:left w:val="nil"/>
              <w:bottom w:val="single" w:sz="4" w:space="0" w:color="auto"/>
              <w:right w:val="nil"/>
            </w:tcBorders>
            <w:shd w:val="clear" w:color="FFFFFF" w:fill="FFFFFF"/>
          </w:tcPr>
          <w:p w14:paraId="34FA50C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476</w:t>
            </w:r>
          </w:p>
        </w:tc>
        <w:tc>
          <w:tcPr>
            <w:tcW w:w="283" w:type="dxa"/>
            <w:tcBorders>
              <w:top w:val="single" w:sz="4" w:space="0" w:color="auto"/>
              <w:left w:val="nil"/>
              <w:bottom w:val="single" w:sz="4" w:space="0" w:color="auto"/>
              <w:right w:val="nil"/>
            </w:tcBorders>
            <w:shd w:val="clear" w:color="FFFFFF" w:fill="FFFFFF"/>
            <w:noWrap/>
          </w:tcPr>
          <w:p w14:paraId="01FAB0ED" w14:textId="77777777" w:rsidR="00361BA1" w:rsidRPr="00361BA1" w:rsidRDefault="00361BA1" w:rsidP="00361BA1">
            <w:pPr>
              <w:spacing w:before="0" w:after="0" w:line="260" w:lineRule="atLeast"/>
              <w:ind w:left="0"/>
              <w:jc w:val="right"/>
              <w:rPr>
                <w:rFonts w:eastAsia="Times New Roman"/>
                <w:sz w:val="18"/>
                <w:szCs w:val="18"/>
                <w:lang w:eastAsia="en-US"/>
              </w:rPr>
            </w:pPr>
          </w:p>
        </w:tc>
        <w:tc>
          <w:tcPr>
            <w:tcW w:w="1134" w:type="dxa"/>
            <w:tcBorders>
              <w:top w:val="single" w:sz="4" w:space="0" w:color="auto"/>
              <w:left w:val="nil"/>
              <w:bottom w:val="single" w:sz="4" w:space="0" w:color="auto"/>
              <w:right w:val="nil"/>
            </w:tcBorders>
            <w:shd w:val="clear" w:color="FFFFFF" w:fill="FFFFFF"/>
          </w:tcPr>
          <w:p w14:paraId="09622F8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388</w:t>
            </w:r>
          </w:p>
        </w:tc>
      </w:tr>
    </w:tbl>
    <w:p w14:paraId="39F215B2" w14:textId="77777777" w:rsidR="00361BA1" w:rsidRPr="00361BA1" w:rsidRDefault="00361BA1" w:rsidP="00361BA1">
      <w:pPr>
        <w:spacing w:before="0" w:after="0" w:line="40" w:lineRule="atLeast"/>
        <w:ind w:left="0"/>
        <w:rPr>
          <w:rFonts w:eastAsia="Times New Roman" w:cs="Times New Roman"/>
          <w:sz w:val="18"/>
          <w:szCs w:val="20"/>
          <w:lang w:eastAsia="en-US"/>
        </w:rPr>
      </w:pPr>
    </w:p>
    <w:p w14:paraId="17372B4A" w14:textId="77777777" w:rsidR="00361BA1" w:rsidRPr="00361BA1" w:rsidRDefault="00361BA1" w:rsidP="00361BA1">
      <w:pPr>
        <w:spacing w:before="0" w:after="0" w:line="40" w:lineRule="atLeast"/>
        <w:ind w:left="0"/>
        <w:rPr>
          <w:rFonts w:eastAsia="Times New Roman" w:cs="Times New Roman"/>
          <w:i/>
          <w:sz w:val="18"/>
          <w:szCs w:val="20"/>
          <w:u w:val="single"/>
          <w:lang w:eastAsia="en-US"/>
        </w:rPr>
      </w:pPr>
      <w:r w:rsidRPr="00361BA1">
        <w:rPr>
          <w:rFonts w:eastAsia="Times New Roman" w:cs="Times New Roman"/>
          <w:sz w:val="18"/>
          <w:szCs w:val="20"/>
          <w:lang w:eastAsia="en-US"/>
        </w:rPr>
        <w:t>None of the above Board members or Key Management Personnel played any role in Agency decisions in relation to their related party transactions noted above.</w:t>
      </w:r>
    </w:p>
    <w:p w14:paraId="3A847AF8" w14:textId="77777777" w:rsidR="00361BA1" w:rsidRPr="00361BA1" w:rsidRDefault="00361BA1" w:rsidP="00361BA1">
      <w:pPr>
        <w:spacing w:before="0" w:after="0" w:line="40" w:lineRule="atLeast"/>
        <w:ind w:left="0"/>
        <w:rPr>
          <w:rFonts w:eastAsia="Times New Roman" w:cs="Times New Roman"/>
          <w:i/>
          <w:sz w:val="18"/>
          <w:szCs w:val="20"/>
          <w:u w:val="single"/>
          <w:lang w:eastAsia="en-US"/>
        </w:rPr>
      </w:pPr>
    </w:p>
    <w:p w14:paraId="076E41B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vertAlign w:val="superscript"/>
          <w:lang w:eastAsia="en-US"/>
        </w:rPr>
        <w:t xml:space="preserve">1 </w:t>
      </w:r>
      <w:r w:rsidRPr="00361BA1">
        <w:rPr>
          <w:rFonts w:eastAsia="Times New Roman"/>
          <w:sz w:val="18"/>
          <w:szCs w:val="18"/>
          <w:lang w:eastAsia="en-US"/>
        </w:rPr>
        <w:t xml:space="preserve">All payments in the table above are calculated on a cash rather than accrual basis and therefore may differ from any amounts reported in Note 3.2 and Appendix 5.6 of the annual report. </w:t>
      </w:r>
    </w:p>
    <w:p w14:paraId="2BDB666A" w14:textId="77777777" w:rsidR="00361BA1" w:rsidRPr="00361BA1" w:rsidRDefault="00361BA1" w:rsidP="00361BA1">
      <w:pPr>
        <w:spacing w:before="0" w:after="0" w:line="40" w:lineRule="atLeast"/>
        <w:ind w:left="0"/>
        <w:rPr>
          <w:rFonts w:eastAsia="Times New Roman" w:cs="Times New Roman"/>
          <w:i/>
          <w:sz w:val="18"/>
          <w:szCs w:val="20"/>
          <w:u w:val="single"/>
          <w:lang w:eastAsia="en-US"/>
        </w:rPr>
      </w:pPr>
    </w:p>
    <w:p w14:paraId="1AF4CA0D" w14:textId="77777777" w:rsidR="00361BA1" w:rsidRPr="00361BA1" w:rsidRDefault="00361BA1" w:rsidP="00361BA1">
      <w:pPr>
        <w:spacing w:before="0" w:after="0" w:line="40" w:lineRule="atLeast"/>
        <w:ind w:left="0"/>
        <w:rPr>
          <w:rFonts w:eastAsia="Times New Roman" w:cs="Times New Roman"/>
          <w:i/>
          <w:sz w:val="18"/>
          <w:szCs w:val="20"/>
          <w:u w:val="single"/>
          <w:lang w:eastAsia="en-US"/>
        </w:rPr>
      </w:pPr>
      <w:r w:rsidRPr="00361BA1">
        <w:rPr>
          <w:rFonts w:eastAsia="Times New Roman" w:cs="Times New Roman"/>
          <w:i/>
          <w:sz w:val="18"/>
          <w:szCs w:val="20"/>
          <w:u w:val="single"/>
          <w:lang w:eastAsia="en-US"/>
        </w:rPr>
        <w:t>Registered Service Providers</w:t>
      </w:r>
    </w:p>
    <w:p w14:paraId="3BF80A86" w14:textId="77777777" w:rsidR="00361BA1" w:rsidRPr="00361BA1" w:rsidRDefault="00361BA1" w:rsidP="00361BA1">
      <w:pPr>
        <w:spacing w:before="0" w:after="0" w:line="40" w:lineRule="atLeast"/>
        <w:ind w:left="0"/>
        <w:rPr>
          <w:rFonts w:eastAsia="Times New Roman" w:cs="Times New Roman"/>
          <w:sz w:val="18"/>
          <w:szCs w:val="20"/>
          <w:lang w:eastAsia="en-US"/>
        </w:rPr>
      </w:pPr>
      <w:r w:rsidRPr="00361BA1">
        <w:rPr>
          <w:rFonts w:eastAsia="Times New Roman" w:cs="Times New Roman"/>
          <w:sz w:val="18"/>
          <w:szCs w:val="20"/>
          <w:lang w:eastAsia="en-US"/>
        </w:rPr>
        <w:t xml:space="preserve">Participants who elect to have their plan managed by the Agency must select a registered service provider to deliver the supports in their plan. To become a registered service provider an organisation must submit an application to either the Agency or the NDIS Quality and Safeguards Commission. All applications are assessed against the criteria specified in Part 3 of </w:t>
      </w:r>
      <w:r w:rsidRPr="00361BA1">
        <w:rPr>
          <w:rFonts w:eastAsia="Times New Roman" w:cs="Times New Roman"/>
          <w:i/>
          <w:sz w:val="18"/>
          <w:szCs w:val="20"/>
          <w:lang w:eastAsia="en-US"/>
        </w:rPr>
        <w:t>National Disability Insurance Scheme (Registered Providers of Supports) Rules 2013</w:t>
      </w:r>
      <w:r w:rsidRPr="00361BA1">
        <w:rPr>
          <w:rFonts w:eastAsia="Times New Roman" w:cs="Times New Roman"/>
          <w:sz w:val="18"/>
          <w:szCs w:val="20"/>
          <w:lang w:eastAsia="en-US"/>
        </w:rPr>
        <w:t xml:space="preserve">. Directors of the Agency are not involved in any decisions to accept or reject applications to register as a service provider. </w:t>
      </w:r>
    </w:p>
    <w:p w14:paraId="01347688" w14:textId="75333F73" w:rsidR="00361BA1" w:rsidRPr="00361BA1" w:rsidRDefault="00361BA1" w:rsidP="00361BA1">
      <w:pPr>
        <w:spacing w:before="0" w:after="0" w:line="40" w:lineRule="atLeast"/>
        <w:ind w:left="0"/>
        <w:rPr>
          <w:rFonts w:ascii="Times New Roman" w:eastAsia="Times New Roman" w:hAnsi="Times New Roman" w:cs="Times New Roman"/>
          <w:szCs w:val="20"/>
          <w:lang w:eastAsia="en-US"/>
        </w:rPr>
      </w:pPr>
      <w:r w:rsidRPr="00361BA1">
        <w:rPr>
          <w:rFonts w:eastAsia="Times New Roman" w:cs="Times New Roman"/>
          <w:sz w:val="18"/>
          <w:szCs w:val="20"/>
          <w:lang w:eastAsia="en-US"/>
        </w:rPr>
        <w:t>There were no other related party payments made during the period.</w:t>
      </w:r>
    </w:p>
    <w:p w14:paraId="54B3F2E2" w14:textId="78969105" w:rsidR="00361BA1" w:rsidRPr="00361BA1" w:rsidRDefault="00361BA1" w:rsidP="00361BA1">
      <w:pPr>
        <w:numPr>
          <w:ilvl w:val="0"/>
          <w:numId w:val="52"/>
        </w:numPr>
        <w:shd w:val="clear" w:color="00CC99" w:fill="800080"/>
        <w:spacing w:before="0" w:after="0" w:line="260" w:lineRule="atLeast"/>
        <w:outlineLvl w:val="0"/>
        <w:rPr>
          <w:rFonts w:ascii="Arial Bold" w:eastAsia="Times New Roman" w:hAnsi="Arial Bold" w:cs="Times New Roman"/>
          <w:b/>
          <w:color w:val="FFFFFF"/>
          <w:sz w:val="24"/>
          <w:szCs w:val="20"/>
          <w:lang w:eastAsia="en-US"/>
        </w:rPr>
      </w:pPr>
      <w:bookmarkStart w:id="113" w:name="_Toc41479173"/>
      <w:bookmarkEnd w:id="98"/>
      <w:bookmarkEnd w:id="99"/>
      <w:bookmarkEnd w:id="100"/>
      <w:r w:rsidRPr="00361BA1">
        <w:rPr>
          <w:rFonts w:ascii="Arial Bold" w:eastAsia="Times New Roman" w:hAnsi="Arial Bold" w:cs="Times New Roman"/>
          <w:b/>
          <w:color w:val="FFFFFF"/>
          <w:sz w:val="24"/>
          <w:szCs w:val="20"/>
          <w:lang w:eastAsia="en-US"/>
        </w:rPr>
        <w:lastRenderedPageBreak/>
        <w:t>Managing Uncertainties</w:t>
      </w:r>
      <w:bookmarkEnd w:id="113"/>
    </w:p>
    <w:p w14:paraId="167999C7" w14:textId="77777777" w:rsidR="00361BA1" w:rsidRPr="00361BA1" w:rsidRDefault="00361BA1" w:rsidP="00084A73">
      <w:pPr>
        <w:shd w:val="clear" w:color="00CC99" w:fill="800080"/>
        <w:spacing w:before="0" w:after="0" w:line="260" w:lineRule="atLeast"/>
        <w:ind w:left="0"/>
        <w:rPr>
          <w:rFonts w:eastAsia="Times New Roman" w:cs="Times New Roman"/>
          <w:color w:val="FFFFFF"/>
          <w:sz w:val="18"/>
          <w:szCs w:val="18"/>
          <w:lang w:eastAsia="en-US"/>
        </w:rPr>
      </w:pPr>
      <w:r w:rsidRPr="00361BA1">
        <w:rPr>
          <w:rFonts w:eastAsia="Times New Roman" w:cs="Times New Roman"/>
          <w:color w:val="FFFFFF"/>
          <w:sz w:val="18"/>
          <w:szCs w:val="18"/>
          <w:lang w:eastAsia="en-US"/>
        </w:rPr>
        <w:t>This section analyses how the Agency manages financial risks within its operating environment.</w:t>
      </w:r>
    </w:p>
    <w:p w14:paraId="520D25C8" w14:textId="017D1823" w:rsidR="00361BA1" w:rsidRPr="00361BA1" w:rsidRDefault="00361BA1" w:rsidP="00084A73">
      <w:pPr>
        <w:pStyle w:val="SubHeading"/>
      </w:pPr>
      <w:bookmarkStart w:id="114" w:name="_Toc41479174"/>
      <w:r w:rsidRPr="00361BA1">
        <w:t>Contingent Assets and Liabilities</w:t>
      </w:r>
      <w:bookmarkEnd w:id="114"/>
    </w:p>
    <w:p w14:paraId="5D6F563A" w14:textId="77777777" w:rsidR="00361BA1" w:rsidRPr="00361BA1" w:rsidRDefault="00361BA1" w:rsidP="00361BA1">
      <w:pPr>
        <w:spacing w:before="0" w:after="0" w:line="260" w:lineRule="atLeast"/>
        <w:ind w:left="0"/>
        <w:rPr>
          <w:rFonts w:ascii="Times New Roman" w:eastAsia="Times New Roman" w:hAnsi="Times New Roman" w:cs="Times New Roman"/>
          <w:szCs w:val="20"/>
          <w:lang w:eastAsia="en-US"/>
        </w:rPr>
      </w:pPr>
    </w:p>
    <w:p w14:paraId="134BD07B" w14:textId="77777777" w:rsidR="00361BA1" w:rsidRPr="00361BA1" w:rsidRDefault="00361BA1" w:rsidP="00361BA1">
      <w:pPr>
        <w:spacing w:before="0" w:after="0" w:line="260" w:lineRule="atLeast"/>
        <w:ind w:left="0"/>
        <w:rPr>
          <w:rFonts w:eastAsia="Times New Roman"/>
          <w:b/>
          <w:sz w:val="18"/>
          <w:szCs w:val="18"/>
          <w:u w:val="single"/>
          <w:lang w:eastAsia="en-AU"/>
        </w:rPr>
      </w:pPr>
      <w:r w:rsidRPr="00361BA1">
        <w:rPr>
          <w:rFonts w:eastAsia="Times New Roman"/>
          <w:b/>
          <w:sz w:val="18"/>
          <w:szCs w:val="18"/>
          <w:u w:val="single"/>
          <w:lang w:eastAsia="en-AU"/>
        </w:rPr>
        <w:t>Quantifiable Contingencies</w:t>
      </w:r>
    </w:p>
    <w:p w14:paraId="5E89B741" w14:textId="77777777" w:rsidR="00361BA1" w:rsidRPr="00361BA1" w:rsidRDefault="00361BA1" w:rsidP="00361BA1">
      <w:pPr>
        <w:spacing w:before="0" w:after="0" w:line="260" w:lineRule="atLeast"/>
        <w:ind w:left="0"/>
        <w:rPr>
          <w:rFonts w:eastAsia="Times New Roman"/>
          <w:sz w:val="18"/>
          <w:szCs w:val="18"/>
          <w:lang w:eastAsia="en-AU"/>
        </w:rPr>
      </w:pPr>
      <w:bookmarkStart w:id="115" w:name="_Ref338146507"/>
      <w:r w:rsidRPr="00361BA1">
        <w:rPr>
          <w:rFonts w:eastAsia="Times New Roman" w:cs="Times New Roman"/>
          <w:sz w:val="18"/>
          <w:szCs w:val="20"/>
          <w:lang w:eastAsia="en-US"/>
        </w:rPr>
        <w:t xml:space="preserve">As at 30 June </w:t>
      </w:r>
      <w:r w:rsidRPr="00361BA1">
        <w:rPr>
          <w:rFonts w:eastAsia="Times New Roman" w:cs="Times New Roman"/>
          <w:sz w:val="18"/>
          <w:szCs w:val="20"/>
          <w:lang w:eastAsia="en-US"/>
        </w:rPr>
        <w:fldChar w:fldCharType="begin"/>
      </w:r>
      <w:r w:rsidRPr="00361BA1">
        <w:rPr>
          <w:rFonts w:eastAsia="Times New Roman" w:cs="Times New Roman"/>
          <w:sz w:val="18"/>
          <w:szCs w:val="20"/>
          <w:lang w:eastAsia="en-US"/>
        </w:rPr>
        <w:instrText xml:space="preserve"> DOCPROPERTY  crYear  \* MERGEFORMAT </w:instrText>
      </w:r>
      <w:r w:rsidRPr="00361BA1">
        <w:rPr>
          <w:rFonts w:eastAsia="Times New Roman" w:cs="Times New Roman"/>
          <w:sz w:val="18"/>
          <w:szCs w:val="20"/>
          <w:lang w:eastAsia="en-US"/>
        </w:rPr>
        <w:fldChar w:fldCharType="separate"/>
      </w:r>
      <w:r w:rsidRPr="00361BA1">
        <w:rPr>
          <w:rFonts w:eastAsia="Times New Roman" w:cs="Times New Roman"/>
          <w:sz w:val="18"/>
          <w:szCs w:val="20"/>
          <w:lang w:eastAsia="en-US"/>
        </w:rPr>
        <w:t>2020</w:t>
      </w:r>
      <w:r w:rsidRPr="00361BA1">
        <w:rPr>
          <w:rFonts w:eastAsia="Times New Roman" w:cs="Times New Roman"/>
          <w:sz w:val="18"/>
          <w:szCs w:val="20"/>
          <w:lang w:eastAsia="en-US"/>
        </w:rPr>
        <w:fldChar w:fldCharType="end"/>
      </w:r>
      <w:r w:rsidRPr="00361BA1">
        <w:rPr>
          <w:rFonts w:eastAsia="Times New Roman" w:cs="Times New Roman"/>
          <w:sz w:val="18"/>
          <w:szCs w:val="20"/>
          <w:lang w:eastAsia="en-US"/>
        </w:rPr>
        <w:t>, the Agency had no quantifiable</w:t>
      </w:r>
      <w:r w:rsidRPr="00361BA1">
        <w:rPr>
          <w:rFonts w:eastAsia="Times New Roman" w:cs="Times New Roman"/>
          <w:color w:val="C00000"/>
          <w:sz w:val="18"/>
          <w:szCs w:val="20"/>
          <w:lang w:eastAsia="en-US"/>
        </w:rPr>
        <w:t xml:space="preserve"> </w:t>
      </w:r>
      <w:r w:rsidRPr="00361BA1">
        <w:rPr>
          <w:rFonts w:eastAsia="Times New Roman" w:cs="Times New Roman"/>
          <w:sz w:val="18"/>
          <w:szCs w:val="20"/>
          <w:lang w:eastAsia="en-US"/>
        </w:rPr>
        <w:t xml:space="preserve">contingent assets or liabilities </w:t>
      </w:r>
      <w:r w:rsidRPr="00361BA1">
        <w:rPr>
          <w:rFonts w:eastAsia="Times New Roman"/>
          <w:sz w:val="18"/>
          <w:szCs w:val="18"/>
          <w:lang w:eastAsia="en-AU"/>
        </w:rPr>
        <w:t>(</w:t>
      </w:r>
      <w:r w:rsidRPr="00361BA1">
        <w:rPr>
          <w:rFonts w:eastAsia="Times New Roman"/>
          <w:sz w:val="18"/>
          <w:szCs w:val="18"/>
          <w:lang w:eastAsia="en-AU"/>
        </w:rPr>
        <w:fldChar w:fldCharType="begin"/>
      </w:r>
      <w:r w:rsidRPr="00361BA1">
        <w:rPr>
          <w:rFonts w:eastAsia="Times New Roman"/>
          <w:sz w:val="18"/>
          <w:szCs w:val="18"/>
          <w:lang w:eastAsia="en-AU"/>
        </w:rPr>
        <w:instrText xml:space="preserve"> DOCPROPERTY  prYear  \* MERGEFORMAT </w:instrText>
      </w:r>
      <w:r w:rsidRPr="00361BA1">
        <w:rPr>
          <w:rFonts w:eastAsia="Times New Roman"/>
          <w:sz w:val="18"/>
          <w:szCs w:val="18"/>
          <w:lang w:eastAsia="en-AU"/>
        </w:rPr>
        <w:fldChar w:fldCharType="separate"/>
      </w:r>
      <w:r w:rsidRPr="00361BA1">
        <w:rPr>
          <w:rFonts w:eastAsia="Times New Roman"/>
          <w:sz w:val="18"/>
          <w:szCs w:val="18"/>
          <w:lang w:eastAsia="en-AU"/>
        </w:rPr>
        <w:t>2019</w:t>
      </w:r>
      <w:r w:rsidRPr="00361BA1">
        <w:rPr>
          <w:rFonts w:eastAsia="Times New Roman"/>
          <w:sz w:val="18"/>
          <w:szCs w:val="18"/>
          <w:lang w:eastAsia="en-AU"/>
        </w:rPr>
        <w:fldChar w:fldCharType="end"/>
      </w:r>
      <w:r w:rsidRPr="00361BA1">
        <w:rPr>
          <w:rFonts w:eastAsia="Times New Roman"/>
          <w:sz w:val="18"/>
          <w:szCs w:val="18"/>
          <w:lang w:eastAsia="en-AU"/>
        </w:rPr>
        <w:t>: $nil).</w:t>
      </w:r>
    </w:p>
    <w:p w14:paraId="644817C5" w14:textId="77777777" w:rsidR="00361BA1" w:rsidRPr="00361BA1" w:rsidRDefault="00361BA1" w:rsidP="00361BA1">
      <w:pPr>
        <w:spacing w:before="0" w:after="0" w:line="260" w:lineRule="atLeast"/>
        <w:ind w:left="0"/>
        <w:rPr>
          <w:rFonts w:eastAsia="Times New Roman"/>
          <w:b/>
          <w:sz w:val="18"/>
          <w:szCs w:val="18"/>
          <w:u w:val="single"/>
          <w:lang w:eastAsia="en-AU"/>
        </w:rPr>
      </w:pPr>
    </w:p>
    <w:p w14:paraId="3CC4D4A1" w14:textId="77777777" w:rsidR="00361BA1" w:rsidRPr="00361BA1" w:rsidRDefault="00361BA1" w:rsidP="00361BA1">
      <w:pPr>
        <w:spacing w:before="0" w:after="0" w:line="260" w:lineRule="atLeast"/>
        <w:ind w:left="0"/>
        <w:rPr>
          <w:rFonts w:eastAsia="Times New Roman"/>
          <w:b/>
          <w:sz w:val="18"/>
          <w:szCs w:val="18"/>
          <w:u w:val="single"/>
          <w:lang w:eastAsia="en-AU"/>
        </w:rPr>
      </w:pPr>
      <w:r w:rsidRPr="00361BA1">
        <w:rPr>
          <w:rFonts w:eastAsia="Times New Roman"/>
          <w:b/>
          <w:sz w:val="18"/>
          <w:szCs w:val="18"/>
          <w:u w:val="single"/>
          <w:lang w:eastAsia="en-AU"/>
        </w:rPr>
        <w:t>Unquantifiable Contingencies</w:t>
      </w:r>
    </w:p>
    <w:p w14:paraId="661E0C30" w14:textId="77777777" w:rsidR="00361BA1" w:rsidRPr="00361BA1" w:rsidRDefault="00361BA1" w:rsidP="00361BA1">
      <w:pPr>
        <w:spacing w:before="0" w:after="0" w:line="260" w:lineRule="atLeast"/>
        <w:ind w:left="0"/>
        <w:rPr>
          <w:rFonts w:eastAsia="Times New Roman"/>
          <w:b/>
          <w:i/>
          <w:u w:val="single"/>
          <w:lang w:eastAsia="en-US"/>
        </w:rPr>
      </w:pPr>
      <w:r w:rsidRPr="00361BA1">
        <w:rPr>
          <w:rFonts w:eastAsia="Times New Roman" w:cs="Times New Roman"/>
          <w:i/>
          <w:sz w:val="18"/>
          <w:szCs w:val="20"/>
          <w:u w:val="single"/>
          <w:lang w:eastAsia="en-US"/>
        </w:rPr>
        <w:t>Contingent</w:t>
      </w:r>
      <w:r w:rsidRPr="00361BA1">
        <w:rPr>
          <w:rFonts w:eastAsia="Times New Roman"/>
          <w:b/>
          <w:i/>
          <w:u w:val="single"/>
          <w:lang w:eastAsia="en-US"/>
        </w:rPr>
        <w:t xml:space="preserve"> </w:t>
      </w:r>
      <w:r w:rsidRPr="00361BA1">
        <w:rPr>
          <w:rFonts w:eastAsia="Times New Roman"/>
          <w:i/>
          <w:sz w:val="18"/>
          <w:szCs w:val="18"/>
          <w:u w:val="single"/>
          <w:lang w:eastAsia="en-US"/>
        </w:rPr>
        <w:t>asset</w:t>
      </w:r>
      <w:r w:rsidRPr="00361BA1">
        <w:rPr>
          <w:rFonts w:eastAsia="Times New Roman"/>
          <w:b/>
          <w:i/>
          <w:u w:val="single"/>
          <w:lang w:eastAsia="en-US"/>
        </w:rPr>
        <w:t xml:space="preserve"> </w:t>
      </w:r>
      <w:r w:rsidRPr="00361BA1">
        <w:rPr>
          <w:rFonts w:eastAsia="Times New Roman"/>
          <w:i/>
          <w:sz w:val="18"/>
          <w:szCs w:val="18"/>
          <w:u w:val="single"/>
          <w:lang w:eastAsia="en-US"/>
        </w:rPr>
        <w:t>–</w:t>
      </w:r>
      <w:r w:rsidRPr="00361BA1">
        <w:rPr>
          <w:rFonts w:eastAsia="Times New Roman"/>
          <w:b/>
          <w:i/>
          <w:u w:val="single"/>
          <w:lang w:eastAsia="en-US"/>
        </w:rPr>
        <w:t xml:space="preserve"> </w:t>
      </w:r>
      <w:r w:rsidRPr="00361BA1">
        <w:rPr>
          <w:rFonts w:eastAsia="Times New Roman"/>
          <w:i/>
          <w:sz w:val="18"/>
          <w:szCs w:val="18"/>
          <w:u w:val="single"/>
          <w:lang w:eastAsia="en-US"/>
        </w:rPr>
        <w:t>Compensation</w:t>
      </w:r>
      <w:r w:rsidRPr="00361BA1">
        <w:rPr>
          <w:rFonts w:eastAsia="Times New Roman"/>
          <w:b/>
          <w:i/>
          <w:u w:val="single"/>
          <w:lang w:eastAsia="en-US"/>
        </w:rPr>
        <w:t xml:space="preserve"> </w:t>
      </w:r>
      <w:r w:rsidRPr="00361BA1">
        <w:rPr>
          <w:rFonts w:eastAsia="Times New Roman" w:cs="Times New Roman"/>
          <w:i/>
          <w:sz w:val="18"/>
          <w:szCs w:val="20"/>
          <w:u w:val="single"/>
          <w:lang w:eastAsia="en-US"/>
        </w:rPr>
        <w:t>recoveries</w:t>
      </w:r>
    </w:p>
    <w:p w14:paraId="29C6764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cs="Times New Roman"/>
          <w:sz w:val="18"/>
          <w:szCs w:val="20"/>
          <w:lang w:eastAsia="en-US"/>
        </w:rPr>
        <w:t>There</w:t>
      </w:r>
      <w:r w:rsidRPr="00361BA1">
        <w:rPr>
          <w:rFonts w:eastAsia="Times New Roman"/>
          <w:i/>
          <w:lang w:eastAsia="en-US"/>
        </w:rPr>
        <w:t xml:space="preserve"> </w:t>
      </w:r>
      <w:r w:rsidRPr="00361BA1">
        <w:rPr>
          <w:rFonts w:eastAsia="Times New Roman"/>
          <w:sz w:val="18"/>
          <w:szCs w:val="18"/>
          <w:lang w:eastAsia="en-US"/>
        </w:rPr>
        <w:t>are provisions set out in the Act and the NDIS Compensation Rules that allow the Agency to recover amounts of compensation that have been paid to, or given up by, Scheme participants. These provisions apply to a number of Scheme participant plans, for which compensation recovery decisions have not yet been made at 30 June 2020. A number of potential compensation cases are in progress at 30 June 2020, which may result in future compensation recoveries by the Agency. Due to the unique circumstances of each case, the Agency is currently unable to estimate the amount that may be recoverable from these cases. These amounts will be recognised as income in future periods when the relevant recognition criteria are met. The accounting policy for compensation receipts is included in Note 1.2C.</w:t>
      </w:r>
    </w:p>
    <w:p w14:paraId="3DB3C69A" w14:textId="77777777" w:rsidR="00361BA1" w:rsidRPr="00361BA1" w:rsidRDefault="00361BA1" w:rsidP="00361BA1">
      <w:pPr>
        <w:spacing w:before="0" w:after="0" w:line="260" w:lineRule="atLeast"/>
        <w:ind w:left="0"/>
        <w:rPr>
          <w:rFonts w:eastAsia="Times New Roman"/>
          <w:sz w:val="18"/>
          <w:szCs w:val="18"/>
          <w:lang w:eastAsia="en-AU"/>
        </w:rPr>
      </w:pPr>
    </w:p>
    <w:p w14:paraId="34D6C8C1" w14:textId="77777777" w:rsidR="00361BA1" w:rsidRPr="00361BA1" w:rsidRDefault="00361BA1" w:rsidP="00361BA1">
      <w:pPr>
        <w:spacing w:before="0" w:after="0" w:line="260" w:lineRule="atLeast"/>
        <w:ind w:left="0"/>
        <w:rPr>
          <w:rFonts w:eastAsia="Times New Roman"/>
          <w:i/>
          <w:sz w:val="18"/>
          <w:szCs w:val="18"/>
          <w:u w:val="single"/>
          <w:lang w:eastAsia="en-AU"/>
        </w:rPr>
      </w:pPr>
      <w:r w:rsidRPr="00361BA1">
        <w:rPr>
          <w:rFonts w:eastAsia="Times New Roman"/>
          <w:i/>
          <w:sz w:val="18"/>
          <w:szCs w:val="18"/>
          <w:u w:val="single"/>
          <w:lang w:eastAsia="en-AU"/>
        </w:rPr>
        <w:t>Contingent liabilities</w:t>
      </w:r>
    </w:p>
    <w:p w14:paraId="2EE0608B" w14:textId="77777777" w:rsidR="00361BA1" w:rsidRPr="00361BA1" w:rsidRDefault="00361BA1" w:rsidP="00361BA1">
      <w:pPr>
        <w:spacing w:before="0" w:after="0" w:line="260" w:lineRule="atLeast"/>
        <w:ind w:left="0"/>
        <w:rPr>
          <w:rFonts w:eastAsia="Times New Roman"/>
          <w:sz w:val="18"/>
          <w:szCs w:val="18"/>
          <w:lang w:eastAsia="en-AU"/>
        </w:rPr>
      </w:pPr>
      <w:r w:rsidRPr="00361BA1">
        <w:rPr>
          <w:rFonts w:eastAsia="Times New Roman"/>
          <w:sz w:val="18"/>
          <w:szCs w:val="18"/>
          <w:lang w:eastAsia="en-AU"/>
        </w:rPr>
        <w:t xml:space="preserve">As at </w:t>
      </w:r>
      <w:r w:rsidRPr="00361BA1">
        <w:rPr>
          <w:rFonts w:eastAsia="Times New Roman"/>
          <w:sz w:val="18"/>
          <w:szCs w:val="18"/>
          <w:lang w:eastAsia="en-US"/>
        </w:rPr>
        <w:t xml:space="preserve">30 June </w:t>
      </w:r>
      <w:r w:rsidRPr="00361BA1">
        <w:rPr>
          <w:rFonts w:eastAsia="Times New Roman"/>
          <w:sz w:val="18"/>
          <w:szCs w:val="18"/>
          <w:lang w:eastAsia="en-AU"/>
        </w:rPr>
        <w:fldChar w:fldCharType="begin"/>
      </w:r>
      <w:r w:rsidRPr="00361BA1">
        <w:rPr>
          <w:rFonts w:eastAsia="Times New Roman"/>
          <w:sz w:val="18"/>
          <w:szCs w:val="18"/>
          <w:lang w:eastAsia="en-AU"/>
        </w:rPr>
        <w:instrText xml:space="preserve"> DOCPROPERTY  crYear  \* MERGEFORMAT </w:instrText>
      </w:r>
      <w:r w:rsidRPr="00361BA1">
        <w:rPr>
          <w:rFonts w:eastAsia="Times New Roman"/>
          <w:sz w:val="18"/>
          <w:szCs w:val="18"/>
          <w:lang w:eastAsia="en-AU"/>
        </w:rPr>
        <w:fldChar w:fldCharType="separate"/>
      </w:r>
      <w:r w:rsidRPr="00361BA1">
        <w:rPr>
          <w:rFonts w:eastAsia="Times New Roman"/>
          <w:sz w:val="18"/>
          <w:szCs w:val="18"/>
          <w:lang w:eastAsia="en-AU"/>
        </w:rPr>
        <w:t>2020</w:t>
      </w:r>
      <w:r w:rsidRPr="00361BA1">
        <w:rPr>
          <w:rFonts w:eastAsia="Times New Roman"/>
          <w:sz w:val="18"/>
          <w:szCs w:val="18"/>
          <w:lang w:eastAsia="en-AU"/>
        </w:rPr>
        <w:fldChar w:fldCharType="end"/>
      </w:r>
      <w:r w:rsidRPr="00361BA1">
        <w:rPr>
          <w:rFonts w:eastAsia="Times New Roman"/>
          <w:sz w:val="18"/>
          <w:szCs w:val="18"/>
          <w:lang w:eastAsia="en-AU"/>
        </w:rPr>
        <w:t>, the Agency had no unquantifiable contingent liabilities (</w:t>
      </w:r>
      <w:r w:rsidRPr="00361BA1">
        <w:rPr>
          <w:rFonts w:eastAsia="Times New Roman"/>
          <w:sz w:val="18"/>
          <w:szCs w:val="18"/>
          <w:lang w:eastAsia="en-AU"/>
        </w:rPr>
        <w:fldChar w:fldCharType="begin"/>
      </w:r>
      <w:r w:rsidRPr="00361BA1">
        <w:rPr>
          <w:rFonts w:eastAsia="Times New Roman"/>
          <w:sz w:val="18"/>
          <w:szCs w:val="18"/>
          <w:lang w:eastAsia="en-AU"/>
        </w:rPr>
        <w:instrText xml:space="preserve"> DOCPROPERTY  prYear  \* MERGEFORMAT </w:instrText>
      </w:r>
      <w:r w:rsidRPr="00361BA1">
        <w:rPr>
          <w:rFonts w:eastAsia="Times New Roman"/>
          <w:sz w:val="18"/>
          <w:szCs w:val="18"/>
          <w:lang w:eastAsia="en-AU"/>
        </w:rPr>
        <w:fldChar w:fldCharType="separate"/>
      </w:r>
      <w:r w:rsidRPr="00361BA1">
        <w:rPr>
          <w:rFonts w:eastAsia="Times New Roman"/>
          <w:sz w:val="18"/>
          <w:szCs w:val="18"/>
          <w:lang w:eastAsia="en-AU"/>
        </w:rPr>
        <w:t>2019</w:t>
      </w:r>
      <w:r w:rsidRPr="00361BA1">
        <w:rPr>
          <w:rFonts w:eastAsia="Times New Roman"/>
          <w:sz w:val="18"/>
          <w:szCs w:val="18"/>
          <w:lang w:eastAsia="en-AU"/>
        </w:rPr>
        <w:fldChar w:fldCharType="end"/>
      </w:r>
      <w:r w:rsidRPr="00361BA1">
        <w:rPr>
          <w:rFonts w:eastAsia="Times New Roman"/>
          <w:sz w:val="18"/>
          <w:szCs w:val="18"/>
          <w:lang w:eastAsia="en-AU"/>
        </w:rPr>
        <w:t>: $nil.)</w:t>
      </w:r>
    </w:p>
    <w:p w14:paraId="70E47276" w14:textId="77777777" w:rsidR="00361BA1" w:rsidRPr="00361BA1" w:rsidRDefault="00361BA1" w:rsidP="00361BA1">
      <w:pPr>
        <w:spacing w:before="0" w:after="0" w:line="260" w:lineRule="atLeast"/>
        <w:ind w:left="0"/>
        <w:rPr>
          <w:rFonts w:eastAsia="Times New Roman"/>
          <w:sz w:val="18"/>
          <w:szCs w:val="18"/>
          <w:lang w:eastAsia="en-AU"/>
        </w:rPr>
      </w:pPr>
    </w:p>
    <w:p w14:paraId="0707FB07"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 xml:space="preserve">Accounting Policy </w:t>
      </w:r>
    </w:p>
    <w:p w14:paraId="5835ED38"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361BA1">
        <w:rPr>
          <w:rFonts w:eastAsia="Times New Roman"/>
          <w:bCs/>
          <w:sz w:val="18"/>
          <w:szCs w:val="18"/>
          <w:lang w:eastAsia="en-US"/>
        </w:rPr>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27DA6798" w14:textId="77777777" w:rsidR="00361BA1" w:rsidRPr="00361BA1" w:rsidRDefault="00361BA1" w:rsidP="00361BA1">
      <w:pPr>
        <w:spacing w:before="0" w:after="0"/>
        <w:ind w:left="0"/>
        <w:rPr>
          <w:rFonts w:eastAsia="Times New Roman"/>
          <w:sz w:val="18"/>
          <w:szCs w:val="18"/>
          <w:lang w:eastAsia="en-AU"/>
        </w:rPr>
      </w:pPr>
      <w:r w:rsidRPr="00361BA1">
        <w:rPr>
          <w:rFonts w:eastAsia="Times New Roman"/>
          <w:sz w:val="18"/>
          <w:szCs w:val="18"/>
          <w:lang w:eastAsia="en-AU"/>
        </w:rPr>
        <w:br w:type="page"/>
      </w:r>
    </w:p>
    <w:p w14:paraId="00C4FB6E" w14:textId="45D8893C" w:rsidR="00361BA1" w:rsidRPr="00361BA1" w:rsidRDefault="00361BA1" w:rsidP="00084A73">
      <w:pPr>
        <w:pStyle w:val="SubHeading"/>
      </w:pPr>
      <w:bookmarkStart w:id="116" w:name="_Toc443469549"/>
      <w:bookmarkStart w:id="117" w:name="_Toc444065804"/>
      <w:bookmarkStart w:id="118" w:name="_Toc444080001"/>
      <w:bookmarkStart w:id="119" w:name="_Toc447030550"/>
      <w:bookmarkStart w:id="120" w:name="_Toc447030702"/>
      <w:bookmarkStart w:id="121" w:name="_Toc447030795"/>
      <w:bookmarkStart w:id="122" w:name="_Toc41479175"/>
      <w:r w:rsidRPr="00361BA1">
        <w:lastRenderedPageBreak/>
        <w:t>Financial Instruments</w:t>
      </w:r>
      <w:bookmarkEnd w:id="116"/>
      <w:bookmarkEnd w:id="117"/>
      <w:bookmarkEnd w:id="118"/>
      <w:bookmarkEnd w:id="119"/>
      <w:bookmarkEnd w:id="120"/>
      <w:bookmarkEnd w:id="121"/>
      <w:bookmarkEnd w:id="122"/>
    </w:p>
    <w:tbl>
      <w:tblPr>
        <w:tblW w:w="9087" w:type="dxa"/>
        <w:tblLayout w:type="fixed"/>
        <w:tblLook w:val="04A0" w:firstRow="1" w:lastRow="0" w:firstColumn="1" w:lastColumn="0" w:noHBand="0" w:noVBand="1"/>
      </w:tblPr>
      <w:tblGrid>
        <w:gridCol w:w="6367"/>
        <w:gridCol w:w="1246"/>
        <w:gridCol w:w="236"/>
        <w:gridCol w:w="1238"/>
      </w:tblGrid>
      <w:tr w:rsidR="00361BA1" w:rsidRPr="00361BA1" w14:paraId="205F9BE1" w14:textId="77777777" w:rsidTr="00361BA1">
        <w:trPr>
          <w:trHeight w:val="255"/>
        </w:trPr>
        <w:tc>
          <w:tcPr>
            <w:tcW w:w="6367" w:type="dxa"/>
            <w:tcBorders>
              <w:top w:val="nil"/>
              <w:left w:val="nil"/>
              <w:bottom w:val="nil"/>
              <w:right w:val="nil"/>
            </w:tcBorders>
            <w:shd w:val="clear" w:color="FFFFFF" w:fill="FFFFFF"/>
            <w:noWrap/>
            <w:vAlign w:val="bottom"/>
            <w:hideMark/>
          </w:tcPr>
          <w:p w14:paraId="1FEE49D5" w14:textId="77777777" w:rsidR="00361BA1" w:rsidRPr="00361BA1" w:rsidRDefault="00361BA1" w:rsidP="00361BA1">
            <w:pPr>
              <w:spacing w:before="0" w:after="0" w:line="260" w:lineRule="atLeast"/>
              <w:ind w:left="0"/>
              <w:rPr>
                <w:rFonts w:eastAsia="Times New Roman"/>
                <w:sz w:val="18"/>
                <w:szCs w:val="18"/>
                <w:lang w:eastAsia="en-US"/>
              </w:rPr>
            </w:pPr>
            <w:bookmarkStart w:id="123" w:name="Note_FIATABLE1" w:colFirst="0" w:colLast="0"/>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139343EE"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13A1AE6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3CABA82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123"/>
      <w:tr w:rsidR="00361BA1" w:rsidRPr="00361BA1" w14:paraId="59DE0EA3" w14:textId="77777777" w:rsidTr="00361BA1">
        <w:trPr>
          <w:trHeight w:val="255"/>
        </w:trPr>
        <w:tc>
          <w:tcPr>
            <w:tcW w:w="6367" w:type="dxa"/>
            <w:tcBorders>
              <w:top w:val="nil"/>
              <w:left w:val="nil"/>
              <w:bottom w:val="nil"/>
              <w:right w:val="nil"/>
            </w:tcBorders>
            <w:shd w:val="clear" w:color="FFFFFF" w:fill="FFFFFF"/>
            <w:noWrap/>
            <w:vAlign w:val="bottom"/>
            <w:hideMark/>
          </w:tcPr>
          <w:p w14:paraId="0EEBDA8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46" w:type="dxa"/>
            <w:tcBorders>
              <w:top w:val="nil"/>
              <w:left w:val="nil"/>
              <w:bottom w:val="nil"/>
              <w:right w:val="nil"/>
            </w:tcBorders>
            <w:shd w:val="clear" w:color="FFFFFF" w:fill="FFFFFF"/>
            <w:vAlign w:val="bottom"/>
            <w:hideMark/>
          </w:tcPr>
          <w:p w14:paraId="092A89EB"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3FF9A3E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vAlign w:val="bottom"/>
            <w:hideMark/>
          </w:tcPr>
          <w:p w14:paraId="6712DE1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35760A4E" w14:textId="77777777" w:rsidTr="00361BA1">
        <w:trPr>
          <w:trHeight w:val="255"/>
        </w:trPr>
        <w:tc>
          <w:tcPr>
            <w:tcW w:w="6367" w:type="dxa"/>
            <w:tcBorders>
              <w:top w:val="nil"/>
              <w:left w:val="nil"/>
              <w:bottom w:val="nil"/>
              <w:right w:val="nil"/>
            </w:tcBorders>
            <w:shd w:val="clear" w:color="FFFFFF" w:fill="FFFFFF"/>
            <w:noWrap/>
            <w:vAlign w:val="bottom"/>
            <w:hideMark/>
          </w:tcPr>
          <w:p w14:paraId="36E46299"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4.2A: Categories of financial instruments</w:t>
            </w:r>
          </w:p>
        </w:tc>
        <w:tc>
          <w:tcPr>
            <w:tcW w:w="1246" w:type="dxa"/>
            <w:tcBorders>
              <w:top w:val="nil"/>
              <w:left w:val="nil"/>
              <w:bottom w:val="nil"/>
              <w:right w:val="nil"/>
            </w:tcBorders>
            <w:shd w:val="clear" w:color="FFFFFF" w:fill="FFFFFF"/>
            <w:noWrap/>
            <w:vAlign w:val="bottom"/>
            <w:hideMark/>
          </w:tcPr>
          <w:p w14:paraId="72A76A2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BA18EC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FEF2BF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5397EFD9" w14:textId="77777777" w:rsidTr="00361BA1">
        <w:trPr>
          <w:trHeight w:val="255"/>
        </w:trPr>
        <w:tc>
          <w:tcPr>
            <w:tcW w:w="6367" w:type="dxa"/>
            <w:tcBorders>
              <w:top w:val="nil"/>
              <w:left w:val="nil"/>
              <w:bottom w:val="nil"/>
              <w:right w:val="nil"/>
            </w:tcBorders>
            <w:shd w:val="clear" w:color="FFFFFF" w:fill="FFFFFF"/>
            <w:vAlign w:val="bottom"/>
            <w:hideMark/>
          </w:tcPr>
          <w:p w14:paraId="0C7623F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Financial assets at amortised cost</w:t>
            </w:r>
          </w:p>
        </w:tc>
        <w:tc>
          <w:tcPr>
            <w:tcW w:w="1246" w:type="dxa"/>
            <w:tcBorders>
              <w:top w:val="nil"/>
              <w:left w:val="nil"/>
              <w:bottom w:val="nil"/>
              <w:right w:val="nil"/>
            </w:tcBorders>
            <w:shd w:val="clear" w:color="FFFFFF" w:fill="FFFFFF"/>
            <w:noWrap/>
            <w:vAlign w:val="bottom"/>
            <w:hideMark/>
          </w:tcPr>
          <w:p w14:paraId="2B4D5A3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18BF53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014BCA2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0AE5B161" w14:textId="77777777" w:rsidTr="00361BA1">
        <w:trPr>
          <w:trHeight w:val="255"/>
        </w:trPr>
        <w:tc>
          <w:tcPr>
            <w:tcW w:w="6367" w:type="dxa"/>
            <w:tcBorders>
              <w:top w:val="nil"/>
              <w:left w:val="nil"/>
              <w:bottom w:val="nil"/>
              <w:right w:val="nil"/>
            </w:tcBorders>
            <w:shd w:val="clear" w:color="FFFFFF" w:fill="FFFFFF"/>
            <w:noWrap/>
            <w:vAlign w:val="bottom"/>
            <w:hideMark/>
          </w:tcPr>
          <w:p w14:paraId="06D926F6"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Cash and cash equivalents</w:t>
            </w:r>
          </w:p>
        </w:tc>
        <w:tc>
          <w:tcPr>
            <w:tcW w:w="1246" w:type="dxa"/>
            <w:tcBorders>
              <w:top w:val="nil"/>
              <w:left w:val="nil"/>
              <w:bottom w:val="nil"/>
              <w:right w:val="nil"/>
            </w:tcBorders>
            <w:shd w:val="clear" w:color="FFFFFF" w:fill="FFFFFF"/>
            <w:noWrap/>
            <w:vAlign w:val="bottom"/>
            <w:hideMark/>
          </w:tcPr>
          <w:p w14:paraId="53B8631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2,497,240</w:t>
            </w:r>
          </w:p>
        </w:tc>
        <w:tc>
          <w:tcPr>
            <w:tcW w:w="236" w:type="dxa"/>
            <w:tcBorders>
              <w:top w:val="nil"/>
              <w:left w:val="nil"/>
              <w:bottom w:val="nil"/>
              <w:right w:val="nil"/>
            </w:tcBorders>
            <w:shd w:val="clear" w:color="FFFFFF" w:fill="FFFFFF"/>
            <w:noWrap/>
            <w:vAlign w:val="bottom"/>
            <w:hideMark/>
          </w:tcPr>
          <w:p w14:paraId="63BF2EC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3872103C"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3,859,860</w:t>
            </w:r>
          </w:p>
        </w:tc>
      </w:tr>
      <w:tr w:rsidR="00361BA1" w:rsidRPr="00361BA1" w14:paraId="32CBD4D2" w14:textId="77777777" w:rsidTr="00361BA1">
        <w:trPr>
          <w:trHeight w:val="255"/>
        </w:trPr>
        <w:tc>
          <w:tcPr>
            <w:tcW w:w="6367" w:type="dxa"/>
            <w:tcBorders>
              <w:top w:val="nil"/>
              <w:left w:val="nil"/>
              <w:bottom w:val="nil"/>
              <w:right w:val="nil"/>
            </w:tcBorders>
            <w:shd w:val="clear" w:color="FFFFFF" w:fill="FFFFFF"/>
            <w:noWrap/>
            <w:vAlign w:val="bottom"/>
            <w:hideMark/>
          </w:tcPr>
          <w:p w14:paraId="28D29913"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Other receivables</w:t>
            </w:r>
          </w:p>
        </w:tc>
        <w:tc>
          <w:tcPr>
            <w:tcW w:w="1246" w:type="dxa"/>
            <w:tcBorders>
              <w:top w:val="nil"/>
              <w:left w:val="nil"/>
              <w:bottom w:val="nil"/>
              <w:right w:val="nil"/>
            </w:tcBorders>
            <w:shd w:val="clear" w:color="FFFFFF" w:fill="FFFFFF"/>
            <w:noWrap/>
            <w:vAlign w:val="bottom"/>
            <w:hideMark/>
          </w:tcPr>
          <w:p w14:paraId="324748A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2,207</w:t>
            </w:r>
          </w:p>
        </w:tc>
        <w:tc>
          <w:tcPr>
            <w:tcW w:w="236" w:type="dxa"/>
            <w:tcBorders>
              <w:top w:val="nil"/>
              <w:left w:val="nil"/>
              <w:bottom w:val="nil"/>
              <w:right w:val="nil"/>
            </w:tcBorders>
            <w:shd w:val="clear" w:color="FFFFFF" w:fill="FFFFFF"/>
            <w:noWrap/>
            <w:vAlign w:val="bottom"/>
            <w:hideMark/>
          </w:tcPr>
          <w:p w14:paraId="73BA942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7D21DB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9,755</w:t>
            </w:r>
          </w:p>
        </w:tc>
      </w:tr>
      <w:tr w:rsidR="00361BA1" w:rsidRPr="00361BA1" w14:paraId="11363B7A" w14:textId="77777777" w:rsidTr="00361BA1">
        <w:trPr>
          <w:trHeight w:val="255"/>
        </w:trPr>
        <w:tc>
          <w:tcPr>
            <w:tcW w:w="6367" w:type="dxa"/>
            <w:tcBorders>
              <w:top w:val="nil"/>
              <w:left w:val="nil"/>
              <w:bottom w:val="nil"/>
              <w:right w:val="nil"/>
            </w:tcBorders>
            <w:shd w:val="clear" w:color="FFFFFF" w:fill="FFFFFF"/>
            <w:noWrap/>
            <w:vAlign w:val="bottom"/>
          </w:tcPr>
          <w:p w14:paraId="50B04B1D"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Other financial assets</w:t>
            </w:r>
          </w:p>
        </w:tc>
        <w:tc>
          <w:tcPr>
            <w:tcW w:w="1246" w:type="dxa"/>
            <w:tcBorders>
              <w:top w:val="nil"/>
              <w:left w:val="nil"/>
              <w:bottom w:val="nil"/>
              <w:right w:val="nil"/>
            </w:tcBorders>
            <w:shd w:val="clear" w:color="FFFFFF" w:fill="FFFFFF"/>
            <w:noWrap/>
            <w:vAlign w:val="bottom"/>
          </w:tcPr>
          <w:p w14:paraId="163E74A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140,000</w:t>
            </w:r>
          </w:p>
        </w:tc>
        <w:tc>
          <w:tcPr>
            <w:tcW w:w="236" w:type="dxa"/>
            <w:tcBorders>
              <w:top w:val="nil"/>
              <w:left w:val="nil"/>
              <w:bottom w:val="nil"/>
              <w:right w:val="nil"/>
            </w:tcBorders>
            <w:shd w:val="clear" w:color="FFFFFF" w:fill="FFFFFF"/>
            <w:noWrap/>
            <w:vAlign w:val="bottom"/>
          </w:tcPr>
          <w:p w14:paraId="750EBBDB" w14:textId="77777777" w:rsidR="00361BA1" w:rsidRPr="00361BA1" w:rsidRDefault="00361BA1" w:rsidP="00361BA1">
            <w:pPr>
              <w:spacing w:before="0" w:after="0" w:line="260" w:lineRule="atLeast"/>
              <w:ind w:left="0"/>
              <w:rPr>
                <w:rFonts w:eastAsia="Times New Roman"/>
                <w:sz w:val="18"/>
                <w:szCs w:val="18"/>
                <w:lang w:eastAsia="en-US"/>
              </w:rPr>
            </w:pPr>
          </w:p>
        </w:tc>
        <w:tc>
          <w:tcPr>
            <w:tcW w:w="1238" w:type="dxa"/>
            <w:tcBorders>
              <w:top w:val="nil"/>
              <w:left w:val="nil"/>
              <w:bottom w:val="nil"/>
              <w:right w:val="nil"/>
            </w:tcBorders>
            <w:shd w:val="clear" w:color="FFFFFF" w:fill="FFFFFF"/>
            <w:noWrap/>
            <w:vAlign w:val="bottom"/>
          </w:tcPr>
          <w:p w14:paraId="5149A470"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w:t>
            </w:r>
          </w:p>
        </w:tc>
      </w:tr>
      <w:tr w:rsidR="00361BA1" w:rsidRPr="00361BA1" w14:paraId="1DB6D3D0" w14:textId="77777777" w:rsidTr="00361BA1">
        <w:trPr>
          <w:trHeight w:val="255"/>
        </w:trPr>
        <w:tc>
          <w:tcPr>
            <w:tcW w:w="6367" w:type="dxa"/>
            <w:tcBorders>
              <w:top w:val="nil"/>
              <w:left w:val="nil"/>
              <w:bottom w:val="nil"/>
              <w:right w:val="nil"/>
            </w:tcBorders>
            <w:shd w:val="clear" w:color="FFFFFF" w:fill="FFFFFF"/>
            <w:noWrap/>
            <w:vAlign w:val="bottom"/>
            <w:hideMark/>
          </w:tcPr>
          <w:p w14:paraId="6894622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financial assets at amortised cost</w:t>
            </w:r>
          </w:p>
        </w:tc>
        <w:tc>
          <w:tcPr>
            <w:tcW w:w="1246" w:type="dxa"/>
            <w:tcBorders>
              <w:top w:val="single" w:sz="4" w:space="0" w:color="auto"/>
              <w:left w:val="nil"/>
              <w:bottom w:val="single" w:sz="4" w:space="0" w:color="auto"/>
              <w:right w:val="nil"/>
            </w:tcBorders>
            <w:shd w:val="clear" w:color="FFFFFF" w:fill="FFFFFF"/>
            <w:noWrap/>
            <w:vAlign w:val="bottom"/>
            <w:hideMark/>
          </w:tcPr>
          <w:p w14:paraId="1F8754A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2,639,447</w:t>
            </w:r>
          </w:p>
        </w:tc>
        <w:tc>
          <w:tcPr>
            <w:tcW w:w="236" w:type="dxa"/>
            <w:tcBorders>
              <w:top w:val="nil"/>
              <w:left w:val="nil"/>
              <w:bottom w:val="nil"/>
              <w:right w:val="nil"/>
            </w:tcBorders>
            <w:shd w:val="clear" w:color="FFFFFF" w:fill="FFFFFF"/>
            <w:noWrap/>
            <w:vAlign w:val="bottom"/>
            <w:hideMark/>
          </w:tcPr>
          <w:p w14:paraId="25C7719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F5EAA4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3,869,615</w:t>
            </w:r>
          </w:p>
        </w:tc>
      </w:tr>
      <w:tr w:rsidR="00361BA1" w:rsidRPr="00361BA1" w14:paraId="5E06BF9D" w14:textId="77777777" w:rsidTr="00361BA1">
        <w:trPr>
          <w:trHeight w:val="255"/>
        </w:trPr>
        <w:tc>
          <w:tcPr>
            <w:tcW w:w="6367" w:type="dxa"/>
            <w:tcBorders>
              <w:top w:val="nil"/>
              <w:left w:val="nil"/>
              <w:bottom w:val="nil"/>
              <w:right w:val="nil"/>
            </w:tcBorders>
            <w:shd w:val="clear" w:color="FFFFFF" w:fill="FFFFFF"/>
            <w:vAlign w:val="bottom"/>
            <w:hideMark/>
          </w:tcPr>
          <w:p w14:paraId="09E895A0"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financial assets</w:t>
            </w:r>
          </w:p>
        </w:tc>
        <w:tc>
          <w:tcPr>
            <w:tcW w:w="1246" w:type="dxa"/>
            <w:tcBorders>
              <w:top w:val="nil"/>
              <w:left w:val="nil"/>
              <w:bottom w:val="single" w:sz="4" w:space="0" w:color="auto"/>
              <w:right w:val="nil"/>
            </w:tcBorders>
            <w:shd w:val="clear" w:color="FFFFFF" w:fill="FFFFFF"/>
            <w:noWrap/>
            <w:vAlign w:val="bottom"/>
            <w:hideMark/>
          </w:tcPr>
          <w:p w14:paraId="3AC0E46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2,639,447</w:t>
            </w:r>
          </w:p>
        </w:tc>
        <w:tc>
          <w:tcPr>
            <w:tcW w:w="236" w:type="dxa"/>
            <w:tcBorders>
              <w:top w:val="nil"/>
              <w:left w:val="nil"/>
              <w:bottom w:val="nil"/>
              <w:right w:val="nil"/>
            </w:tcBorders>
            <w:shd w:val="clear" w:color="FFFFFF" w:fill="FFFFFF"/>
            <w:noWrap/>
            <w:vAlign w:val="bottom"/>
            <w:hideMark/>
          </w:tcPr>
          <w:p w14:paraId="150735F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single" w:sz="4" w:space="0" w:color="auto"/>
              <w:right w:val="nil"/>
            </w:tcBorders>
            <w:shd w:val="clear" w:color="FFFFFF" w:fill="FFFFFF"/>
            <w:noWrap/>
            <w:vAlign w:val="bottom"/>
            <w:hideMark/>
          </w:tcPr>
          <w:p w14:paraId="50AED3F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3,869,615</w:t>
            </w:r>
          </w:p>
        </w:tc>
      </w:tr>
      <w:tr w:rsidR="00361BA1" w:rsidRPr="00361BA1" w14:paraId="3AC1DA72" w14:textId="77777777" w:rsidTr="00361BA1">
        <w:trPr>
          <w:trHeight w:val="255"/>
        </w:trPr>
        <w:tc>
          <w:tcPr>
            <w:tcW w:w="6367" w:type="dxa"/>
            <w:tcBorders>
              <w:top w:val="nil"/>
              <w:left w:val="nil"/>
              <w:bottom w:val="nil"/>
              <w:right w:val="nil"/>
            </w:tcBorders>
            <w:shd w:val="clear" w:color="FFFFFF" w:fill="FFFFFF"/>
            <w:vAlign w:val="bottom"/>
            <w:hideMark/>
          </w:tcPr>
          <w:p w14:paraId="43F1C0C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246" w:type="dxa"/>
            <w:tcBorders>
              <w:top w:val="nil"/>
              <w:left w:val="nil"/>
              <w:bottom w:val="nil"/>
              <w:right w:val="nil"/>
            </w:tcBorders>
            <w:shd w:val="clear" w:color="FFFFFF" w:fill="FFFFFF"/>
            <w:noWrap/>
            <w:vAlign w:val="bottom"/>
            <w:hideMark/>
          </w:tcPr>
          <w:p w14:paraId="2C7E5F5A"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71CC23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55436A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 </w:t>
            </w:r>
          </w:p>
        </w:tc>
      </w:tr>
      <w:tr w:rsidR="00361BA1" w:rsidRPr="00361BA1" w14:paraId="6925E84B" w14:textId="77777777" w:rsidTr="00361BA1">
        <w:trPr>
          <w:trHeight w:val="255"/>
        </w:trPr>
        <w:tc>
          <w:tcPr>
            <w:tcW w:w="6367" w:type="dxa"/>
            <w:tcBorders>
              <w:top w:val="nil"/>
              <w:left w:val="nil"/>
              <w:bottom w:val="nil"/>
              <w:right w:val="nil"/>
            </w:tcBorders>
            <w:shd w:val="clear" w:color="FFFFFF" w:fill="FFFFFF"/>
            <w:vAlign w:val="bottom"/>
            <w:hideMark/>
          </w:tcPr>
          <w:p w14:paraId="39E6145E"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Financial liabilities</w:t>
            </w:r>
          </w:p>
        </w:tc>
        <w:tc>
          <w:tcPr>
            <w:tcW w:w="1246" w:type="dxa"/>
            <w:tcBorders>
              <w:top w:val="nil"/>
              <w:left w:val="nil"/>
              <w:bottom w:val="nil"/>
              <w:right w:val="nil"/>
            </w:tcBorders>
            <w:shd w:val="clear" w:color="FFFFFF" w:fill="FFFFFF"/>
            <w:noWrap/>
            <w:vAlign w:val="bottom"/>
            <w:hideMark/>
          </w:tcPr>
          <w:p w14:paraId="4AA8228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F4180B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7EF3C6F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A4672CB" w14:textId="77777777" w:rsidTr="00361BA1">
        <w:trPr>
          <w:trHeight w:val="255"/>
        </w:trPr>
        <w:tc>
          <w:tcPr>
            <w:tcW w:w="6367" w:type="dxa"/>
            <w:tcBorders>
              <w:top w:val="nil"/>
              <w:left w:val="nil"/>
              <w:bottom w:val="nil"/>
              <w:right w:val="nil"/>
            </w:tcBorders>
            <w:shd w:val="clear" w:color="FFFFFF" w:fill="FFFFFF"/>
            <w:vAlign w:val="bottom"/>
            <w:hideMark/>
          </w:tcPr>
          <w:p w14:paraId="6E4D865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At amortised cost</w:t>
            </w:r>
          </w:p>
        </w:tc>
        <w:tc>
          <w:tcPr>
            <w:tcW w:w="1246" w:type="dxa"/>
            <w:tcBorders>
              <w:top w:val="nil"/>
              <w:left w:val="nil"/>
              <w:bottom w:val="nil"/>
              <w:right w:val="nil"/>
            </w:tcBorders>
            <w:shd w:val="clear" w:color="FFFFFF" w:fill="FFFFFF"/>
            <w:noWrap/>
            <w:vAlign w:val="bottom"/>
            <w:hideMark/>
          </w:tcPr>
          <w:p w14:paraId="2F27DCE6"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752320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1755310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2D2B561" w14:textId="77777777" w:rsidTr="00361BA1">
        <w:trPr>
          <w:trHeight w:val="255"/>
        </w:trPr>
        <w:tc>
          <w:tcPr>
            <w:tcW w:w="6367" w:type="dxa"/>
            <w:tcBorders>
              <w:top w:val="nil"/>
              <w:left w:val="nil"/>
              <w:bottom w:val="nil"/>
              <w:right w:val="nil"/>
            </w:tcBorders>
            <w:shd w:val="clear" w:color="FFFFFF" w:fill="FFFFFF"/>
            <w:noWrap/>
            <w:vAlign w:val="bottom"/>
            <w:hideMark/>
          </w:tcPr>
          <w:p w14:paraId="3BAEB7C1"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Supplier and other payables</w:t>
            </w:r>
          </w:p>
        </w:tc>
        <w:tc>
          <w:tcPr>
            <w:tcW w:w="1246" w:type="dxa"/>
            <w:tcBorders>
              <w:top w:val="nil"/>
              <w:left w:val="nil"/>
              <w:bottom w:val="nil"/>
              <w:right w:val="nil"/>
            </w:tcBorders>
            <w:shd w:val="clear" w:color="FFFFFF" w:fill="FFFFFF"/>
            <w:noWrap/>
            <w:vAlign w:val="bottom"/>
            <w:hideMark/>
          </w:tcPr>
          <w:p w14:paraId="38CC311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288,966</w:t>
            </w:r>
          </w:p>
        </w:tc>
        <w:tc>
          <w:tcPr>
            <w:tcW w:w="236" w:type="dxa"/>
            <w:tcBorders>
              <w:top w:val="nil"/>
              <w:left w:val="nil"/>
              <w:bottom w:val="nil"/>
              <w:right w:val="nil"/>
            </w:tcBorders>
            <w:shd w:val="clear" w:color="FFFFFF" w:fill="FFFFFF"/>
            <w:noWrap/>
            <w:vAlign w:val="bottom"/>
            <w:hideMark/>
          </w:tcPr>
          <w:p w14:paraId="0C833DB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1E3FFA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140,542</w:t>
            </w:r>
          </w:p>
        </w:tc>
      </w:tr>
      <w:tr w:rsidR="00361BA1" w:rsidRPr="00361BA1" w14:paraId="713330BC" w14:textId="77777777" w:rsidTr="00361BA1">
        <w:trPr>
          <w:trHeight w:val="255"/>
        </w:trPr>
        <w:tc>
          <w:tcPr>
            <w:tcW w:w="6367" w:type="dxa"/>
            <w:tcBorders>
              <w:top w:val="nil"/>
              <w:left w:val="nil"/>
              <w:bottom w:val="nil"/>
              <w:right w:val="nil"/>
            </w:tcBorders>
            <w:shd w:val="clear" w:color="FFFFFF" w:fill="FFFFFF"/>
            <w:vAlign w:val="bottom"/>
            <w:hideMark/>
          </w:tcPr>
          <w:p w14:paraId="288527AD"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financial liabilities</w:t>
            </w:r>
          </w:p>
        </w:tc>
        <w:tc>
          <w:tcPr>
            <w:tcW w:w="1246" w:type="dxa"/>
            <w:tcBorders>
              <w:top w:val="single" w:sz="4" w:space="0" w:color="auto"/>
              <w:left w:val="nil"/>
              <w:bottom w:val="single" w:sz="4" w:space="0" w:color="auto"/>
              <w:right w:val="nil"/>
            </w:tcBorders>
            <w:shd w:val="clear" w:color="FFFFFF" w:fill="FFFFFF"/>
            <w:noWrap/>
            <w:vAlign w:val="bottom"/>
            <w:hideMark/>
          </w:tcPr>
          <w:p w14:paraId="174FDEBC"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288,966</w:t>
            </w:r>
          </w:p>
        </w:tc>
        <w:tc>
          <w:tcPr>
            <w:tcW w:w="236" w:type="dxa"/>
            <w:tcBorders>
              <w:top w:val="nil"/>
              <w:left w:val="nil"/>
              <w:bottom w:val="nil"/>
              <w:right w:val="nil"/>
            </w:tcBorders>
            <w:shd w:val="clear" w:color="FFFFFF" w:fill="FFFFFF"/>
            <w:noWrap/>
            <w:vAlign w:val="bottom"/>
            <w:hideMark/>
          </w:tcPr>
          <w:p w14:paraId="6E207F5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6FC199B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140,542</w:t>
            </w:r>
          </w:p>
        </w:tc>
      </w:tr>
    </w:tbl>
    <w:p w14:paraId="53E1971A" w14:textId="77777777" w:rsidR="00361BA1" w:rsidRPr="00361BA1" w:rsidRDefault="00361BA1" w:rsidP="00361BA1">
      <w:pPr>
        <w:spacing w:before="0" w:after="0" w:line="260" w:lineRule="atLeast"/>
        <w:ind w:left="0"/>
        <w:rPr>
          <w:rFonts w:ascii="Times New Roman" w:eastAsia="Times New Roman" w:hAnsi="Times New Roman" w:cs="Times New Roman"/>
          <w:szCs w:val="20"/>
          <w:highlight w:val="yellow"/>
          <w:lang w:eastAsia="en-US"/>
        </w:rPr>
      </w:pPr>
    </w:p>
    <w:tbl>
      <w:tblPr>
        <w:tblW w:w="9087" w:type="dxa"/>
        <w:tblLayout w:type="fixed"/>
        <w:tblLook w:val="04A0" w:firstRow="1" w:lastRow="0" w:firstColumn="1" w:lastColumn="0" w:noHBand="0" w:noVBand="1"/>
      </w:tblPr>
      <w:tblGrid>
        <w:gridCol w:w="6367"/>
        <w:gridCol w:w="1246"/>
        <w:gridCol w:w="236"/>
        <w:gridCol w:w="1238"/>
      </w:tblGrid>
      <w:tr w:rsidR="00361BA1" w:rsidRPr="00361BA1" w14:paraId="3D05F49D" w14:textId="77777777" w:rsidTr="00361BA1">
        <w:trPr>
          <w:trHeight w:val="255"/>
        </w:trPr>
        <w:tc>
          <w:tcPr>
            <w:tcW w:w="6367" w:type="dxa"/>
            <w:tcBorders>
              <w:top w:val="nil"/>
              <w:left w:val="nil"/>
              <w:bottom w:val="nil"/>
              <w:right w:val="nil"/>
            </w:tcBorders>
            <w:shd w:val="clear" w:color="FFFFFF" w:fill="FFFFFF"/>
            <w:noWrap/>
            <w:vAlign w:val="bottom"/>
            <w:hideMark/>
          </w:tcPr>
          <w:p w14:paraId="106EB590" w14:textId="77777777" w:rsidR="00361BA1" w:rsidRPr="00361BA1" w:rsidRDefault="00361BA1" w:rsidP="00361BA1">
            <w:pPr>
              <w:spacing w:before="0" w:after="0" w:line="260" w:lineRule="atLeast"/>
              <w:ind w:left="0"/>
              <w:rPr>
                <w:rFonts w:eastAsia="Times New Roman"/>
                <w:b/>
                <w:bCs/>
                <w:sz w:val="18"/>
                <w:szCs w:val="18"/>
                <w:u w:val="single"/>
                <w:lang w:eastAsia="en-US"/>
              </w:rPr>
            </w:pPr>
            <w:bookmarkStart w:id="124" w:name="Note_FIBTABLE1" w:colFirst="0" w:colLast="0"/>
            <w:r w:rsidRPr="00361BA1">
              <w:rPr>
                <w:rFonts w:eastAsia="Times New Roman"/>
                <w:b/>
                <w:bCs/>
                <w:sz w:val="18"/>
                <w:szCs w:val="18"/>
                <w:u w:val="single"/>
                <w:lang w:eastAsia="en-US"/>
              </w:rPr>
              <w:t>Note 4.2B: Net gains or losses on financial assets</w:t>
            </w:r>
          </w:p>
        </w:tc>
        <w:tc>
          <w:tcPr>
            <w:tcW w:w="1246" w:type="dxa"/>
            <w:tcBorders>
              <w:top w:val="nil"/>
              <w:left w:val="nil"/>
              <w:bottom w:val="nil"/>
              <w:right w:val="nil"/>
            </w:tcBorders>
            <w:shd w:val="clear" w:color="FFFFFF" w:fill="FFFFFF"/>
            <w:noWrap/>
            <w:vAlign w:val="bottom"/>
            <w:hideMark/>
          </w:tcPr>
          <w:p w14:paraId="0238051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A29256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578C50D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bookmarkEnd w:id="124"/>
      <w:tr w:rsidR="00361BA1" w:rsidRPr="00361BA1" w14:paraId="47C6FBA6" w14:textId="77777777" w:rsidTr="00361BA1">
        <w:trPr>
          <w:trHeight w:val="255"/>
        </w:trPr>
        <w:tc>
          <w:tcPr>
            <w:tcW w:w="6367" w:type="dxa"/>
            <w:tcBorders>
              <w:top w:val="nil"/>
              <w:left w:val="nil"/>
              <w:bottom w:val="nil"/>
              <w:right w:val="nil"/>
            </w:tcBorders>
            <w:shd w:val="clear" w:color="FFFFFF" w:fill="FFFFFF"/>
            <w:vAlign w:val="bottom"/>
            <w:hideMark/>
          </w:tcPr>
          <w:p w14:paraId="288600D4"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Financial assets at amortised cost</w:t>
            </w:r>
          </w:p>
        </w:tc>
        <w:tc>
          <w:tcPr>
            <w:tcW w:w="1246" w:type="dxa"/>
            <w:tcBorders>
              <w:top w:val="nil"/>
              <w:left w:val="nil"/>
              <w:bottom w:val="nil"/>
              <w:right w:val="nil"/>
            </w:tcBorders>
            <w:shd w:val="clear" w:color="FFFFFF" w:fill="FFFFFF"/>
            <w:noWrap/>
            <w:vAlign w:val="bottom"/>
            <w:hideMark/>
          </w:tcPr>
          <w:p w14:paraId="37DA9E08"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8ED6AA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721690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7B69462" w14:textId="77777777" w:rsidTr="00361BA1">
        <w:trPr>
          <w:trHeight w:val="255"/>
        </w:trPr>
        <w:tc>
          <w:tcPr>
            <w:tcW w:w="6367" w:type="dxa"/>
            <w:tcBorders>
              <w:top w:val="nil"/>
              <w:left w:val="nil"/>
              <w:bottom w:val="nil"/>
              <w:right w:val="nil"/>
            </w:tcBorders>
            <w:shd w:val="clear" w:color="FFFFFF" w:fill="FFFFFF"/>
            <w:vAlign w:val="bottom"/>
            <w:hideMark/>
          </w:tcPr>
          <w:p w14:paraId="37B0DB6F"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Interest revenue</w:t>
            </w:r>
          </w:p>
        </w:tc>
        <w:tc>
          <w:tcPr>
            <w:tcW w:w="1246" w:type="dxa"/>
            <w:tcBorders>
              <w:top w:val="nil"/>
              <w:left w:val="nil"/>
              <w:bottom w:val="nil"/>
              <w:right w:val="nil"/>
            </w:tcBorders>
            <w:shd w:val="clear" w:color="FFFFFF" w:fill="FFFFFF"/>
            <w:noWrap/>
            <w:vAlign w:val="bottom"/>
            <w:hideMark/>
          </w:tcPr>
          <w:p w14:paraId="16DEF9C8"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49,721</w:t>
            </w:r>
          </w:p>
        </w:tc>
        <w:tc>
          <w:tcPr>
            <w:tcW w:w="236" w:type="dxa"/>
            <w:tcBorders>
              <w:top w:val="nil"/>
              <w:left w:val="nil"/>
              <w:bottom w:val="nil"/>
              <w:right w:val="nil"/>
            </w:tcBorders>
            <w:shd w:val="clear" w:color="FFFFFF" w:fill="FFFFFF"/>
            <w:noWrap/>
            <w:vAlign w:val="bottom"/>
            <w:hideMark/>
          </w:tcPr>
          <w:p w14:paraId="032139F0"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2CB85C38"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58,682</w:t>
            </w:r>
          </w:p>
        </w:tc>
      </w:tr>
      <w:tr w:rsidR="00361BA1" w:rsidRPr="00361BA1" w14:paraId="465188C9" w14:textId="77777777" w:rsidTr="00361BA1">
        <w:trPr>
          <w:trHeight w:val="255"/>
        </w:trPr>
        <w:tc>
          <w:tcPr>
            <w:tcW w:w="6367" w:type="dxa"/>
            <w:tcBorders>
              <w:top w:val="nil"/>
              <w:left w:val="nil"/>
              <w:bottom w:val="nil"/>
              <w:right w:val="nil"/>
            </w:tcBorders>
            <w:shd w:val="clear" w:color="FFFFFF" w:fill="FFFFFF"/>
            <w:vAlign w:val="bottom"/>
            <w:hideMark/>
          </w:tcPr>
          <w:p w14:paraId="72673B61"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Impairment</w:t>
            </w:r>
          </w:p>
        </w:tc>
        <w:tc>
          <w:tcPr>
            <w:tcW w:w="1246" w:type="dxa"/>
            <w:tcBorders>
              <w:top w:val="nil"/>
              <w:left w:val="nil"/>
              <w:bottom w:val="nil"/>
              <w:right w:val="nil"/>
            </w:tcBorders>
            <w:shd w:val="clear" w:color="FFFFFF" w:fill="FFFFFF"/>
            <w:noWrap/>
            <w:vAlign w:val="bottom"/>
            <w:hideMark/>
          </w:tcPr>
          <w:p w14:paraId="7D5DF8E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w:t>
            </w:r>
          </w:p>
        </w:tc>
        <w:tc>
          <w:tcPr>
            <w:tcW w:w="236" w:type="dxa"/>
            <w:tcBorders>
              <w:top w:val="nil"/>
              <w:left w:val="nil"/>
              <w:bottom w:val="nil"/>
              <w:right w:val="nil"/>
            </w:tcBorders>
            <w:shd w:val="clear" w:color="FFFFFF" w:fill="FFFFFF"/>
            <w:noWrap/>
            <w:vAlign w:val="bottom"/>
            <w:hideMark/>
          </w:tcPr>
          <w:p w14:paraId="1922180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nil"/>
              <w:right w:val="nil"/>
            </w:tcBorders>
            <w:shd w:val="clear" w:color="FFFFFF" w:fill="FFFFFF"/>
            <w:noWrap/>
            <w:vAlign w:val="bottom"/>
            <w:hideMark/>
          </w:tcPr>
          <w:p w14:paraId="4C0065E3"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(13)</w:t>
            </w:r>
          </w:p>
        </w:tc>
      </w:tr>
      <w:tr w:rsidR="00361BA1" w:rsidRPr="00361BA1" w14:paraId="765E2B5A" w14:textId="77777777" w:rsidTr="00361BA1">
        <w:trPr>
          <w:trHeight w:val="255"/>
        </w:trPr>
        <w:tc>
          <w:tcPr>
            <w:tcW w:w="6367" w:type="dxa"/>
            <w:tcBorders>
              <w:top w:val="nil"/>
              <w:left w:val="nil"/>
              <w:bottom w:val="nil"/>
              <w:right w:val="nil"/>
            </w:tcBorders>
            <w:shd w:val="clear" w:color="FFFFFF" w:fill="FFFFFF"/>
            <w:vAlign w:val="bottom"/>
            <w:hideMark/>
          </w:tcPr>
          <w:p w14:paraId="40F96042"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gains/(losses) on financial assets at amortised cost</w:t>
            </w:r>
          </w:p>
        </w:tc>
        <w:tc>
          <w:tcPr>
            <w:tcW w:w="1246" w:type="dxa"/>
            <w:tcBorders>
              <w:top w:val="single" w:sz="4" w:space="0" w:color="auto"/>
              <w:left w:val="nil"/>
              <w:bottom w:val="single" w:sz="4" w:space="0" w:color="auto"/>
              <w:right w:val="nil"/>
            </w:tcBorders>
            <w:shd w:val="clear" w:color="FFFFFF" w:fill="FFFFFF"/>
            <w:noWrap/>
            <w:vAlign w:val="bottom"/>
            <w:hideMark/>
          </w:tcPr>
          <w:p w14:paraId="39EEAAA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49,721</w:t>
            </w:r>
          </w:p>
        </w:tc>
        <w:tc>
          <w:tcPr>
            <w:tcW w:w="236" w:type="dxa"/>
            <w:tcBorders>
              <w:top w:val="nil"/>
              <w:left w:val="nil"/>
              <w:bottom w:val="nil"/>
              <w:right w:val="nil"/>
            </w:tcBorders>
            <w:shd w:val="clear" w:color="FFFFFF" w:fill="FFFFFF"/>
            <w:noWrap/>
            <w:vAlign w:val="bottom"/>
            <w:hideMark/>
          </w:tcPr>
          <w:p w14:paraId="1414B67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single" w:sz="4" w:space="0" w:color="auto"/>
              <w:left w:val="nil"/>
              <w:bottom w:val="single" w:sz="4" w:space="0" w:color="auto"/>
              <w:right w:val="nil"/>
            </w:tcBorders>
            <w:shd w:val="clear" w:color="FFFFFF" w:fill="FFFFFF"/>
            <w:noWrap/>
            <w:vAlign w:val="bottom"/>
            <w:hideMark/>
          </w:tcPr>
          <w:p w14:paraId="79A97E46"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58,669</w:t>
            </w:r>
          </w:p>
        </w:tc>
      </w:tr>
      <w:tr w:rsidR="00361BA1" w:rsidRPr="00361BA1" w14:paraId="2EEDC39C" w14:textId="77777777" w:rsidTr="00361BA1">
        <w:trPr>
          <w:trHeight w:val="255"/>
        </w:trPr>
        <w:tc>
          <w:tcPr>
            <w:tcW w:w="6367" w:type="dxa"/>
            <w:tcBorders>
              <w:top w:val="nil"/>
              <w:left w:val="nil"/>
              <w:bottom w:val="nil"/>
              <w:right w:val="nil"/>
            </w:tcBorders>
            <w:shd w:val="clear" w:color="FFFFFF" w:fill="FFFFFF"/>
            <w:vAlign w:val="bottom"/>
            <w:hideMark/>
          </w:tcPr>
          <w:p w14:paraId="15B21981"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Net gains/(losses) on financial assets</w:t>
            </w:r>
          </w:p>
        </w:tc>
        <w:tc>
          <w:tcPr>
            <w:tcW w:w="1246" w:type="dxa"/>
            <w:tcBorders>
              <w:top w:val="nil"/>
              <w:left w:val="nil"/>
              <w:bottom w:val="single" w:sz="4" w:space="0" w:color="auto"/>
              <w:right w:val="nil"/>
            </w:tcBorders>
            <w:shd w:val="clear" w:color="FFFFFF" w:fill="FFFFFF"/>
            <w:noWrap/>
            <w:vAlign w:val="bottom"/>
            <w:hideMark/>
          </w:tcPr>
          <w:p w14:paraId="6C891C7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49,721</w:t>
            </w:r>
          </w:p>
        </w:tc>
        <w:tc>
          <w:tcPr>
            <w:tcW w:w="236" w:type="dxa"/>
            <w:tcBorders>
              <w:top w:val="nil"/>
              <w:left w:val="nil"/>
              <w:bottom w:val="nil"/>
              <w:right w:val="nil"/>
            </w:tcBorders>
            <w:shd w:val="clear" w:color="FFFFFF" w:fill="FFFFFF"/>
            <w:noWrap/>
            <w:vAlign w:val="bottom"/>
            <w:hideMark/>
          </w:tcPr>
          <w:p w14:paraId="6314E5D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238" w:type="dxa"/>
            <w:tcBorders>
              <w:top w:val="nil"/>
              <w:left w:val="nil"/>
              <w:bottom w:val="single" w:sz="4" w:space="0" w:color="auto"/>
              <w:right w:val="nil"/>
            </w:tcBorders>
            <w:shd w:val="clear" w:color="FFFFFF" w:fill="FFFFFF"/>
            <w:noWrap/>
            <w:vAlign w:val="bottom"/>
            <w:hideMark/>
          </w:tcPr>
          <w:p w14:paraId="33C1DAA5"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58,669</w:t>
            </w:r>
          </w:p>
        </w:tc>
      </w:tr>
      <w:bookmarkEnd w:id="115"/>
    </w:tbl>
    <w:p w14:paraId="7275FF13" w14:textId="77777777" w:rsidR="00361BA1" w:rsidRPr="00361BA1" w:rsidRDefault="00361BA1" w:rsidP="00361BA1">
      <w:pPr>
        <w:spacing w:before="0" w:after="0"/>
        <w:ind w:left="0"/>
        <w:rPr>
          <w:rFonts w:eastAsia="Times New Roman"/>
          <w:b/>
          <w:bCs/>
          <w:sz w:val="18"/>
          <w:szCs w:val="18"/>
          <w:lang w:eastAsia="en-US"/>
        </w:rPr>
      </w:pPr>
    </w:p>
    <w:p w14:paraId="33C78014"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361BA1">
        <w:rPr>
          <w:rFonts w:eastAsia="Times New Roman"/>
          <w:b/>
          <w:bCs/>
          <w:sz w:val="18"/>
          <w:szCs w:val="18"/>
          <w:lang w:eastAsia="en-US"/>
        </w:rPr>
        <w:t>Accounting Policy</w:t>
      </w:r>
    </w:p>
    <w:p w14:paraId="078942A1"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All of the Agency’s financial assets have been classified as financial assets measured at amortised costs. Financial assets at amortised costs must be:</w:t>
      </w:r>
    </w:p>
    <w:p w14:paraId="37CDD947"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1. held in order to collect the contractual cash flows; and</w:t>
      </w:r>
    </w:p>
    <w:p w14:paraId="6F155ADF"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361BA1">
        <w:rPr>
          <w:rFonts w:eastAsia="Times New Roman"/>
          <w:bCs/>
          <w:sz w:val="18"/>
          <w:szCs w:val="18"/>
          <w:lang w:eastAsia="en-AU"/>
        </w:rPr>
        <w:t>2. their cash flows must be solely payments of principal and interest (SPPI) on the principal outstanding amount.</w:t>
      </w:r>
    </w:p>
    <w:p w14:paraId="214C144D" w14:textId="77777777" w:rsidR="00361BA1" w:rsidRPr="00361BA1" w:rsidRDefault="00361BA1" w:rsidP="00361BA1">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sectPr w:rsidR="00361BA1" w:rsidRPr="00361BA1" w:rsidSect="00361BA1">
          <w:headerReference w:type="even" r:id="rId53"/>
          <w:headerReference w:type="default" r:id="rId54"/>
          <w:headerReference w:type="first" r:id="rId55"/>
          <w:pgSz w:w="11906" w:h="16838" w:code="9"/>
          <w:pgMar w:top="1134" w:right="1701" w:bottom="851" w:left="1134" w:header="958" w:footer="737" w:gutter="0"/>
          <w:cols w:space="708"/>
          <w:docGrid w:linePitch="360"/>
        </w:sectPr>
      </w:pPr>
      <w:r w:rsidRPr="00361BA1">
        <w:rPr>
          <w:rFonts w:eastAsia="Times New Roman"/>
          <w:bCs/>
          <w:sz w:val="18"/>
          <w:szCs w:val="18"/>
          <w:lang w:eastAsia="en-AU"/>
        </w:rPr>
        <w:t xml:space="preserve">The accounting policy for financial assets is contained in Note 2.1B Trade and other receivables. </w:t>
      </w:r>
    </w:p>
    <w:p w14:paraId="0C27B0C3" w14:textId="77777777" w:rsidR="00361BA1" w:rsidRDefault="00361BA1">
      <w:pPr>
        <w:spacing w:before="0" w:after="160" w:line="259" w:lineRule="auto"/>
        <w:ind w:left="0"/>
        <w:rPr>
          <w:rFonts w:ascii="Arial Bold" w:eastAsia="Times New Roman" w:hAnsi="Arial Bold" w:cs="Times New Roman"/>
          <w:b/>
          <w:color w:val="FFFFFF"/>
          <w:sz w:val="24"/>
          <w:szCs w:val="20"/>
          <w:lang w:eastAsia="en-US"/>
        </w:rPr>
      </w:pPr>
      <w:bookmarkStart w:id="125" w:name="_Toc41479176"/>
      <w:r>
        <w:rPr>
          <w:rFonts w:ascii="Arial Bold" w:eastAsia="Times New Roman" w:hAnsi="Arial Bold" w:cs="Times New Roman"/>
          <w:b/>
          <w:color w:val="FFFFFF"/>
          <w:sz w:val="24"/>
          <w:szCs w:val="20"/>
          <w:lang w:eastAsia="en-US"/>
        </w:rPr>
        <w:br w:type="page"/>
      </w:r>
    </w:p>
    <w:p w14:paraId="7EB3880A" w14:textId="68370510" w:rsidR="00361BA1" w:rsidRPr="00361BA1" w:rsidRDefault="00361BA1" w:rsidP="00361BA1">
      <w:pPr>
        <w:numPr>
          <w:ilvl w:val="0"/>
          <w:numId w:val="52"/>
        </w:numPr>
        <w:shd w:val="clear" w:color="00CC99" w:fill="800080"/>
        <w:spacing w:before="0" w:after="0" w:line="260" w:lineRule="atLeast"/>
        <w:outlineLvl w:val="0"/>
        <w:rPr>
          <w:rFonts w:ascii="Arial Bold" w:eastAsia="Times New Roman" w:hAnsi="Arial Bold" w:cs="Times New Roman"/>
          <w:b/>
          <w:color w:val="FFFFFF"/>
          <w:sz w:val="24"/>
          <w:szCs w:val="20"/>
          <w:lang w:eastAsia="en-US"/>
        </w:rPr>
      </w:pPr>
      <w:r w:rsidRPr="00361BA1">
        <w:rPr>
          <w:rFonts w:ascii="Arial Bold" w:eastAsia="Times New Roman" w:hAnsi="Arial Bold" w:cs="Times New Roman"/>
          <w:b/>
          <w:color w:val="FFFFFF"/>
          <w:sz w:val="24"/>
          <w:szCs w:val="20"/>
          <w:lang w:eastAsia="en-US"/>
        </w:rPr>
        <w:lastRenderedPageBreak/>
        <w:t>Other Information</w:t>
      </w:r>
      <w:bookmarkEnd w:id="125"/>
    </w:p>
    <w:p w14:paraId="4876DF11" w14:textId="00CEF424" w:rsidR="00361BA1" w:rsidRPr="00361BA1" w:rsidRDefault="00361BA1" w:rsidP="00084A73">
      <w:pPr>
        <w:pStyle w:val="SubHeading"/>
      </w:pPr>
      <w:bookmarkStart w:id="126" w:name="_Toc41479177"/>
      <w:r w:rsidRPr="00361BA1">
        <w:t>Aggregate Assets and Liabilities</w:t>
      </w:r>
      <w:bookmarkEnd w:id="126"/>
    </w:p>
    <w:p w14:paraId="13587DB3" w14:textId="77777777" w:rsidR="00361BA1" w:rsidRPr="00361BA1" w:rsidRDefault="00361BA1" w:rsidP="00361BA1">
      <w:pPr>
        <w:spacing w:before="0" w:after="0"/>
        <w:ind w:left="0" w:right="607"/>
        <w:rPr>
          <w:rFonts w:eastAsia="Times New Roman" w:cs="Times New Roman"/>
          <w:b/>
          <w:sz w:val="20"/>
          <w:szCs w:val="20"/>
          <w:lang w:eastAsia="en-US"/>
        </w:rPr>
      </w:pPr>
    </w:p>
    <w:tbl>
      <w:tblPr>
        <w:tblW w:w="10065" w:type="dxa"/>
        <w:tblLayout w:type="fixed"/>
        <w:tblLook w:val="04A0" w:firstRow="1" w:lastRow="0" w:firstColumn="1" w:lastColumn="0" w:noHBand="0" w:noVBand="1"/>
      </w:tblPr>
      <w:tblGrid>
        <w:gridCol w:w="6742"/>
        <w:gridCol w:w="1058"/>
        <w:gridCol w:w="236"/>
        <w:gridCol w:w="2029"/>
      </w:tblGrid>
      <w:tr w:rsidR="00361BA1" w:rsidRPr="00361BA1" w14:paraId="264C3FE3" w14:textId="77777777" w:rsidTr="0024339B">
        <w:trPr>
          <w:trHeight w:val="240"/>
        </w:trPr>
        <w:tc>
          <w:tcPr>
            <w:tcW w:w="6742" w:type="dxa"/>
            <w:tcBorders>
              <w:top w:val="nil"/>
              <w:left w:val="nil"/>
              <w:bottom w:val="nil"/>
              <w:right w:val="nil"/>
            </w:tcBorders>
            <w:shd w:val="clear" w:color="FFFFFF" w:fill="FFFFFF"/>
            <w:noWrap/>
            <w:vAlign w:val="bottom"/>
            <w:hideMark/>
          </w:tcPr>
          <w:p w14:paraId="44DAEC6E" w14:textId="77777777" w:rsidR="00361BA1" w:rsidRPr="00361BA1" w:rsidRDefault="00361BA1" w:rsidP="00361BA1">
            <w:pPr>
              <w:spacing w:before="0" w:after="0" w:line="260" w:lineRule="atLeast"/>
              <w:ind w:left="0"/>
              <w:rPr>
                <w:rFonts w:eastAsia="Times New Roman"/>
                <w:sz w:val="18"/>
                <w:szCs w:val="18"/>
                <w:lang w:eastAsia="en-US"/>
              </w:rPr>
            </w:pPr>
            <w:bookmarkStart w:id="127" w:name="Note_AALTABLE1" w:colFirst="0" w:colLast="0"/>
            <w:r w:rsidRPr="00361BA1">
              <w:rPr>
                <w:rFonts w:eastAsia="Times New Roman"/>
                <w:sz w:val="18"/>
                <w:szCs w:val="18"/>
                <w:lang w:eastAsia="en-US"/>
              </w:rPr>
              <w:t> </w:t>
            </w:r>
          </w:p>
        </w:tc>
        <w:tc>
          <w:tcPr>
            <w:tcW w:w="1058" w:type="dxa"/>
            <w:tcBorders>
              <w:top w:val="nil"/>
              <w:left w:val="nil"/>
              <w:bottom w:val="nil"/>
              <w:right w:val="nil"/>
            </w:tcBorders>
            <w:shd w:val="clear" w:color="FFFFFF" w:fill="FFFFFF"/>
            <w:noWrap/>
            <w:vAlign w:val="bottom"/>
            <w:hideMark/>
          </w:tcPr>
          <w:p w14:paraId="1DAD1ED7"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2020</w:t>
            </w:r>
          </w:p>
        </w:tc>
        <w:tc>
          <w:tcPr>
            <w:tcW w:w="236" w:type="dxa"/>
            <w:tcBorders>
              <w:top w:val="nil"/>
              <w:left w:val="nil"/>
              <w:bottom w:val="nil"/>
              <w:right w:val="nil"/>
            </w:tcBorders>
            <w:shd w:val="clear" w:color="FFFFFF" w:fill="FFFFFF"/>
            <w:noWrap/>
            <w:vAlign w:val="bottom"/>
            <w:hideMark/>
          </w:tcPr>
          <w:p w14:paraId="1584E0A5"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25AAD8CF"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2019</w:t>
            </w:r>
          </w:p>
        </w:tc>
      </w:tr>
      <w:bookmarkEnd w:id="127"/>
      <w:tr w:rsidR="00361BA1" w:rsidRPr="00361BA1" w14:paraId="31511F53" w14:textId="77777777" w:rsidTr="0024339B">
        <w:trPr>
          <w:trHeight w:val="240"/>
        </w:trPr>
        <w:tc>
          <w:tcPr>
            <w:tcW w:w="6742" w:type="dxa"/>
            <w:tcBorders>
              <w:top w:val="nil"/>
              <w:left w:val="nil"/>
              <w:bottom w:val="nil"/>
              <w:right w:val="nil"/>
            </w:tcBorders>
            <w:shd w:val="clear" w:color="FFFFFF" w:fill="FFFFFF"/>
            <w:noWrap/>
            <w:vAlign w:val="bottom"/>
            <w:hideMark/>
          </w:tcPr>
          <w:p w14:paraId="563BB44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58" w:type="dxa"/>
            <w:tcBorders>
              <w:top w:val="nil"/>
              <w:left w:val="nil"/>
              <w:bottom w:val="nil"/>
              <w:right w:val="nil"/>
            </w:tcBorders>
            <w:shd w:val="clear" w:color="FFFFFF" w:fill="FFFFFF"/>
            <w:noWrap/>
            <w:vAlign w:val="bottom"/>
            <w:hideMark/>
          </w:tcPr>
          <w:p w14:paraId="4B7F758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73CBF02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71C86ED7"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$'000</w:t>
            </w:r>
          </w:p>
        </w:tc>
      </w:tr>
      <w:tr w:rsidR="00361BA1" w:rsidRPr="00361BA1" w14:paraId="22F74A2B" w14:textId="77777777" w:rsidTr="0024339B">
        <w:trPr>
          <w:trHeight w:val="240"/>
        </w:trPr>
        <w:tc>
          <w:tcPr>
            <w:tcW w:w="6742" w:type="dxa"/>
            <w:tcBorders>
              <w:top w:val="nil"/>
              <w:left w:val="nil"/>
              <w:bottom w:val="nil"/>
              <w:right w:val="nil"/>
            </w:tcBorders>
            <w:shd w:val="clear" w:color="FFFFFF" w:fill="FFFFFF"/>
            <w:noWrap/>
            <w:vAlign w:val="bottom"/>
            <w:hideMark/>
          </w:tcPr>
          <w:p w14:paraId="102B7850" w14:textId="77777777" w:rsidR="00361BA1" w:rsidRPr="00361BA1" w:rsidRDefault="00361BA1" w:rsidP="00361BA1">
            <w:pPr>
              <w:spacing w:before="0" w:after="0" w:line="260" w:lineRule="atLeast"/>
              <w:ind w:left="0"/>
              <w:rPr>
                <w:rFonts w:eastAsia="Times New Roman"/>
                <w:b/>
                <w:bCs/>
                <w:sz w:val="18"/>
                <w:szCs w:val="18"/>
                <w:u w:val="single"/>
                <w:lang w:eastAsia="en-US"/>
              </w:rPr>
            </w:pPr>
            <w:r w:rsidRPr="00361BA1">
              <w:rPr>
                <w:rFonts w:eastAsia="Times New Roman"/>
                <w:b/>
                <w:bCs/>
                <w:sz w:val="18"/>
                <w:szCs w:val="18"/>
                <w:u w:val="single"/>
                <w:lang w:eastAsia="en-US"/>
              </w:rPr>
              <w:t>Note 5.1: Aggregate Assets and Liabilities</w:t>
            </w:r>
          </w:p>
        </w:tc>
        <w:tc>
          <w:tcPr>
            <w:tcW w:w="1058" w:type="dxa"/>
            <w:tcBorders>
              <w:top w:val="nil"/>
              <w:left w:val="nil"/>
              <w:bottom w:val="nil"/>
              <w:right w:val="nil"/>
            </w:tcBorders>
            <w:shd w:val="clear" w:color="FFFFFF" w:fill="FFFFFF"/>
            <w:noWrap/>
            <w:vAlign w:val="bottom"/>
            <w:hideMark/>
          </w:tcPr>
          <w:p w14:paraId="6EB361A3"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2B59C7A"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3C40F4AC"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65058C8B" w14:textId="77777777" w:rsidTr="0024339B">
        <w:trPr>
          <w:trHeight w:val="240"/>
        </w:trPr>
        <w:tc>
          <w:tcPr>
            <w:tcW w:w="6742" w:type="dxa"/>
            <w:tcBorders>
              <w:top w:val="nil"/>
              <w:left w:val="nil"/>
              <w:bottom w:val="nil"/>
              <w:right w:val="nil"/>
            </w:tcBorders>
            <w:shd w:val="clear" w:color="FFFFFF" w:fill="FFFFFF"/>
            <w:vAlign w:val="bottom"/>
            <w:hideMark/>
          </w:tcPr>
          <w:p w14:paraId="03E52BB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1058" w:type="dxa"/>
            <w:tcBorders>
              <w:top w:val="nil"/>
              <w:left w:val="nil"/>
              <w:bottom w:val="nil"/>
              <w:right w:val="nil"/>
            </w:tcBorders>
            <w:shd w:val="clear" w:color="FFFFFF" w:fill="FFFFFF"/>
            <w:noWrap/>
            <w:vAlign w:val="bottom"/>
            <w:hideMark/>
          </w:tcPr>
          <w:p w14:paraId="09CBBC8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80BD90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29921A3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1D6385C" w14:textId="77777777" w:rsidTr="0024339B">
        <w:trPr>
          <w:trHeight w:val="240"/>
        </w:trPr>
        <w:tc>
          <w:tcPr>
            <w:tcW w:w="6742" w:type="dxa"/>
            <w:tcBorders>
              <w:top w:val="nil"/>
              <w:left w:val="nil"/>
              <w:bottom w:val="nil"/>
              <w:right w:val="nil"/>
            </w:tcBorders>
            <w:shd w:val="clear" w:color="FFFFFF" w:fill="FFFFFF"/>
            <w:vAlign w:val="bottom"/>
            <w:hideMark/>
          </w:tcPr>
          <w:p w14:paraId="20EDB067"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Assets expected to be recovered in:</w:t>
            </w:r>
          </w:p>
        </w:tc>
        <w:tc>
          <w:tcPr>
            <w:tcW w:w="1058" w:type="dxa"/>
            <w:tcBorders>
              <w:top w:val="nil"/>
              <w:left w:val="nil"/>
              <w:bottom w:val="nil"/>
              <w:right w:val="nil"/>
            </w:tcBorders>
            <w:shd w:val="clear" w:color="FFFFFF" w:fill="FFFFFF"/>
            <w:noWrap/>
            <w:vAlign w:val="bottom"/>
            <w:hideMark/>
          </w:tcPr>
          <w:p w14:paraId="5995153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75BC8D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2735464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C99B22D" w14:textId="77777777" w:rsidTr="0024339B">
        <w:trPr>
          <w:trHeight w:val="240"/>
        </w:trPr>
        <w:tc>
          <w:tcPr>
            <w:tcW w:w="6742" w:type="dxa"/>
            <w:tcBorders>
              <w:top w:val="nil"/>
              <w:left w:val="nil"/>
              <w:bottom w:val="nil"/>
              <w:right w:val="nil"/>
            </w:tcBorders>
            <w:shd w:val="clear" w:color="FFFFFF" w:fill="FFFFFF"/>
            <w:noWrap/>
            <w:vAlign w:val="bottom"/>
            <w:hideMark/>
          </w:tcPr>
          <w:p w14:paraId="523CF318"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No more than 12 months</w:t>
            </w:r>
          </w:p>
        </w:tc>
        <w:tc>
          <w:tcPr>
            <w:tcW w:w="1058" w:type="dxa"/>
            <w:tcBorders>
              <w:top w:val="nil"/>
              <w:left w:val="nil"/>
              <w:bottom w:val="nil"/>
              <w:right w:val="nil"/>
            </w:tcBorders>
            <w:shd w:val="clear" w:color="FFFFFF" w:fill="FFFFFF"/>
            <w:noWrap/>
            <w:vAlign w:val="bottom"/>
            <w:hideMark/>
          </w:tcPr>
          <w:p w14:paraId="0746B91D"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3,658,414</w:t>
            </w:r>
          </w:p>
        </w:tc>
        <w:tc>
          <w:tcPr>
            <w:tcW w:w="236" w:type="dxa"/>
            <w:tcBorders>
              <w:top w:val="nil"/>
              <w:left w:val="nil"/>
              <w:bottom w:val="nil"/>
              <w:right w:val="nil"/>
            </w:tcBorders>
            <w:shd w:val="clear" w:color="FFFFFF" w:fill="FFFFFF"/>
            <w:noWrap/>
            <w:vAlign w:val="bottom"/>
            <w:hideMark/>
          </w:tcPr>
          <w:p w14:paraId="3F383566"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6A6555CE"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4,458,580</w:t>
            </w:r>
          </w:p>
        </w:tc>
      </w:tr>
      <w:tr w:rsidR="00361BA1" w:rsidRPr="00361BA1" w14:paraId="6F9FBC91" w14:textId="77777777" w:rsidTr="0024339B">
        <w:trPr>
          <w:trHeight w:val="240"/>
        </w:trPr>
        <w:tc>
          <w:tcPr>
            <w:tcW w:w="6742" w:type="dxa"/>
            <w:tcBorders>
              <w:top w:val="nil"/>
              <w:left w:val="nil"/>
              <w:bottom w:val="nil"/>
              <w:right w:val="nil"/>
            </w:tcBorders>
            <w:shd w:val="clear" w:color="FFFFFF" w:fill="FFFFFF"/>
            <w:noWrap/>
            <w:vAlign w:val="bottom"/>
            <w:hideMark/>
          </w:tcPr>
          <w:p w14:paraId="3F55493B"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 xml:space="preserve">More than 12 months </w:t>
            </w:r>
          </w:p>
        </w:tc>
        <w:tc>
          <w:tcPr>
            <w:tcW w:w="1058" w:type="dxa"/>
            <w:tcBorders>
              <w:top w:val="nil"/>
              <w:left w:val="nil"/>
              <w:bottom w:val="nil"/>
              <w:right w:val="nil"/>
            </w:tcBorders>
            <w:shd w:val="clear" w:color="FFFFFF" w:fill="FFFFFF"/>
            <w:noWrap/>
            <w:vAlign w:val="bottom"/>
            <w:hideMark/>
          </w:tcPr>
          <w:p w14:paraId="45E730F4"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294,027</w:t>
            </w:r>
          </w:p>
        </w:tc>
        <w:tc>
          <w:tcPr>
            <w:tcW w:w="236" w:type="dxa"/>
            <w:tcBorders>
              <w:top w:val="nil"/>
              <w:left w:val="nil"/>
              <w:bottom w:val="nil"/>
              <w:right w:val="nil"/>
            </w:tcBorders>
            <w:shd w:val="clear" w:color="FFFFFF" w:fill="FFFFFF"/>
            <w:noWrap/>
            <w:vAlign w:val="bottom"/>
            <w:hideMark/>
          </w:tcPr>
          <w:p w14:paraId="514DD64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32227999"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96,520</w:t>
            </w:r>
          </w:p>
        </w:tc>
      </w:tr>
      <w:tr w:rsidR="00361BA1" w:rsidRPr="00361BA1" w14:paraId="10D6FA8C" w14:textId="77777777" w:rsidTr="0024339B">
        <w:trPr>
          <w:trHeight w:val="240"/>
        </w:trPr>
        <w:tc>
          <w:tcPr>
            <w:tcW w:w="6742" w:type="dxa"/>
            <w:tcBorders>
              <w:top w:val="nil"/>
              <w:left w:val="nil"/>
              <w:bottom w:val="nil"/>
              <w:right w:val="nil"/>
            </w:tcBorders>
            <w:shd w:val="clear" w:color="FFFFFF" w:fill="FFFFFF"/>
            <w:vAlign w:val="bottom"/>
            <w:hideMark/>
          </w:tcPr>
          <w:p w14:paraId="5E120CA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assets</w:t>
            </w:r>
          </w:p>
        </w:tc>
        <w:tc>
          <w:tcPr>
            <w:tcW w:w="1058" w:type="dxa"/>
            <w:tcBorders>
              <w:top w:val="single" w:sz="4" w:space="0" w:color="auto"/>
              <w:left w:val="nil"/>
              <w:bottom w:val="single" w:sz="4" w:space="0" w:color="auto"/>
              <w:right w:val="nil"/>
            </w:tcBorders>
            <w:shd w:val="clear" w:color="FFFFFF" w:fill="FFFFFF"/>
            <w:noWrap/>
            <w:vAlign w:val="bottom"/>
            <w:hideMark/>
          </w:tcPr>
          <w:p w14:paraId="757C0D73"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3,952,441</w:t>
            </w:r>
          </w:p>
        </w:tc>
        <w:tc>
          <w:tcPr>
            <w:tcW w:w="236" w:type="dxa"/>
            <w:tcBorders>
              <w:top w:val="nil"/>
              <w:left w:val="nil"/>
              <w:bottom w:val="nil"/>
              <w:right w:val="nil"/>
            </w:tcBorders>
            <w:shd w:val="clear" w:color="FFFFFF" w:fill="FFFFFF"/>
            <w:noWrap/>
            <w:vAlign w:val="bottom"/>
            <w:hideMark/>
          </w:tcPr>
          <w:p w14:paraId="331CEA1E"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single" w:sz="4" w:space="0" w:color="auto"/>
              <w:left w:val="nil"/>
              <w:bottom w:val="single" w:sz="4" w:space="0" w:color="auto"/>
              <w:right w:val="nil"/>
            </w:tcBorders>
            <w:shd w:val="clear" w:color="FFFFFF" w:fill="FFFFFF"/>
            <w:noWrap/>
            <w:vAlign w:val="bottom"/>
            <w:hideMark/>
          </w:tcPr>
          <w:p w14:paraId="774E45C1"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4,555,100</w:t>
            </w:r>
          </w:p>
        </w:tc>
      </w:tr>
      <w:tr w:rsidR="00361BA1" w:rsidRPr="00361BA1" w14:paraId="2AF6D811" w14:textId="77777777" w:rsidTr="0024339B">
        <w:trPr>
          <w:trHeight w:val="240"/>
        </w:trPr>
        <w:tc>
          <w:tcPr>
            <w:tcW w:w="6742" w:type="dxa"/>
            <w:tcBorders>
              <w:top w:val="nil"/>
              <w:left w:val="nil"/>
              <w:bottom w:val="nil"/>
              <w:right w:val="nil"/>
            </w:tcBorders>
            <w:shd w:val="clear" w:color="FFFFFF" w:fill="FFFFFF"/>
            <w:vAlign w:val="bottom"/>
            <w:hideMark/>
          </w:tcPr>
          <w:p w14:paraId="22568309"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 </w:t>
            </w:r>
          </w:p>
        </w:tc>
        <w:tc>
          <w:tcPr>
            <w:tcW w:w="1058" w:type="dxa"/>
            <w:tcBorders>
              <w:top w:val="nil"/>
              <w:left w:val="nil"/>
              <w:bottom w:val="nil"/>
              <w:right w:val="nil"/>
            </w:tcBorders>
            <w:shd w:val="clear" w:color="FFFFFF" w:fill="FFFFFF"/>
            <w:noWrap/>
            <w:vAlign w:val="bottom"/>
            <w:hideMark/>
          </w:tcPr>
          <w:p w14:paraId="6BEDB042"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88FB27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5BBE34A7"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3EBD8FF0" w14:textId="77777777" w:rsidTr="0024339B">
        <w:trPr>
          <w:trHeight w:val="240"/>
        </w:trPr>
        <w:tc>
          <w:tcPr>
            <w:tcW w:w="6742" w:type="dxa"/>
            <w:tcBorders>
              <w:top w:val="nil"/>
              <w:left w:val="nil"/>
              <w:bottom w:val="nil"/>
              <w:right w:val="nil"/>
            </w:tcBorders>
            <w:shd w:val="clear" w:color="FFFFFF" w:fill="FFFFFF"/>
            <w:vAlign w:val="bottom"/>
            <w:hideMark/>
          </w:tcPr>
          <w:p w14:paraId="5ACBBF25"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Liabilities expected to be settled in:</w:t>
            </w:r>
          </w:p>
        </w:tc>
        <w:tc>
          <w:tcPr>
            <w:tcW w:w="1058" w:type="dxa"/>
            <w:tcBorders>
              <w:top w:val="nil"/>
              <w:left w:val="nil"/>
              <w:bottom w:val="nil"/>
              <w:right w:val="nil"/>
            </w:tcBorders>
            <w:shd w:val="clear" w:color="FFFFFF" w:fill="FFFFFF"/>
            <w:noWrap/>
            <w:vAlign w:val="bottom"/>
            <w:hideMark/>
          </w:tcPr>
          <w:p w14:paraId="5570C668"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278670F"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40169E24"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r>
      <w:tr w:rsidR="00361BA1" w:rsidRPr="00361BA1" w14:paraId="4AEB08C2" w14:textId="77777777" w:rsidTr="0024339B">
        <w:trPr>
          <w:trHeight w:val="240"/>
        </w:trPr>
        <w:tc>
          <w:tcPr>
            <w:tcW w:w="6742" w:type="dxa"/>
            <w:tcBorders>
              <w:top w:val="nil"/>
              <w:left w:val="nil"/>
              <w:bottom w:val="nil"/>
              <w:right w:val="nil"/>
            </w:tcBorders>
            <w:shd w:val="clear" w:color="FFFFFF" w:fill="FFFFFF"/>
            <w:noWrap/>
            <w:vAlign w:val="bottom"/>
            <w:hideMark/>
          </w:tcPr>
          <w:p w14:paraId="0947C142"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No more than 12 months</w:t>
            </w:r>
          </w:p>
        </w:tc>
        <w:tc>
          <w:tcPr>
            <w:tcW w:w="1058" w:type="dxa"/>
            <w:tcBorders>
              <w:top w:val="nil"/>
              <w:left w:val="nil"/>
              <w:bottom w:val="nil"/>
              <w:right w:val="nil"/>
            </w:tcBorders>
            <w:shd w:val="clear" w:color="FFFFFF" w:fill="FFFFFF"/>
            <w:noWrap/>
            <w:vAlign w:val="bottom"/>
            <w:hideMark/>
          </w:tcPr>
          <w:p w14:paraId="20CDB701"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2,568,042</w:t>
            </w:r>
          </w:p>
        </w:tc>
        <w:tc>
          <w:tcPr>
            <w:tcW w:w="236" w:type="dxa"/>
            <w:tcBorders>
              <w:top w:val="nil"/>
              <w:left w:val="nil"/>
              <w:bottom w:val="nil"/>
              <w:right w:val="nil"/>
            </w:tcBorders>
            <w:shd w:val="clear" w:color="FFFFFF" w:fill="FFFFFF"/>
            <w:noWrap/>
            <w:vAlign w:val="bottom"/>
            <w:hideMark/>
          </w:tcPr>
          <w:p w14:paraId="0EF2536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0176F03D"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1,974,005</w:t>
            </w:r>
          </w:p>
        </w:tc>
      </w:tr>
      <w:tr w:rsidR="00361BA1" w:rsidRPr="00361BA1" w14:paraId="1CF19588" w14:textId="77777777" w:rsidTr="0024339B">
        <w:trPr>
          <w:trHeight w:val="240"/>
        </w:trPr>
        <w:tc>
          <w:tcPr>
            <w:tcW w:w="6742" w:type="dxa"/>
            <w:tcBorders>
              <w:top w:val="nil"/>
              <w:left w:val="nil"/>
              <w:bottom w:val="nil"/>
              <w:right w:val="nil"/>
            </w:tcBorders>
            <w:shd w:val="clear" w:color="FFFFFF" w:fill="FFFFFF"/>
            <w:noWrap/>
            <w:vAlign w:val="bottom"/>
            <w:hideMark/>
          </w:tcPr>
          <w:p w14:paraId="35BBE7F3" w14:textId="77777777" w:rsidR="00361BA1" w:rsidRPr="00361BA1" w:rsidRDefault="00361BA1" w:rsidP="00361BA1">
            <w:pPr>
              <w:spacing w:before="0" w:after="0" w:line="260" w:lineRule="atLeast"/>
              <w:ind w:left="0" w:firstLineChars="100" w:firstLine="180"/>
              <w:rPr>
                <w:rFonts w:eastAsia="Times New Roman"/>
                <w:sz w:val="18"/>
                <w:szCs w:val="18"/>
                <w:lang w:eastAsia="en-US"/>
              </w:rPr>
            </w:pPr>
            <w:r w:rsidRPr="00361BA1">
              <w:rPr>
                <w:rFonts w:eastAsia="Times New Roman"/>
                <w:sz w:val="18"/>
                <w:szCs w:val="18"/>
                <w:lang w:eastAsia="en-US"/>
              </w:rPr>
              <w:t xml:space="preserve">More than 12 months </w:t>
            </w:r>
          </w:p>
        </w:tc>
        <w:tc>
          <w:tcPr>
            <w:tcW w:w="1058" w:type="dxa"/>
            <w:tcBorders>
              <w:top w:val="nil"/>
              <w:left w:val="nil"/>
              <w:bottom w:val="nil"/>
              <w:right w:val="nil"/>
            </w:tcBorders>
            <w:shd w:val="clear" w:color="FFFFFF" w:fill="FFFFFF"/>
            <w:noWrap/>
            <w:vAlign w:val="bottom"/>
            <w:hideMark/>
          </w:tcPr>
          <w:p w14:paraId="04BE22AF"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219,736</w:t>
            </w:r>
          </w:p>
        </w:tc>
        <w:tc>
          <w:tcPr>
            <w:tcW w:w="236" w:type="dxa"/>
            <w:tcBorders>
              <w:top w:val="nil"/>
              <w:left w:val="nil"/>
              <w:bottom w:val="nil"/>
              <w:right w:val="nil"/>
            </w:tcBorders>
            <w:shd w:val="clear" w:color="FFFFFF" w:fill="FFFFFF"/>
            <w:noWrap/>
            <w:vAlign w:val="bottom"/>
            <w:hideMark/>
          </w:tcPr>
          <w:p w14:paraId="0D45390B"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nil"/>
              <w:left w:val="nil"/>
              <w:bottom w:val="nil"/>
              <w:right w:val="nil"/>
            </w:tcBorders>
            <w:shd w:val="clear" w:color="FFFFFF" w:fill="FFFFFF"/>
            <w:noWrap/>
            <w:vAlign w:val="bottom"/>
            <w:hideMark/>
          </w:tcPr>
          <w:p w14:paraId="33AA0794"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50,024</w:t>
            </w:r>
          </w:p>
        </w:tc>
      </w:tr>
      <w:tr w:rsidR="00361BA1" w:rsidRPr="00361BA1" w14:paraId="1898B3DB" w14:textId="77777777" w:rsidTr="0024339B">
        <w:trPr>
          <w:trHeight w:val="240"/>
        </w:trPr>
        <w:tc>
          <w:tcPr>
            <w:tcW w:w="6742" w:type="dxa"/>
            <w:tcBorders>
              <w:top w:val="nil"/>
              <w:left w:val="nil"/>
              <w:bottom w:val="nil"/>
              <w:right w:val="nil"/>
            </w:tcBorders>
            <w:shd w:val="clear" w:color="FFFFFF" w:fill="FFFFFF"/>
            <w:vAlign w:val="bottom"/>
            <w:hideMark/>
          </w:tcPr>
          <w:p w14:paraId="7B0230EF" w14:textId="77777777" w:rsidR="00361BA1" w:rsidRPr="00361BA1" w:rsidRDefault="00361BA1" w:rsidP="00361BA1">
            <w:pPr>
              <w:spacing w:before="0" w:after="0" w:line="260" w:lineRule="atLeast"/>
              <w:ind w:left="0"/>
              <w:rPr>
                <w:rFonts w:eastAsia="Times New Roman"/>
                <w:b/>
                <w:bCs/>
                <w:sz w:val="18"/>
                <w:szCs w:val="18"/>
                <w:lang w:eastAsia="en-US"/>
              </w:rPr>
            </w:pPr>
            <w:r w:rsidRPr="00361BA1">
              <w:rPr>
                <w:rFonts w:eastAsia="Times New Roman"/>
                <w:b/>
                <w:bCs/>
                <w:sz w:val="18"/>
                <w:szCs w:val="18"/>
                <w:lang w:eastAsia="en-US"/>
              </w:rPr>
              <w:t>Total liabilities</w:t>
            </w:r>
          </w:p>
        </w:tc>
        <w:tc>
          <w:tcPr>
            <w:tcW w:w="1058" w:type="dxa"/>
            <w:tcBorders>
              <w:top w:val="single" w:sz="4" w:space="0" w:color="auto"/>
              <w:left w:val="nil"/>
              <w:bottom w:val="single" w:sz="4" w:space="0" w:color="auto"/>
              <w:right w:val="nil"/>
            </w:tcBorders>
            <w:shd w:val="clear" w:color="FFFFFF" w:fill="FFFFFF"/>
            <w:noWrap/>
            <w:vAlign w:val="bottom"/>
            <w:hideMark/>
          </w:tcPr>
          <w:p w14:paraId="1E1C3950" w14:textId="77777777" w:rsidR="00361BA1" w:rsidRPr="00361BA1" w:rsidRDefault="00361BA1" w:rsidP="00361BA1">
            <w:pPr>
              <w:spacing w:before="0" w:after="0" w:line="260" w:lineRule="atLeast"/>
              <w:ind w:left="0"/>
              <w:jc w:val="right"/>
              <w:rPr>
                <w:rFonts w:eastAsia="Times New Roman"/>
                <w:b/>
                <w:bCs/>
                <w:sz w:val="18"/>
                <w:szCs w:val="18"/>
                <w:lang w:eastAsia="en-US"/>
              </w:rPr>
            </w:pPr>
            <w:r w:rsidRPr="00361BA1">
              <w:rPr>
                <w:rFonts w:eastAsia="Times New Roman"/>
                <w:b/>
                <w:bCs/>
                <w:sz w:val="18"/>
                <w:szCs w:val="18"/>
                <w:lang w:eastAsia="en-US"/>
              </w:rPr>
              <w:t>2,787,778</w:t>
            </w:r>
          </w:p>
        </w:tc>
        <w:tc>
          <w:tcPr>
            <w:tcW w:w="236" w:type="dxa"/>
            <w:tcBorders>
              <w:top w:val="nil"/>
              <w:left w:val="nil"/>
              <w:bottom w:val="nil"/>
              <w:right w:val="nil"/>
            </w:tcBorders>
            <w:shd w:val="clear" w:color="FFFFFF" w:fill="FFFFFF"/>
            <w:noWrap/>
            <w:vAlign w:val="bottom"/>
            <w:hideMark/>
          </w:tcPr>
          <w:p w14:paraId="3BCF6889" w14:textId="77777777" w:rsidR="00361BA1" w:rsidRPr="00361BA1" w:rsidRDefault="00361BA1" w:rsidP="00361BA1">
            <w:pPr>
              <w:spacing w:before="0" w:after="0" w:line="260" w:lineRule="atLeast"/>
              <w:ind w:left="0"/>
              <w:rPr>
                <w:rFonts w:eastAsia="Times New Roman"/>
                <w:sz w:val="18"/>
                <w:szCs w:val="18"/>
                <w:lang w:eastAsia="en-US"/>
              </w:rPr>
            </w:pPr>
            <w:r w:rsidRPr="00361BA1">
              <w:rPr>
                <w:rFonts w:eastAsia="Times New Roman"/>
                <w:sz w:val="18"/>
                <w:szCs w:val="18"/>
                <w:lang w:eastAsia="en-US"/>
              </w:rPr>
              <w:t> </w:t>
            </w:r>
          </w:p>
        </w:tc>
        <w:tc>
          <w:tcPr>
            <w:tcW w:w="2029" w:type="dxa"/>
            <w:tcBorders>
              <w:top w:val="single" w:sz="4" w:space="0" w:color="auto"/>
              <w:left w:val="nil"/>
              <w:bottom w:val="single" w:sz="4" w:space="0" w:color="auto"/>
              <w:right w:val="nil"/>
            </w:tcBorders>
            <w:shd w:val="clear" w:color="FFFFFF" w:fill="FFFFFF"/>
            <w:noWrap/>
            <w:vAlign w:val="bottom"/>
            <w:hideMark/>
          </w:tcPr>
          <w:p w14:paraId="1EEA2BA2" w14:textId="77777777" w:rsidR="00361BA1" w:rsidRPr="00361BA1" w:rsidRDefault="00361BA1" w:rsidP="00361BA1">
            <w:pPr>
              <w:spacing w:before="0" w:after="0" w:line="260" w:lineRule="atLeast"/>
              <w:ind w:left="0"/>
              <w:jc w:val="right"/>
              <w:rPr>
                <w:rFonts w:eastAsia="Times New Roman"/>
                <w:sz w:val="18"/>
                <w:szCs w:val="18"/>
                <w:lang w:eastAsia="en-US"/>
              </w:rPr>
            </w:pPr>
            <w:r w:rsidRPr="00361BA1">
              <w:rPr>
                <w:rFonts w:eastAsia="Times New Roman"/>
                <w:sz w:val="18"/>
                <w:szCs w:val="18"/>
                <w:lang w:eastAsia="en-US"/>
              </w:rPr>
              <w:t>2,024,029</w:t>
            </w:r>
          </w:p>
        </w:tc>
      </w:tr>
    </w:tbl>
    <w:p w14:paraId="35388F68" w14:textId="77777777" w:rsidR="00361BA1" w:rsidRPr="00361BA1" w:rsidRDefault="00361BA1" w:rsidP="00361BA1">
      <w:pPr>
        <w:spacing w:before="0" w:after="0"/>
        <w:ind w:left="0" w:right="607"/>
        <w:rPr>
          <w:rFonts w:eastAsia="Times New Roman" w:cs="Times New Roman"/>
          <w:b/>
          <w:sz w:val="20"/>
          <w:szCs w:val="20"/>
          <w:lang w:eastAsia="en-US"/>
        </w:rPr>
      </w:pPr>
    </w:p>
    <w:p w14:paraId="390B7396" w14:textId="616CF357" w:rsidR="00A322F6" w:rsidRDefault="00A322F6">
      <w:pPr>
        <w:spacing w:before="0" w:after="160" w:line="259" w:lineRule="auto"/>
        <w:ind w:left="0"/>
        <w:rPr>
          <w:highlight w:val="yellow"/>
          <w:lang w:eastAsia="en-US"/>
        </w:rPr>
        <w:sectPr w:rsidR="00A322F6" w:rsidSect="00A322F6">
          <w:headerReference w:type="default" r:id="rId56"/>
          <w:headerReference w:type="first" r:id="rId57"/>
          <w:type w:val="continuous"/>
          <w:pgSz w:w="11906" w:h="16838"/>
          <w:pgMar w:top="1021" w:right="907" w:bottom="1440" w:left="964" w:header="708" w:footer="708" w:gutter="0"/>
          <w:cols w:space="708"/>
          <w:titlePg/>
          <w:docGrid w:linePitch="360"/>
        </w:sectPr>
      </w:pPr>
    </w:p>
    <w:p w14:paraId="127A359D" w14:textId="77777777" w:rsidR="00815D62" w:rsidRPr="0024339B" w:rsidRDefault="00815D62" w:rsidP="0024339B">
      <w:pPr>
        <w:spacing w:before="0" w:after="160" w:line="259" w:lineRule="auto"/>
        <w:ind w:left="0"/>
        <w:rPr>
          <w:highlight w:val="yellow"/>
          <w:lang w:eastAsia="en-US"/>
        </w:rPr>
      </w:pPr>
    </w:p>
    <w:p w14:paraId="17EFC36E" w14:textId="1FEFF7DC" w:rsidR="00EC35FC" w:rsidRPr="00262F3A" w:rsidRDefault="00262F3A" w:rsidP="008F00D1">
      <w:pPr>
        <w:pStyle w:val="Heading2"/>
      </w:pPr>
      <w:bookmarkStart w:id="128" w:name="_Toc51067971"/>
      <w:r>
        <w:t xml:space="preserve">Summary of the </w:t>
      </w:r>
      <w:r w:rsidR="00EC35FC" w:rsidRPr="00262F3A">
        <w:t xml:space="preserve">Financial </w:t>
      </w:r>
      <w:r>
        <w:t>S</w:t>
      </w:r>
      <w:r w:rsidRPr="00262F3A">
        <w:t xml:space="preserve">ustainability </w:t>
      </w:r>
      <w:r>
        <w:t>R</w:t>
      </w:r>
      <w:r w:rsidRPr="00262F3A">
        <w:t xml:space="preserve">eport </w:t>
      </w:r>
      <w:r w:rsidR="00EC35FC" w:rsidRPr="00262F3A">
        <w:t>2019-2020</w:t>
      </w:r>
      <w:bookmarkEnd w:id="128"/>
    </w:p>
    <w:p w14:paraId="33D6E0A2" w14:textId="77777777" w:rsidR="00AD7BDA" w:rsidRPr="00C4756E" w:rsidRDefault="00AD7BDA" w:rsidP="00AD7BDA">
      <w:r w:rsidRPr="00C37F28">
        <w:t>Sarah Johnson BCom FIAA, September 2020</w:t>
      </w:r>
    </w:p>
    <w:p w14:paraId="36349396" w14:textId="7298D9AD" w:rsidR="00262F3A" w:rsidRPr="00262F3A" w:rsidRDefault="00262F3A" w:rsidP="00262F3A">
      <w:pPr>
        <w:pStyle w:val="Heading4"/>
      </w:pPr>
      <w:r w:rsidRPr="00262F3A">
        <w:t>Introduction</w:t>
      </w:r>
    </w:p>
    <w:p w14:paraId="1DE5DADC" w14:textId="77777777" w:rsidR="00AF2A24" w:rsidRPr="00673B31" w:rsidRDefault="00AF2A24" w:rsidP="00AF2A24">
      <w:r w:rsidRPr="00731B33">
        <w:t xml:space="preserve">An annual financial sustainability report is required under section 180B of the NDIS Act and provides an assessment of the financial sustainability of the NDIS. </w:t>
      </w:r>
      <w:r>
        <w:t xml:space="preserve">This year’s report considers the Scheme </w:t>
      </w:r>
      <w:r w:rsidRPr="00731B33">
        <w:t>at 30 June 2020 after its seventh year of operation (four years of transition following a three-year</w:t>
      </w:r>
      <w:r w:rsidRPr="00673B31">
        <w:t xml:space="preserve"> trial period</w:t>
      </w:r>
      <w:r>
        <w:t>)</w:t>
      </w:r>
      <w:r w:rsidRPr="00673B31">
        <w:t xml:space="preserve">. </w:t>
      </w:r>
    </w:p>
    <w:p w14:paraId="1609DBD4" w14:textId="77777777" w:rsidR="00AF2A24" w:rsidRPr="00DF71F2" w:rsidRDefault="00AF2A24" w:rsidP="00AF2A24">
      <w:pPr>
        <w:pStyle w:val="Heading4"/>
      </w:pPr>
      <w:r w:rsidRPr="00DF71F2">
        <w:t>The Scheme at 30 June 2020</w:t>
      </w:r>
    </w:p>
    <w:p w14:paraId="13430672" w14:textId="77777777" w:rsidR="00AF2A24" w:rsidRDefault="00AF2A24" w:rsidP="00AF2A24">
      <w:r w:rsidRPr="00DF71F2">
        <w:t xml:space="preserve">The Scheme has experienced rapid growth over its seven years </w:t>
      </w:r>
      <w:r>
        <w:t>of</w:t>
      </w:r>
      <w:r w:rsidRPr="00DF71F2">
        <w:t xml:space="preserve"> operation. Regions across Australia have phased into the Scheme at different dates according to the bilateral agreements signed between the Commonwealth government and the States/Territories. As at 1 July 2020, all Australian residents with disability who meet the eligibility requirements can</w:t>
      </w:r>
      <w:r>
        <w:t xml:space="preserve"> now access the Scheme, a significant milestone for the NDIA.</w:t>
      </w:r>
    </w:p>
    <w:p w14:paraId="0D5B0042" w14:textId="592C9E14" w:rsidR="00AF2A24" w:rsidRDefault="00AF2A24" w:rsidP="00AF2A24">
      <w:r w:rsidRPr="004E0501">
        <w:t>There were 3</w:t>
      </w:r>
      <w:r>
        <w:t>91</w:t>
      </w:r>
      <w:r w:rsidRPr="004E0501">
        <w:t>,</w:t>
      </w:r>
      <w:r>
        <w:t>999</w:t>
      </w:r>
      <w:r w:rsidRPr="004E0501">
        <w:t xml:space="preserve"> active participants </w:t>
      </w:r>
      <w:r>
        <w:t xml:space="preserve">with an approved plan </w:t>
      </w:r>
      <w:r w:rsidRPr="004E0501">
        <w:t>in the Scheme at 3</w:t>
      </w:r>
      <w:r>
        <w:t>0</w:t>
      </w:r>
      <w:r w:rsidRPr="004E0501">
        <w:t> </w:t>
      </w:r>
      <w:r>
        <w:t>June</w:t>
      </w:r>
      <w:r w:rsidRPr="004E0501">
        <w:t> 2020</w:t>
      </w:r>
      <w:r>
        <w:t>, a net</w:t>
      </w:r>
      <w:r w:rsidRPr="004E0501">
        <w:t xml:space="preserve"> increase of </w:t>
      </w:r>
      <w:r>
        <w:t>37</w:t>
      </w:r>
      <w:r w:rsidR="008478FE">
        <w:t xml:space="preserve"> per cent</w:t>
      </w:r>
      <w:r w:rsidRPr="004E0501">
        <w:t xml:space="preserve"> in the Scheme population since 30 June 2019</w:t>
      </w:r>
      <w:r>
        <w:t xml:space="preserve">. It was </w:t>
      </w:r>
      <w:r w:rsidRPr="00DF71F2">
        <w:t>expected that participant intake would slow over the 2019-20 financial year as transition-in arrangements</w:t>
      </w:r>
      <w:r>
        <w:t xml:space="preserve"> had largely been completed</w:t>
      </w:r>
      <w:r w:rsidR="00EB338E">
        <w:t>;</w:t>
      </w:r>
      <w:r w:rsidR="00EB338E" w:rsidRPr="00DF71F2">
        <w:t xml:space="preserve"> </w:t>
      </w:r>
      <w:r w:rsidRPr="00DF71F2">
        <w:t>however</w:t>
      </w:r>
      <w:r w:rsidR="00EB338E">
        <w:t>,</w:t>
      </w:r>
      <w:r w:rsidRPr="00DF71F2">
        <w:t xml:space="preserve"> this has not occurred</w:t>
      </w:r>
      <w:r>
        <w:t xml:space="preserve"> and there are few signs that the Scheme’s rapid growth is abating</w:t>
      </w:r>
      <w:r w:rsidRPr="00DF71F2">
        <w:t xml:space="preserve">. There has been a concerted effort over the </w:t>
      </w:r>
      <w:r>
        <w:t>2019</w:t>
      </w:r>
      <w:r w:rsidR="00611A24">
        <w:t>-</w:t>
      </w:r>
      <w:r>
        <w:t xml:space="preserve">20 </w:t>
      </w:r>
      <w:r w:rsidRPr="00DF71F2">
        <w:t>year to reduce backlogs for access requests in progress and participants awaiting first plans</w:t>
      </w:r>
      <w:r>
        <w:t>, especially for children</w:t>
      </w:r>
      <w:r w:rsidRPr="00DF71F2">
        <w:t xml:space="preserve">. </w:t>
      </w:r>
      <w:r>
        <w:t xml:space="preserve">However, even allowing for these reductions in backlogs, there has continued to be </w:t>
      </w:r>
      <w:r w:rsidRPr="00DF71F2">
        <w:t>more children approaching the Scheme than expected.</w:t>
      </w:r>
    </w:p>
    <w:p w14:paraId="7725AA55" w14:textId="052A02C4" w:rsidR="00AF2A24" w:rsidRDefault="00AF2A24" w:rsidP="00AF2A24">
      <w:r w:rsidRPr="00F32AFB">
        <w:t>A total of $24.2 billion of support was committed in participant plans for the 2019-20 support year, compared to $14.6 billion in the 2018-19 support year (66</w:t>
      </w:r>
      <w:r w:rsidR="008478FE">
        <w:t xml:space="preserve"> per cent</w:t>
      </w:r>
      <w:r w:rsidRPr="00F32AFB">
        <w:t xml:space="preserve"> higher). The Scheme made $17.2 billion in payments</w:t>
      </w:r>
      <w:r w:rsidRPr="00F32AFB">
        <w:rPr>
          <w:rStyle w:val="FootnoteReference"/>
        </w:rPr>
        <w:footnoteReference w:id="1"/>
      </w:r>
      <w:r w:rsidRPr="00F32AFB">
        <w:t xml:space="preserve"> to meet participant support needs in 2019</w:t>
      </w:r>
      <w:r w:rsidRPr="00F32AFB">
        <w:noBreakHyphen/>
        <w:t>20, which is 77</w:t>
      </w:r>
      <w:r w:rsidR="008478FE">
        <w:t xml:space="preserve"> per cent</w:t>
      </w:r>
      <w:r w:rsidRPr="00F32AFB">
        <w:t xml:space="preserve"> higher than the $9.7 billion in payments made in 2018-19.</w:t>
      </w:r>
      <w:r>
        <w:t xml:space="preserve"> Average annualised payments over the two years to 30 June 2020 for both participants in Supported Independent Living (SIL) and not in SIL have increased by almost 40</w:t>
      </w:r>
      <w:r w:rsidR="008478FE">
        <w:t xml:space="preserve"> per cent</w:t>
      </w:r>
      <w:r>
        <w:t xml:space="preserve"> in total, or nearly 5</w:t>
      </w:r>
      <w:r w:rsidR="008478FE">
        <w:t xml:space="preserve"> per cent</w:t>
      </w:r>
      <w:r>
        <w:t xml:space="preserve"> per quarter on average.</w:t>
      </w:r>
    </w:p>
    <w:p w14:paraId="7B046E38" w14:textId="4A62806C" w:rsidR="00AF2A24" w:rsidRDefault="00AF2A24" w:rsidP="00AF2A24">
      <w:r w:rsidRPr="008C5D04">
        <w:t>Utilisation of plans has been steadily increasing since the start of the Scheme’s transition period, from 68</w:t>
      </w:r>
      <w:r w:rsidR="008478FE">
        <w:t xml:space="preserve"> per cent</w:t>
      </w:r>
      <w:r w:rsidRPr="008C5D04">
        <w:t xml:space="preserve"> for the 2016-17 support year to 73</w:t>
      </w:r>
      <w:r w:rsidR="008478FE">
        <w:t xml:space="preserve"> per cent</w:t>
      </w:r>
      <w:r w:rsidRPr="008C5D04">
        <w:t xml:space="preserve"> projected for the 2019-20 support year. </w:t>
      </w:r>
      <w:r>
        <w:t>This has been expected because o</w:t>
      </w:r>
      <w:r w:rsidRPr="008C5D04">
        <w:t>ne of the main drivers of lower utilisation is the high proportion of participants entering into the Scheme</w:t>
      </w:r>
      <w:r>
        <w:t xml:space="preserve"> for the first time</w:t>
      </w:r>
      <w:r w:rsidRPr="008C5D04">
        <w:t xml:space="preserve">, because first plans typically have materially lower utilisation rates than subsequent </w:t>
      </w:r>
      <w:r w:rsidRPr="00D1061F">
        <w:t xml:space="preserve">plans. </w:t>
      </w:r>
    </w:p>
    <w:p w14:paraId="7405578C" w14:textId="77777777" w:rsidR="00AF2A24" w:rsidRPr="00C87D5D" w:rsidRDefault="00AF2A24" w:rsidP="00AF2A24">
      <w:pPr>
        <w:rPr>
          <w:highlight w:val="lightGray"/>
        </w:rPr>
      </w:pPr>
      <w:r w:rsidRPr="00D1061F">
        <w:t xml:space="preserve">Participant reported outcomes continue to improve, particularly the longer a participant is in the Scheme. </w:t>
      </w:r>
      <w:r>
        <w:t xml:space="preserve">Community and social participation rates have increased, as well as employment rates for younger participants and for families/carers. </w:t>
      </w:r>
    </w:p>
    <w:p w14:paraId="0BFC83C8" w14:textId="77777777" w:rsidR="00AF2A24" w:rsidRDefault="00AF2A24" w:rsidP="00AF2A24">
      <w:pPr>
        <w:pStyle w:val="Heading4"/>
      </w:pPr>
      <w:r>
        <w:t>COVID-19 pandemic</w:t>
      </w:r>
    </w:p>
    <w:p w14:paraId="7158551D" w14:textId="3FE58A0C" w:rsidR="00AF2A24" w:rsidRDefault="00AF2A24" w:rsidP="00AF2A24">
      <w:r>
        <w:t xml:space="preserve">The </w:t>
      </w:r>
      <w:r w:rsidRPr="00FB3D79">
        <w:t xml:space="preserve">2019-20 financial year was also marked by the COVID-19 pandemic. For the </w:t>
      </w:r>
      <w:r>
        <w:t>NDIA</w:t>
      </w:r>
      <w:r w:rsidRPr="00FB3D79">
        <w:t xml:space="preserve">, the identification and prioritisation of critical supports was key in the continued delivery of services to participants during this time. </w:t>
      </w:r>
      <w:r>
        <w:t>A</w:t>
      </w:r>
      <w:r w:rsidRPr="00C67B0A">
        <w:t xml:space="preserve"> </w:t>
      </w:r>
      <w:r>
        <w:t xml:space="preserve">temporary </w:t>
      </w:r>
      <w:r w:rsidRPr="00C67B0A">
        <w:t>10</w:t>
      </w:r>
      <w:r w:rsidR="008478FE">
        <w:t xml:space="preserve"> per cent</w:t>
      </w:r>
      <w:r w:rsidRPr="00C67B0A">
        <w:t xml:space="preserve"> COVID loading </w:t>
      </w:r>
      <w:r>
        <w:t>was applied to certain critical core and capacity building</w:t>
      </w:r>
      <w:r w:rsidRPr="00C67B0A">
        <w:t xml:space="preserve"> supports</w:t>
      </w:r>
      <w:r>
        <w:t xml:space="preserve"> until 30 June 2020</w:t>
      </w:r>
      <w:r>
        <w:rPr>
          <w:rStyle w:val="FootnoteReference"/>
        </w:rPr>
        <w:footnoteReference w:id="2"/>
      </w:r>
      <w:r>
        <w:t>,</w:t>
      </w:r>
      <w:r w:rsidRPr="00C67B0A">
        <w:t xml:space="preserve"> </w:t>
      </w:r>
      <w:r>
        <w:t xml:space="preserve">changes were made to cancellation policies, and advance payments </w:t>
      </w:r>
      <w:r w:rsidRPr="00C67B0A">
        <w:t xml:space="preserve">of </w:t>
      </w:r>
      <w:r>
        <w:t>approximately</w:t>
      </w:r>
      <w:r w:rsidRPr="00C67B0A">
        <w:t xml:space="preserve"> $6</w:t>
      </w:r>
      <w:r>
        <w:t>5</w:t>
      </w:r>
      <w:r w:rsidRPr="00C67B0A">
        <w:t>0</w:t>
      </w:r>
      <w:r>
        <w:t xml:space="preserve"> </w:t>
      </w:r>
      <w:r w:rsidRPr="00C67B0A">
        <w:t>m</w:t>
      </w:r>
      <w:r>
        <w:t>illion</w:t>
      </w:r>
      <w:r w:rsidRPr="00C67B0A">
        <w:t xml:space="preserve"> </w:t>
      </w:r>
      <w:r>
        <w:t xml:space="preserve">were made to </w:t>
      </w:r>
      <w:r>
        <w:lastRenderedPageBreak/>
        <w:t>providers. T</w:t>
      </w:r>
      <w:r w:rsidRPr="007D535B">
        <w:t xml:space="preserve">he COVID-19 pandemic, </w:t>
      </w:r>
      <w:r>
        <w:t xml:space="preserve">and associated NDIA </w:t>
      </w:r>
      <w:r w:rsidRPr="007D535B">
        <w:t xml:space="preserve">working from home </w:t>
      </w:r>
      <w:r>
        <w:t xml:space="preserve">arrangements, </w:t>
      </w:r>
      <w:r w:rsidRPr="007D535B">
        <w:t>has not affected the ability of Agency staff to process access requests and first plans</w:t>
      </w:r>
      <w:r>
        <w:t>, or undertake plan reviews.</w:t>
      </w:r>
    </w:p>
    <w:p w14:paraId="64C621FC" w14:textId="142234F7" w:rsidR="00AF2A24" w:rsidRDefault="00AF2A24" w:rsidP="00AF2A24">
      <w:r>
        <w:t>While t</w:t>
      </w:r>
      <w:r w:rsidRPr="00FB3D79">
        <w:t xml:space="preserve">he ‘first wave’ of the pandemic saw </w:t>
      </w:r>
      <w:r>
        <w:t xml:space="preserve">a </w:t>
      </w:r>
      <w:r w:rsidRPr="00FB3D79">
        <w:t xml:space="preserve">shift between support types within the Scheme, </w:t>
      </w:r>
      <w:r>
        <w:t xml:space="preserve">the </w:t>
      </w:r>
      <w:r w:rsidRPr="00FB3D79">
        <w:t>underlying payments for support remained at pre-pandemic levels</w:t>
      </w:r>
      <w:r>
        <w:t>,</w:t>
      </w:r>
      <w:r w:rsidRPr="00FB3D79">
        <w:t xml:space="preserve"> indicating that participants continued to receive supports. There were reductions in payments for community and social participation supports and employment supports compared with pre</w:t>
      </w:r>
      <w:r w:rsidR="00611A24">
        <w:t>-</w:t>
      </w:r>
      <w:r w:rsidRPr="00FB3D79">
        <w:t>pandemic payments experience, due to</w:t>
      </w:r>
      <w:r w:rsidR="00611A24">
        <w:t xml:space="preserve"> the</w:t>
      </w:r>
      <w:r w:rsidRPr="00FB3D79">
        <w:t xml:space="preserve"> lockdown and physical distancing measures which restricted face-to-face services. This was offset by increases in support for activities of daily living to support participants at home, as well as an increase in payments for consumables, such as low-cost assistive</w:t>
      </w:r>
      <w:r>
        <w:t xml:space="preserve"> technology and personal protective equipment.</w:t>
      </w:r>
      <w:r w:rsidRPr="00FB3D79">
        <w:t xml:space="preserve"> </w:t>
      </w:r>
    </w:p>
    <w:p w14:paraId="2012A27B" w14:textId="77777777" w:rsidR="00AF2A24" w:rsidRDefault="00AF2A24" w:rsidP="00AF2A24">
      <w:pPr>
        <w:pStyle w:val="Heading4"/>
      </w:pPr>
      <w:r w:rsidRPr="003D7238">
        <w:t>Scheme projections</w:t>
      </w:r>
    </w:p>
    <w:p w14:paraId="05F00BAC" w14:textId="77777777" w:rsidR="00AF2A24" w:rsidRPr="003D7238" w:rsidRDefault="00AF2A24" w:rsidP="00AF2A24">
      <w:r w:rsidRPr="003D7238">
        <w:t xml:space="preserve">Projections of the number of Scheme participants, payments for supports and the operating costs of the Scheme have been made using the actual Scheme experience to date as the basis for assumptions about the future. </w:t>
      </w:r>
      <w:r>
        <w:t xml:space="preserve">An exception to this is that a forward looking approach has been used to determine future inflation assumptions, while noting that the adopted inflation assumptions have been set at levels significantly lower than historic levels of inflation meaning that the NDIA will need to enact mitigation strategies to respond to these historic sources of inflation. </w:t>
      </w:r>
      <w:r w:rsidRPr="003D7238">
        <w:t xml:space="preserve">An allowance has </w:t>
      </w:r>
      <w:r>
        <w:t xml:space="preserve">also </w:t>
      </w:r>
      <w:r w:rsidRPr="003D7238">
        <w:t>been made for the expected short term impacts of the COVID-19 pandemic</w:t>
      </w:r>
      <w:r>
        <w:t>,</w:t>
      </w:r>
      <w:r w:rsidRPr="003D7238">
        <w:t xml:space="preserve"> although the impact remains uncertain. These projections can be considered as the best estimate, based on the evidence available to date, of the cost trajectory for the Scheme.</w:t>
      </w:r>
    </w:p>
    <w:p w14:paraId="64FC87CB" w14:textId="3500945F" w:rsidR="00AF2A24" w:rsidRPr="009E2E6B" w:rsidRDefault="00AF2A24" w:rsidP="00AF2A24">
      <w:r w:rsidRPr="009E2E6B">
        <w:t>The Scheme is projected to reach about 532,000 participants by 30 June 2023</w:t>
      </w:r>
      <w:r>
        <w:rPr>
          <w:rStyle w:val="FootnoteReference"/>
        </w:rPr>
        <w:footnoteReference w:id="3"/>
      </w:r>
      <w:r w:rsidRPr="009E2E6B">
        <w:t>, of which almost 508,000 are expected to be aged 0 to 64. This is equivalent to a prevalence rate of 2.</w:t>
      </w:r>
      <w:r>
        <w:t>3</w:t>
      </w:r>
      <w:r w:rsidR="008478FE">
        <w:t xml:space="preserve"> per cent</w:t>
      </w:r>
      <w:r w:rsidRPr="009E2E6B">
        <w:t xml:space="preserve"> of the projected Australian general population aged 0 to 64, slightly higher than </w:t>
      </w:r>
      <w:r>
        <w:t xml:space="preserve">last year’s estimate and </w:t>
      </w:r>
      <w:r w:rsidRPr="009E2E6B">
        <w:t xml:space="preserve">the original estimate by the 2011 Productivity </w:t>
      </w:r>
      <w:r w:rsidRPr="00724A47">
        <w:t>Commission (2.1</w:t>
      </w:r>
      <w:r w:rsidR="008478FE">
        <w:t xml:space="preserve"> per cent</w:t>
      </w:r>
      <w:r w:rsidRPr="00724A47">
        <w:t xml:space="preserve">). </w:t>
      </w:r>
      <w:r w:rsidRPr="009E2E6B">
        <w:t xml:space="preserve">The increase in prevalence from the previous report reflects the </w:t>
      </w:r>
      <w:r>
        <w:t>continued high levels of participant intake seen in the past year, particularly for children in the more mature regions.</w:t>
      </w:r>
    </w:p>
    <w:p w14:paraId="46F26D6F" w14:textId="1B636E16" w:rsidR="00AF2A24" w:rsidRPr="00724A47" w:rsidRDefault="00AF2A24" w:rsidP="00AF2A24">
      <w:r w:rsidRPr="00371F74">
        <w:t xml:space="preserve">Scheme costs for all participants are projected to be about 1.3 per cent of Gross </w:t>
      </w:r>
      <w:r w:rsidR="00611A24">
        <w:t>Domestic Product (GDP) for 2020-</w:t>
      </w:r>
      <w:r w:rsidRPr="00371F74">
        <w:t>21, 1.4 per cent in 2022-23, and 1.7 per cent for 2029-30. This includes participants who remain in the Scheme past 65 years, noting that the Commonwealth has committed to funding these participants.</w:t>
      </w:r>
      <w:r w:rsidRPr="00371F74">
        <w:rPr>
          <w:rStyle w:val="FootnoteReference"/>
        </w:rPr>
        <w:footnoteReference w:id="4"/>
      </w:r>
      <w:r w:rsidRPr="00371F74">
        <w:t xml:space="preserve"> This has increased since the </w:t>
      </w:r>
      <w:r w:rsidRPr="00724A47">
        <w:t>previous report, in part due to cost pressures driving higher</w:t>
      </w:r>
      <w:r>
        <w:t xml:space="preserve"> numbers of expected participants and higher average future payments, as well as </w:t>
      </w:r>
      <w:r w:rsidRPr="00724A47">
        <w:t>the impact of the COVID-19 pandemic on the economy, which has seen projected GDP fall.</w:t>
      </w:r>
    </w:p>
    <w:p w14:paraId="5D5D0A5F" w14:textId="77777777" w:rsidR="00AF2A24" w:rsidRPr="006D5561" w:rsidRDefault="00AF2A24" w:rsidP="00AF2A24">
      <w:pPr>
        <w:pStyle w:val="Heading4"/>
      </w:pPr>
      <w:r w:rsidRPr="006D5561">
        <w:t>NDIS insurance approach</w:t>
      </w:r>
    </w:p>
    <w:p w14:paraId="5563D08D" w14:textId="77777777" w:rsidR="00AF2A24" w:rsidRPr="006D5561" w:rsidRDefault="00AF2A24" w:rsidP="00AF2A24">
      <w:r w:rsidRPr="006D5561">
        <w:t xml:space="preserve">The drivers of Scheme </w:t>
      </w:r>
      <w:r>
        <w:t xml:space="preserve">costs </w:t>
      </w:r>
      <w:r w:rsidRPr="006D5561">
        <w:t xml:space="preserve">include the number of participants, the amount of support allocated to each plan, how that allocated amount will change over time, the utilisation of individual supports, and the rate at which participants exit the Scheme. It is the responsibility of the </w:t>
      </w:r>
      <w:r>
        <w:t>NDIA</w:t>
      </w:r>
      <w:r w:rsidRPr="006D5561">
        <w:t xml:space="preserve"> to identify and monitor pressures, and manage them appropriately, using </w:t>
      </w:r>
      <w:r>
        <w:t>an</w:t>
      </w:r>
      <w:r w:rsidRPr="006D5561">
        <w:t xml:space="preserve"> insurance-based approach to evaluate emerging experience against expectations.</w:t>
      </w:r>
    </w:p>
    <w:p w14:paraId="71449C98" w14:textId="1FB943D4" w:rsidR="00AF2A24" w:rsidRDefault="00AF2A24" w:rsidP="00AF2A24">
      <w:r w:rsidRPr="006D5561">
        <w:t xml:space="preserve">The insurance approach also means taking a lifetime </w:t>
      </w:r>
      <w:r>
        <w:t>view</w:t>
      </w:r>
      <w:r w:rsidRPr="006D5561">
        <w:t xml:space="preserve"> to supporting people with disability. This </w:t>
      </w:r>
      <w:r>
        <w:t>includes</w:t>
      </w:r>
      <w:r w:rsidRPr="006D5561">
        <w:t xml:space="preserve"> investing in participants in the short</w:t>
      </w:r>
      <w:r w:rsidR="00EB338E">
        <w:t xml:space="preserve"> </w:t>
      </w:r>
      <w:r w:rsidRPr="006D5561">
        <w:t xml:space="preserve">term to provide better outcomes over their </w:t>
      </w:r>
      <w:r w:rsidRPr="006D5561">
        <w:lastRenderedPageBreak/>
        <w:t>lifetime, as well as to reduce the long term costs of disability support. The achievement of participant outcomes is vital to the financial sustainability of the Scheme.</w:t>
      </w:r>
    </w:p>
    <w:p w14:paraId="70385838" w14:textId="77777777" w:rsidR="00AF2A24" w:rsidRPr="00724A47" w:rsidRDefault="00AF2A24" w:rsidP="00AF2A24">
      <w:r w:rsidRPr="00724A47">
        <w:t>Current sustainability pressures</w:t>
      </w:r>
    </w:p>
    <w:p w14:paraId="3C9D56DA" w14:textId="77777777" w:rsidR="00AF2A24" w:rsidRPr="004367E9" w:rsidRDefault="00AF2A24" w:rsidP="00AF2A24">
      <w:r w:rsidRPr="004367E9">
        <w:t xml:space="preserve">A range of cost pressures </w:t>
      </w:r>
      <w:r>
        <w:t>have continued to emerge over 2019-20</w:t>
      </w:r>
      <w:r w:rsidRPr="004367E9">
        <w:t xml:space="preserve">. </w:t>
      </w:r>
      <w:r>
        <w:t>These</w:t>
      </w:r>
      <w:r w:rsidRPr="004367E9">
        <w:t xml:space="preserve"> include: </w:t>
      </w:r>
    </w:p>
    <w:p w14:paraId="7B19C26E" w14:textId="77777777" w:rsidR="00AF2A24" w:rsidRPr="00D1061F" w:rsidRDefault="00AF2A24" w:rsidP="00AF2A24">
      <w:pPr>
        <w:pStyle w:val="FSRnormal"/>
        <w:numPr>
          <w:ilvl w:val="0"/>
          <w:numId w:val="40"/>
        </w:numPr>
        <w:rPr>
          <w:b/>
        </w:rPr>
      </w:pPr>
      <w:r>
        <w:rPr>
          <w:b/>
        </w:rPr>
        <w:t>Participant cost pressures</w:t>
      </w:r>
    </w:p>
    <w:p w14:paraId="264502FA" w14:textId="77777777" w:rsidR="00AF2A24" w:rsidRPr="00E86092" w:rsidRDefault="00AF2A24" w:rsidP="00AF2A24">
      <w:pPr>
        <w:ind w:left="1012"/>
      </w:pPr>
      <w:r>
        <w:t xml:space="preserve">There have been high levels of inflation within the Scheme since its inception. In the early </w:t>
      </w:r>
      <w:r w:rsidRPr="00E86092">
        <w:t xml:space="preserve">years of the Scheme, this inflation reflected the dynamic and rapidly changing environment of a newly established scheme. However, these high levels of </w:t>
      </w:r>
      <w:r>
        <w:t xml:space="preserve">inflation have persisted </w:t>
      </w:r>
      <w:r w:rsidRPr="00E86092">
        <w:t xml:space="preserve">over time, despite the increasing maturity of the Scheme. </w:t>
      </w:r>
    </w:p>
    <w:p w14:paraId="409004F7" w14:textId="77777777" w:rsidR="00AF2A24" w:rsidRPr="00E86092" w:rsidRDefault="00AF2A24" w:rsidP="00AF2A24">
      <w:pPr>
        <w:ind w:left="1012"/>
      </w:pPr>
      <w:r w:rsidRPr="00E86092">
        <w:t xml:space="preserve">This is particularly evident for participants in SIL. </w:t>
      </w:r>
      <w:r>
        <w:t>Noting that t</w:t>
      </w:r>
      <w:r w:rsidRPr="00E86092">
        <w:t xml:space="preserve">he support costs for participants in </w:t>
      </w:r>
      <w:r>
        <w:t>SIL</w:t>
      </w:r>
      <w:r w:rsidRPr="00E86092">
        <w:t xml:space="preserve"> are a material component of Scheme cost</w:t>
      </w:r>
      <w:r>
        <w:t xml:space="preserve">. </w:t>
      </w:r>
      <w:r w:rsidRPr="00E86092">
        <w:t xml:space="preserve">Drivers </w:t>
      </w:r>
      <w:r>
        <w:t xml:space="preserve">of SIL inflation have </w:t>
      </w:r>
      <w:r w:rsidRPr="00E86092">
        <w:t>include</w:t>
      </w:r>
      <w:r>
        <w:t>d</w:t>
      </w:r>
      <w:r w:rsidRPr="00E86092">
        <w:t xml:space="preserve"> price increases and </w:t>
      </w:r>
      <w:r>
        <w:t xml:space="preserve">increases in the quantum of supports provided, for example </w:t>
      </w:r>
      <w:r w:rsidRPr="00E86092">
        <w:t>higher rosters of care.</w:t>
      </w:r>
    </w:p>
    <w:p w14:paraId="701B50E4" w14:textId="77777777" w:rsidR="00AF2A24" w:rsidRPr="00E86092" w:rsidRDefault="00AF2A24" w:rsidP="00AF2A24">
      <w:pPr>
        <w:ind w:left="1012"/>
        <w:rPr>
          <w:highlight w:val="yellow"/>
        </w:rPr>
      </w:pPr>
      <w:r>
        <w:t xml:space="preserve">The </w:t>
      </w:r>
      <w:r w:rsidRPr="00E86092">
        <w:t xml:space="preserve">growth in average annualised payments for non-SIL participants has </w:t>
      </w:r>
      <w:r>
        <w:t xml:space="preserve">also </w:t>
      </w:r>
      <w:r w:rsidRPr="00E86092">
        <w:t xml:space="preserve">been </w:t>
      </w:r>
      <w:r>
        <w:t xml:space="preserve">high, and </w:t>
      </w:r>
      <w:r w:rsidRPr="00E86092">
        <w:t>in line with that observed for SIL participants over the past two years. This is due to price increases and increases in the volume of support provided to participants.</w:t>
      </w:r>
      <w:r>
        <w:t xml:space="preserve"> The m</w:t>
      </w:r>
      <w:r w:rsidRPr="00FB3D79">
        <w:t xml:space="preserve">anagement of these cost pressures, while ensuring participant outcomes, </w:t>
      </w:r>
      <w:r>
        <w:t>is important</w:t>
      </w:r>
      <w:r w:rsidRPr="00FB3D79">
        <w:t xml:space="preserve"> for </w:t>
      </w:r>
      <w:r>
        <w:t>continued Scheme</w:t>
      </w:r>
      <w:r w:rsidRPr="00FB3D79">
        <w:t xml:space="preserve"> sustainability.</w:t>
      </w:r>
    </w:p>
    <w:p w14:paraId="62FB40DF" w14:textId="77777777" w:rsidR="00AF2A24" w:rsidRPr="00D1061F" w:rsidRDefault="00AF2A24" w:rsidP="00AF2A24">
      <w:pPr>
        <w:pStyle w:val="ListParagraph"/>
        <w:keepNext/>
        <w:numPr>
          <w:ilvl w:val="0"/>
          <w:numId w:val="39"/>
        </w:numPr>
        <w:spacing w:after="120"/>
        <w:rPr>
          <w:b/>
        </w:rPr>
      </w:pPr>
      <w:r w:rsidRPr="00D1061F">
        <w:rPr>
          <w:b/>
        </w:rPr>
        <w:t>Scheme coverage scope creep</w:t>
      </w:r>
    </w:p>
    <w:p w14:paraId="5BF4A990" w14:textId="77777777" w:rsidR="00AF2A24" w:rsidRDefault="00AF2A24" w:rsidP="00AF2A24">
      <w:pPr>
        <w:ind w:left="1080"/>
        <w:rPr>
          <w:highlight w:val="yellow"/>
        </w:rPr>
      </w:pPr>
      <w:r w:rsidRPr="00A46C0E">
        <w:t xml:space="preserve">The Scheme is facing a number of pressures </w:t>
      </w:r>
      <w:r>
        <w:t>around</w:t>
      </w:r>
      <w:r w:rsidRPr="00A46C0E">
        <w:t xml:space="preserve"> </w:t>
      </w:r>
      <w:r w:rsidRPr="0055385F">
        <w:t>Scheme entry and funding decisions</w:t>
      </w:r>
      <w:r>
        <w:t>. M</w:t>
      </w:r>
      <w:r w:rsidRPr="0055385F">
        <w:t xml:space="preserve">any of these </w:t>
      </w:r>
      <w:r>
        <w:t>are</w:t>
      </w:r>
      <w:r w:rsidRPr="007F141E">
        <w:t xml:space="preserve"> </w:t>
      </w:r>
      <w:r w:rsidRPr="0055385F">
        <w:t>relate</w:t>
      </w:r>
      <w:r>
        <w:t>d</w:t>
      </w:r>
      <w:r w:rsidRPr="0055385F">
        <w:t xml:space="preserve"> to </w:t>
      </w:r>
      <w:r w:rsidRPr="00A46C0E">
        <w:t xml:space="preserve">operational issues </w:t>
      </w:r>
      <w:r>
        <w:t xml:space="preserve">which limit the ability of the Scheme to interact effectively with existing supports </w:t>
      </w:r>
      <w:r w:rsidRPr="00A46C0E">
        <w:t>across mainstream interfaces</w:t>
      </w:r>
      <w:r>
        <w:t>, as well as community and informal supports. These pressures require continued management responses so that the Scheme does not become a “funder of last resort”, especially where other arrangements may be better suited to provide the required supports.</w:t>
      </w:r>
    </w:p>
    <w:p w14:paraId="5419F17F" w14:textId="77777777" w:rsidR="00AF2A24" w:rsidRPr="00D1061F" w:rsidRDefault="00AF2A24" w:rsidP="00AF2A24">
      <w:pPr>
        <w:pStyle w:val="ListParagraph"/>
        <w:numPr>
          <w:ilvl w:val="0"/>
          <w:numId w:val="38"/>
        </w:numPr>
        <w:spacing w:after="120"/>
        <w:rPr>
          <w:b/>
        </w:rPr>
      </w:pPr>
      <w:r w:rsidRPr="00D1061F">
        <w:rPr>
          <w:b/>
        </w:rPr>
        <w:t>Operational challenges</w:t>
      </w:r>
    </w:p>
    <w:p w14:paraId="02527C78" w14:textId="77777777" w:rsidR="00AF2A24" w:rsidRDefault="00AF2A24" w:rsidP="00AF2A24">
      <w:pPr>
        <w:ind w:left="1080"/>
      </w:pPr>
      <w:r>
        <w:t>The speed of the NDIS rollout has posed a number of challenges. Efforts have focused on the timely transition of people with disability into the Scheme and improving access to reasonable and necessary disability supports for these participants. In particular, over the past year, the NDIA has focussed on clearing internal backlogs in several areas such as access decisions, first plans, assistive technology, internal reviews, and manual payments. In addition there has also been evidence of inconsistency in decision making for access and funding decisions, as well as limited reassessment of ongoing eligibility during this time.</w:t>
      </w:r>
    </w:p>
    <w:p w14:paraId="317DA737" w14:textId="77777777" w:rsidR="00AF2A24" w:rsidRPr="00075989" w:rsidRDefault="00AF2A24" w:rsidP="00AF2A24">
      <w:pPr>
        <w:pStyle w:val="Heading4"/>
      </w:pPr>
      <w:r w:rsidRPr="00075989">
        <w:t>Management response</w:t>
      </w:r>
    </w:p>
    <w:p w14:paraId="3C84B57C" w14:textId="77777777" w:rsidR="00AF2A24" w:rsidRPr="00075989" w:rsidRDefault="00AF2A24" w:rsidP="00AF2A24">
      <w:r w:rsidRPr="00ED6030">
        <w:rPr>
          <w:rStyle w:val="FSRnormalChar"/>
        </w:rPr>
        <w:t xml:space="preserve">Proactive management responses to </w:t>
      </w:r>
      <w:r>
        <w:rPr>
          <w:rStyle w:val="FSRnormalChar"/>
        </w:rPr>
        <w:t xml:space="preserve">the pressures identified above </w:t>
      </w:r>
      <w:r w:rsidRPr="00ED6030">
        <w:rPr>
          <w:rStyle w:val="FSRnormalChar"/>
        </w:rPr>
        <w:t>include</w:t>
      </w:r>
      <w:r w:rsidRPr="00075989">
        <w:t>:</w:t>
      </w:r>
    </w:p>
    <w:p w14:paraId="4A3331FC" w14:textId="4D6B9B92" w:rsidR="00AF2A24" w:rsidRPr="00AF2A24" w:rsidRDefault="00AF2A24" w:rsidP="00AF2A24">
      <w:pPr>
        <w:pStyle w:val="ListParagraph"/>
        <w:numPr>
          <w:ilvl w:val="0"/>
          <w:numId w:val="38"/>
        </w:numPr>
        <w:rPr>
          <w:rFonts w:eastAsiaTheme="minorHAnsi"/>
          <w:lang w:eastAsia="en-US"/>
        </w:rPr>
      </w:pPr>
      <w:r w:rsidRPr="00AF2A24">
        <w:rPr>
          <w:b/>
        </w:rPr>
        <w:t>Consistency of decision making:</w:t>
      </w:r>
      <w:r w:rsidRPr="00AF2A24">
        <w:t xml:space="preserve"> The NDIA is working on improving the consistency and equity in decision making of both access and planning decisions across all participants. There is a focus on better aligning a participant’s support package to their circumstances through independent assessments. This will mean the right assessment questions and tools are being used to inform objective access and planning decisions that are more consistent and fair. This is consistent with</w:t>
      </w:r>
      <w:r w:rsidR="00611A24">
        <w:t xml:space="preserve"> the 2011 Productivity Commission Report</w:t>
      </w:r>
      <w:r w:rsidR="00E86E83">
        <w:rPr>
          <w:rStyle w:val="FootnoteReference"/>
        </w:rPr>
        <w:footnoteReference w:id="5"/>
      </w:r>
      <w:r w:rsidR="00611A24">
        <w:t xml:space="preserve"> as well as</w:t>
      </w:r>
      <w:r w:rsidRPr="00AF2A24">
        <w:t xml:space="preserve"> the 2019 Review of the NDIS Act</w:t>
      </w:r>
      <w:r w:rsidRPr="00AF2A24">
        <w:footnoteReference w:id="6"/>
      </w:r>
      <w:r w:rsidRPr="00AF2A24">
        <w:t xml:space="preserve"> which recommends amendments to the</w:t>
      </w:r>
      <w:r w:rsidRPr="00AF2A24">
        <w:rPr>
          <w:rFonts w:eastAsiaTheme="minorHAnsi"/>
          <w:lang w:eastAsia="en-US"/>
        </w:rPr>
        <w:t xml:space="preserve"> NDIS Act to achieve </w:t>
      </w:r>
      <w:r w:rsidRPr="00AF2A24">
        <w:rPr>
          <w:rFonts w:eastAsiaTheme="minorHAnsi"/>
          <w:lang w:eastAsia="en-US"/>
        </w:rPr>
        <w:lastRenderedPageBreak/>
        <w:t>these outcomes. Other initiatives being undertaken to improve consistency of decision-making include:</w:t>
      </w:r>
    </w:p>
    <w:p w14:paraId="29116584" w14:textId="4157172F" w:rsidR="00AF2A24" w:rsidRPr="00AF2A24" w:rsidRDefault="00AF2A24" w:rsidP="00AF2A24">
      <w:pPr>
        <w:pStyle w:val="ListParagraph"/>
        <w:numPr>
          <w:ilvl w:val="1"/>
          <w:numId w:val="38"/>
        </w:numPr>
        <w:rPr>
          <w:rFonts w:eastAsiaTheme="minorHAnsi"/>
          <w:lang w:eastAsia="en-US"/>
        </w:rPr>
      </w:pPr>
      <w:r w:rsidRPr="00AF2A24">
        <w:rPr>
          <w:rFonts w:eastAsiaTheme="minorHAnsi"/>
          <w:lang w:eastAsia="en-US"/>
        </w:rPr>
        <w:t xml:space="preserve">There is significant frontline training under way to improve the capability of the NDIA planners and partners to develop plans and make review decisions that balance the Agency’s aspiration </w:t>
      </w:r>
      <w:r w:rsidR="00815D62">
        <w:rPr>
          <w:rFonts w:eastAsiaTheme="minorHAnsi"/>
          <w:lang w:eastAsia="en-US"/>
        </w:rPr>
        <w:t>for a</w:t>
      </w:r>
      <w:r w:rsidR="00815D62" w:rsidRPr="00AF2A24">
        <w:rPr>
          <w:rFonts w:eastAsiaTheme="minorHAnsi"/>
          <w:lang w:eastAsia="en-US"/>
        </w:rPr>
        <w:t xml:space="preserve"> </w:t>
      </w:r>
      <w:r w:rsidRPr="00AF2A24">
        <w:rPr>
          <w:rFonts w:eastAsiaTheme="minorHAnsi"/>
          <w:lang w:eastAsia="en-US"/>
        </w:rPr>
        <w:t xml:space="preserve">positive participant experience </w:t>
      </w:r>
      <w:r w:rsidR="00815D62">
        <w:rPr>
          <w:rFonts w:eastAsiaTheme="minorHAnsi"/>
          <w:lang w:eastAsia="en-US"/>
        </w:rPr>
        <w:t>with</w:t>
      </w:r>
      <w:r w:rsidR="00815D62" w:rsidRPr="00AF2A24">
        <w:rPr>
          <w:rFonts w:eastAsiaTheme="minorHAnsi"/>
          <w:lang w:eastAsia="en-US"/>
        </w:rPr>
        <w:t xml:space="preserve"> </w:t>
      </w:r>
      <w:r w:rsidRPr="00AF2A24">
        <w:rPr>
          <w:rFonts w:eastAsiaTheme="minorHAnsi"/>
          <w:lang w:eastAsia="en-US"/>
        </w:rPr>
        <w:t>responsibility for long term scheme sustainability.</w:t>
      </w:r>
    </w:p>
    <w:p w14:paraId="1B70520C" w14:textId="45214BE7" w:rsidR="00AF2A24" w:rsidRPr="00AF2A24" w:rsidRDefault="00AF2A24" w:rsidP="00AF2A24">
      <w:pPr>
        <w:pStyle w:val="ListParagraph"/>
        <w:numPr>
          <w:ilvl w:val="1"/>
          <w:numId w:val="38"/>
        </w:numPr>
        <w:rPr>
          <w:rFonts w:eastAsiaTheme="minorHAnsi"/>
          <w:lang w:eastAsia="en-US"/>
        </w:rPr>
      </w:pPr>
      <w:r w:rsidRPr="00AF2A24">
        <w:rPr>
          <w:rFonts w:eastAsiaTheme="minorHAnsi"/>
          <w:lang w:eastAsia="en-US"/>
        </w:rPr>
        <w:t>More disciplined approaches to frontline management will ensure that ‘reasonable and necessary’ decisions and participant outcomes are nationally consistent, to a higher standard of quality which promote participant equity, eliminate avoidable plan reviews and prevent unnecessary plan budget inflation.</w:t>
      </w:r>
    </w:p>
    <w:p w14:paraId="3F0848B6" w14:textId="77777777" w:rsidR="00AF2A24" w:rsidRPr="00AF2A24" w:rsidRDefault="00AF2A24" w:rsidP="00AF2A24">
      <w:pPr>
        <w:pStyle w:val="ListParagraph"/>
        <w:numPr>
          <w:ilvl w:val="1"/>
          <w:numId w:val="38"/>
        </w:numPr>
        <w:rPr>
          <w:rFonts w:eastAsiaTheme="minorHAnsi"/>
          <w:lang w:eastAsia="en-US"/>
        </w:rPr>
      </w:pPr>
      <w:r w:rsidRPr="00AF2A24">
        <w:rPr>
          <w:rFonts w:eastAsiaTheme="minorHAnsi"/>
          <w:lang w:eastAsia="en-US"/>
        </w:rPr>
        <w:t>Participant ‘Check In’ service delivery options will ensure that participants have access to the depth of review and medium of interaction approach that most suits them, and which will enable more ‘light touch’ plan amendments and plan renewals and extensions to meet participants’ needs.</w:t>
      </w:r>
    </w:p>
    <w:p w14:paraId="3BDA4A5B" w14:textId="77777777" w:rsidR="00AF2A24" w:rsidRPr="001A0D44" w:rsidRDefault="00AF2A24" w:rsidP="00AF2A24">
      <w:pPr>
        <w:pStyle w:val="ListParagraph"/>
        <w:numPr>
          <w:ilvl w:val="0"/>
          <w:numId w:val="38"/>
        </w:numPr>
      </w:pPr>
      <w:r w:rsidRPr="00AF2A24">
        <w:rPr>
          <w:rFonts w:eastAsiaTheme="minorHAnsi"/>
          <w:b/>
          <w:lang w:eastAsia="en-US"/>
        </w:rPr>
        <w:t xml:space="preserve">SIL policy reform: </w:t>
      </w:r>
      <w:r w:rsidRPr="006D5561">
        <w:t xml:space="preserve">The </w:t>
      </w:r>
      <w:r>
        <w:t xml:space="preserve">SIL </w:t>
      </w:r>
      <w:r w:rsidRPr="006D5561">
        <w:t>quoting</w:t>
      </w:r>
      <w:r w:rsidRPr="001A0D44">
        <w:t xml:space="preserve"> and negotiation process used previously has been replaced with set price limits for SIL supports. Providers are</w:t>
      </w:r>
      <w:r>
        <w:t xml:space="preserve"> now</w:t>
      </w:r>
      <w:r w:rsidRPr="001A0D44">
        <w:t xml:space="preserve"> required to develop a roster of care using the </w:t>
      </w:r>
      <w:r>
        <w:t>NDIA</w:t>
      </w:r>
      <w:r w:rsidRPr="001A0D44">
        <w:t xml:space="preserve">’s current price limits for </w:t>
      </w:r>
      <w:r>
        <w:t>a</w:t>
      </w:r>
      <w:r w:rsidRPr="001A0D44">
        <w:t xml:space="preserve">ctivities of </w:t>
      </w:r>
      <w:r>
        <w:t>d</w:t>
      </w:r>
      <w:r w:rsidRPr="001A0D44">
        <w:t xml:space="preserve">aily </w:t>
      </w:r>
      <w:r>
        <w:t>l</w:t>
      </w:r>
      <w:r w:rsidRPr="001A0D44">
        <w:t xml:space="preserve">iving and submit this to the </w:t>
      </w:r>
      <w:r>
        <w:t>NDIA</w:t>
      </w:r>
      <w:r w:rsidRPr="001A0D44">
        <w:t xml:space="preserve"> for consideration. There will be increased rigour around determining the suitability of r</w:t>
      </w:r>
      <w:r>
        <w:t>osters of care for participants at first plan and for subsequent plan reviews</w:t>
      </w:r>
      <w:r w:rsidRPr="001A0D44">
        <w:t xml:space="preserve">. Importantly the new process will ensure input from participants, so participants have more control over their plan budget. </w:t>
      </w:r>
      <w:r>
        <w:t xml:space="preserve">Finally, work is </w:t>
      </w:r>
      <w:r w:rsidRPr="00765D1C">
        <w:t>underway to determine appropria</w:t>
      </w:r>
      <w:r>
        <w:t>te price limits specifically for SIL supports, which will be released in late 2020.</w:t>
      </w:r>
    </w:p>
    <w:p w14:paraId="40634F8A" w14:textId="77777777" w:rsidR="00AF2A24" w:rsidRPr="00D1061F" w:rsidRDefault="00AF2A24" w:rsidP="00AF2A24">
      <w:pPr>
        <w:pStyle w:val="ListParagraph"/>
        <w:numPr>
          <w:ilvl w:val="0"/>
          <w:numId w:val="38"/>
        </w:numPr>
      </w:pPr>
      <w:r w:rsidRPr="00AF2A24">
        <w:rPr>
          <w:rFonts w:eastAsiaTheme="minorHAnsi"/>
          <w:lang w:eastAsia="en-US"/>
        </w:rPr>
        <w:t>The NDIA is looking at innovative housing solutions which include more contemporary options for people who require a high level of support. A number of alternative accommodation options have emerged, known as Individual Living Options (ILOs). These ILOs have the potential to create a more tailored solution to care and support needs for the subset of Scheme participants with higher needs. Further, ILOs help to increase choice and control for participants, improve outcomes and are often more cost effective than traditional SIL arrangements.</w:t>
      </w:r>
    </w:p>
    <w:p w14:paraId="7F818C23" w14:textId="1550882D" w:rsidR="007D299F" w:rsidRDefault="00AF2A24" w:rsidP="00AF2A24">
      <w:pPr>
        <w:ind w:left="720"/>
      </w:pPr>
      <w:r w:rsidRPr="00714A99">
        <w:t xml:space="preserve">The </w:t>
      </w:r>
      <w:r>
        <w:t xml:space="preserve">immediate and effective </w:t>
      </w:r>
      <w:r w:rsidRPr="00714A99">
        <w:t xml:space="preserve">implementation of these management responses is </w:t>
      </w:r>
      <w:r>
        <w:t>required</w:t>
      </w:r>
      <w:r w:rsidRPr="00714A99">
        <w:t xml:space="preserve"> to both improve participant outcomes and </w:t>
      </w:r>
      <w:r>
        <w:t>ensure the Scheme is</w:t>
      </w:r>
      <w:r w:rsidRPr="00714A99">
        <w:t xml:space="preserve"> financial</w:t>
      </w:r>
      <w:r>
        <w:t>ly</w:t>
      </w:r>
      <w:r w:rsidRPr="00714A99">
        <w:t xml:space="preserve"> sustainable into the future</w:t>
      </w:r>
      <w:r w:rsidR="00B23607">
        <w:t>.</w:t>
      </w:r>
    </w:p>
    <w:p w14:paraId="4D84DBC5" w14:textId="77777777" w:rsidR="007D299F" w:rsidRDefault="007D299F">
      <w:pPr>
        <w:spacing w:before="0" w:after="160" w:line="259" w:lineRule="auto"/>
        <w:ind w:left="0"/>
      </w:pPr>
      <w:r>
        <w:br w:type="page"/>
      </w:r>
    </w:p>
    <w:p w14:paraId="4318465F" w14:textId="08FDEB67" w:rsidR="007D299F" w:rsidRDefault="007D299F" w:rsidP="00AF2A24">
      <w:pPr>
        <w:ind w:left="720"/>
      </w:pPr>
      <w:r>
        <w:rPr>
          <w:noProof/>
          <w:lang w:eastAsia="en-AU"/>
        </w:rPr>
        <w:lastRenderedPageBreak/>
        <w:drawing>
          <wp:inline distT="0" distB="0" distL="0" distR="0" wp14:anchorId="103C76CF" wp14:editId="75152A04">
            <wp:extent cx="5861193" cy="8234885"/>
            <wp:effectExtent l="0" t="0" r="6350" b="0"/>
            <wp:docPr id="247" name="Picture 247" descr="This is a letter, with an official Australian Government Actuary letter head, from the Australian Government Actuary to the NDIA Chairman&#10;&#10;Contact details for Guy Thorburn are provided on the top right of the letter, they say: Telephone:  02 6263 4127  E-mail: guy.thorburn@aga.gov.a&#10;&#10;Ref No.:  NDIA-FSR2020-SR&#10;&#10;The letter is dated 1 September, 2020. It reads as follows:&#10;&#10;Dear Dr Nugent&#10;REVIEW OF FINANCIAL SUSTAINABILITY REPORT&#10;As required under section 180E of the National Disability Insurance Scheme (NDIS) Act 2013 I have reviewed the 2019-20 Financial Sustainability Report (FSR).  &#10;The Scheme Actuary has selected assumptions based on the experience of the scheme. The projection methodology has also been enhanced in this FSR to better reflect some transitions within the scheme. The assumptions have been reviewed to be consistent with the new projection methodology. Noting the uncertainty inherent in any projection, I am satisfied that the assumptions, when taken as a whole, are reasonable and that the projection is realistic.  &#10;The FSR identifies a number of emerging sustainability pressures for the scheme and reports on participant outcomes. This highlights the importance of progressing initiatives which form part of an insurance-based approach to scheme management.&#10;Finally, I note that the Agency has taken the steps necessary for me to undertake this review.&#10;Yours sincerely, Guy Thorburn, Reviewing Actuary. Australian Government Actuary.&#10;&#10;The footer of the letter says The Treasury, Langton Crescent Parkes ACT 2600. General enquiries 06 6263 4189. Facsimile 02 6263 26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Aus Gov Actuary letter.JPG"/>
                    <pic:cNvPicPr/>
                  </pic:nvPicPr>
                  <pic:blipFill>
                    <a:blip r:embed="rId58">
                      <a:extLst>
                        <a:ext uri="{28A0092B-C50C-407E-A947-70E740481C1C}">
                          <a14:useLocalDpi xmlns:a14="http://schemas.microsoft.com/office/drawing/2010/main" val="0"/>
                        </a:ext>
                      </a:extLst>
                    </a:blip>
                    <a:stretch>
                      <a:fillRect/>
                    </a:stretch>
                  </pic:blipFill>
                  <pic:spPr>
                    <a:xfrm>
                      <a:off x="0" y="0"/>
                      <a:ext cx="5866423" cy="8242233"/>
                    </a:xfrm>
                    <a:prstGeom prst="rect">
                      <a:avLst/>
                    </a:prstGeom>
                  </pic:spPr>
                </pic:pic>
              </a:graphicData>
            </a:graphic>
          </wp:inline>
        </w:drawing>
      </w:r>
    </w:p>
    <w:p w14:paraId="0ABA6ABC" w14:textId="77777777" w:rsidR="007D299F" w:rsidRDefault="007D299F">
      <w:pPr>
        <w:spacing w:before="0" w:after="160" w:line="259" w:lineRule="auto"/>
        <w:ind w:left="0"/>
      </w:pPr>
      <w:r>
        <w:br w:type="page"/>
      </w:r>
    </w:p>
    <w:p w14:paraId="045B4D14" w14:textId="77777777" w:rsidR="00262F3A" w:rsidRPr="00262F3A" w:rsidRDefault="00262F3A" w:rsidP="00AF2A24">
      <w:pPr>
        <w:ind w:left="720"/>
      </w:pPr>
    </w:p>
    <w:p w14:paraId="3965E8C4" w14:textId="77777777" w:rsidR="0025606A" w:rsidRPr="00262F3A" w:rsidRDefault="0025606A" w:rsidP="008F00D1">
      <w:pPr>
        <w:pStyle w:val="Heading2"/>
      </w:pPr>
      <w:bookmarkStart w:id="129" w:name="_Toc18319613"/>
      <w:bookmarkStart w:id="130" w:name="_Toc51067973"/>
      <w:bookmarkStart w:id="131" w:name="_Hlk16357723"/>
      <w:r w:rsidRPr="00262F3A">
        <w:t>Annual performance statements</w:t>
      </w:r>
      <w:bookmarkEnd w:id="129"/>
      <w:bookmarkEnd w:id="130"/>
    </w:p>
    <w:p w14:paraId="159F77C1" w14:textId="77777777" w:rsidR="0025606A" w:rsidRPr="00262F3A" w:rsidRDefault="0025606A" w:rsidP="0025606A">
      <w:pPr>
        <w:spacing w:after="160" w:line="259" w:lineRule="auto"/>
        <w:rPr>
          <w:rFonts w:eastAsia="Georgia"/>
          <w:b/>
          <w:sz w:val="21"/>
          <w:szCs w:val="21"/>
          <w:lang w:eastAsia="en-US"/>
        </w:rPr>
      </w:pPr>
      <w:r w:rsidRPr="00262F3A">
        <w:rPr>
          <w:rFonts w:eastAsia="Georgia"/>
          <w:b/>
          <w:sz w:val="21"/>
          <w:szCs w:val="21"/>
        </w:rPr>
        <w:t xml:space="preserve">National Disability Insurance Agency – performance statement authority </w:t>
      </w:r>
    </w:p>
    <w:p w14:paraId="21C1E4B5" w14:textId="77777777" w:rsidR="0025606A" w:rsidRPr="00262F3A" w:rsidRDefault="0025606A" w:rsidP="0025606A">
      <w:pPr>
        <w:rPr>
          <w:sz w:val="21"/>
          <w:szCs w:val="21"/>
        </w:rPr>
      </w:pPr>
      <w:r w:rsidRPr="00262F3A">
        <w:rPr>
          <w:sz w:val="21"/>
          <w:szCs w:val="21"/>
        </w:rPr>
        <w:t xml:space="preserve">I, </w:t>
      </w:r>
      <w:bookmarkStart w:id="132" w:name="_Hlk12781119"/>
      <w:r w:rsidRPr="00262F3A">
        <w:rPr>
          <w:color w:val="222222"/>
          <w:sz w:val="21"/>
          <w:szCs w:val="21"/>
          <w:shd w:val="clear" w:color="auto" w:fill="FFFFFF"/>
        </w:rPr>
        <w:t>Helen Nugent</w:t>
      </w:r>
      <w:bookmarkEnd w:id="132"/>
      <w:r w:rsidRPr="00262F3A">
        <w:rPr>
          <w:color w:val="222222"/>
          <w:sz w:val="21"/>
          <w:szCs w:val="21"/>
          <w:shd w:val="clear" w:color="auto" w:fill="FFFFFF"/>
        </w:rPr>
        <w:t xml:space="preserve"> AO,</w:t>
      </w:r>
      <w:r w:rsidRPr="00262F3A">
        <w:rPr>
          <w:sz w:val="21"/>
          <w:szCs w:val="21"/>
        </w:rPr>
        <w:t xml:space="preserve"> as Chairman of the Accountable Authority of the National Disability Insurance Agency (NDIA), present the NDIA’s 2019–20 annual performance statements, as required under paragraph 39(1)(a) of the </w:t>
      </w:r>
      <w:r w:rsidRPr="00262F3A">
        <w:rPr>
          <w:i/>
          <w:sz w:val="21"/>
          <w:szCs w:val="21"/>
        </w:rPr>
        <w:t>Public Governance, Performance and Accountability Act 2013</w:t>
      </w:r>
      <w:r w:rsidRPr="00262F3A">
        <w:rPr>
          <w:sz w:val="21"/>
          <w:szCs w:val="21"/>
        </w:rPr>
        <w:t xml:space="preserve"> (PGPA Act). </w:t>
      </w:r>
    </w:p>
    <w:p w14:paraId="266FB312" w14:textId="1B5571E1" w:rsidR="0025606A" w:rsidRPr="00262F3A" w:rsidRDefault="0025606A" w:rsidP="0025606A">
      <w:pPr>
        <w:rPr>
          <w:sz w:val="21"/>
          <w:szCs w:val="21"/>
        </w:rPr>
      </w:pPr>
      <w:r w:rsidRPr="00262F3A">
        <w:rPr>
          <w:sz w:val="21"/>
          <w:szCs w:val="21"/>
        </w:rPr>
        <w:t>The performance statements acquit the performance criteria as published in both the NDIA Corporate Plan 2019–</w:t>
      </w:r>
      <w:r w:rsidR="000C1BFD">
        <w:rPr>
          <w:sz w:val="21"/>
          <w:szCs w:val="21"/>
        </w:rPr>
        <w:t>20</w:t>
      </w:r>
      <w:r w:rsidRPr="00262F3A">
        <w:rPr>
          <w:sz w:val="21"/>
          <w:szCs w:val="21"/>
        </w:rPr>
        <w:t>23 and Portfolio Budget Statements 2019–20, Budget Related Paper No 1.15A.</w:t>
      </w:r>
    </w:p>
    <w:p w14:paraId="26357FAD" w14:textId="77777777" w:rsidR="0025606A" w:rsidRPr="00262F3A" w:rsidRDefault="0025606A" w:rsidP="0025606A">
      <w:pPr>
        <w:rPr>
          <w:sz w:val="21"/>
          <w:szCs w:val="21"/>
        </w:rPr>
      </w:pPr>
      <w:r w:rsidRPr="00262F3A">
        <w:rPr>
          <w:sz w:val="21"/>
          <w:szCs w:val="21"/>
        </w:rPr>
        <w:t>In the opinion of the Board, the annual performance statements have been appropriately prepared and presented in compliance with subsection 39(2) of the PGPA Act and are based on properly maintained records and accurately reflect the performance of the NDIA for 2019–20.</w:t>
      </w:r>
    </w:p>
    <w:p w14:paraId="45C625A9" w14:textId="3098718F" w:rsidR="0025606A" w:rsidRPr="00262F3A" w:rsidRDefault="0025606A">
      <w:pPr>
        <w:rPr>
          <w:b/>
          <w:sz w:val="21"/>
          <w:szCs w:val="21"/>
        </w:rPr>
      </w:pPr>
      <w:r w:rsidRPr="00262F3A">
        <w:rPr>
          <w:sz w:val="21"/>
          <w:szCs w:val="21"/>
        </w:rPr>
        <w:t xml:space="preserve">The data included in the annual performance statement should be read in conjunction with the commentary provided </w:t>
      </w:r>
      <w:r w:rsidR="006953A4" w:rsidRPr="00262F3A">
        <w:rPr>
          <w:sz w:val="21"/>
          <w:szCs w:val="21"/>
        </w:rPr>
        <w:t xml:space="preserve">in Section 2 </w:t>
      </w:r>
      <w:r w:rsidRPr="00262F3A">
        <w:rPr>
          <w:sz w:val="21"/>
          <w:szCs w:val="21"/>
        </w:rPr>
        <w:t>of this annual report</w:t>
      </w:r>
      <w:r w:rsidRPr="00262F3A">
        <w:rPr>
          <w:rFonts w:eastAsia="Times New Roman"/>
          <w:color w:val="000000"/>
          <w:sz w:val="21"/>
          <w:szCs w:val="21"/>
          <w:lang w:eastAsia="en-AU"/>
        </w:rPr>
        <w:t>.</w:t>
      </w:r>
    </w:p>
    <w:p w14:paraId="4EBFDE64" w14:textId="6C064158" w:rsidR="0025606A" w:rsidRPr="00262F3A" w:rsidRDefault="0025606A" w:rsidP="0025606A">
      <w:pPr>
        <w:rPr>
          <w:sz w:val="21"/>
          <w:szCs w:val="21"/>
        </w:rPr>
      </w:pPr>
      <w:r w:rsidRPr="00262F3A">
        <w:rPr>
          <w:b/>
          <w:sz w:val="21"/>
          <w:szCs w:val="21"/>
        </w:rPr>
        <w:t>Dr Helen Nugent AO</w:t>
      </w:r>
      <w:r w:rsidR="00F3756F" w:rsidRPr="00262F3A">
        <w:rPr>
          <w:b/>
          <w:sz w:val="21"/>
          <w:szCs w:val="21"/>
        </w:rPr>
        <w:br/>
      </w:r>
      <w:r w:rsidRPr="00262F3A">
        <w:rPr>
          <w:b/>
          <w:bCs/>
          <w:sz w:val="21"/>
          <w:szCs w:val="21"/>
        </w:rPr>
        <w:t>Chairman, National Disability Insurance Agency</w:t>
      </w:r>
    </w:p>
    <w:p w14:paraId="31C38B87" w14:textId="77777777" w:rsidR="0025606A" w:rsidRPr="00262F3A" w:rsidRDefault="0025606A" w:rsidP="008F00D1">
      <w:pPr>
        <w:pStyle w:val="Heading3"/>
      </w:pPr>
      <w:bookmarkStart w:id="133" w:name="_Toc51067974"/>
      <w:r w:rsidRPr="00262F3A">
        <w:t>Introduction</w:t>
      </w:r>
      <w:bookmarkEnd w:id="133"/>
      <w:r w:rsidRPr="00262F3A">
        <w:t xml:space="preserve"> </w:t>
      </w:r>
    </w:p>
    <w:p w14:paraId="35CC94C8" w14:textId="77777777" w:rsidR="0025606A" w:rsidRPr="00262F3A" w:rsidRDefault="0025606A" w:rsidP="0025606A">
      <w:pPr>
        <w:rPr>
          <w:sz w:val="21"/>
          <w:szCs w:val="21"/>
        </w:rPr>
      </w:pPr>
      <w:r w:rsidRPr="00262F3A">
        <w:rPr>
          <w:sz w:val="21"/>
          <w:szCs w:val="21"/>
        </w:rPr>
        <w:t>The Commonwealth performance framework covers corporate planning and performance reporting for Commonwealth entities including the NDIA.</w:t>
      </w:r>
    </w:p>
    <w:p w14:paraId="0474953A" w14:textId="77777777" w:rsidR="0025606A" w:rsidRPr="00262F3A" w:rsidRDefault="0025606A" w:rsidP="0025606A">
      <w:pPr>
        <w:rPr>
          <w:sz w:val="21"/>
          <w:szCs w:val="21"/>
        </w:rPr>
      </w:pPr>
      <w:r w:rsidRPr="00262F3A">
        <w:rPr>
          <w:sz w:val="21"/>
          <w:szCs w:val="21"/>
        </w:rPr>
        <w:t>The annual performance statements are one of three core elements of this performance framework. The NDIA Portfolio Budget Statements 2019–20 (PBS), which are published in Budget Related Paper No 1.15A, and the NDIA’s C</w:t>
      </w:r>
      <w:r w:rsidRPr="00262F3A">
        <w:rPr>
          <w:rFonts w:eastAsia="Malgun Gothic" w:hAnsi="Malgun Gothic"/>
          <w:sz w:val="21"/>
          <w:szCs w:val="21"/>
        </w:rPr>
        <w:t>orporate Plan constitute</w:t>
      </w:r>
      <w:r w:rsidRPr="00262F3A">
        <w:rPr>
          <w:sz w:val="21"/>
          <w:szCs w:val="21"/>
        </w:rPr>
        <w:t xml:space="preserve"> the remaining two components.</w:t>
      </w:r>
    </w:p>
    <w:p w14:paraId="078D7A03" w14:textId="77777777" w:rsidR="0025606A" w:rsidRPr="00262F3A" w:rsidRDefault="0025606A" w:rsidP="008F00D1">
      <w:pPr>
        <w:pStyle w:val="Heading3"/>
      </w:pPr>
      <w:bookmarkStart w:id="134" w:name="_Toc51067975"/>
      <w:r w:rsidRPr="00262F3A">
        <w:t>Structure and content</w:t>
      </w:r>
      <w:bookmarkEnd w:id="134"/>
    </w:p>
    <w:p w14:paraId="598E7172" w14:textId="56B7AC1B" w:rsidR="0025606A" w:rsidRPr="00262F3A" w:rsidRDefault="0025606A" w:rsidP="0025606A">
      <w:pPr>
        <w:rPr>
          <w:sz w:val="21"/>
          <w:szCs w:val="21"/>
        </w:rPr>
      </w:pPr>
      <w:r w:rsidRPr="00262F3A">
        <w:rPr>
          <w:sz w:val="21"/>
          <w:szCs w:val="21"/>
        </w:rPr>
        <w:t xml:space="preserve">The annual performance statement </w:t>
      </w:r>
      <w:r w:rsidR="00815D62" w:rsidRPr="00262F3A">
        <w:rPr>
          <w:sz w:val="21"/>
          <w:szCs w:val="21"/>
        </w:rPr>
        <w:t>identifi</w:t>
      </w:r>
      <w:r w:rsidR="00815D62">
        <w:rPr>
          <w:sz w:val="21"/>
          <w:szCs w:val="21"/>
        </w:rPr>
        <w:t>es</w:t>
      </w:r>
      <w:r w:rsidR="00815D62" w:rsidRPr="00262F3A">
        <w:rPr>
          <w:sz w:val="21"/>
          <w:szCs w:val="21"/>
        </w:rPr>
        <w:t xml:space="preserve"> </w:t>
      </w:r>
      <w:r w:rsidRPr="00262F3A">
        <w:rPr>
          <w:sz w:val="21"/>
          <w:szCs w:val="21"/>
        </w:rPr>
        <w:t>the NDIA’s purpose, as described in the NDIA Corporate Plan 2019–</w:t>
      </w:r>
      <w:r w:rsidR="000C1BFD">
        <w:rPr>
          <w:sz w:val="21"/>
          <w:szCs w:val="21"/>
        </w:rPr>
        <w:t>20</w:t>
      </w:r>
      <w:r w:rsidRPr="00262F3A">
        <w:rPr>
          <w:sz w:val="21"/>
          <w:szCs w:val="21"/>
        </w:rPr>
        <w:t xml:space="preserve">23, </w:t>
      </w:r>
      <w:r w:rsidR="00815D62">
        <w:rPr>
          <w:sz w:val="21"/>
          <w:szCs w:val="21"/>
        </w:rPr>
        <w:t xml:space="preserve">which is then </w:t>
      </w:r>
      <w:r w:rsidRPr="00262F3A">
        <w:rPr>
          <w:sz w:val="21"/>
          <w:szCs w:val="21"/>
        </w:rPr>
        <w:t>cross-reference</w:t>
      </w:r>
      <w:r w:rsidR="00815D62">
        <w:rPr>
          <w:sz w:val="21"/>
          <w:szCs w:val="21"/>
        </w:rPr>
        <w:t>d</w:t>
      </w:r>
      <w:r w:rsidRPr="00262F3A">
        <w:rPr>
          <w:sz w:val="21"/>
          <w:szCs w:val="21"/>
        </w:rPr>
        <w:t xml:space="preserve"> to the related outcome published in the PBS.</w:t>
      </w:r>
    </w:p>
    <w:p w14:paraId="48A310A2" w14:textId="44DC2DB4" w:rsidR="0025606A" w:rsidRPr="00262F3A" w:rsidRDefault="0025606A" w:rsidP="0025606A">
      <w:pPr>
        <w:rPr>
          <w:rFonts w:ascii="Calibri" w:hAnsi="Calibri" w:cs="Calibri"/>
          <w:b/>
        </w:rPr>
      </w:pPr>
      <w:r w:rsidRPr="00262F3A">
        <w:rPr>
          <w:sz w:val="21"/>
          <w:szCs w:val="21"/>
        </w:rPr>
        <w:t>The report then provides actual results against each performance metric or target</w:t>
      </w:r>
      <w:r w:rsidR="000C1BFD">
        <w:rPr>
          <w:sz w:val="21"/>
          <w:szCs w:val="21"/>
        </w:rPr>
        <w:t>,</w:t>
      </w:r>
      <w:r w:rsidRPr="00262F3A">
        <w:rPr>
          <w:sz w:val="21"/>
          <w:szCs w:val="21"/>
        </w:rPr>
        <w:t xml:space="preserve"> with supporting comments where relevant. </w:t>
      </w:r>
    </w:p>
    <w:p w14:paraId="32C1F81C" w14:textId="77777777" w:rsidR="0025606A" w:rsidRPr="00262F3A" w:rsidRDefault="0025606A" w:rsidP="008F00D1">
      <w:pPr>
        <w:pStyle w:val="Heading4"/>
      </w:pPr>
      <w:r w:rsidRPr="00262F3A">
        <w:t>NDIA Purpose</w:t>
      </w:r>
    </w:p>
    <w:p w14:paraId="56581B2B" w14:textId="27026A4F" w:rsidR="0025606A" w:rsidRPr="00262F3A" w:rsidRDefault="002E08C3" w:rsidP="00262F3A">
      <w:pPr>
        <w:autoSpaceDE w:val="0"/>
        <w:autoSpaceDN w:val="0"/>
        <w:adjustRightInd w:val="0"/>
        <w:spacing w:before="100" w:line="191" w:lineRule="atLeast"/>
        <w:rPr>
          <w:strike/>
          <w:sz w:val="21"/>
          <w:szCs w:val="21"/>
        </w:rPr>
      </w:pPr>
      <w:r w:rsidRPr="00262F3A">
        <w:rPr>
          <w:rFonts w:eastAsiaTheme="minorHAnsi"/>
          <w:lang w:eastAsia="en-US"/>
        </w:rPr>
        <w:t>The Agency’s purpose is to s</w:t>
      </w:r>
      <w:r w:rsidRPr="00262F3A">
        <w:t>upport individuals with a significant and permanent disability (participants) to be more independent, and engage more socially and economically, while delivering a financially sustainable NDIS that builds genuinely connected and engaged communities and stakeholders.</w:t>
      </w:r>
      <w:r w:rsidR="0025606A" w:rsidRPr="00262F3A">
        <w:rPr>
          <w:strike/>
          <w:sz w:val="21"/>
          <w:szCs w:val="21"/>
        </w:rPr>
        <w:t xml:space="preserve"> </w:t>
      </w:r>
    </w:p>
    <w:p w14:paraId="0D172807" w14:textId="5F87256F" w:rsidR="0025606A" w:rsidRPr="00262F3A" w:rsidRDefault="0025606A" w:rsidP="008F00D1">
      <w:pPr>
        <w:pStyle w:val="Heading3"/>
      </w:pPr>
      <w:bookmarkStart w:id="135" w:name="_Toc51067976"/>
      <w:r w:rsidRPr="00262F3A">
        <w:rPr>
          <w:rStyle w:val="Heading4Char"/>
          <w:b/>
          <w:sz w:val="28"/>
        </w:rPr>
        <w:t>Aspirations</w:t>
      </w:r>
      <w:bookmarkEnd w:id="135"/>
    </w:p>
    <w:p w14:paraId="4C673B21" w14:textId="06036403" w:rsidR="0025606A" w:rsidRPr="00262F3A" w:rsidRDefault="0025606A" w:rsidP="006D2911">
      <w:pPr>
        <w:pStyle w:val="ListParagraph"/>
        <w:numPr>
          <w:ilvl w:val="0"/>
          <w:numId w:val="20"/>
        </w:numPr>
        <w:spacing w:before="0"/>
        <w:rPr>
          <w:sz w:val="21"/>
          <w:szCs w:val="21"/>
        </w:rPr>
      </w:pPr>
      <w:r w:rsidRPr="00262F3A">
        <w:rPr>
          <w:b/>
          <w:sz w:val="21"/>
          <w:szCs w:val="21"/>
        </w:rPr>
        <w:t>A quality experience and outcomes for participants</w:t>
      </w:r>
      <w:r w:rsidRPr="00262F3A">
        <w:rPr>
          <w:sz w:val="21"/>
          <w:szCs w:val="21"/>
        </w:rPr>
        <w:t xml:space="preserve"> – </w:t>
      </w:r>
      <w:r w:rsidR="00AD5D51">
        <w:rPr>
          <w:sz w:val="21"/>
          <w:szCs w:val="21"/>
        </w:rPr>
        <w:t>f</w:t>
      </w:r>
      <w:r w:rsidR="00AD5D51" w:rsidRPr="00262F3A">
        <w:rPr>
          <w:sz w:val="21"/>
          <w:szCs w:val="21"/>
        </w:rPr>
        <w:t xml:space="preserve">acilitate </w:t>
      </w:r>
      <w:r w:rsidRPr="00262F3A">
        <w:rPr>
          <w:sz w:val="21"/>
          <w:szCs w:val="21"/>
        </w:rPr>
        <w:t>outcomes of economic and social independence and deliver a quality service for participants, their families, carers and providers</w:t>
      </w:r>
    </w:p>
    <w:p w14:paraId="2F544FBC" w14:textId="4B208940" w:rsidR="0025606A" w:rsidRPr="00262F3A" w:rsidRDefault="0025606A" w:rsidP="006D2911">
      <w:pPr>
        <w:pStyle w:val="ListParagraph"/>
        <w:numPr>
          <w:ilvl w:val="0"/>
          <w:numId w:val="20"/>
        </w:numPr>
        <w:spacing w:before="0"/>
        <w:rPr>
          <w:sz w:val="21"/>
          <w:szCs w:val="21"/>
        </w:rPr>
      </w:pPr>
      <w:r w:rsidRPr="00262F3A">
        <w:rPr>
          <w:b/>
          <w:sz w:val="21"/>
          <w:szCs w:val="21"/>
        </w:rPr>
        <w:t>A competitive market with innovative supports</w:t>
      </w:r>
      <w:r w:rsidRPr="00262F3A">
        <w:rPr>
          <w:sz w:val="21"/>
          <w:szCs w:val="21"/>
        </w:rPr>
        <w:t xml:space="preserve"> – </w:t>
      </w:r>
      <w:r w:rsidR="00AD5D51">
        <w:rPr>
          <w:sz w:val="21"/>
          <w:szCs w:val="21"/>
        </w:rPr>
        <w:t>w</w:t>
      </w:r>
      <w:r w:rsidR="00AD5D51" w:rsidRPr="00262F3A">
        <w:rPr>
          <w:sz w:val="21"/>
          <w:szCs w:val="21"/>
        </w:rPr>
        <w:t xml:space="preserve">ork </w:t>
      </w:r>
      <w:r w:rsidRPr="00262F3A">
        <w:rPr>
          <w:sz w:val="21"/>
          <w:szCs w:val="21"/>
        </w:rPr>
        <w:t>with participants and other stakeholders to enable the growth of a market of adequate size, quality and innovation</w:t>
      </w:r>
    </w:p>
    <w:p w14:paraId="5083A49B" w14:textId="3A3E4500" w:rsidR="0025606A" w:rsidRPr="00262F3A" w:rsidRDefault="0025606A" w:rsidP="006D2911">
      <w:pPr>
        <w:pStyle w:val="ListParagraph"/>
        <w:numPr>
          <w:ilvl w:val="0"/>
          <w:numId w:val="20"/>
        </w:numPr>
        <w:spacing w:before="0"/>
        <w:rPr>
          <w:b/>
          <w:sz w:val="21"/>
          <w:szCs w:val="21"/>
        </w:rPr>
      </w:pPr>
      <w:r w:rsidRPr="00262F3A">
        <w:rPr>
          <w:b/>
          <w:sz w:val="21"/>
          <w:szCs w:val="21"/>
        </w:rPr>
        <w:t>A connected and engaged stakeholder sector</w:t>
      </w:r>
      <w:r w:rsidRPr="00262F3A">
        <w:rPr>
          <w:sz w:val="21"/>
          <w:szCs w:val="21"/>
        </w:rPr>
        <w:t xml:space="preserve"> – </w:t>
      </w:r>
      <w:r w:rsidR="00AD5D51">
        <w:rPr>
          <w:sz w:val="21"/>
          <w:szCs w:val="21"/>
        </w:rPr>
        <w:t>a</w:t>
      </w:r>
      <w:r w:rsidR="00AD5D51" w:rsidRPr="00262F3A">
        <w:rPr>
          <w:sz w:val="21"/>
          <w:szCs w:val="21"/>
        </w:rPr>
        <w:t xml:space="preserve"> </w:t>
      </w:r>
      <w:r w:rsidRPr="00262F3A">
        <w:rPr>
          <w:sz w:val="21"/>
          <w:szCs w:val="21"/>
        </w:rPr>
        <w:t>strong and engaged stakeholder sector that genuinely collaborates and contributes to the delivery of the Scheme, with confidence in the NDIA</w:t>
      </w:r>
    </w:p>
    <w:p w14:paraId="654EA8D2" w14:textId="01E9E84C" w:rsidR="0025606A" w:rsidRPr="00262F3A" w:rsidRDefault="0025606A" w:rsidP="006D2911">
      <w:pPr>
        <w:pStyle w:val="ListParagraph"/>
        <w:numPr>
          <w:ilvl w:val="0"/>
          <w:numId w:val="20"/>
        </w:numPr>
        <w:spacing w:before="0"/>
        <w:rPr>
          <w:sz w:val="21"/>
          <w:szCs w:val="21"/>
        </w:rPr>
      </w:pPr>
      <w:r w:rsidRPr="00262F3A">
        <w:rPr>
          <w:b/>
          <w:sz w:val="21"/>
          <w:szCs w:val="21"/>
        </w:rPr>
        <w:t>A financially sustainable scheme</w:t>
      </w:r>
      <w:r w:rsidRPr="00262F3A">
        <w:rPr>
          <w:sz w:val="21"/>
          <w:szCs w:val="21"/>
        </w:rPr>
        <w:t xml:space="preserve"> – </w:t>
      </w:r>
      <w:r w:rsidR="00AD5D51">
        <w:rPr>
          <w:sz w:val="21"/>
          <w:szCs w:val="21"/>
        </w:rPr>
        <w:t>d</w:t>
      </w:r>
      <w:r w:rsidR="00AD5D51" w:rsidRPr="00262F3A">
        <w:rPr>
          <w:sz w:val="21"/>
          <w:szCs w:val="21"/>
        </w:rPr>
        <w:t xml:space="preserve">eliver </w:t>
      </w:r>
      <w:r w:rsidRPr="00262F3A">
        <w:rPr>
          <w:sz w:val="21"/>
          <w:szCs w:val="21"/>
        </w:rPr>
        <w:t>a financially sustainable Scheme within the agreed funding, based on insurance principles and risk-awareness</w:t>
      </w:r>
    </w:p>
    <w:p w14:paraId="15AF6A51" w14:textId="0581502E" w:rsidR="0025606A" w:rsidRPr="00262F3A" w:rsidRDefault="0025606A" w:rsidP="006D2911">
      <w:pPr>
        <w:pStyle w:val="ListParagraph"/>
        <w:numPr>
          <w:ilvl w:val="0"/>
          <w:numId w:val="20"/>
        </w:numPr>
        <w:spacing w:before="0"/>
        <w:rPr>
          <w:sz w:val="21"/>
          <w:szCs w:val="21"/>
        </w:rPr>
      </w:pPr>
      <w:r w:rsidRPr="00262F3A">
        <w:rPr>
          <w:b/>
          <w:sz w:val="21"/>
          <w:szCs w:val="21"/>
        </w:rPr>
        <w:t>A high-performing NDIA</w:t>
      </w:r>
      <w:r w:rsidRPr="00262F3A">
        <w:rPr>
          <w:sz w:val="21"/>
          <w:szCs w:val="21"/>
        </w:rPr>
        <w:t xml:space="preserve"> – </w:t>
      </w:r>
      <w:r w:rsidR="00AD5D51">
        <w:rPr>
          <w:sz w:val="21"/>
          <w:szCs w:val="21"/>
        </w:rPr>
        <w:t>d</w:t>
      </w:r>
      <w:r w:rsidR="00AD5D51" w:rsidRPr="00262F3A">
        <w:rPr>
          <w:sz w:val="21"/>
          <w:szCs w:val="21"/>
        </w:rPr>
        <w:t xml:space="preserve">evelop </w:t>
      </w:r>
      <w:r w:rsidRPr="00262F3A">
        <w:rPr>
          <w:sz w:val="21"/>
          <w:szCs w:val="21"/>
        </w:rPr>
        <w:t>a high-performing, operationally excellent NDIA that has an engaged workforce with systems and processes that facilitate service excellence</w:t>
      </w:r>
    </w:p>
    <w:p w14:paraId="058E59BB" w14:textId="77777777" w:rsidR="0025606A" w:rsidRPr="00262F3A" w:rsidRDefault="0025606A" w:rsidP="0025606A">
      <w:pPr>
        <w:ind w:left="717"/>
        <w:rPr>
          <w:rFonts w:eastAsia="Cambria"/>
          <w:sz w:val="21"/>
          <w:szCs w:val="21"/>
        </w:rPr>
      </w:pPr>
      <w:r w:rsidRPr="00262F3A">
        <w:rPr>
          <w:rFonts w:eastAsia="Cambria"/>
          <w:sz w:val="21"/>
          <w:szCs w:val="21"/>
        </w:rPr>
        <w:lastRenderedPageBreak/>
        <w:t>The 2019–2023 NDIA Corporate Plan uses performance targets to measure achievements against these aspirations.</w:t>
      </w:r>
    </w:p>
    <w:p w14:paraId="4115062B" w14:textId="77777777" w:rsidR="0025606A" w:rsidRPr="00262F3A" w:rsidRDefault="0025606A" w:rsidP="008F00D1">
      <w:pPr>
        <w:pStyle w:val="Heading4"/>
      </w:pPr>
      <w:r w:rsidRPr="00262F3A">
        <w:t>Aspiration 1: A quality experience and outcomes for participants</w:t>
      </w:r>
    </w:p>
    <w:p w14:paraId="5E9A720A" w14:textId="77777777" w:rsidR="0025606A" w:rsidRPr="00262F3A" w:rsidRDefault="0025606A" w:rsidP="0025606A">
      <w:pPr>
        <w:rPr>
          <w:rFonts w:eastAsia="Cambria"/>
        </w:rPr>
      </w:pPr>
      <w:r w:rsidRPr="00262F3A">
        <w:rPr>
          <w:rFonts w:eastAsia="Cambria"/>
          <w:b/>
        </w:rPr>
        <w:t>A quality experience and outcomes for participants</w:t>
      </w:r>
      <w:r w:rsidRPr="00262F3A">
        <w:rPr>
          <w:rFonts w:eastAsia="Cambria"/>
        </w:rPr>
        <w:t xml:space="preserve"> is measured by:</w:t>
      </w:r>
    </w:p>
    <w:p w14:paraId="6615E257" w14:textId="1936CB3F" w:rsidR="0025606A" w:rsidRPr="00262F3A" w:rsidRDefault="000C1BFD"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ercentage of participants in wor</w:t>
      </w:r>
      <w:r>
        <w:rPr>
          <w:rFonts w:eastAsia="Times New Roman"/>
          <w:lang w:eastAsia="en-AU"/>
        </w:rPr>
        <w:t>k</w:t>
      </w:r>
      <w:r w:rsidR="0025606A" w:rsidRPr="00262F3A">
        <w:rPr>
          <w:rFonts w:eastAsia="Times New Roman"/>
          <w:lang w:eastAsia="en-AU"/>
        </w:rPr>
        <w:t xml:space="preserve"> </w:t>
      </w:r>
    </w:p>
    <w:p w14:paraId="70991558" w14:textId="537176FA" w:rsidR="0025606A" w:rsidRPr="00262F3A" w:rsidRDefault="000C1BFD"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 xml:space="preserve">ercentage of participants involved in </w:t>
      </w:r>
      <w:r>
        <w:rPr>
          <w:rFonts w:eastAsia="Times New Roman"/>
          <w:lang w:eastAsia="en-AU"/>
        </w:rPr>
        <w:t>community and social activities</w:t>
      </w:r>
    </w:p>
    <w:p w14:paraId="3BD4C6D5" w14:textId="5C54DB14" w:rsidR="0025606A" w:rsidRPr="00262F3A" w:rsidRDefault="000C1BFD"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ercen</w:t>
      </w:r>
      <w:r>
        <w:rPr>
          <w:rFonts w:eastAsia="Times New Roman"/>
          <w:lang w:eastAsia="en-AU"/>
        </w:rPr>
        <w:t>tage of operational targets met</w:t>
      </w:r>
    </w:p>
    <w:p w14:paraId="6CDCA893" w14:textId="4C1C060E" w:rsidR="0025606A" w:rsidRPr="00262F3A" w:rsidRDefault="000C1BFD"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ercentage of participant plan reviews met</w:t>
      </w:r>
    </w:p>
    <w:p w14:paraId="683C0F61" w14:textId="6E427FC1" w:rsidR="0025606A" w:rsidRPr="00262F3A" w:rsidRDefault="000C1BFD"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articipant satisfaction rating.</w:t>
      </w:r>
    </w:p>
    <w:p w14:paraId="6326DF5E" w14:textId="77777777" w:rsidR="0025606A" w:rsidRPr="00262F3A" w:rsidRDefault="0025606A" w:rsidP="0025606A">
      <w:pPr>
        <w:spacing w:after="160" w:line="259" w:lineRule="auto"/>
        <w:rPr>
          <w:rFonts w:eastAsiaTheme="minorHAnsi"/>
          <w:sz w:val="21"/>
          <w:szCs w:val="21"/>
          <w:lang w:eastAsia="en-US"/>
        </w:rPr>
      </w:pPr>
      <w:r w:rsidRPr="00262F3A">
        <w:rPr>
          <w:rFonts w:eastAsiaTheme="minorHAnsi"/>
          <w:sz w:val="21"/>
          <w:szCs w:val="21"/>
          <w:lang w:eastAsia="en-US"/>
        </w:rPr>
        <w:t>The following two tables provide baseline and age-split data for the first two measures.</w:t>
      </w:r>
    </w:p>
    <w:p w14:paraId="6553FEE6" w14:textId="35E1AF68" w:rsidR="0025606A" w:rsidRPr="00262F3A" w:rsidRDefault="0025606A" w:rsidP="00901595">
      <w:pPr>
        <w:keepNext/>
        <w:spacing w:after="160" w:line="259" w:lineRule="auto"/>
        <w:rPr>
          <w:rFonts w:eastAsiaTheme="minorHAnsi"/>
          <w:b/>
          <w:sz w:val="21"/>
          <w:szCs w:val="21"/>
          <w:lang w:eastAsia="en-US"/>
        </w:rPr>
      </w:pPr>
      <w:r w:rsidRPr="00262F3A">
        <w:rPr>
          <w:rFonts w:eastAsiaTheme="minorHAnsi"/>
          <w:b/>
          <w:sz w:val="21"/>
          <w:szCs w:val="21"/>
          <w:lang w:eastAsia="en-US"/>
        </w:rPr>
        <w:t xml:space="preserve">Table </w:t>
      </w:r>
      <w:r w:rsidR="00B5137C" w:rsidRPr="00262F3A">
        <w:rPr>
          <w:rFonts w:eastAsiaTheme="minorHAnsi"/>
          <w:b/>
          <w:sz w:val="21"/>
          <w:szCs w:val="21"/>
          <w:lang w:eastAsia="en-US"/>
        </w:rPr>
        <w:t>3.3.3A:</w:t>
      </w:r>
      <w:r w:rsidRPr="00262F3A">
        <w:rPr>
          <w:rFonts w:eastAsiaTheme="minorHAnsi"/>
          <w:sz w:val="21"/>
          <w:szCs w:val="21"/>
          <w:lang w:eastAsia="en-US"/>
        </w:rPr>
        <w:t xml:space="preserve"> Participants in work in 2019-20 compared with the 2019–20 </w:t>
      </w:r>
      <w:r w:rsidR="000C1BFD">
        <w:rPr>
          <w:rFonts w:eastAsiaTheme="minorHAnsi"/>
          <w:sz w:val="21"/>
          <w:szCs w:val="21"/>
          <w:lang w:eastAsia="en-US"/>
        </w:rPr>
        <w:t>t</w:t>
      </w:r>
      <w:r w:rsidRPr="00262F3A">
        <w:rPr>
          <w:rFonts w:eastAsiaTheme="minorHAnsi"/>
          <w:sz w:val="21"/>
          <w:szCs w:val="21"/>
          <w:lang w:eastAsia="en-US"/>
        </w:rPr>
        <w:t>arget</w:t>
      </w:r>
      <w:r w:rsidRPr="00262F3A">
        <w:rPr>
          <w:rStyle w:val="FootnoteReference"/>
          <w:rFonts w:eastAsiaTheme="minorHAnsi"/>
          <w:sz w:val="21"/>
          <w:szCs w:val="21"/>
          <w:lang w:eastAsia="en-US"/>
        </w:rPr>
        <w:footnoteReference w:id="7"/>
      </w:r>
      <w:r w:rsidRPr="00262F3A">
        <w:rPr>
          <w:rFonts w:eastAsiaTheme="minorHAnsi"/>
          <w:sz w:val="21"/>
          <w:szCs w:val="21"/>
          <w:lang w:eastAsia="en-US"/>
        </w:rPr>
        <w:t xml:space="preserve">  </w:t>
      </w:r>
    </w:p>
    <w:tbl>
      <w:tblPr>
        <w:tblStyle w:val="TableGrid"/>
        <w:tblW w:w="8784" w:type="dxa"/>
        <w:tblInd w:w="607" w:type="dxa"/>
        <w:tblLook w:val="04A0" w:firstRow="1" w:lastRow="0" w:firstColumn="1" w:lastColumn="0" w:noHBand="0" w:noVBand="1"/>
        <w:tblDescription w:val="The table has four columns: Participants in work; At Scheme entry (baseline); After three years in the Scheme; and 2019–20 target. There are three rows with participants grouped by age:  Aged 15 to 24 years; aged 25 plus; and aged 15 plus (average). It shows a 12 per cent increase in the number of participants aged 15 to 24 years in work, from the 13 per cent baseline to 25 per cent. For participants aged 25 years or over, there was a fall of 2 per cent, from 26 per cent to 24 per cent. The average across both cohorts was 24 per cent, 1 per cent higher than the baseline result.&#10;"/>
      </w:tblPr>
      <w:tblGrid>
        <w:gridCol w:w="2534"/>
        <w:gridCol w:w="2241"/>
        <w:gridCol w:w="2268"/>
        <w:gridCol w:w="1741"/>
      </w:tblGrid>
      <w:tr w:rsidR="0025606A" w:rsidRPr="00262F3A" w14:paraId="2EFF435A" w14:textId="77777777" w:rsidTr="00D97797">
        <w:trPr>
          <w:tblHeader/>
        </w:trPr>
        <w:tc>
          <w:tcPr>
            <w:tcW w:w="2534" w:type="dxa"/>
            <w:shd w:val="clear" w:color="auto" w:fill="7030A0"/>
          </w:tcPr>
          <w:p w14:paraId="6266B104" w14:textId="77777777" w:rsidR="0025606A" w:rsidRPr="00262F3A" w:rsidRDefault="0025606A" w:rsidP="0025606A">
            <w:pPr>
              <w:pStyle w:val="Tableformat"/>
              <w:rPr>
                <w:rFonts w:eastAsiaTheme="minorHAnsi"/>
                <w:color w:val="FFFFFF" w:themeColor="background1"/>
                <w:lang w:eastAsia="en-US"/>
              </w:rPr>
            </w:pPr>
            <w:r w:rsidRPr="00262F3A">
              <w:rPr>
                <w:rFonts w:eastAsiaTheme="minorHAnsi"/>
                <w:color w:val="FFFFFF" w:themeColor="background1"/>
                <w:lang w:eastAsia="en-US"/>
              </w:rPr>
              <w:t>Participants in work</w:t>
            </w:r>
          </w:p>
        </w:tc>
        <w:tc>
          <w:tcPr>
            <w:tcW w:w="2241" w:type="dxa"/>
            <w:shd w:val="clear" w:color="auto" w:fill="7030A0"/>
          </w:tcPr>
          <w:p w14:paraId="18A1E323" w14:textId="77777777" w:rsidR="0025606A" w:rsidRPr="00262F3A" w:rsidRDefault="0025606A" w:rsidP="0025606A">
            <w:pPr>
              <w:pStyle w:val="Tableformat"/>
              <w:rPr>
                <w:rFonts w:eastAsiaTheme="minorHAnsi"/>
                <w:color w:val="FFFFFF" w:themeColor="background1"/>
                <w:lang w:eastAsia="en-US"/>
              </w:rPr>
            </w:pPr>
            <w:r w:rsidRPr="00262F3A">
              <w:rPr>
                <w:rFonts w:eastAsiaTheme="minorHAnsi"/>
                <w:color w:val="FFFFFF" w:themeColor="background1"/>
                <w:lang w:eastAsia="en-US"/>
              </w:rPr>
              <w:t>At Scheme entry (baseline)</w:t>
            </w:r>
          </w:p>
        </w:tc>
        <w:tc>
          <w:tcPr>
            <w:tcW w:w="2268" w:type="dxa"/>
            <w:shd w:val="clear" w:color="auto" w:fill="7030A0"/>
          </w:tcPr>
          <w:p w14:paraId="159372C9" w14:textId="77777777" w:rsidR="0025606A" w:rsidRPr="00262F3A" w:rsidRDefault="0025606A" w:rsidP="0025606A">
            <w:pPr>
              <w:pStyle w:val="Tableformat"/>
              <w:rPr>
                <w:rFonts w:eastAsiaTheme="minorHAnsi"/>
                <w:color w:val="FFFFFF" w:themeColor="background1"/>
                <w:lang w:eastAsia="en-US"/>
              </w:rPr>
            </w:pPr>
            <w:r w:rsidRPr="00262F3A">
              <w:rPr>
                <w:rFonts w:eastAsiaTheme="minorHAnsi"/>
                <w:color w:val="FFFFFF" w:themeColor="background1"/>
                <w:lang w:eastAsia="en-US"/>
              </w:rPr>
              <w:t>After three years in the Scheme</w:t>
            </w:r>
          </w:p>
        </w:tc>
        <w:tc>
          <w:tcPr>
            <w:tcW w:w="1741" w:type="dxa"/>
            <w:shd w:val="clear" w:color="auto" w:fill="7030A0"/>
          </w:tcPr>
          <w:p w14:paraId="54A73DEB" w14:textId="78E788DE" w:rsidR="0025606A" w:rsidRPr="00262F3A" w:rsidRDefault="0025606A" w:rsidP="000C1BFD">
            <w:pPr>
              <w:pStyle w:val="Tableformat"/>
              <w:rPr>
                <w:rFonts w:eastAsiaTheme="minorHAnsi"/>
                <w:color w:val="FFFFFF" w:themeColor="background1"/>
                <w:lang w:eastAsia="en-US"/>
              </w:rPr>
            </w:pPr>
            <w:r w:rsidRPr="00262F3A">
              <w:rPr>
                <w:rFonts w:eastAsiaTheme="minorHAnsi"/>
                <w:color w:val="FFFFFF" w:themeColor="background1"/>
                <w:lang w:eastAsia="en-US"/>
              </w:rPr>
              <w:t xml:space="preserve">2019–20 </w:t>
            </w:r>
            <w:r w:rsidR="000C1BFD">
              <w:rPr>
                <w:rFonts w:eastAsiaTheme="minorHAnsi"/>
                <w:color w:val="FFFFFF" w:themeColor="background1"/>
                <w:lang w:eastAsia="en-US"/>
              </w:rPr>
              <w:t>t</w:t>
            </w:r>
            <w:r w:rsidRPr="00262F3A">
              <w:rPr>
                <w:rFonts w:eastAsiaTheme="minorHAnsi"/>
                <w:color w:val="FFFFFF" w:themeColor="background1"/>
                <w:lang w:eastAsia="en-US"/>
              </w:rPr>
              <w:t>arget</w:t>
            </w:r>
          </w:p>
        </w:tc>
      </w:tr>
      <w:tr w:rsidR="0025606A" w:rsidRPr="00262F3A" w14:paraId="15D46396" w14:textId="77777777" w:rsidTr="00D97797">
        <w:trPr>
          <w:tblHeader/>
        </w:trPr>
        <w:tc>
          <w:tcPr>
            <w:tcW w:w="2534" w:type="dxa"/>
            <w:tcBorders>
              <w:bottom w:val="single" w:sz="4" w:space="0" w:color="auto"/>
            </w:tcBorders>
            <w:shd w:val="clear" w:color="auto" w:fill="auto"/>
          </w:tcPr>
          <w:p w14:paraId="11C7AB84" w14:textId="77777777" w:rsidR="0025606A" w:rsidRPr="00262F3A" w:rsidRDefault="0025606A" w:rsidP="0025606A">
            <w:pPr>
              <w:pStyle w:val="Tableformat"/>
              <w:rPr>
                <w:rFonts w:eastAsiaTheme="minorHAnsi"/>
                <w:lang w:eastAsia="en-US"/>
              </w:rPr>
            </w:pPr>
            <w:r w:rsidRPr="00262F3A">
              <w:rPr>
                <w:rFonts w:eastAsiaTheme="minorHAnsi"/>
                <w:lang w:eastAsia="en-US"/>
              </w:rPr>
              <w:t>Aged 15 to 24 years</w:t>
            </w:r>
          </w:p>
        </w:tc>
        <w:tc>
          <w:tcPr>
            <w:tcW w:w="2241" w:type="dxa"/>
            <w:tcBorders>
              <w:bottom w:val="single" w:sz="4" w:space="0" w:color="auto"/>
            </w:tcBorders>
            <w:shd w:val="clear" w:color="auto" w:fill="auto"/>
          </w:tcPr>
          <w:p w14:paraId="340B95EF" w14:textId="77777777" w:rsidR="0025606A" w:rsidRPr="00262F3A" w:rsidRDefault="0025606A" w:rsidP="0025606A">
            <w:pPr>
              <w:pStyle w:val="Tableformat"/>
              <w:rPr>
                <w:rFonts w:eastAsiaTheme="minorHAnsi"/>
                <w:lang w:eastAsia="en-US"/>
              </w:rPr>
            </w:pPr>
            <w:r w:rsidRPr="00262F3A">
              <w:t xml:space="preserve">13% </w:t>
            </w:r>
          </w:p>
        </w:tc>
        <w:tc>
          <w:tcPr>
            <w:tcW w:w="2268" w:type="dxa"/>
            <w:tcBorders>
              <w:bottom w:val="single" w:sz="4" w:space="0" w:color="auto"/>
            </w:tcBorders>
            <w:shd w:val="clear" w:color="auto" w:fill="auto"/>
          </w:tcPr>
          <w:p w14:paraId="3B83C765" w14:textId="77777777" w:rsidR="0025606A" w:rsidRPr="00262F3A" w:rsidRDefault="0025606A" w:rsidP="0025606A">
            <w:pPr>
              <w:pStyle w:val="Tableformat"/>
              <w:rPr>
                <w:rFonts w:eastAsiaTheme="minorHAnsi"/>
                <w:lang w:eastAsia="en-US"/>
              </w:rPr>
            </w:pPr>
            <w:r w:rsidRPr="00262F3A">
              <w:t xml:space="preserve">25% </w:t>
            </w:r>
          </w:p>
        </w:tc>
        <w:tc>
          <w:tcPr>
            <w:tcW w:w="1741" w:type="dxa"/>
            <w:vMerge w:val="restart"/>
            <w:shd w:val="clear" w:color="auto" w:fill="auto"/>
            <w:vAlign w:val="center"/>
          </w:tcPr>
          <w:p w14:paraId="498531CD" w14:textId="77777777" w:rsidR="0025606A" w:rsidRPr="00262F3A" w:rsidRDefault="0025606A" w:rsidP="00B5137C">
            <w:pPr>
              <w:pStyle w:val="Tableformat"/>
            </w:pPr>
            <w:r w:rsidRPr="00262F3A">
              <w:t>24%</w:t>
            </w:r>
          </w:p>
        </w:tc>
      </w:tr>
      <w:tr w:rsidR="0025606A" w:rsidRPr="00262F3A" w14:paraId="401EB79B" w14:textId="77777777" w:rsidTr="00D97797">
        <w:trPr>
          <w:tblHeader/>
        </w:trPr>
        <w:tc>
          <w:tcPr>
            <w:tcW w:w="2534" w:type="dxa"/>
            <w:shd w:val="clear" w:color="auto" w:fill="auto"/>
          </w:tcPr>
          <w:p w14:paraId="0FFD2A5E" w14:textId="77777777" w:rsidR="0025606A" w:rsidRPr="00262F3A" w:rsidRDefault="0025606A" w:rsidP="0025606A">
            <w:pPr>
              <w:pStyle w:val="Tableformat"/>
              <w:rPr>
                <w:rFonts w:eastAsiaTheme="minorHAnsi"/>
                <w:lang w:eastAsia="en-US"/>
              </w:rPr>
            </w:pPr>
            <w:r w:rsidRPr="00262F3A">
              <w:rPr>
                <w:rFonts w:eastAsiaTheme="minorHAnsi"/>
                <w:lang w:eastAsia="en-US"/>
              </w:rPr>
              <w:t>Aged 25+</w:t>
            </w:r>
          </w:p>
        </w:tc>
        <w:tc>
          <w:tcPr>
            <w:tcW w:w="2241" w:type="dxa"/>
            <w:shd w:val="clear" w:color="auto" w:fill="auto"/>
          </w:tcPr>
          <w:p w14:paraId="7E4F0673" w14:textId="77777777" w:rsidR="0025606A" w:rsidRPr="00262F3A" w:rsidRDefault="0025606A" w:rsidP="0025606A">
            <w:pPr>
              <w:pStyle w:val="Tableformat"/>
              <w:rPr>
                <w:rFonts w:eastAsiaTheme="minorHAnsi"/>
                <w:lang w:eastAsia="en-US"/>
              </w:rPr>
            </w:pPr>
            <w:r w:rsidRPr="00262F3A">
              <w:t xml:space="preserve">26% </w:t>
            </w:r>
          </w:p>
        </w:tc>
        <w:tc>
          <w:tcPr>
            <w:tcW w:w="2268" w:type="dxa"/>
            <w:shd w:val="clear" w:color="auto" w:fill="auto"/>
          </w:tcPr>
          <w:p w14:paraId="38B773B9" w14:textId="77777777" w:rsidR="0025606A" w:rsidRPr="00262F3A" w:rsidRDefault="0025606A" w:rsidP="0025606A">
            <w:pPr>
              <w:pStyle w:val="Tableformat"/>
              <w:rPr>
                <w:rFonts w:eastAsiaTheme="minorHAnsi"/>
                <w:lang w:eastAsia="en-US"/>
              </w:rPr>
            </w:pPr>
            <w:r w:rsidRPr="00262F3A">
              <w:t xml:space="preserve">24% </w:t>
            </w:r>
          </w:p>
        </w:tc>
        <w:tc>
          <w:tcPr>
            <w:tcW w:w="1741" w:type="dxa"/>
            <w:vMerge/>
            <w:shd w:val="clear" w:color="auto" w:fill="auto"/>
          </w:tcPr>
          <w:p w14:paraId="70DF431E" w14:textId="77777777" w:rsidR="0025606A" w:rsidRPr="00262F3A" w:rsidRDefault="0025606A" w:rsidP="0025606A">
            <w:pPr>
              <w:pStyle w:val="Tableformat"/>
            </w:pPr>
          </w:p>
        </w:tc>
      </w:tr>
      <w:tr w:rsidR="0025606A" w:rsidRPr="00262F3A" w14:paraId="40C7B7EF" w14:textId="77777777" w:rsidTr="00D97797">
        <w:trPr>
          <w:tblHeader/>
        </w:trPr>
        <w:tc>
          <w:tcPr>
            <w:tcW w:w="2534" w:type="dxa"/>
            <w:shd w:val="clear" w:color="auto" w:fill="auto"/>
          </w:tcPr>
          <w:p w14:paraId="757689C0" w14:textId="77777777" w:rsidR="0025606A" w:rsidRPr="00262F3A" w:rsidRDefault="0025606A" w:rsidP="0025606A">
            <w:pPr>
              <w:pStyle w:val="Tableformat"/>
              <w:rPr>
                <w:rFonts w:eastAsiaTheme="minorHAnsi"/>
                <w:lang w:eastAsia="en-US"/>
              </w:rPr>
            </w:pPr>
            <w:r w:rsidRPr="00262F3A">
              <w:rPr>
                <w:rFonts w:eastAsiaTheme="minorHAnsi"/>
                <w:lang w:eastAsia="en-US"/>
              </w:rPr>
              <w:t>Aged 15+ (average)</w:t>
            </w:r>
          </w:p>
        </w:tc>
        <w:tc>
          <w:tcPr>
            <w:tcW w:w="2241" w:type="dxa"/>
            <w:shd w:val="clear" w:color="auto" w:fill="auto"/>
          </w:tcPr>
          <w:p w14:paraId="5F8F7FC9" w14:textId="77777777" w:rsidR="0025606A" w:rsidRPr="00262F3A" w:rsidRDefault="0025606A" w:rsidP="0025606A">
            <w:pPr>
              <w:pStyle w:val="Tableformat"/>
              <w:rPr>
                <w:rFonts w:eastAsiaTheme="minorHAnsi"/>
                <w:lang w:eastAsia="en-US"/>
              </w:rPr>
            </w:pPr>
            <w:r w:rsidRPr="00262F3A">
              <w:t>23%</w:t>
            </w:r>
          </w:p>
        </w:tc>
        <w:tc>
          <w:tcPr>
            <w:tcW w:w="2268" w:type="dxa"/>
            <w:shd w:val="clear" w:color="auto" w:fill="auto"/>
          </w:tcPr>
          <w:p w14:paraId="1F2637BC" w14:textId="77777777" w:rsidR="0025606A" w:rsidRPr="00262F3A" w:rsidRDefault="0025606A" w:rsidP="0025606A">
            <w:pPr>
              <w:pStyle w:val="Tableformat"/>
              <w:rPr>
                <w:rFonts w:eastAsiaTheme="minorHAnsi"/>
                <w:lang w:eastAsia="en-US"/>
              </w:rPr>
            </w:pPr>
            <w:r w:rsidRPr="00262F3A">
              <w:t>24%</w:t>
            </w:r>
          </w:p>
        </w:tc>
        <w:tc>
          <w:tcPr>
            <w:tcW w:w="1741" w:type="dxa"/>
            <w:vMerge/>
            <w:shd w:val="clear" w:color="auto" w:fill="auto"/>
          </w:tcPr>
          <w:p w14:paraId="1834E87D" w14:textId="77777777" w:rsidR="0025606A" w:rsidRPr="00262F3A" w:rsidRDefault="0025606A" w:rsidP="0025606A">
            <w:pPr>
              <w:pStyle w:val="Tableformat"/>
            </w:pPr>
          </w:p>
        </w:tc>
      </w:tr>
    </w:tbl>
    <w:p w14:paraId="48E83253" w14:textId="552977F1" w:rsidR="0025606A" w:rsidRPr="00262F3A" w:rsidRDefault="0025606A" w:rsidP="00901595">
      <w:pPr>
        <w:keepNext/>
        <w:autoSpaceDE w:val="0"/>
        <w:autoSpaceDN w:val="0"/>
        <w:adjustRightInd w:val="0"/>
        <w:rPr>
          <w:rFonts w:eastAsiaTheme="minorHAnsi"/>
          <w:sz w:val="21"/>
          <w:szCs w:val="21"/>
          <w:lang w:eastAsia="en-US"/>
        </w:rPr>
      </w:pPr>
      <w:r w:rsidRPr="00262F3A">
        <w:rPr>
          <w:rFonts w:eastAsiaTheme="minorHAnsi"/>
          <w:b/>
          <w:sz w:val="21"/>
          <w:szCs w:val="21"/>
          <w:lang w:eastAsia="en-US"/>
        </w:rPr>
        <w:t xml:space="preserve">Table </w:t>
      </w:r>
      <w:r w:rsidR="00B5137C" w:rsidRPr="00262F3A">
        <w:rPr>
          <w:rFonts w:eastAsiaTheme="minorHAnsi"/>
          <w:b/>
          <w:sz w:val="21"/>
          <w:szCs w:val="21"/>
          <w:lang w:eastAsia="en-US"/>
        </w:rPr>
        <w:t>3.3.3B</w:t>
      </w:r>
      <w:r w:rsidRPr="00262F3A">
        <w:rPr>
          <w:rFonts w:eastAsiaTheme="minorHAnsi"/>
          <w:b/>
          <w:sz w:val="21"/>
          <w:szCs w:val="21"/>
          <w:lang w:eastAsia="en-US"/>
        </w:rPr>
        <w:t>:</w:t>
      </w:r>
      <w:r w:rsidRPr="00262F3A">
        <w:rPr>
          <w:rFonts w:eastAsiaTheme="minorHAnsi"/>
          <w:sz w:val="21"/>
          <w:szCs w:val="21"/>
          <w:lang w:eastAsia="en-US"/>
        </w:rPr>
        <w:t xml:space="preserve"> Participants in community and social activities in 2019-20 compared with the 2019–20 </w:t>
      </w:r>
      <w:r w:rsidR="000C1BFD">
        <w:rPr>
          <w:rFonts w:eastAsiaTheme="minorHAnsi"/>
          <w:sz w:val="21"/>
          <w:szCs w:val="21"/>
          <w:lang w:eastAsia="en-US"/>
        </w:rPr>
        <w:t>t</w:t>
      </w:r>
      <w:r w:rsidRPr="00262F3A">
        <w:rPr>
          <w:rFonts w:eastAsiaTheme="minorHAnsi"/>
          <w:sz w:val="21"/>
          <w:szCs w:val="21"/>
          <w:lang w:eastAsia="en-US"/>
        </w:rPr>
        <w:t>arget</w:t>
      </w:r>
      <w:r w:rsidRPr="00262F3A">
        <w:rPr>
          <w:rStyle w:val="FootnoteReference"/>
          <w:rFonts w:eastAsiaTheme="minorHAnsi"/>
          <w:sz w:val="21"/>
          <w:szCs w:val="21"/>
          <w:lang w:eastAsia="en-US"/>
        </w:rPr>
        <w:t xml:space="preserve"> </w:t>
      </w:r>
      <w:r w:rsidRPr="00262F3A">
        <w:rPr>
          <w:rStyle w:val="FootnoteReference"/>
          <w:rFonts w:eastAsiaTheme="minorHAnsi"/>
          <w:sz w:val="21"/>
          <w:szCs w:val="21"/>
          <w:lang w:eastAsia="en-US"/>
        </w:rPr>
        <w:footnoteReference w:id="8"/>
      </w:r>
    </w:p>
    <w:tbl>
      <w:tblPr>
        <w:tblStyle w:val="TableGrid"/>
        <w:tblW w:w="0" w:type="auto"/>
        <w:tblInd w:w="607" w:type="dxa"/>
        <w:tblLook w:val="04A0" w:firstRow="1" w:lastRow="0" w:firstColumn="1" w:lastColumn="0" w:noHBand="0" w:noVBand="1"/>
        <w:tblDescription w:val="The table has four columns: Participants in community and social activities (per cent); At Scheme entry (baseline); After three years in the Scheme; and 2019–20 target. There are three rows with participants grouped by age:  Aged 15 to 24 years; aged 25 plus; and aged 15 plus (average). It shows there was a 14 per cent increase in the number of participants aged 15 to 24 years participating in community and social activities, from 31 per cent at baseline to 45 per cent. For participants aged 25 years or over, there was an 11 per cent, from 36 per cent to 47 per cent. The average across both cohorts was 48 percent, 13 per cent higher than the baseline result. &#10;"/>
      </w:tblPr>
      <w:tblGrid>
        <w:gridCol w:w="2547"/>
        <w:gridCol w:w="2268"/>
        <w:gridCol w:w="2268"/>
        <w:gridCol w:w="1933"/>
      </w:tblGrid>
      <w:tr w:rsidR="0025606A" w:rsidRPr="00262F3A" w14:paraId="66FDD693" w14:textId="77777777" w:rsidTr="00B5137C">
        <w:trPr>
          <w:tblHeader/>
        </w:trPr>
        <w:tc>
          <w:tcPr>
            <w:tcW w:w="2547" w:type="dxa"/>
            <w:shd w:val="clear" w:color="auto" w:fill="7030A0"/>
          </w:tcPr>
          <w:p w14:paraId="0EDF8694" w14:textId="77777777" w:rsidR="0025606A" w:rsidRPr="00262F3A" w:rsidRDefault="0025606A" w:rsidP="00B5137C">
            <w:pPr>
              <w:pStyle w:val="Tableformat"/>
              <w:rPr>
                <w:rFonts w:eastAsiaTheme="minorHAnsi"/>
                <w:color w:val="FFFFFF" w:themeColor="background1"/>
                <w:lang w:eastAsia="en-US"/>
              </w:rPr>
            </w:pPr>
            <w:r w:rsidRPr="00262F3A">
              <w:rPr>
                <w:rFonts w:eastAsiaTheme="minorHAnsi"/>
                <w:color w:val="FFFFFF" w:themeColor="background1"/>
                <w:lang w:eastAsia="en-US"/>
              </w:rPr>
              <w:t xml:space="preserve">Participants in community and social activities </w:t>
            </w:r>
          </w:p>
        </w:tc>
        <w:tc>
          <w:tcPr>
            <w:tcW w:w="2268" w:type="dxa"/>
            <w:shd w:val="clear" w:color="auto" w:fill="7030A0"/>
          </w:tcPr>
          <w:p w14:paraId="303A88E0" w14:textId="77777777" w:rsidR="0025606A" w:rsidRPr="00262F3A" w:rsidRDefault="0025606A" w:rsidP="00B5137C">
            <w:pPr>
              <w:pStyle w:val="Tableformat"/>
              <w:rPr>
                <w:rFonts w:eastAsiaTheme="minorHAnsi"/>
                <w:color w:val="FFFFFF" w:themeColor="background1"/>
                <w:lang w:eastAsia="en-US"/>
              </w:rPr>
            </w:pPr>
            <w:r w:rsidRPr="00262F3A">
              <w:rPr>
                <w:rFonts w:eastAsiaTheme="minorHAnsi"/>
                <w:color w:val="FFFFFF" w:themeColor="background1"/>
                <w:lang w:eastAsia="en-US"/>
              </w:rPr>
              <w:t>At Scheme entry (baseline)</w:t>
            </w:r>
          </w:p>
        </w:tc>
        <w:tc>
          <w:tcPr>
            <w:tcW w:w="2268" w:type="dxa"/>
            <w:shd w:val="clear" w:color="auto" w:fill="7030A0"/>
          </w:tcPr>
          <w:p w14:paraId="50A1BA30" w14:textId="77777777" w:rsidR="0025606A" w:rsidRPr="00262F3A" w:rsidRDefault="0025606A" w:rsidP="00B5137C">
            <w:pPr>
              <w:pStyle w:val="Tableformat"/>
              <w:rPr>
                <w:rFonts w:eastAsiaTheme="minorHAnsi"/>
                <w:color w:val="FFFFFF" w:themeColor="background1"/>
                <w:lang w:eastAsia="en-US"/>
              </w:rPr>
            </w:pPr>
            <w:r w:rsidRPr="00262F3A">
              <w:rPr>
                <w:rFonts w:eastAsiaTheme="minorHAnsi"/>
                <w:color w:val="FFFFFF" w:themeColor="background1"/>
                <w:lang w:eastAsia="en-US"/>
              </w:rPr>
              <w:t>After three years in the Scheme</w:t>
            </w:r>
          </w:p>
        </w:tc>
        <w:tc>
          <w:tcPr>
            <w:tcW w:w="1933" w:type="dxa"/>
            <w:shd w:val="clear" w:color="auto" w:fill="7030A0"/>
          </w:tcPr>
          <w:p w14:paraId="6770A1D8" w14:textId="59EC2A49" w:rsidR="0025606A" w:rsidRPr="00262F3A" w:rsidRDefault="0025606A" w:rsidP="000C1BFD">
            <w:pPr>
              <w:pStyle w:val="Tableformat"/>
              <w:rPr>
                <w:rFonts w:eastAsiaTheme="minorHAnsi"/>
                <w:color w:val="FFFFFF" w:themeColor="background1"/>
                <w:lang w:eastAsia="en-US"/>
              </w:rPr>
            </w:pPr>
            <w:r w:rsidRPr="00262F3A">
              <w:rPr>
                <w:rFonts w:eastAsiaTheme="minorHAnsi"/>
                <w:color w:val="FFFFFF" w:themeColor="background1"/>
                <w:lang w:eastAsia="en-US"/>
              </w:rPr>
              <w:t xml:space="preserve">2019–20 </w:t>
            </w:r>
            <w:r w:rsidR="000C1BFD">
              <w:rPr>
                <w:rFonts w:eastAsiaTheme="minorHAnsi"/>
                <w:color w:val="FFFFFF" w:themeColor="background1"/>
                <w:lang w:eastAsia="en-US"/>
              </w:rPr>
              <w:t>t</w:t>
            </w:r>
            <w:r w:rsidRPr="00262F3A">
              <w:rPr>
                <w:rFonts w:eastAsiaTheme="minorHAnsi"/>
                <w:color w:val="FFFFFF" w:themeColor="background1"/>
                <w:lang w:eastAsia="en-US"/>
              </w:rPr>
              <w:t>arget</w:t>
            </w:r>
          </w:p>
        </w:tc>
      </w:tr>
      <w:tr w:rsidR="0025606A" w:rsidRPr="00262F3A" w14:paraId="6370DDAD" w14:textId="77777777" w:rsidTr="00B5137C">
        <w:tc>
          <w:tcPr>
            <w:tcW w:w="2547" w:type="dxa"/>
            <w:tcBorders>
              <w:bottom w:val="single" w:sz="4" w:space="0" w:color="auto"/>
            </w:tcBorders>
            <w:shd w:val="clear" w:color="auto" w:fill="auto"/>
          </w:tcPr>
          <w:p w14:paraId="331DAFF4" w14:textId="77777777" w:rsidR="0025606A" w:rsidRPr="00262F3A" w:rsidRDefault="0025606A" w:rsidP="00B5137C">
            <w:pPr>
              <w:pStyle w:val="Tableformat"/>
              <w:rPr>
                <w:rFonts w:eastAsiaTheme="minorHAnsi"/>
                <w:lang w:eastAsia="en-US"/>
              </w:rPr>
            </w:pPr>
            <w:r w:rsidRPr="00262F3A">
              <w:rPr>
                <w:rFonts w:eastAsiaTheme="minorHAnsi"/>
                <w:lang w:eastAsia="en-US"/>
              </w:rPr>
              <w:t>Aged 15 to 24 years</w:t>
            </w:r>
          </w:p>
        </w:tc>
        <w:tc>
          <w:tcPr>
            <w:tcW w:w="2268" w:type="dxa"/>
            <w:tcBorders>
              <w:bottom w:val="single" w:sz="4" w:space="0" w:color="auto"/>
            </w:tcBorders>
            <w:shd w:val="clear" w:color="auto" w:fill="auto"/>
          </w:tcPr>
          <w:p w14:paraId="14F3E25C" w14:textId="77777777" w:rsidR="0025606A" w:rsidRPr="00262F3A" w:rsidRDefault="0025606A" w:rsidP="00B5137C">
            <w:pPr>
              <w:pStyle w:val="Tableformat"/>
              <w:rPr>
                <w:rFonts w:eastAsiaTheme="minorHAnsi"/>
                <w:lang w:eastAsia="en-US"/>
              </w:rPr>
            </w:pPr>
            <w:r w:rsidRPr="00262F3A">
              <w:rPr>
                <w:rFonts w:eastAsiaTheme="minorHAnsi"/>
                <w:lang w:eastAsia="en-US"/>
              </w:rPr>
              <w:t>31%</w:t>
            </w:r>
          </w:p>
        </w:tc>
        <w:tc>
          <w:tcPr>
            <w:tcW w:w="2268" w:type="dxa"/>
            <w:tcBorders>
              <w:bottom w:val="single" w:sz="4" w:space="0" w:color="auto"/>
            </w:tcBorders>
            <w:shd w:val="clear" w:color="auto" w:fill="auto"/>
          </w:tcPr>
          <w:p w14:paraId="6B3F982B" w14:textId="77777777" w:rsidR="0025606A" w:rsidRPr="00262F3A" w:rsidRDefault="0025606A" w:rsidP="00B5137C">
            <w:pPr>
              <w:pStyle w:val="Tableformat"/>
              <w:rPr>
                <w:rFonts w:eastAsiaTheme="minorHAnsi"/>
                <w:lang w:eastAsia="en-US"/>
              </w:rPr>
            </w:pPr>
            <w:r w:rsidRPr="00262F3A">
              <w:rPr>
                <w:rFonts w:eastAsiaTheme="minorHAnsi"/>
                <w:lang w:eastAsia="en-US"/>
              </w:rPr>
              <w:t>45%</w:t>
            </w:r>
          </w:p>
        </w:tc>
        <w:tc>
          <w:tcPr>
            <w:tcW w:w="1933" w:type="dxa"/>
            <w:vMerge w:val="restart"/>
            <w:shd w:val="clear" w:color="auto" w:fill="auto"/>
            <w:vAlign w:val="center"/>
          </w:tcPr>
          <w:p w14:paraId="01BDA508" w14:textId="77777777" w:rsidR="0025606A" w:rsidRPr="00262F3A" w:rsidRDefault="0025606A" w:rsidP="00B5137C">
            <w:pPr>
              <w:pStyle w:val="Tableformat"/>
              <w:rPr>
                <w:rFonts w:eastAsiaTheme="minorHAnsi"/>
                <w:lang w:eastAsia="en-US"/>
              </w:rPr>
            </w:pPr>
            <w:r w:rsidRPr="00262F3A">
              <w:rPr>
                <w:rFonts w:eastAsiaTheme="minorHAnsi"/>
                <w:lang w:eastAsia="en-US"/>
              </w:rPr>
              <w:t>47%</w:t>
            </w:r>
          </w:p>
        </w:tc>
      </w:tr>
      <w:tr w:rsidR="0025606A" w:rsidRPr="00262F3A" w14:paraId="47AD751F" w14:textId="77777777" w:rsidTr="00B5137C">
        <w:tc>
          <w:tcPr>
            <w:tcW w:w="2547" w:type="dxa"/>
            <w:shd w:val="clear" w:color="auto" w:fill="auto"/>
          </w:tcPr>
          <w:p w14:paraId="7BF51169" w14:textId="77777777" w:rsidR="0025606A" w:rsidRPr="00262F3A" w:rsidRDefault="0025606A" w:rsidP="00B5137C">
            <w:pPr>
              <w:pStyle w:val="Tableformat"/>
              <w:rPr>
                <w:rFonts w:eastAsiaTheme="minorHAnsi"/>
                <w:lang w:eastAsia="en-US"/>
              </w:rPr>
            </w:pPr>
            <w:r w:rsidRPr="00262F3A">
              <w:rPr>
                <w:rFonts w:eastAsiaTheme="minorHAnsi"/>
                <w:lang w:eastAsia="en-US"/>
              </w:rPr>
              <w:t>Aged 25+</w:t>
            </w:r>
          </w:p>
        </w:tc>
        <w:tc>
          <w:tcPr>
            <w:tcW w:w="2268" w:type="dxa"/>
            <w:shd w:val="clear" w:color="auto" w:fill="auto"/>
          </w:tcPr>
          <w:p w14:paraId="03A9D8A4" w14:textId="77777777" w:rsidR="0025606A" w:rsidRPr="00262F3A" w:rsidRDefault="0025606A" w:rsidP="00B5137C">
            <w:pPr>
              <w:pStyle w:val="Tableformat"/>
              <w:rPr>
                <w:rFonts w:eastAsiaTheme="minorHAnsi"/>
                <w:lang w:eastAsia="en-US"/>
              </w:rPr>
            </w:pPr>
            <w:r w:rsidRPr="00262F3A">
              <w:rPr>
                <w:rFonts w:eastAsiaTheme="minorHAnsi"/>
                <w:lang w:eastAsia="en-US"/>
              </w:rPr>
              <w:t>36%</w:t>
            </w:r>
          </w:p>
        </w:tc>
        <w:tc>
          <w:tcPr>
            <w:tcW w:w="2268" w:type="dxa"/>
            <w:shd w:val="clear" w:color="auto" w:fill="auto"/>
          </w:tcPr>
          <w:p w14:paraId="25E8C9D8" w14:textId="77777777" w:rsidR="0025606A" w:rsidRPr="00262F3A" w:rsidRDefault="0025606A" w:rsidP="00B5137C">
            <w:pPr>
              <w:pStyle w:val="Tableformat"/>
              <w:rPr>
                <w:rFonts w:eastAsiaTheme="minorHAnsi"/>
                <w:lang w:eastAsia="en-US"/>
              </w:rPr>
            </w:pPr>
            <w:r w:rsidRPr="00262F3A">
              <w:rPr>
                <w:rFonts w:eastAsiaTheme="minorHAnsi"/>
                <w:lang w:eastAsia="en-US"/>
              </w:rPr>
              <w:t>49%</w:t>
            </w:r>
          </w:p>
        </w:tc>
        <w:tc>
          <w:tcPr>
            <w:tcW w:w="1933" w:type="dxa"/>
            <w:vMerge/>
            <w:shd w:val="clear" w:color="auto" w:fill="ECF3FA"/>
          </w:tcPr>
          <w:p w14:paraId="6E943B22" w14:textId="77777777" w:rsidR="0025606A" w:rsidRPr="00262F3A" w:rsidRDefault="0025606A" w:rsidP="00B5137C">
            <w:pPr>
              <w:pStyle w:val="Tableformat"/>
              <w:rPr>
                <w:rFonts w:eastAsiaTheme="minorHAnsi"/>
                <w:lang w:eastAsia="en-US"/>
              </w:rPr>
            </w:pPr>
          </w:p>
        </w:tc>
      </w:tr>
      <w:tr w:rsidR="0025606A" w:rsidRPr="00262F3A" w14:paraId="4D6F4800" w14:textId="77777777" w:rsidTr="00B5137C">
        <w:tc>
          <w:tcPr>
            <w:tcW w:w="2547" w:type="dxa"/>
          </w:tcPr>
          <w:p w14:paraId="64730425" w14:textId="77777777" w:rsidR="0025606A" w:rsidRPr="00262F3A" w:rsidRDefault="0025606A" w:rsidP="00B5137C">
            <w:pPr>
              <w:pStyle w:val="Tableformat"/>
              <w:rPr>
                <w:rFonts w:eastAsiaTheme="minorHAnsi"/>
                <w:lang w:eastAsia="en-US"/>
              </w:rPr>
            </w:pPr>
            <w:r w:rsidRPr="00262F3A">
              <w:rPr>
                <w:rFonts w:eastAsiaTheme="minorHAnsi"/>
                <w:lang w:eastAsia="en-US"/>
              </w:rPr>
              <w:t>Aged 15+ (average)</w:t>
            </w:r>
          </w:p>
        </w:tc>
        <w:tc>
          <w:tcPr>
            <w:tcW w:w="2268" w:type="dxa"/>
          </w:tcPr>
          <w:p w14:paraId="2B72F023" w14:textId="77777777" w:rsidR="0025606A" w:rsidRPr="00262F3A" w:rsidRDefault="0025606A" w:rsidP="00B5137C">
            <w:pPr>
              <w:pStyle w:val="Tableformat"/>
              <w:rPr>
                <w:rFonts w:eastAsiaTheme="minorHAnsi"/>
                <w:lang w:eastAsia="en-US"/>
              </w:rPr>
            </w:pPr>
            <w:r w:rsidRPr="00262F3A">
              <w:rPr>
                <w:rFonts w:eastAsiaTheme="minorHAnsi"/>
                <w:lang w:eastAsia="en-US"/>
              </w:rPr>
              <w:t>35%</w:t>
            </w:r>
          </w:p>
        </w:tc>
        <w:tc>
          <w:tcPr>
            <w:tcW w:w="2268" w:type="dxa"/>
          </w:tcPr>
          <w:p w14:paraId="73732962" w14:textId="77777777" w:rsidR="0025606A" w:rsidRPr="00262F3A" w:rsidRDefault="0025606A" w:rsidP="00B5137C">
            <w:pPr>
              <w:pStyle w:val="Tableformat"/>
              <w:rPr>
                <w:rFonts w:eastAsiaTheme="minorHAnsi"/>
                <w:lang w:eastAsia="en-US"/>
              </w:rPr>
            </w:pPr>
            <w:r w:rsidRPr="00262F3A">
              <w:rPr>
                <w:rFonts w:eastAsiaTheme="minorHAnsi"/>
                <w:lang w:eastAsia="en-US"/>
              </w:rPr>
              <w:t>48%</w:t>
            </w:r>
          </w:p>
        </w:tc>
        <w:tc>
          <w:tcPr>
            <w:tcW w:w="1933" w:type="dxa"/>
            <w:vMerge/>
          </w:tcPr>
          <w:p w14:paraId="2407770F" w14:textId="77777777" w:rsidR="0025606A" w:rsidRPr="00262F3A" w:rsidRDefault="0025606A" w:rsidP="00B5137C">
            <w:pPr>
              <w:pStyle w:val="Tableformat"/>
              <w:rPr>
                <w:rFonts w:eastAsiaTheme="minorHAnsi"/>
                <w:lang w:eastAsia="en-US"/>
              </w:rPr>
            </w:pPr>
          </w:p>
        </w:tc>
      </w:tr>
    </w:tbl>
    <w:p w14:paraId="412A01C4" w14:textId="7F0EF962" w:rsidR="0025606A" w:rsidRPr="00262F3A" w:rsidRDefault="00B5137C" w:rsidP="0025606A">
      <w:pPr>
        <w:rPr>
          <w:rFonts w:eastAsia="Cambria"/>
          <w:sz w:val="21"/>
          <w:szCs w:val="21"/>
          <w:lang w:eastAsia="en-US"/>
        </w:rPr>
      </w:pPr>
      <w:r w:rsidRPr="00262F3A">
        <w:rPr>
          <w:rFonts w:eastAsia="Cambria"/>
          <w:sz w:val="21"/>
          <w:szCs w:val="21"/>
          <w:lang w:eastAsia="en-US"/>
        </w:rPr>
        <w:t xml:space="preserve">The </w:t>
      </w:r>
      <w:r w:rsidR="00411467">
        <w:rPr>
          <w:rFonts w:eastAsia="Cambria"/>
          <w:sz w:val="21"/>
          <w:szCs w:val="21"/>
          <w:lang w:eastAsia="en-US"/>
        </w:rPr>
        <w:t>following</w:t>
      </w:r>
      <w:r w:rsidRPr="00262F3A">
        <w:rPr>
          <w:rFonts w:eastAsia="Cambria"/>
          <w:sz w:val="21"/>
          <w:szCs w:val="21"/>
          <w:lang w:eastAsia="en-US"/>
        </w:rPr>
        <w:t xml:space="preserve"> table </w:t>
      </w:r>
      <w:r w:rsidR="0025606A" w:rsidRPr="00262F3A">
        <w:rPr>
          <w:rFonts w:eastAsia="Cambria"/>
          <w:sz w:val="21"/>
          <w:szCs w:val="21"/>
          <w:lang w:eastAsia="en-US"/>
        </w:rPr>
        <w:t>sets out the 2019–20 performance targets and the results achieved as at 30 June 2020 for Aspiration 1 from the NDIA Corporate Plan 2019–</w:t>
      </w:r>
      <w:r w:rsidR="00411467">
        <w:rPr>
          <w:rFonts w:eastAsia="Cambria"/>
          <w:sz w:val="21"/>
          <w:szCs w:val="21"/>
          <w:lang w:eastAsia="en-US"/>
        </w:rPr>
        <w:t>20</w:t>
      </w:r>
      <w:r w:rsidR="0025606A" w:rsidRPr="00262F3A">
        <w:rPr>
          <w:rFonts w:eastAsia="Cambria"/>
          <w:sz w:val="21"/>
          <w:szCs w:val="21"/>
          <w:lang w:eastAsia="en-US"/>
        </w:rPr>
        <w:t xml:space="preserve">23. </w:t>
      </w:r>
    </w:p>
    <w:p w14:paraId="039286E9" w14:textId="77777777" w:rsidR="0025606A" w:rsidRPr="00262F3A" w:rsidRDefault="0025606A" w:rsidP="00901595">
      <w:pPr>
        <w:keepNext/>
        <w:rPr>
          <w:b/>
          <w:sz w:val="21"/>
          <w:szCs w:val="21"/>
        </w:rPr>
      </w:pPr>
      <w:r w:rsidRPr="00262F3A">
        <w:rPr>
          <w:b/>
          <w:sz w:val="21"/>
          <w:szCs w:val="21"/>
        </w:rPr>
        <w:t xml:space="preserve">Table </w:t>
      </w:r>
      <w:r w:rsidR="00B5137C" w:rsidRPr="00262F3A">
        <w:rPr>
          <w:b/>
          <w:sz w:val="21"/>
          <w:szCs w:val="21"/>
        </w:rPr>
        <w:t>3.3.3C</w:t>
      </w:r>
      <w:r w:rsidRPr="00262F3A">
        <w:rPr>
          <w:b/>
          <w:sz w:val="21"/>
          <w:szCs w:val="21"/>
        </w:rPr>
        <w:t>:</w:t>
      </w:r>
      <w:r w:rsidRPr="00262F3A">
        <w:rPr>
          <w:sz w:val="21"/>
          <w:szCs w:val="21"/>
        </w:rPr>
        <w:t xml:space="preserve"> </w:t>
      </w:r>
      <w:r w:rsidRPr="00262F3A">
        <w:rPr>
          <w:bCs/>
          <w:sz w:val="21"/>
          <w:szCs w:val="21"/>
        </w:rPr>
        <w:t>Aspiration 1 – A quality experience and outcomes for participants</w:t>
      </w:r>
    </w:p>
    <w:tbl>
      <w:tblPr>
        <w:tblStyle w:val="LightShading-Accent4"/>
        <w:tblpPr w:leftFromText="180" w:rightFromText="180" w:vertAnchor="text" w:tblpXSpec="right" w:tblpY="1"/>
        <w:tblOverlap w:val="never"/>
        <w:tblW w:w="9493" w:type="dxa"/>
        <w:tblInd w:w="0" w:type="dxa"/>
        <w:tblLayout w:type="fixed"/>
        <w:tblLook w:val="04A0" w:firstRow="1" w:lastRow="0" w:firstColumn="1" w:lastColumn="0" w:noHBand="0" w:noVBand="1"/>
        <w:tblDescription w:val="The table has four columns: Metrics; Target; Baseline and result; and Comment. &#10;There are five rows with different metrics listed: Participants in work (per cent); Participants involved in community and social activities (per cent); Operational targets (per cent met); Participant plan reviews (per cent met); and Participant satisfaction measured at the time of the plan approval (per cent). &#10;&#10;The table shows that as at 30 June 2020, 24 per cent of participants were employed. Community and social participation has continued to increase with 48 per cent of participants involved in community and social activities. The Agency achieved 100 per cent of its operational target across 2019–20 with the roll out of the Scheme completed and the target being fully met. The percentage of participant–requested review decisions has improved throughout the year, with 100 per cent of plan reviews being completed within 21 days. Significant improvements have occurred to the participant satisfaction survey to allow for a comprehensive understanding of the participant experience at each stage of the pathway. It gathers responses at four primary stages of the participant pathway: access, pre-planning, planning, and plan review. Current satisfaction rates are: access 81 per cent; Pre-planning 83 per cent; Planning 84 per cent; and Plan review 85 per cent&#10;"/>
      </w:tblPr>
      <w:tblGrid>
        <w:gridCol w:w="2263"/>
        <w:gridCol w:w="1276"/>
        <w:gridCol w:w="1843"/>
        <w:gridCol w:w="4111"/>
      </w:tblGrid>
      <w:tr w:rsidR="0025606A" w:rsidRPr="00262F3A" w14:paraId="780A3D15" w14:textId="77777777" w:rsidTr="007377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7030A0"/>
            <w:hideMark/>
          </w:tcPr>
          <w:p w14:paraId="274E4FCB" w14:textId="77777777" w:rsidR="0025606A" w:rsidRPr="00262F3A" w:rsidRDefault="0025606A" w:rsidP="007377AD">
            <w:pPr>
              <w:pStyle w:val="Tableformat"/>
              <w:rPr>
                <w:b w:val="0"/>
                <w:lang w:val="en-AU"/>
              </w:rPr>
            </w:pPr>
            <w:r w:rsidRPr="00262F3A">
              <w:rPr>
                <w:b w:val="0"/>
                <w:lang w:val="en-AU"/>
              </w:rPr>
              <w:t xml:space="preserve">Metric </w:t>
            </w:r>
          </w:p>
        </w:tc>
        <w:tc>
          <w:tcPr>
            <w:tcW w:w="1276" w:type="dxa"/>
            <w:tcBorders>
              <w:top w:val="single" w:sz="4" w:space="0" w:color="auto"/>
              <w:left w:val="single" w:sz="4" w:space="0" w:color="auto"/>
              <w:bottom w:val="single" w:sz="4" w:space="0" w:color="auto"/>
              <w:right w:val="single" w:sz="4" w:space="0" w:color="auto"/>
            </w:tcBorders>
            <w:shd w:val="clear" w:color="auto" w:fill="7030A0"/>
            <w:hideMark/>
          </w:tcPr>
          <w:p w14:paraId="0257EC9A" w14:textId="77777777" w:rsidR="0025606A" w:rsidRPr="00262F3A" w:rsidRDefault="0025606A" w:rsidP="007377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Target</w:t>
            </w:r>
          </w:p>
        </w:tc>
        <w:tc>
          <w:tcPr>
            <w:tcW w:w="1843" w:type="dxa"/>
            <w:tcBorders>
              <w:top w:val="single" w:sz="4" w:space="0" w:color="auto"/>
              <w:left w:val="single" w:sz="4" w:space="0" w:color="auto"/>
              <w:bottom w:val="single" w:sz="4" w:space="0" w:color="auto"/>
              <w:right w:val="single" w:sz="4" w:space="0" w:color="auto"/>
            </w:tcBorders>
            <w:shd w:val="clear" w:color="auto" w:fill="7030A0"/>
            <w:hideMark/>
          </w:tcPr>
          <w:p w14:paraId="021C78DC" w14:textId="77777777" w:rsidR="0025606A" w:rsidRPr="00262F3A" w:rsidRDefault="0025606A" w:rsidP="007377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Baseline and result</w:t>
            </w:r>
          </w:p>
        </w:tc>
        <w:tc>
          <w:tcPr>
            <w:tcW w:w="4111" w:type="dxa"/>
            <w:tcBorders>
              <w:top w:val="single" w:sz="4" w:space="0" w:color="auto"/>
              <w:left w:val="single" w:sz="4" w:space="0" w:color="auto"/>
              <w:bottom w:val="single" w:sz="4" w:space="0" w:color="auto"/>
              <w:right w:val="single" w:sz="4" w:space="0" w:color="auto"/>
            </w:tcBorders>
            <w:shd w:val="clear" w:color="auto" w:fill="7030A0"/>
            <w:hideMark/>
          </w:tcPr>
          <w:p w14:paraId="19554A25" w14:textId="77777777" w:rsidR="0025606A" w:rsidRPr="00262F3A" w:rsidRDefault="0025606A" w:rsidP="007377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Comment</w:t>
            </w:r>
          </w:p>
        </w:tc>
      </w:tr>
      <w:tr w:rsidR="0025606A" w:rsidRPr="00262F3A" w14:paraId="35EE22F8" w14:textId="77777777" w:rsidTr="007377AD">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3BD64A6E" w14:textId="77777777" w:rsidR="0025606A" w:rsidRPr="00262F3A" w:rsidRDefault="0025606A" w:rsidP="007377AD">
            <w:pPr>
              <w:pStyle w:val="Tableformat"/>
              <w:rPr>
                <w:lang w:val="en-AU"/>
              </w:rPr>
            </w:pPr>
            <w:r w:rsidRPr="00262F3A">
              <w:rPr>
                <w:b w:val="0"/>
                <w:bCs w:val="0"/>
                <w:lang w:val="en-AU"/>
              </w:rPr>
              <w:t>Participants in work</w:t>
            </w:r>
            <w:r w:rsidRPr="00262F3A">
              <w:rPr>
                <w:lang w:val="en-AU"/>
              </w:rPr>
              <w:t xml:space="preserve"> </w:t>
            </w:r>
            <w:r w:rsidRPr="00262F3A">
              <w:rPr>
                <w:b w:val="0"/>
                <w:bCs w:val="0"/>
                <w:lang w:val="en-A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6F232B5"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24%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4900DF1" w14:textId="44A0B22D"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Basel</w:t>
            </w:r>
            <w:r w:rsidR="00411467">
              <w:rPr>
                <w:lang w:val="en-AU"/>
              </w:rPr>
              <w:t>ine: Scheme actuarial reporting</w:t>
            </w:r>
          </w:p>
          <w:p w14:paraId="15739545"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lastRenderedPageBreak/>
              <w:t>Result: 24%</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E322CD2"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sidRPr="00262F3A">
              <w:rPr>
                <w:color w:val="000000"/>
                <w:lang w:val="en-AU"/>
              </w:rPr>
              <w:lastRenderedPageBreak/>
              <w:t xml:space="preserve">Many participants have experienced disruption to work, services and supports during the COVID-19 pandemic. The Agency worked closely with providers of </w:t>
            </w:r>
            <w:r w:rsidRPr="00262F3A">
              <w:rPr>
                <w:color w:val="000000"/>
                <w:lang w:val="en-AU"/>
              </w:rPr>
              <w:lastRenderedPageBreak/>
              <w:t xml:space="preserve">NDIS employment supports to help participants remain connected and supported and encouraged providers to explore innovative ways to deliver this service. </w:t>
            </w:r>
          </w:p>
        </w:tc>
      </w:tr>
      <w:tr w:rsidR="0025606A" w:rsidRPr="00262F3A" w14:paraId="04082081" w14:textId="77777777" w:rsidTr="007377AD">
        <w:trPr>
          <w:cnfStyle w:val="000000010000" w:firstRow="0" w:lastRow="0" w:firstColumn="0" w:lastColumn="0" w:oddVBand="0" w:evenVBand="0" w:oddHBand="0" w:evenHBand="1"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0BC06428" w14:textId="77777777" w:rsidR="0025606A" w:rsidRPr="00262F3A" w:rsidRDefault="0025606A" w:rsidP="007377AD">
            <w:pPr>
              <w:pStyle w:val="Tableformat"/>
              <w:rPr>
                <w:rStyle w:val="CommentReference"/>
                <w:b w:val="0"/>
                <w:bCs w:val="0"/>
                <w:sz w:val="21"/>
                <w:szCs w:val="21"/>
                <w:lang w:val="en-AU"/>
              </w:rPr>
            </w:pPr>
            <w:r w:rsidRPr="00262F3A">
              <w:rPr>
                <w:b w:val="0"/>
                <w:bCs w:val="0"/>
                <w:lang w:val="en-AU"/>
              </w:rPr>
              <w:lastRenderedPageBreak/>
              <w:t>Participants involved in community and social activities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ECF00C2"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47%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65D1574" w14:textId="1F0B61EA"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Basel</w:t>
            </w:r>
            <w:r w:rsidR="00411467">
              <w:rPr>
                <w:lang w:val="en-AU"/>
              </w:rPr>
              <w:t>ine: Scheme actuarial reporting</w:t>
            </w:r>
          </w:p>
          <w:p w14:paraId="0C0CCA1A"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Result: 48%</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1B1FB72"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color w:val="000000"/>
                <w:lang w:val="en-AU"/>
              </w:rPr>
              <w:t>Community and social participation has continued to increase. The Agency has continued to work with providers during the COVID-19 pandemic to ensure participants have the opportunity to remain connected with their community as much as possible.</w:t>
            </w:r>
          </w:p>
        </w:tc>
      </w:tr>
      <w:tr w:rsidR="0025606A" w:rsidRPr="00262F3A" w14:paraId="0F28913E" w14:textId="77777777" w:rsidTr="007377AD">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46D3B168" w14:textId="77777777" w:rsidR="0025606A" w:rsidRPr="00262F3A" w:rsidRDefault="0025606A" w:rsidP="007377AD">
            <w:pPr>
              <w:pStyle w:val="Tableformat"/>
              <w:rPr>
                <w:rStyle w:val="CommentReference"/>
                <w:b w:val="0"/>
                <w:bCs w:val="0"/>
                <w:sz w:val="21"/>
                <w:szCs w:val="21"/>
                <w:lang w:val="en-AU"/>
              </w:rPr>
            </w:pPr>
            <w:r w:rsidRPr="00262F3A">
              <w:rPr>
                <w:b w:val="0"/>
                <w:bCs w:val="0"/>
                <w:lang w:val="en-AU"/>
              </w:rPr>
              <w:t>Operational targets (% met)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249B3A1"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rStyle w:val="CommentReference"/>
                <w:rFonts w:eastAsiaTheme="minorHAnsi"/>
                <w:sz w:val="21"/>
                <w:szCs w:val="21"/>
                <w:lang w:val="en-AU"/>
              </w:rPr>
            </w:pPr>
            <w:r w:rsidRPr="00262F3A">
              <w:rPr>
                <w:lang w:val="en-AU"/>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07D00F4" w14:textId="1FD03AB4"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Baseline: % of </w:t>
            </w:r>
            <w:r w:rsidR="00411467">
              <w:rPr>
                <w:lang w:val="en-AU"/>
              </w:rPr>
              <w:t xml:space="preserve">Agency </w:t>
            </w:r>
            <w:r w:rsidRPr="00262F3A">
              <w:rPr>
                <w:lang w:val="en-AU"/>
              </w:rPr>
              <w:t>operatio</w:t>
            </w:r>
            <w:r w:rsidR="00411467">
              <w:rPr>
                <w:lang w:val="en-AU"/>
              </w:rPr>
              <w:t>nal targets met at 30 June 2020</w:t>
            </w:r>
          </w:p>
          <w:p w14:paraId="769A65D5"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rFonts w:eastAsia="MS Mincho"/>
                <w:lang w:val="en-AU"/>
              </w:rPr>
            </w:pPr>
            <w:r w:rsidRPr="00262F3A">
              <w:rPr>
                <w:lang w:val="en-AU"/>
              </w:rPr>
              <w:t>Result: Rollout complete</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C418A60"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The operational bilateral estimate takes into account the number of clients provided to the NDIA by state/territory and Commonwealth governments and the number of people who previously did not receive services approaching the Scheme.</w:t>
            </w:r>
          </w:p>
          <w:p w14:paraId="1966513B" w14:textId="1DE3687B" w:rsidR="0025606A" w:rsidRPr="00262F3A" w:rsidRDefault="00411467"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Pr>
                <w:color w:val="000000"/>
                <w:lang w:val="en-AU"/>
              </w:rPr>
              <w:t>At 30 June 2020 the roll</w:t>
            </w:r>
            <w:r w:rsidR="0025606A" w:rsidRPr="00262F3A">
              <w:rPr>
                <w:color w:val="000000"/>
                <w:lang w:val="en-AU"/>
              </w:rPr>
              <w:t>out of the Scheme has been completed</w:t>
            </w:r>
            <w:r w:rsidR="0025606A" w:rsidRPr="00262F3A">
              <w:rPr>
                <w:lang w:val="en-AU"/>
              </w:rPr>
              <w:t xml:space="preserve"> and the operational target has been fully met.</w:t>
            </w:r>
          </w:p>
          <w:p w14:paraId="0546FB6F" w14:textId="423C4C60" w:rsidR="0025606A" w:rsidRPr="00262F3A" w:rsidRDefault="00411467"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Pr>
                <w:color w:val="000000"/>
                <w:lang w:val="en-AU"/>
              </w:rPr>
              <w:t xml:space="preserve">At 30 June 2020, </w:t>
            </w:r>
            <w:r w:rsidR="0025606A" w:rsidRPr="00262F3A">
              <w:rPr>
                <w:color w:val="000000"/>
                <w:lang w:val="en-AU"/>
              </w:rPr>
              <w:t xml:space="preserve">391,999 people with a disability have an approved NDIS plan (excluding ECEI). </w:t>
            </w:r>
          </w:p>
        </w:tc>
      </w:tr>
      <w:tr w:rsidR="0025606A" w:rsidRPr="00262F3A" w14:paraId="746193FD" w14:textId="77777777" w:rsidTr="007377AD">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2258A8AE" w14:textId="77777777" w:rsidR="0025606A" w:rsidRPr="00262F3A" w:rsidRDefault="0025606A" w:rsidP="007377AD">
            <w:pPr>
              <w:pStyle w:val="Tableformat"/>
              <w:rPr>
                <w:b w:val="0"/>
                <w:lang w:val="en-AU"/>
              </w:rPr>
            </w:pPr>
            <w:r w:rsidRPr="00262F3A">
              <w:rPr>
                <w:b w:val="0"/>
                <w:lang w:val="en-AU"/>
              </w:rPr>
              <w:t>Participant plan reviews (% met)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4BD4AE"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&gt;95%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42DC50" w14:textId="4CED9A6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Baseline:</w:t>
            </w:r>
            <w:r w:rsidR="00AD5D51">
              <w:rPr>
                <w:lang w:val="en-AU"/>
              </w:rPr>
              <w:t xml:space="preserve"> </w:t>
            </w:r>
            <w:r w:rsidRPr="00262F3A">
              <w:rPr>
                <w:lang w:val="en-AU"/>
              </w:rPr>
              <w:t>93% met</w:t>
            </w:r>
          </w:p>
          <w:p w14:paraId="6A0AD555"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Result:</w:t>
            </w:r>
          </w:p>
          <w:p w14:paraId="3CA709C7" w14:textId="7777777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100% completed within 21 days</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2EE058" w14:textId="4A647CB7" w:rsidR="0025606A" w:rsidRPr="00262F3A" w:rsidRDefault="0025606A" w:rsidP="007377AD">
            <w:pPr>
              <w:pStyle w:val="Tableformat"/>
              <w:cnfStyle w:val="000000010000" w:firstRow="0" w:lastRow="0" w:firstColumn="0" w:lastColumn="0" w:oddVBand="0" w:evenVBand="0" w:oddHBand="0" w:evenHBand="1" w:firstRowFirstColumn="0" w:firstRowLastColumn="0" w:lastRowFirstColumn="0" w:lastRowLastColumn="0"/>
              <w:rPr>
                <w:color w:val="000000"/>
                <w:lang w:val="en-AU"/>
              </w:rPr>
            </w:pPr>
            <w:r w:rsidRPr="00262F3A">
              <w:rPr>
                <w:color w:val="000000"/>
                <w:lang w:val="en-AU"/>
              </w:rPr>
              <w:t>The percentage of</w:t>
            </w:r>
            <w:r w:rsidR="00411467">
              <w:rPr>
                <w:color w:val="000000"/>
                <w:lang w:val="en-AU"/>
              </w:rPr>
              <w:t xml:space="preserve"> participant-</w:t>
            </w:r>
            <w:r w:rsidRPr="00262F3A">
              <w:rPr>
                <w:color w:val="000000"/>
                <w:lang w:val="en-AU"/>
              </w:rPr>
              <w:t>requested review decisions completed within 21 days has improved throughout the year</w:t>
            </w:r>
            <w:r w:rsidR="00411467">
              <w:rPr>
                <w:color w:val="000000"/>
                <w:lang w:val="en-AU"/>
              </w:rPr>
              <w:t>.</w:t>
            </w:r>
          </w:p>
        </w:tc>
      </w:tr>
      <w:tr w:rsidR="0025606A" w:rsidRPr="00262F3A" w14:paraId="50462195" w14:textId="77777777" w:rsidTr="007377AD">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5E775335" w14:textId="05B4D693" w:rsidR="0025606A" w:rsidRPr="00262F3A" w:rsidRDefault="0025606A" w:rsidP="007377AD">
            <w:pPr>
              <w:pStyle w:val="Tableformat"/>
              <w:rPr>
                <w:b w:val="0"/>
                <w:bCs w:val="0"/>
                <w:lang w:val="en-AU"/>
              </w:rPr>
            </w:pPr>
            <w:r w:rsidRPr="00262F3A">
              <w:rPr>
                <w:b w:val="0"/>
                <w:lang w:val="en-AU"/>
              </w:rPr>
              <w:t>Participant satisfaction measured a</w:t>
            </w:r>
            <w:r w:rsidR="00411467">
              <w:rPr>
                <w:b w:val="0"/>
                <w:lang w:val="en-AU"/>
              </w:rPr>
              <w:t>t the time of the plan approval</w:t>
            </w:r>
            <w:r w:rsidRPr="00262F3A">
              <w:rPr>
                <w:b w:val="0"/>
                <w:bCs w:val="0"/>
                <w:lang w:val="en-AU"/>
              </w:rPr>
              <w:t xml:space="preserve"> </w:t>
            </w:r>
            <w:r w:rsidRPr="00262F3A">
              <w:rPr>
                <w:b w:val="0"/>
                <w:lang w:val="en-AU"/>
              </w:rPr>
              <w:t>(%)</w:t>
            </w:r>
            <w:r w:rsidRPr="00262F3A">
              <w:rPr>
                <w:rStyle w:val="FootnoteReference"/>
                <w:b w:val="0"/>
                <w:sz w:val="21"/>
                <w:szCs w:val="21"/>
                <w:lang w:val="en-AU"/>
              </w:rPr>
              <w:footnoteReference w:id="9"/>
            </w:r>
          </w:p>
          <w:p w14:paraId="22C013AA" w14:textId="77777777" w:rsidR="0025606A" w:rsidRPr="00262F3A" w:rsidRDefault="0025606A" w:rsidP="007377AD">
            <w:pPr>
              <w:pStyle w:val="Tableformat"/>
              <w:rPr>
                <w:b w:val="0"/>
                <w:lang w:val="en-AU"/>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BF1A74"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&gt;90%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766A8BC" w14:textId="4C8441FD"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Baseline: Interna</w:t>
            </w:r>
            <w:r w:rsidR="00411467">
              <w:rPr>
                <w:lang w:val="en-AU"/>
              </w:rPr>
              <w:t>l satisfaction survey reporting</w:t>
            </w:r>
          </w:p>
          <w:p w14:paraId="686410E8" w14:textId="77777777"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Result: N/A</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1E9819A" w14:textId="23D4B9ED"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sidRPr="00262F3A">
              <w:rPr>
                <w:color w:val="000000"/>
                <w:lang w:val="en-AU"/>
              </w:rPr>
              <w:t>Since September 2018, the Agency has co</w:t>
            </w:r>
            <w:r w:rsidR="00411467">
              <w:rPr>
                <w:color w:val="000000"/>
                <w:lang w:val="en-AU"/>
              </w:rPr>
              <w:t xml:space="preserve">nducted an enhanced, externally </w:t>
            </w:r>
            <w:r w:rsidRPr="00262F3A">
              <w:rPr>
                <w:color w:val="000000"/>
                <w:lang w:val="en-AU"/>
              </w:rPr>
              <w:t>conducted participant satisfaction survey to allow for a comprehensive understanding of the participant experience at each stage of the pathway. It gathers responses at four primary stages of the participant pathway:</w:t>
            </w:r>
            <w:r w:rsidR="00411467">
              <w:rPr>
                <w:color w:val="000000"/>
                <w:lang w:val="en-AU"/>
              </w:rPr>
              <w:t xml:space="preserve"> access, pre-planning, planning, </w:t>
            </w:r>
            <w:r w:rsidRPr="00262F3A">
              <w:rPr>
                <w:color w:val="000000"/>
                <w:lang w:val="en-AU"/>
              </w:rPr>
              <w:t>and plan review. Current satisfaction rates are:</w:t>
            </w:r>
          </w:p>
          <w:p w14:paraId="561DCB4F" w14:textId="524939E6" w:rsidR="0025606A" w:rsidRPr="00262F3A" w:rsidRDefault="00411467"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Pr>
                <w:color w:val="000000"/>
                <w:lang w:val="en-AU"/>
              </w:rPr>
              <w:t>Access 81</w:t>
            </w:r>
            <w:r w:rsidR="00AD5D51">
              <w:rPr>
                <w:color w:val="000000"/>
                <w:lang w:val="en-AU"/>
              </w:rPr>
              <w:t xml:space="preserve"> per cent</w:t>
            </w:r>
          </w:p>
          <w:p w14:paraId="500D71C9" w14:textId="5E3F0AF6" w:rsidR="0025606A" w:rsidRPr="00262F3A" w:rsidRDefault="00411467"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Pr>
                <w:color w:val="000000"/>
                <w:lang w:val="en-AU"/>
              </w:rPr>
              <w:t>Pre-planning 83</w:t>
            </w:r>
            <w:r w:rsidR="00AD5D51">
              <w:rPr>
                <w:color w:val="000000"/>
                <w:lang w:val="en-AU"/>
              </w:rPr>
              <w:t xml:space="preserve"> per cent</w:t>
            </w:r>
          </w:p>
          <w:p w14:paraId="52452E17" w14:textId="33947A7A" w:rsidR="00411467" w:rsidRDefault="00411467" w:rsidP="007377AD">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Pr>
                <w:color w:val="000000"/>
                <w:lang w:val="en-AU"/>
              </w:rPr>
              <w:t>Planning 84</w:t>
            </w:r>
            <w:r w:rsidR="00AD5D51">
              <w:rPr>
                <w:color w:val="000000"/>
                <w:lang w:val="en-AU"/>
              </w:rPr>
              <w:t xml:space="preserve"> per cent</w:t>
            </w:r>
          </w:p>
          <w:p w14:paraId="71F06AF1" w14:textId="622B5E81" w:rsidR="0025606A" w:rsidRPr="00262F3A" w:rsidRDefault="00411467"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Pr>
                <w:color w:val="000000"/>
                <w:lang w:val="en-AU"/>
              </w:rPr>
              <w:t>P</w:t>
            </w:r>
            <w:r w:rsidR="0025606A" w:rsidRPr="00262F3A">
              <w:rPr>
                <w:color w:val="000000"/>
                <w:lang w:val="en-AU"/>
              </w:rPr>
              <w:t>lan review 85</w:t>
            </w:r>
            <w:r w:rsidR="00AD5D51">
              <w:rPr>
                <w:color w:val="000000"/>
                <w:lang w:val="en-AU"/>
              </w:rPr>
              <w:t xml:space="preserve"> per cent</w:t>
            </w:r>
          </w:p>
          <w:p w14:paraId="2F439F61" w14:textId="6C89E230" w:rsidR="0025606A" w:rsidRPr="00262F3A" w:rsidRDefault="0025606A" w:rsidP="007377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color w:val="000000"/>
                <w:lang w:val="en-AU"/>
              </w:rPr>
              <w:t>Significant improvements have occurred since this survey commenced in the second quarter of 2018</w:t>
            </w:r>
            <w:r w:rsidR="00411467">
              <w:rPr>
                <w:color w:val="000000"/>
                <w:lang w:val="en-AU"/>
              </w:rPr>
              <w:t>-</w:t>
            </w:r>
            <w:r w:rsidRPr="00262F3A">
              <w:rPr>
                <w:color w:val="000000"/>
                <w:lang w:val="en-AU"/>
              </w:rPr>
              <w:t>19.</w:t>
            </w:r>
          </w:p>
        </w:tc>
      </w:tr>
    </w:tbl>
    <w:p w14:paraId="2D8326B3" w14:textId="285FD66F" w:rsidR="0025606A" w:rsidRPr="00262F3A" w:rsidRDefault="007377AD" w:rsidP="008F00D1">
      <w:pPr>
        <w:pStyle w:val="Heading4"/>
      </w:pPr>
      <w:r>
        <w:lastRenderedPageBreak/>
        <w:br w:type="textWrapping" w:clear="all"/>
      </w:r>
      <w:r w:rsidR="0025606A" w:rsidRPr="00262F3A">
        <w:t>Aspiration 2: A competitive market with innovative supports</w:t>
      </w:r>
    </w:p>
    <w:p w14:paraId="1B706524" w14:textId="77777777" w:rsidR="0025606A" w:rsidRPr="00262F3A" w:rsidRDefault="0025606A" w:rsidP="0025606A">
      <w:pPr>
        <w:pStyle w:val="BodyText"/>
        <w:rPr>
          <w:sz w:val="21"/>
          <w:szCs w:val="21"/>
          <w:lang w:val="en-AU"/>
        </w:rPr>
      </w:pPr>
      <w:r w:rsidRPr="00262F3A">
        <w:rPr>
          <w:b/>
          <w:sz w:val="21"/>
          <w:szCs w:val="21"/>
          <w:lang w:val="en-AU"/>
        </w:rPr>
        <w:t>A competitive market with innovative supports</w:t>
      </w:r>
      <w:r w:rsidRPr="00262F3A">
        <w:rPr>
          <w:sz w:val="21"/>
          <w:szCs w:val="21"/>
          <w:lang w:val="en-AU"/>
        </w:rPr>
        <w:t xml:space="preserve"> is measured by: </w:t>
      </w:r>
    </w:p>
    <w:p w14:paraId="41E4CDD3" w14:textId="67D42A1A" w:rsidR="0025606A" w:rsidRPr="00262F3A" w:rsidRDefault="00411467"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ercentage of participa</w:t>
      </w:r>
      <w:r>
        <w:rPr>
          <w:rFonts w:eastAsia="Times New Roman"/>
          <w:lang w:eastAsia="en-AU"/>
        </w:rPr>
        <w:t>nts choosing who supports them</w:t>
      </w:r>
    </w:p>
    <w:p w14:paraId="01B8F6E4" w14:textId="6D156E4E" w:rsidR="0025606A" w:rsidRPr="00262F3A" w:rsidRDefault="00411467"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ro</w:t>
      </w:r>
      <w:r>
        <w:rPr>
          <w:rFonts w:eastAsia="Times New Roman"/>
          <w:lang w:eastAsia="en-AU"/>
        </w:rPr>
        <w:t>vider sentiment and confidence</w:t>
      </w:r>
    </w:p>
    <w:p w14:paraId="2FE43723" w14:textId="38DAB757" w:rsidR="0025606A" w:rsidRPr="00262F3A" w:rsidRDefault="00411467" w:rsidP="006D2911">
      <w:pPr>
        <w:pStyle w:val="ListParagraph"/>
        <w:numPr>
          <w:ilvl w:val="0"/>
          <w:numId w:val="4"/>
        </w:numPr>
        <w:rPr>
          <w:rFonts w:eastAsia="Times New Roman"/>
          <w:lang w:eastAsia="en-AU"/>
        </w:rPr>
      </w:pPr>
      <w:r>
        <w:rPr>
          <w:rFonts w:eastAsia="Times New Roman"/>
          <w:lang w:eastAsia="en-AU"/>
        </w:rPr>
        <w:t>plan utilisation by region</w:t>
      </w:r>
    </w:p>
    <w:p w14:paraId="6123F6EF" w14:textId="4AAD3AAA" w:rsidR="0025606A" w:rsidRPr="00262F3A" w:rsidRDefault="00411467" w:rsidP="006D2911">
      <w:pPr>
        <w:pStyle w:val="ListParagraph"/>
        <w:numPr>
          <w:ilvl w:val="0"/>
          <w:numId w:val="4"/>
        </w:numPr>
        <w:rPr>
          <w:rFonts w:eastAsia="Times New Roman"/>
          <w:lang w:eastAsia="en-AU"/>
        </w:rPr>
      </w:pPr>
      <w:r>
        <w:rPr>
          <w:rFonts w:eastAsia="Times New Roman"/>
          <w:lang w:eastAsia="en-AU"/>
        </w:rPr>
        <w:t>m</w:t>
      </w:r>
      <w:r w:rsidR="0025606A" w:rsidRPr="00262F3A">
        <w:rPr>
          <w:rFonts w:eastAsia="Times New Roman"/>
          <w:lang w:eastAsia="en-AU"/>
        </w:rPr>
        <w:t>arket concentration.</w:t>
      </w:r>
    </w:p>
    <w:p w14:paraId="3BC508AA" w14:textId="77777777" w:rsidR="0025606A" w:rsidRPr="00262F3A" w:rsidRDefault="0025606A" w:rsidP="00901595">
      <w:pPr>
        <w:keepNext/>
        <w:rPr>
          <w:b/>
          <w:sz w:val="21"/>
          <w:szCs w:val="21"/>
        </w:rPr>
      </w:pPr>
      <w:r w:rsidRPr="00262F3A">
        <w:rPr>
          <w:b/>
          <w:sz w:val="21"/>
          <w:szCs w:val="21"/>
        </w:rPr>
        <w:t xml:space="preserve">Table </w:t>
      </w:r>
      <w:r w:rsidR="00B5137C" w:rsidRPr="00262F3A">
        <w:rPr>
          <w:b/>
          <w:sz w:val="21"/>
          <w:szCs w:val="21"/>
        </w:rPr>
        <w:t>3.3.3D</w:t>
      </w:r>
      <w:r w:rsidRPr="00262F3A">
        <w:rPr>
          <w:b/>
          <w:sz w:val="21"/>
          <w:szCs w:val="21"/>
        </w:rPr>
        <w:t xml:space="preserve">: </w:t>
      </w:r>
      <w:r w:rsidRPr="00262F3A">
        <w:rPr>
          <w:bCs/>
          <w:sz w:val="21"/>
          <w:szCs w:val="21"/>
        </w:rPr>
        <w:t>Aspiration 2 – A growing and competitive market with innovative supports</w:t>
      </w:r>
      <w:r w:rsidRPr="00262F3A">
        <w:rPr>
          <w:b/>
          <w:sz w:val="21"/>
          <w:szCs w:val="21"/>
        </w:rPr>
        <w:t xml:space="preserve"> </w:t>
      </w:r>
    </w:p>
    <w:tbl>
      <w:tblPr>
        <w:tblStyle w:val="LightShading-Accent4"/>
        <w:tblW w:w="9300" w:type="dxa"/>
        <w:tblInd w:w="607" w:type="dxa"/>
        <w:tblLayout w:type="fixed"/>
        <w:tblLook w:val="04A0" w:firstRow="1" w:lastRow="0" w:firstColumn="1" w:lastColumn="0" w:noHBand="0" w:noVBand="1"/>
        <w:tblCaption w:val="Table 3.3.3D sets out the 2019–20 targets for Aspiration 2 from the National Disability Insurance Agency Corporate Plan 2019–23 and the results achieved as at 30 June 2020. "/>
        <w:tblDescription w:val="The table has four columns: Metrics; Target; Baseline and result; and Comment. &#10;There are four rows with different metrics listed: Per cent of participants choosing who supports them; Provider sentiment and confidence (score out of 10); Plan utilisation by region (per cent of regions that are more than 10 percentage points from the national benchmark; and Market concentration (per cent of regions where the top 10 providers supply more than 85 per cent of the supports). &#10;&#10;The table shows that as at 30 June 2020, 47 per cent of participants were choosing who supports them. The Agency has invested in the development of the National Disability Insurance Scheme market through continued work with service providers to address key and emerging areas for improvement. For provider sentiment and confidence, providers gave the Agency a score of five point nine out of 10.  Utilisation continues to be negatively correlated with remoteness from major metropolitan areas. Further work is ongoing to improve access to services in “thin markets”. The percentage of regions that are more than 10 percentage points from the national benchmark is 10 per cent. On average across all regions, 62 per cent of payments go to the largest 10 providers. There are 10 regions where 85 per cent or more of payments go to the largest 10 providers (13 per cent) and 18 regions where less than 45 per cent of payments went to the 10 largest providers (23 per cent)."/>
      </w:tblPr>
      <w:tblGrid>
        <w:gridCol w:w="2263"/>
        <w:gridCol w:w="1276"/>
        <w:gridCol w:w="1843"/>
        <w:gridCol w:w="3918"/>
      </w:tblGrid>
      <w:tr w:rsidR="0025606A" w:rsidRPr="00262F3A" w14:paraId="72ADD262" w14:textId="77777777" w:rsidTr="007377AD">
        <w:trPr>
          <w:cnfStyle w:val="100000000000" w:firstRow="1" w:lastRow="0" w:firstColumn="0" w:lastColumn="0" w:oddVBand="0" w:evenVBand="0" w:oddHBand="0" w:evenHBand="0" w:firstRowFirstColumn="0" w:firstRowLastColumn="0" w:lastRowFirstColumn="0" w:lastRowLastColumn="0"/>
          <w:trHeight w:val="369"/>
          <w:tblHead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7030A0"/>
            <w:hideMark/>
          </w:tcPr>
          <w:p w14:paraId="10EA336F" w14:textId="77777777" w:rsidR="0025606A" w:rsidRPr="00262F3A" w:rsidRDefault="0025606A" w:rsidP="00B5137C">
            <w:pPr>
              <w:pStyle w:val="Tableformat"/>
              <w:rPr>
                <w:b w:val="0"/>
                <w:lang w:val="en-AU"/>
              </w:rPr>
            </w:pPr>
            <w:r w:rsidRPr="00262F3A">
              <w:rPr>
                <w:b w:val="0"/>
                <w:lang w:val="en-AU"/>
              </w:rPr>
              <w:t xml:space="preserve">Metric </w:t>
            </w:r>
          </w:p>
        </w:tc>
        <w:tc>
          <w:tcPr>
            <w:tcW w:w="1276" w:type="dxa"/>
            <w:tcBorders>
              <w:top w:val="single" w:sz="4" w:space="0" w:color="auto"/>
              <w:left w:val="single" w:sz="4" w:space="0" w:color="auto"/>
              <w:bottom w:val="single" w:sz="4" w:space="0" w:color="auto"/>
              <w:right w:val="single" w:sz="4" w:space="0" w:color="auto"/>
            </w:tcBorders>
            <w:shd w:val="clear" w:color="auto" w:fill="7030A0"/>
            <w:hideMark/>
          </w:tcPr>
          <w:p w14:paraId="03C3DC5B" w14:textId="77777777" w:rsidR="0025606A" w:rsidRPr="00262F3A" w:rsidRDefault="0025606A" w:rsidP="00B5137C">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Target</w:t>
            </w:r>
          </w:p>
        </w:tc>
        <w:tc>
          <w:tcPr>
            <w:tcW w:w="1843" w:type="dxa"/>
            <w:tcBorders>
              <w:top w:val="single" w:sz="4" w:space="0" w:color="auto"/>
              <w:left w:val="single" w:sz="4" w:space="0" w:color="auto"/>
              <w:bottom w:val="single" w:sz="4" w:space="0" w:color="auto"/>
              <w:right w:val="single" w:sz="4" w:space="0" w:color="auto"/>
            </w:tcBorders>
            <w:shd w:val="clear" w:color="auto" w:fill="7030A0"/>
            <w:hideMark/>
          </w:tcPr>
          <w:p w14:paraId="0BE936ED" w14:textId="77777777" w:rsidR="0025606A" w:rsidRPr="00262F3A" w:rsidRDefault="0025606A" w:rsidP="00B5137C">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Baseline and result</w:t>
            </w:r>
          </w:p>
        </w:tc>
        <w:tc>
          <w:tcPr>
            <w:tcW w:w="3918" w:type="dxa"/>
            <w:tcBorders>
              <w:top w:val="single" w:sz="4" w:space="0" w:color="auto"/>
              <w:left w:val="single" w:sz="4" w:space="0" w:color="auto"/>
              <w:bottom w:val="single" w:sz="4" w:space="0" w:color="auto"/>
              <w:right w:val="single" w:sz="4" w:space="0" w:color="auto"/>
            </w:tcBorders>
            <w:shd w:val="clear" w:color="auto" w:fill="7030A0"/>
            <w:hideMark/>
          </w:tcPr>
          <w:p w14:paraId="0CECC77E" w14:textId="77777777" w:rsidR="0025606A" w:rsidRPr="00262F3A" w:rsidRDefault="0025606A" w:rsidP="00B5137C">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Comment</w:t>
            </w:r>
          </w:p>
        </w:tc>
      </w:tr>
      <w:tr w:rsidR="0025606A" w:rsidRPr="00262F3A" w14:paraId="3AE3E94B" w14:textId="77777777" w:rsidTr="007377AD">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116D00DA" w14:textId="77777777" w:rsidR="0025606A" w:rsidRPr="00262F3A" w:rsidRDefault="0025606A" w:rsidP="00B5137C">
            <w:pPr>
              <w:pStyle w:val="Tableformat"/>
              <w:rPr>
                <w:b w:val="0"/>
                <w:bCs w:val="0"/>
                <w:lang w:val="en-AU"/>
              </w:rPr>
            </w:pPr>
            <w:r w:rsidRPr="00262F3A">
              <w:rPr>
                <w:b w:val="0"/>
                <w:lang w:val="en-AU"/>
              </w:rPr>
              <w:t>% of participants choosing who supports them</w:t>
            </w:r>
            <w:r w:rsidRPr="00262F3A">
              <w:rPr>
                <w:rStyle w:val="FootnoteReference"/>
                <w:b w:val="0"/>
                <w:sz w:val="21"/>
                <w:szCs w:val="21"/>
                <w:lang w:val="en-AU"/>
              </w:rPr>
              <w:footnoteReference w:id="10"/>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DC6596E"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45%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D618735"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Baseline: Scheme actuarial reporting.</w:t>
            </w:r>
          </w:p>
          <w:p w14:paraId="018CE994"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Result: 47%</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15E986C5"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color w:val="FF0000"/>
                <w:lang w:val="en-AU"/>
              </w:rPr>
            </w:pPr>
            <w:r w:rsidRPr="00262F3A">
              <w:rPr>
                <w:lang w:val="en-AU"/>
              </w:rPr>
              <w:t xml:space="preserve">In partnership with key stakeholders, the Agency developed and implemented a framework for monitoring and responding to a wide range of market issues. The Agency designed actions to support and shape the market to better respond to changing patterns of participant demand. </w:t>
            </w:r>
          </w:p>
        </w:tc>
      </w:tr>
      <w:tr w:rsidR="0025606A" w:rsidRPr="00262F3A" w14:paraId="36F3BF69" w14:textId="77777777" w:rsidTr="007377AD">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5479AA4A" w14:textId="77777777" w:rsidR="0025606A" w:rsidRPr="00262F3A" w:rsidRDefault="0025606A" w:rsidP="00B5137C">
            <w:pPr>
              <w:pStyle w:val="Tableformat"/>
              <w:rPr>
                <w:b w:val="0"/>
                <w:bCs w:val="0"/>
                <w:lang w:val="en-AU"/>
              </w:rPr>
            </w:pPr>
            <w:r w:rsidRPr="00262F3A">
              <w:rPr>
                <w:b w:val="0"/>
                <w:lang w:val="en-AU"/>
              </w:rPr>
              <w:t>Provider sentiment and confidence</w:t>
            </w:r>
            <w:r w:rsidRPr="00262F3A">
              <w:rPr>
                <w:rStyle w:val="FootnoteReference"/>
                <w:b w:val="0"/>
                <w:sz w:val="21"/>
                <w:szCs w:val="21"/>
                <w:lang w:val="en-AU"/>
              </w:rPr>
              <w:footnoteReference w:id="11"/>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A86B857" w14:textId="77777777"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5.5 out of 10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D5ACB2D" w14:textId="11FBBEEB"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Baseline: Provider Sentiment and Satisfaction Survey</w:t>
            </w:r>
          </w:p>
          <w:p w14:paraId="1F317AEE" w14:textId="77777777"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Result: 5.9 out of 10</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4845C06C" w14:textId="77777777"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color w:val="FF0000"/>
                <w:lang w:val="en-AU"/>
              </w:rPr>
            </w:pPr>
            <w:r w:rsidRPr="00262F3A">
              <w:rPr>
                <w:lang w:val="en-AU"/>
              </w:rPr>
              <w:t xml:space="preserve"> The Agency has invested in the development of the NDIS market through continued work with service providers to address key and emerging areas for improvement. Through market engagement activities, market analysis and strategic communications to drive market responses, the Agency implemented a range of programs in 2019–20 to improve the participant and provider experience.</w:t>
            </w:r>
          </w:p>
        </w:tc>
      </w:tr>
      <w:tr w:rsidR="0025606A" w:rsidRPr="00262F3A" w14:paraId="326B472D" w14:textId="77777777" w:rsidTr="007377AD">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4002E042" w14:textId="77777777" w:rsidR="0025606A" w:rsidRPr="00262F3A" w:rsidRDefault="0025606A" w:rsidP="00B5137C">
            <w:pPr>
              <w:pStyle w:val="Tableformat"/>
              <w:rPr>
                <w:b w:val="0"/>
                <w:bCs w:val="0"/>
                <w:lang w:val="en-AU"/>
              </w:rPr>
            </w:pPr>
            <w:r w:rsidRPr="00262F3A">
              <w:rPr>
                <w:b w:val="0"/>
                <w:lang w:val="en-AU"/>
              </w:rPr>
              <w:t>Plan utilisation by region (per cent of regions that are more than 10 percentage points from the national benchmark)</w:t>
            </w:r>
            <w:r w:rsidRPr="00262F3A">
              <w:rPr>
                <w:rStyle w:val="FootnoteReference"/>
                <w:b w:val="0"/>
                <w:sz w:val="21"/>
                <w:szCs w:val="21"/>
                <w:lang w:val="en-AU"/>
              </w:rPr>
              <w:footnoteReference w:id="12"/>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6217E5"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&lt;8%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3B96D0" w14:textId="77777777" w:rsidR="0025606A" w:rsidRPr="00262F3A" w:rsidRDefault="0025606A" w:rsidP="00B5137C">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rFonts w:eastAsiaTheme="minorHAnsi"/>
                <w:color w:val="0D0D0D"/>
                <w:lang w:val="en-AU" w:eastAsia="en-US"/>
              </w:rPr>
              <w:t>Baseline: Scheme actuarial reporting. Result: 10%</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471958AA" w14:textId="34D55FF1" w:rsidR="0025606A" w:rsidRPr="00262F3A" w:rsidRDefault="0025606A" w:rsidP="00B56574">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sidRPr="00262F3A">
              <w:rPr>
                <w:rFonts w:eastAsiaTheme="minorHAnsi"/>
                <w:color w:val="0D0D0D"/>
                <w:lang w:val="en-AU" w:eastAsia="en-US"/>
              </w:rPr>
              <w:t>Utilisation continues to be negatively correlated with remoteness from major metropolitan areas. Further work is ongoing to improve access to services in “thin markets”. Utilisation improves for a given cohort of participants the longer they have been in the Scheme.</w:t>
            </w:r>
            <w:r w:rsidR="00AD5D51" w:rsidRPr="00262F3A" w:rsidDel="00AD5D51">
              <w:rPr>
                <w:rFonts w:eastAsiaTheme="minorHAnsi"/>
                <w:color w:val="0D0D0D"/>
                <w:lang w:val="en-AU" w:eastAsia="en-US"/>
              </w:rPr>
              <w:t xml:space="preserve"> </w:t>
            </w:r>
          </w:p>
        </w:tc>
      </w:tr>
      <w:tr w:rsidR="0025606A" w:rsidRPr="00262F3A" w14:paraId="61A1E22B" w14:textId="77777777" w:rsidTr="007377AD">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589665E2" w14:textId="697EC381" w:rsidR="0025606A" w:rsidRPr="00262F3A" w:rsidRDefault="0025606A" w:rsidP="00411467">
            <w:pPr>
              <w:pStyle w:val="Tableformat"/>
              <w:rPr>
                <w:b w:val="0"/>
                <w:bCs w:val="0"/>
                <w:lang w:val="en-AU"/>
              </w:rPr>
            </w:pPr>
            <w:r w:rsidRPr="00262F3A">
              <w:rPr>
                <w:b w:val="0"/>
                <w:lang w:val="en-AU"/>
              </w:rPr>
              <w:lastRenderedPageBreak/>
              <w:t>Market concentration  (per cent of regions where the top 10 providers supply more t</w:t>
            </w:r>
            <w:r w:rsidR="00411467">
              <w:rPr>
                <w:b w:val="0"/>
                <w:lang w:val="en-AU"/>
              </w:rPr>
              <w:t>han 85 per cent of the supports</w:t>
            </w:r>
            <w:r w:rsidRPr="00262F3A">
              <w:rPr>
                <w:b w:val="0"/>
                <w:lang w:val="en-AU"/>
              </w:rPr>
              <w:t>)</w:t>
            </w:r>
            <w:r w:rsidRPr="00262F3A">
              <w:rPr>
                <w:rStyle w:val="FootnoteReference"/>
                <w:b w:val="0"/>
                <w:sz w:val="21"/>
                <w:szCs w:val="21"/>
                <w:lang w:val="en-AU"/>
              </w:rPr>
              <w:footnoteReference w:id="13"/>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CF7575" w14:textId="77777777"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&lt;10%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D9C1A0" w14:textId="77777777" w:rsidR="0025606A" w:rsidRPr="00262F3A" w:rsidRDefault="0025606A" w:rsidP="00B5137C">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rFonts w:eastAsiaTheme="minorHAnsi"/>
                <w:color w:val="0D0D0D"/>
                <w:lang w:val="en-AU" w:eastAsia="en-US"/>
              </w:rPr>
              <w:t>Baseline: Scheme actuarial reporting. Result: 13%</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05E5F2D7" w14:textId="11992D81" w:rsidR="0025606A" w:rsidRPr="00262F3A" w:rsidRDefault="0025606A" w:rsidP="00411467">
            <w:pPr>
              <w:pStyle w:val="Tableformat"/>
              <w:cnfStyle w:val="000000010000" w:firstRow="0" w:lastRow="0" w:firstColumn="0" w:lastColumn="0" w:oddVBand="0" w:evenVBand="0" w:oddHBand="0" w:evenHBand="1" w:firstRowFirstColumn="0" w:firstRowLastColumn="0" w:lastRowFirstColumn="0" w:lastRowLastColumn="0"/>
              <w:rPr>
                <w:color w:val="000000"/>
                <w:lang w:val="en-AU"/>
              </w:rPr>
            </w:pPr>
            <w:r w:rsidRPr="00262F3A">
              <w:rPr>
                <w:rFonts w:eastAsiaTheme="minorHAnsi"/>
                <w:lang w:val="en-AU" w:eastAsia="en-US"/>
              </w:rPr>
              <w:t>On average across all regions, 62</w:t>
            </w:r>
            <w:r w:rsidR="00AD5D51">
              <w:rPr>
                <w:color w:val="000000"/>
                <w:lang w:val="en-AU"/>
              </w:rPr>
              <w:t xml:space="preserve"> per cent</w:t>
            </w:r>
            <w:r w:rsidRPr="00262F3A">
              <w:rPr>
                <w:rFonts w:eastAsiaTheme="minorHAnsi"/>
                <w:lang w:val="en-AU" w:eastAsia="en-US"/>
              </w:rPr>
              <w:t xml:space="preserve"> of payments go to the largest 10 providers. There are </w:t>
            </w:r>
            <w:r w:rsidR="00411467">
              <w:rPr>
                <w:rFonts w:eastAsiaTheme="minorHAnsi"/>
                <w:lang w:val="en-AU" w:eastAsia="en-US"/>
              </w:rPr>
              <w:t>10</w:t>
            </w:r>
            <w:r w:rsidRPr="00262F3A">
              <w:rPr>
                <w:rFonts w:eastAsiaTheme="minorHAnsi"/>
                <w:lang w:val="en-AU" w:eastAsia="en-US"/>
              </w:rPr>
              <w:t xml:space="preserve"> regions where 85</w:t>
            </w:r>
            <w:r w:rsidR="00AD5D51">
              <w:rPr>
                <w:color w:val="000000"/>
                <w:lang w:val="en-AU"/>
              </w:rPr>
              <w:t xml:space="preserve"> per cent</w:t>
            </w:r>
            <w:r w:rsidRPr="00262F3A">
              <w:rPr>
                <w:rFonts w:eastAsiaTheme="minorHAnsi"/>
                <w:lang w:val="en-AU" w:eastAsia="en-US"/>
              </w:rPr>
              <w:t xml:space="preserve"> or more of payments go to the largest 10 providers (13</w:t>
            </w:r>
            <w:r w:rsidR="00AD5D51">
              <w:rPr>
                <w:color w:val="000000"/>
                <w:lang w:val="en-AU"/>
              </w:rPr>
              <w:t xml:space="preserve"> per cent</w:t>
            </w:r>
            <w:r w:rsidRPr="00262F3A">
              <w:rPr>
                <w:rFonts w:eastAsiaTheme="minorHAnsi"/>
                <w:lang w:val="en-AU" w:eastAsia="en-US"/>
              </w:rPr>
              <w:t>) and 18 regions where less than 45 per cent of payments went to the 10 largest providers (23</w:t>
            </w:r>
            <w:r w:rsidR="00AD5D51">
              <w:rPr>
                <w:color w:val="000000"/>
                <w:lang w:val="en-AU"/>
              </w:rPr>
              <w:t xml:space="preserve"> per cent</w:t>
            </w:r>
            <w:r w:rsidRPr="00262F3A">
              <w:rPr>
                <w:rFonts w:eastAsiaTheme="minorHAnsi"/>
                <w:lang w:val="en-AU" w:eastAsia="en-US"/>
              </w:rPr>
              <w:t xml:space="preserve">). All of the </w:t>
            </w:r>
            <w:r w:rsidR="00411467">
              <w:rPr>
                <w:rFonts w:eastAsiaTheme="minorHAnsi"/>
                <w:lang w:val="en-AU" w:eastAsia="en-US"/>
              </w:rPr>
              <w:t>10</w:t>
            </w:r>
            <w:r w:rsidRPr="00262F3A">
              <w:rPr>
                <w:rFonts w:eastAsiaTheme="minorHAnsi"/>
                <w:lang w:val="en-AU" w:eastAsia="en-US"/>
              </w:rPr>
              <w:t xml:space="preserve"> regions where more than 85</w:t>
            </w:r>
            <w:r w:rsidR="00AD5D51">
              <w:rPr>
                <w:color w:val="000000"/>
                <w:lang w:val="en-AU"/>
              </w:rPr>
              <w:t xml:space="preserve"> per cent</w:t>
            </w:r>
            <w:r w:rsidRPr="00262F3A">
              <w:rPr>
                <w:rFonts w:eastAsiaTheme="minorHAnsi"/>
                <w:lang w:val="en-AU" w:eastAsia="en-US"/>
              </w:rPr>
              <w:t xml:space="preserve"> of payments go to the 10 largest providers </w:t>
            </w:r>
            <w:r w:rsidRPr="00262F3A">
              <w:rPr>
                <w:rFonts w:eastAsiaTheme="minorHAnsi"/>
                <w:lang w:val="en-AU"/>
              </w:rPr>
              <w:t>are regional and remote areas in the Northern Territory, Western Australia and South Australia.</w:t>
            </w:r>
          </w:p>
        </w:tc>
      </w:tr>
    </w:tbl>
    <w:p w14:paraId="1A6E7114" w14:textId="77777777" w:rsidR="0025606A" w:rsidRPr="00262F3A" w:rsidRDefault="0025606A" w:rsidP="008F00D1">
      <w:pPr>
        <w:pStyle w:val="Heading4"/>
      </w:pPr>
      <w:r w:rsidRPr="00262F3A">
        <w:t>Aspiration 3:  A connected and engaged stakeholder sector</w:t>
      </w:r>
    </w:p>
    <w:p w14:paraId="19F4BD7F" w14:textId="77777777" w:rsidR="0025606A" w:rsidRPr="00262F3A" w:rsidRDefault="0025606A" w:rsidP="008554AD">
      <w:pPr>
        <w:rPr>
          <w:color w:val="000000"/>
        </w:rPr>
      </w:pPr>
      <w:r w:rsidRPr="00262F3A">
        <w:rPr>
          <w:rFonts w:eastAsia="Cambria"/>
          <w:b/>
        </w:rPr>
        <w:t xml:space="preserve">A connected and engaged stakeholder </w:t>
      </w:r>
      <w:r w:rsidRPr="00262F3A">
        <w:rPr>
          <w:b/>
          <w:color w:val="000000"/>
        </w:rPr>
        <w:t>sector</w:t>
      </w:r>
      <w:r w:rsidRPr="00262F3A">
        <w:rPr>
          <w:color w:val="000000"/>
        </w:rPr>
        <w:t xml:space="preserve"> is measured by:</w:t>
      </w:r>
    </w:p>
    <w:p w14:paraId="5D167193" w14:textId="51FCB510" w:rsidR="0025606A" w:rsidRPr="00262F3A" w:rsidRDefault="00411467" w:rsidP="006D2911">
      <w:pPr>
        <w:pStyle w:val="ListParagraph"/>
        <w:numPr>
          <w:ilvl w:val="0"/>
          <w:numId w:val="4"/>
        </w:numPr>
        <w:rPr>
          <w:rFonts w:eastAsia="Times New Roman"/>
          <w:lang w:eastAsia="en-AU"/>
        </w:rPr>
      </w:pPr>
      <w:r>
        <w:rPr>
          <w:rFonts w:eastAsia="Times New Roman"/>
          <w:lang w:eastAsia="en-AU"/>
        </w:rPr>
        <w:t>sector sentiment</w:t>
      </w:r>
    </w:p>
    <w:p w14:paraId="410FF655" w14:textId="0C553CE4" w:rsidR="0025606A" w:rsidRPr="00262F3A" w:rsidRDefault="00411467" w:rsidP="006D2911">
      <w:pPr>
        <w:pStyle w:val="ListParagraph"/>
        <w:numPr>
          <w:ilvl w:val="0"/>
          <w:numId w:val="4"/>
        </w:numPr>
        <w:rPr>
          <w:rFonts w:eastAsia="Times New Roman"/>
          <w:lang w:eastAsia="en-AU"/>
        </w:rPr>
      </w:pPr>
      <w:r>
        <w:rPr>
          <w:rFonts w:eastAsia="Times New Roman"/>
          <w:lang w:eastAsia="en-AU"/>
        </w:rPr>
        <w:t>n</w:t>
      </w:r>
      <w:r w:rsidR="0025606A" w:rsidRPr="00262F3A">
        <w:rPr>
          <w:rFonts w:eastAsia="Times New Roman"/>
          <w:lang w:eastAsia="en-AU"/>
        </w:rPr>
        <w:t xml:space="preserve">umber of engagement activities completed </w:t>
      </w:r>
    </w:p>
    <w:p w14:paraId="1C6A043B" w14:textId="19257D5A" w:rsidR="0025606A" w:rsidRPr="00262F3A" w:rsidRDefault="00411467" w:rsidP="006D2911">
      <w:pPr>
        <w:pStyle w:val="ListParagraph"/>
        <w:numPr>
          <w:ilvl w:val="0"/>
          <w:numId w:val="4"/>
        </w:numPr>
        <w:rPr>
          <w:rFonts w:eastAsia="Times New Roman"/>
          <w:lang w:eastAsia="en-AU"/>
        </w:rPr>
      </w:pPr>
      <w:r>
        <w:rPr>
          <w:rFonts w:eastAsia="Times New Roman"/>
          <w:lang w:eastAsia="en-AU"/>
        </w:rPr>
        <w:t>t</w:t>
      </w:r>
      <w:r w:rsidR="0025606A" w:rsidRPr="00262F3A">
        <w:rPr>
          <w:rFonts w:eastAsia="Times New Roman"/>
          <w:lang w:eastAsia="en-AU"/>
        </w:rPr>
        <w:t>otal unique website users (ndis.gov.au).</w:t>
      </w:r>
    </w:p>
    <w:p w14:paraId="2A310DBF" w14:textId="77777777" w:rsidR="0025606A" w:rsidRPr="00262F3A" w:rsidRDefault="0025606A" w:rsidP="00901595">
      <w:pPr>
        <w:keepNext/>
        <w:rPr>
          <w:b/>
          <w:sz w:val="21"/>
          <w:szCs w:val="21"/>
        </w:rPr>
      </w:pPr>
      <w:r w:rsidRPr="00262F3A">
        <w:rPr>
          <w:b/>
          <w:sz w:val="21"/>
          <w:szCs w:val="21"/>
        </w:rPr>
        <w:t xml:space="preserve">Table </w:t>
      </w:r>
      <w:r w:rsidR="008554AD" w:rsidRPr="00262F3A">
        <w:rPr>
          <w:b/>
          <w:sz w:val="21"/>
          <w:szCs w:val="21"/>
        </w:rPr>
        <w:t>3.3.3E</w:t>
      </w:r>
      <w:r w:rsidRPr="00262F3A">
        <w:rPr>
          <w:b/>
          <w:sz w:val="21"/>
          <w:szCs w:val="21"/>
        </w:rPr>
        <w:t xml:space="preserve">: </w:t>
      </w:r>
      <w:r w:rsidRPr="00262F3A">
        <w:rPr>
          <w:bCs/>
          <w:sz w:val="21"/>
          <w:szCs w:val="21"/>
        </w:rPr>
        <w:t>Aspiration 3 – A connected and engaged stakeholder sector</w:t>
      </w:r>
      <w:r w:rsidRPr="00262F3A">
        <w:rPr>
          <w:b/>
          <w:sz w:val="21"/>
          <w:szCs w:val="21"/>
        </w:rPr>
        <w:t xml:space="preserve"> </w:t>
      </w:r>
    </w:p>
    <w:tbl>
      <w:tblPr>
        <w:tblStyle w:val="LightShading-Accent4"/>
        <w:tblW w:w="944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e table has four columns: Metrics; Target; Baseline and result; and Comment. &#10;There are three rows with different metrics listed: Sector sentiment (rating out of 10); Number of engagement activities completed; and Total unique website (ndis.gov.au) users. &#10;&#10;The table shows as at 30 June 2020, the sector sentiment rating  was five point nine out of 10. The Agency continues to build and maintain genuine and collaborative partnerships with a wide range of stakeholders and continues to engage with the community and sector. In 2019–20 there was an average of 254 engagement activities a month. The National Disability Insurance Scheme’s website is one of the Agency’s key communication channels, with 3.3 million unique website users, resulting in an average of 1.5 million page views per month.&#10;"/>
      </w:tblPr>
      <w:tblGrid>
        <w:gridCol w:w="2263"/>
        <w:gridCol w:w="1418"/>
        <w:gridCol w:w="1841"/>
        <w:gridCol w:w="3918"/>
      </w:tblGrid>
      <w:tr w:rsidR="008554AD" w:rsidRPr="00262F3A" w14:paraId="5260CE30" w14:textId="77777777" w:rsidTr="008554AD">
        <w:trPr>
          <w:cnfStyle w:val="100000000000" w:firstRow="1" w:lastRow="0" w:firstColumn="0" w:lastColumn="0" w:oddVBand="0" w:evenVBand="0" w:oddHBand="0" w:evenHBand="0" w:firstRowFirstColumn="0" w:firstRowLastColumn="0" w:lastRowFirstColumn="0" w:lastRowLastColumn="0"/>
          <w:trHeight w:val="381"/>
          <w:tblHead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7030A0"/>
            <w:hideMark/>
          </w:tcPr>
          <w:p w14:paraId="36E928B6" w14:textId="77777777" w:rsidR="0025606A" w:rsidRPr="00262F3A" w:rsidRDefault="0025606A" w:rsidP="008554AD">
            <w:pPr>
              <w:pStyle w:val="Tableformat"/>
              <w:rPr>
                <w:b w:val="0"/>
                <w:lang w:val="en-AU"/>
              </w:rPr>
            </w:pPr>
            <w:r w:rsidRPr="00262F3A">
              <w:rPr>
                <w:b w:val="0"/>
                <w:lang w:val="en-AU"/>
              </w:rPr>
              <w:t xml:space="preserve">Metric </w:t>
            </w:r>
          </w:p>
        </w:tc>
        <w:tc>
          <w:tcPr>
            <w:tcW w:w="1418" w:type="dxa"/>
            <w:tcBorders>
              <w:top w:val="single" w:sz="4" w:space="0" w:color="auto"/>
              <w:left w:val="single" w:sz="4" w:space="0" w:color="auto"/>
              <w:bottom w:val="single" w:sz="4" w:space="0" w:color="auto"/>
              <w:right w:val="single" w:sz="4" w:space="0" w:color="auto"/>
            </w:tcBorders>
            <w:shd w:val="clear" w:color="auto" w:fill="7030A0"/>
            <w:hideMark/>
          </w:tcPr>
          <w:p w14:paraId="29CB9D2B"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Target</w:t>
            </w:r>
          </w:p>
        </w:tc>
        <w:tc>
          <w:tcPr>
            <w:tcW w:w="1841" w:type="dxa"/>
            <w:tcBorders>
              <w:top w:val="single" w:sz="4" w:space="0" w:color="auto"/>
              <w:left w:val="single" w:sz="4" w:space="0" w:color="auto"/>
              <w:bottom w:val="single" w:sz="4" w:space="0" w:color="auto"/>
              <w:right w:val="single" w:sz="4" w:space="0" w:color="auto"/>
            </w:tcBorders>
            <w:shd w:val="clear" w:color="auto" w:fill="7030A0"/>
            <w:hideMark/>
          </w:tcPr>
          <w:p w14:paraId="0359464D"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Baseline and result</w:t>
            </w:r>
          </w:p>
        </w:tc>
        <w:tc>
          <w:tcPr>
            <w:tcW w:w="3918" w:type="dxa"/>
            <w:tcBorders>
              <w:top w:val="single" w:sz="4" w:space="0" w:color="auto"/>
              <w:left w:val="single" w:sz="4" w:space="0" w:color="auto"/>
              <w:bottom w:val="single" w:sz="4" w:space="0" w:color="auto"/>
              <w:right w:val="single" w:sz="4" w:space="0" w:color="auto"/>
            </w:tcBorders>
            <w:shd w:val="clear" w:color="auto" w:fill="7030A0"/>
            <w:hideMark/>
          </w:tcPr>
          <w:p w14:paraId="12EABCFC"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Comment</w:t>
            </w:r>
          </w:p>
        </w:tc>
      </w:tr>
      <w:tr w:rsidR="0025606A" w:rsidRPr="00262F3A" w14:paraId="12ECCAD9" w14:textId="77777777" w:rsidTr="008554AD">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hideMark/>
          </w:tcPr>
          <w:p w14:paraId="66D2DB94" w14:textId="31DBA95F" w:rsidR="0025606A" w:rsidRPr="00262F3A" w:rsidRDefault="0025606A" w:rsidP="00411467">
            <w:pPr>
              <w:pStyle w:val="Tableformat"/>
              <w:rPr>
                <w:bCs w:val="0"/>
                <w:i/>
                <w:lang w:val="en-AU"/>
              </w:rPr>
            </w:pPr>
            <w:r w:rsidRPr="00262F3A">
              <w:rPr>
                <w:lang w:val="en-AU"/>
              </w:rPr>
              <w:t>Sector sentiment (rating out of 10)</w:t>
            </w:r>
            <w:r w:rsidRPr="00262F3A">
              <w:rPr>
                <w:rStyle w:val="FootnoteReference"/>
                <w:b w:val="0"/>
                <w:sz w:val="21"/>
                <w:szCs w:val="21"/>
                <w:lang w:val="en-AU"/>
              </w:rPr>
              <w:footnoteReference w:id="14"/>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23EBC4B"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5.5</w:t>
            </w:r>
          </w:p>
        </w:tc>
        <w:tc>
          <w:tcPr>
            <w:tcW w:w="1841" w:type="dxa"/>
            <w:tcBorders>
              <w:top w:val="single" w:sz="4" w:space="0" w:color="auto"/>
              <w:left w:val="single" w:sz="4" w:space="0" w:color="auto"/>
              <w:bottom w:val="single" w:sz="4" w:space="0" w:color="auto"/>
              <w:right w:val="single" w:sz="4" w:space="0" w:color="auto"/>
            </w:tcBorders>
            <w:shd w:val="clear" w:color="auto" w:fill="auto"/>
            <w:hideMark/>
          </w:tcPr>
          <w:p w14:paraId="7BCA68ED"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Baseline: </w:t>
            </w:r>
            <w:r w:rsidRPr="00262F3A">
              <w:rPr>
                <w:rFonts w:eastAsiaTheme="minorHAnsi"/>
                <w:color w:val="000000"/>
                <w:lang w:val="en-AU"/>
              </w:rPr>
              <w:t>NDIS biannual sector survey</w:t>
            </w:r>
          </w:p>
          <w:p w14:paraId="1F284A94"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color w:val="FF0000"/>
                <w:lang w:val="en-AU"/>
              </w:rPr>
            </w:pPr>
            <w:r w:rsidRPr="00262F3A">
              <w:rPr>
                <w:lang w:val="en-AU"/>
              </w:rPr>
              <w:t>Result: 5.9</w:t>
            </w:r>
          </w:p>
        </w:tc>
        <w:tc>
          <w:tcPr>
            <w:tcW w:w="3918" w:type="dxa"/>
            <w:tcBorders>
              <w:top w:val="single" w:sz="4" w:space="0" w:color="auto"/>
              <w:left w:val="single" w:sz="4" w:space="0" w:color="auto"/>
              <w:bottom w:val="single" w:sz="4" w:space="0" w:color="auto"/>
              <w:right w:val="single" w:sz="4" w:space="0" w:color="auto"/>
            </w:tcBorders>
            <w:shd w:val="clear" w:color="auto" w:fill="auto"/>
            <w:hideMark/>
          </w:tcPr>
          <w:p w14:paraId="67C1DA9E"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 In 2019–20, the Agency continued to build and maintain genuine and collaborative partnerships with a wide range of stakeholders. Relationships developed with participants, their families, carers, providers, the disability sector, community and government have continued to inform the delivery of the Scheme, to help ensure it is fit for purpose. </w:t>
            </w:r>
          </w:p>
        </w:tc>
      </w:tr>
      <w:tr w:rsidR="0025606A" w:rsidRPr="00262F3A" w14:paraId="30301380" w14:textId="77777777" w:rsidTr="008554AD">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212EAC71" w14:textId="77777777" w:rsidR="0025606A" w:rsidRPr="00262F3A" w:rsidRDefault="0025606A" w:rsidP="008554AD">
            <w:pPr>
              <w:pStyle w:val="Tableformat"/>
              <w:rPr>
                <w:bCs w:val="0"/>
                <w:lang w:val="en-AU"/>
              </w:rPr>
            </w:pPr>
            <w:r w:rsidRPr="00262F3A">
              <w:rPr>
                <w:lang w:val="en-AU"/>
              </w:rPr>
              <w:t>Number of engagement activities completed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9A3B14"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+50 per month</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35D92171" w14:textId="22EB31D3"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 xml:space="preserve"> Baseline: Community and </w:t>
            </w:r>
            <w:r w:rsidR="00411467">
              <w:rPr>
                <w:lang w:val="en-AU"/>
              </w:rPr>
              <w:t>sector e</w:t>
            </w:r>
            <w:r w:rsidRPr="00262F3A">
              <w:rPr>
                <w:lang w:val="en-AU"/>
              </w:rPr>
              <w:t xml:space="preserve">ngagement </w:t>
            </w:r>
          </w:p>
          <w:p w14:paraId="65E4C836"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Result: 254 (average) engagements per month</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14E1A97E"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heme="minorHAnsi"/>
                <w:color w:val="000000"/>
                <w:lang w:val="en-AU"/>
              </w:rPr>
            </w:pPr>
            <w:r w:rsidRPr="00262F3A">
              <w:rPr>
                <w:rFonts w:cs="FS Me Light"/>
                <w:color w:val="000000"/>
                <w:lang w:val="en-AU"/>
              </w:rPr>
              <w:t xml:space="preserve">The Agency has continued to foster partnerships with key stakeholders, actively engaging with the community and the sector. This has encouraged public debate on issues that matter. Relationships with state and territory governments have also been strengthened. </w:t>
            </w:r>
          </w:p>
        </w:tc>
      </w:tr>
      <w:tr w:rsidR="0025606A" w:rsidRPr="00262F3A" w14:paraId="65676C8C" w14:textId="77777777" w:rsidTr="008554AD">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3F68EF57" w14:textId="77777777" w:rsidR="0025606A" w:rsidRPr="00262F3A" w:rsidRDefault="0025606A" w:rsidP="008554AD">
            <w:pPr>
              <w:pStyle w:val="Tableformat"/>
              <w:rPr>
                <w:bCs w:val="0"/>
                <w:lang w:val="en-AU"/>
              </w:rPr>
            </w:pPr>
            <w:r w:rsidRPr="00262F3A">
              <w:rPr>
                <w:lang w:val="en-AU"/>
              </w:rPr>
              <w:t>Total unique website (ndis.gov.au) users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B2AE47"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262F3A">
              <w:rPr>
                <w:lang w:val="en-AU"/>
              </w:rPr>
              <w:t>2,367,000</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5CD4B32E" w14:textId="3E468BF1"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Baseline: Website visits as per </w:t>
            </w:r>
            <w:r w:rsidR="00411467">
              <w:rPr>
                <w:lang w:val="en-AU"/>
              </w:rPr>
              <w:t>G</w:t>
            </w:r>
            <w:r w:rsidRPr="00262F3A">
              <w:rPr>
                <w:lang w:val="en-AU"/>
              </w:rPr>
              <w:t>oogle analytics</w:t>
            </w:r>
          </w:p>
          <w:p w14:paraId="66EAE04C"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262F3A">
              <w:rPr>
                <w:lang w:val="en-AU"/>
              </w:rPr>
              <w:lastRenderedPageBreak/>
              <w:t>Result: 3,300,000 unique website users</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5BABB5B9" w14:textId="68CBC835"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heme="minorHAnsi"/>
                <w:color w:val="000000"/>
                <w:lang w:val="en-AU"/>
              </w:rPr>
            </w:pPr>
            <w:r w:rsidRPr="00262F3A">
              <w:rPr>
                <w:lang w:val="en-AU"/>
              </w:rPr>
              <w:lastRenderedPageBreak/>
              <w:t>There were 3.3 million unique users</w:t>
            </w:r>
            <w:r w:rsidR="00411467">
              <w:rPr>
                <w:lang w:val="en-AU"/>
              </w:rPr>
              <w:t>,</w:t>
            </w:r>
            <w:r w:rsidRPr="00262F3A">
              <w:rPr>
                <w:lang w:val="en-AU"/>
              </w:rPr>
              <w:t xml:space="preserve"> resulting in over 1.5</w:t>
            </w:r>
            <w:r w:rsidR="00411467">
              <w:rPr>
                <w:lang w:val="en-AU"/>
              </w:rPr>
              <w:t xml:space="preserve"> </w:t>
            </w:r>
            <w:r w:rsidRPr="00262F3A">
              <w:rPr>
                <w:lang w:val="en-AU"/>
              </w:rPr>
              <w:t>m</w:t>
            </w:r>
            <w:r w:rsidR="00411467">
              <w:rPr>
                <w:lang w:val="en-AU"/>
              </w:rPr>
              <w:t>illion</w:t>
            </w:r>
            <w:r w:rsidRPr="00262F3A">
              <w:rPr>
                <w:lang w:val="en-AU"/>
              </w:rPr>
              <w:t xml:space="preserve"> page views per month. </w:t>
            </w:r>
          </w:p>
        </w:tc>
      </w:tr>
    </w:tbl>
    <w:p w14:paraId="4BBC17BE" w14:textId="77777777" w:rsidR="0025606A" w:rsidRPr="00262F3A" w:rsidRDefault="0025606A" w:rsidP="008F00D1">
      <w:pPr>
        <w:pStyle w:val="Heading4"/>
      </w:pPr>
      <w:r w:rsidRPr="00262F3A">
        <w:t xml:space="preserve">Aspiration 4:  A financially sustainable scheme </w:t>
      </w:r>
    </w:p>
    <w:p w14:paraId="09E7A88C" w14:textId="7E188E13" w:rsidR="0025606A" w:rsidRPr="00262F3A" w:rsidRDefault="0025606A" w:rsidP="008554AD">
      <w:pPr>
        <w:rPr>
          <w:rFonts w:eastAsia="Cambria"/>
        </w:rPr>
      </w:pPr>
      <w:r w:rsidRPr="00262F3A">
        <w:rPr>
          <w:rFonts w:eastAsia="Cambria"/>
          <w:b/>
          <w:lang w:eastAsia="en-US"/>
        </w:rPr>
        <w:t xml:space="preserve">A </w:t>
      </w:r>
      <w:r w:rsidRPr="00262F3A">
        <w:rPr>
          <w:rFonts w:eastAsia="Cambria"/>
          <w:b/>
        </w:rPr>
        <w:t xml:space="preserve">financially sustainable </w:t>
      </w:r>
      <w:r w:rsidR="00411467">
        <w:rPr>
          <w:rFonts w:eastAsia="Cambria"/>
          <w:b/>
        </w:rPr>
        <w:t>s</w:t>
      </w:r>
      <w:r w:rsidRPr="00262F3A">
        <w:rPr>
          <w:rFonts w:eastAsia="Cambria"/>
          <w:b/>
        </w:rPr>
        <w:t>cheme</w:t>
      </w:r>
      <w:r w:rsidRPr="00262F3A">
        <w:rPr>
          <w:rFonts w:eastAsia="Cambria"/>
        </w:rPr>
        <w:t xml:space="preserve"> is measured by:</w:t>
      </w:r>
    </w:p>
    <w:p w14:paraId="1739B224" w14:textId="27A45140" w:rsidR="0025606A" w:rsidRPr="00262F3A" w:rsidRDefault="00411467" w:rsidP="006D2911">
      <w:pPr>
        <w:pStyle w:val="ListParagraph"/>
        <w:numPr>
          <w:ilvl w:val="0"/>
          <w:numId w:val="4"/>
        </w:numPr>
        <w:rPr>
          <w:rFonts w:eastAsia="Times New Roman"/>
          <w:lang w:eastAsia="en-AU"/>
        </w:rPr>
      </w:pPr>
      <w:r>
        <w:rPr>
          <w:rFonts w:eastAsia="Times New Roman"/>
          <w:lang w:eastAsia="en-AU"/>
        </w:rPr>
        <w:t>scheme support costs</w:t>
      </w:r>
    </w:p>
    <w:p w14:paraId="1B73DA29" w14:textId="3E45B16A" w:rsidR="0025606A" w:rsidRPr="00262F3A" w:rsidRDefault="00411467" w:rsidP="006D2911">
      <w:pPr>
        <w:pStyle w:val="ListParagraph"/>
        <w:numPr>
          <w:ilvl w:val="0"/>
          <w:numId w:val="4"/>
        </w:numPr>
        <w:rPr>
          <w:rFonts w:eastAsia="Times New Roman"/>
          <w:lang w:eastAsia="en-AU"/>
        </w:rPr>
      </w:pPr>
      <w:r>
        <w:rPr>
          <w:rFonts w:eastAsia="Times New Roman"/>
          <w:lang w:eastAsia="en-AU"/>
        </w:rPr>
        <w:t>c</w:t>
      </w:r>
      <w:r w:rsidR="0025606A" w:rsidRPr="00262F3A">
        <w:rPr>
          <w:rFonts w:eastAsia="Times New Roman"/>
          <w:lang w:eastAsia="en-AU"/>
        </w:rPr>
        <w:t xml:space="preserve">ommunity inclusion and capacity development grant costs </w:t>
      </w:r>
    </w:p>
    <w:p w14:paraId="46850A85" w14:textId="23074DB4" w:rsidR="0025606A" w:rsidRPr="00262F3A" w:rsidRDefault="00411467" w:rsidP="006D2911">
      <w:pPr>
        <w:pStyle w:val="ListParagraph"/>
        <w:numPr>
          <w:ilvl w:val="0"/>
          <w:numId w:val="4"/>
        </w:numPr>
        <w:rPr>
          <w:rFonts w:eastAsia="Times New Roman"/>
          <w:lang w:eastAsia="en-AU"/>
        </w:rPr>
      </w:pPr>
      <w:r>
        <w:rPr>
          <w:rFonts w:eastAsia="Times New Roman"/>
          <w:lang w:eastAsia="en-AU"/>
        </w:rPr>
        <w:t>a</w:t>
      </w:r>
      <w:r w:rsidR="0025606A" w:rsidRPr="00262F3A">
        <w:rPr>
          <w:rFonts w:eastAsia="Times New Roman"/>
          <w:lang w:eastAsia="en-AU"/>
        </w:rPr>
        <w:t xml:space="preserve">gency operating costs. </w:t>
      </w:r>
    </w:p>
    <w:p w14:paraId="78F16FEC" w14:textId="77777777" w:rsidR="0025606A" w:rsidRPr="00262F3A" w:rsidRDefault="0025606A" w:rsidP="00901595">
      <w:pPr>
        <w:pStyle w:val="BodyText1"/>
        <w:keepNext/>
        <w:spacing w:before="120"/>
        <w:ind w:left="652"/>
        <w:rPr>
          <w:rFonts w:ascii="Arial" w:eastAsiaTheme="minorEastAsia" w:hAnsi="Arial" w:cs="Arial"/>
          <w:b/>
          <w:sz w:val="21"/>
          <w:szCs w:val="21"/>
          <w:lang w:eastAsia="ja-JP"/>
        </w:rPr>
      </w:pPr>
      <w:r w:rsidRPr="00262F3A">
        <w:rPr>
          <w:rFonts w:ascii="Arial" w:eastAsiaTheme="minorEastAsia" w:hAnsi="Arial" w:cs="Arial"/>
          <w:b/>
          <w:sz w:val="21"/>
          <w:szCs w:val="21"/>
          <w:lang w:eastAsia="ja-JP"/>
        </w:rPr>
        <w:t xml:space="preserve">Table </w:t>
      </w:r>
      <w:r w:rsidR="008554AD" w:rsidRPr="00262F3A">
        <w:rPr>
          <w:rFonts w:ascii="Arial" w:eastAsiaTheme="minorEastAsia" w:hAnsi="Arial" w:cs="Arial"/>
          <w:b/>
          <w:sz w:val="21"/>
          <w:szCs w:val="21"/>
          <w:lang w:eastAsia="ja-JP"/>
        </w:rPr>
        <w:t>3.3.3F</w:t>
      </w:r>
      <w:r w:rsidRPr="00262F3A">
        <w:rPr>
          <w:rFonts w:ascii="Arial" w:eastAsiaTheme="minorEastAsia" w:hAnsi="Arial" w:cs="Arial"/>
          <w:b/>
          <w:sz w:val="21"/>
          <w:szCs w:val="21"/>
          <w:lang w:eastAsia="ja-JP"/>
        </w:rPr>
        <w:t xml:space="preserve">: </w:t>
      </w:r>
      <w:r w:rsidRPr="00262F3A">
        <w:rPr>
          <w:rFonts w:ascii="Arial" w:eastAsiaTheme="minorEastAsia" w:hAnsi="Arial" w:cs="Arial"/>
          <w:bCs/>
          <w:sz w:val="21"/>
          <w:szCs w:val="21"/>
          <w:lang w:eastAsia="ja-JP"/>
        </w:rPr>
        <w:t>Aspiration 4</w:t>
      </w:r>
      <w:r w:rsidRPr="00262F3A">
        <w:rPr>
          <w:rFonts w:ascii="Arial" w:eastAsiaTheme="minorEastAsia" w:hAnsi="Arial" w:cs="Arial"/>
          <w:b/>
          <w:sz w:val="21"/>
          <w:szCs w:val="21"/>
          <w:lang w:eastAsia="ja-JP"/>
        </w:rPr>
        <w:t xml:space="preserve"> </w:t>
      </w:r>
      <w:r w:rsidRPr="00262F3A">
        <w:rPr>
          <w:rFonts w:ascii="Arial" w:eastAsiaTheme="minorEastAsia" w:hAnsi="Arial" w:cs="Arial"/>
          <w:bCs/>
          <w:sz w:val="21"/>
          <w:szCs w:val="21"/>
          <w:lang w:eastAsia="ja-JP"/>
        </w:rPr>
        <w:t>– A financially sustainable scheme</w:t>
      </w:r>
    </w:p>
    <w:tbl>
      <w:tblPr>
        <w:tblStyle w:val="LightShading-Accent4"/>
        <w:tblpPr w:leftFromText="180" w:rightFromText="180" w:vertAnchor="text" w:tblpY="1"/>
        <w:tblOverlap w:val="never"/>
        <w:tblW w:w="90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e table has four columns: Metrics; Target; Baseline and result; and Comment. &#10;There are three rows with different metrics listed: Total Scheme, Operating and Grants costs within Budget (in million dollars); Payment errors/anomalies (per cent of program outlay); and Community inclusion and capacity development grant costs (in million dollars).&#10;&#10;The table shows that after a number of years of significant underspends, the Scheme experienced strong growth in Scheme costs due to both strongly growing participant numbers and increased spend per participant. This led to a $1,376 million dollar overspend in total costs. In 2019–20, the results of a review conducted extrapolated over the total value of provider payments assessed the accuracy rate in total payments made to providers was 93.8 per cent. The estimated potential overall financial impact of the provider error rates is $181.3 million, or one point two per cent of total cash payments. The Information, Linkages and Capacity Building (ILC) program continues to support organisations to build a more inclusive, accessible and connected Australia. In 2019–20 the Agency spent $135 million dollars on community inclusion and development grants. This program will cease to be managed by the Agency in the 2021 financial year with responsibility transferring to the Department of Social Services.&#10;"/>
      </w:tblPr>
      <w:tblGrid>
        <w:gridCol w:w="1837"/>
        <w:gridCol w:w="1419"/>
        <w:gridCol w:w="1841"/>
        <w:gridCol w:w="3918"/>
      </w:tblGrid>
      <w:tr w:rsidR="008554AD" w:rsidRPr="00262F3A" w14:paraId="380F0C09" w14:textId="77777777" w:rsidTr="00BE306F">
        <w:trPr>
          <w:cnfStyle w:val="100000000000" w:firstRow="1" w:lastRow="0" w:firstColumn="0" w:lastColumn="0" w:oddVBand="0" w:evenVBand="0" w:oddHBand="0" w:evenHBand="0" w:firstRowFirstColumn="0" w:firstRowLastColumn="0" w:lastRowFirstColumn="0" w:lastRowLastColumn="0"/>
          <w:trHeight w:val="381"/>
          <w:tblHeader/>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left w:val="single" w:sz="4" w:space="0" w:color="auto"/>
              <w:bottom w:val="single" w:sz="4" w:space="0" w:color="auto"/>
              <w:right w:val="single" w:sz="4" w:space="0" w:color="auto"/>
            </w:tcBorders>
            <w:shd w:val="clear" w:color="auto" w:fill="7030A0"/>
            <w:hideMark/>
          </w:tcPr>
          <w:p w14:paraId="615FA83E" w14:textId="77777777" w:rsidR="0025606A" w:rsidRPr="00262F3A" w:rsidRDefault="0025606A" w:rsidP="00BE306F">
            <w:pPr>
              <w:pStyle w:val="Tableformat"/>
              <w:rPr>
                <w:b w:val="0"/>
                <w:lang w:val="en-AU"/>
              </w:rPr>
            </w:pPr>
            <w:r w:rsidRPr="00262F3A">
              <w:rPr>
                <w:b w:val="0"/>
                <w:lang w:val="en-AU"/>
              </w:rPr>
              <w:t xml:space="preserve">Metric </w:t>
            </w:r>
          </w:p>
        </w:tc>
        <w:tc>
          <w:tcPr>
            <w:tcW w:w="1419" w:type="dxa"/>
            <w:tcBorders>
              <w:top w:val="single" w:sz="4" w:space="0" w:color="auto"/>
              <w:left w:val="single" w:sz="4" w:space="0" w:color="auto"/>
              <w:bottom w:val="single" w:sz="4" w:space="0" w:color="auto"/>
              <w:right w:val="single" w:sz="4" w:space="0" w:color="auto"/>
            </w:tcBorders>
            <w:shd w:val="clear" w:color="auto" w:fill="7030A0"/>
            <w:hideMark/>
          </w:tcPr>
          <w:p w14:paraId="2DC647F0" w14:textId="77777777" w:rsidR="0025606A" w:rsidRPr="00262F3A" w:rsidRDefault="0025606A" w:rsidP="00BE306F">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Target</w:t>
            </w:r>
          </w:p>
        </w:tc>
        <w:tc>
          <w:tcPr>
            <w:tcW w:w="1841" w:type="dxa"/>
            <w:tcBorders>
              <w:top w:val="single" w:sz="4" w:space="0" w:color="auto"/>
              <w:left w:val="single" w:sz="4" w:space="0" w:color="auto"/>
              <w:bottom w:val="single" w:sz="4" w:space="0" w:color="auto"/>
              <w:right w:val="single" w:sz="4" w:space="0" w:color="auto"/>
            </w:tcBorders>
            <w:shd w:val="clear" w:color="auto" w:fill="7030A0"/>
            <w:hideMark/>
          </w:tcPr>
          <w:p w14:paraId="2AC28DDE" w14:textId="77777777" w:rsidR="0025606A" w:rsidRPr="00262F3A" w:rsidRDefault="0025606A" w:rsidP="00BE306F">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Baseline and result</w:t>
            </w:r>
          </w:p>
        </w:tc>
        <w:tc>
          <w:tcPr>
            <w:tcW w:w="3918" w:type="dxa"/>
            <w:tcBorders>
              <w:top w:val="single" w:sz="4" w:space="0" w:color="auto"/>
              <w:left w:val="single" w:sz="4" w:space="0" w:color="auto"/>
              <w:bottom w:val="single" w:sz="4" w:space="0" w:color="auto"/>
              <w:right w:val="single" w:sz="4" w:space="0" w:color="auto"/>
            </w:tcBorders>
            <w:shd w:val="clear" w:color="auto" w:fill="7030A0"/>
            <w:hideMark/>
          </w:tcPr>
          <w:p w14:paraId="04C942A9" w14:textId="77777777" w:rsidR="0025606A" w:rsidRPr="00262F3A" w:rsidRDefault="0025606A" w:rsidP="00BE306F">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Comment</w:t>
            </w:r>
          </w:p>
        </w:tc>
      </w:tr>
      <w:tr w:rsidR="0025606A" w:rsidRPr="00262F3A" w14:paraId="6B0FB63D" w14:textId="77777777" w:rsidTr="00BE30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left w:val="single" w:sz="4" w:space="0" w:color="auto"/>
              <w:bottom w:val="single" w:sz="4" w:space="0" w:color="auto"/>
              <w:right w:val="single" w:sz="4" w:space="0" w:color="auto"/>
            </w:tcBorders>
            <w:shd w:val="clear" w:color="auto" w:fill="auto"/>
          </w:tcPr>
          <w:p w14:paraId="344D896A" w14:textId="77777777" w:rsidR="0025606A" w:rsidRPr="00262F3A" w:rsidRDefault="0025606A" w:rsidP="00BE306F">
            <w:pPr>
              <w:pStyle w:val="Tableformat"/>
              <w:rPr>
                <w:lang w:val="en-AU"/>
              </w:rPr>
            </w:pPr>
            <w:r w:rsidRPr="00262F3A">
              <w:rPr>
                <w:b w:val="0"/>
                <w:lang w:val="en-AU"/>
              </w:rPr>
              <w:t>Total</w:t>
            </w:r>
            <w:r w:rsidRPr="00262F3A">
              <w:rPr>
                <w:b w:val="0"/>
                <w:bCs w:val="0"/>
                <w:lang w:val="en-AU"/>
              </w:rPr>
              <w:t xml:space="preserve"> Scheme, Operating and Grants Costs within budget </w:t>
            </w:r>
            <w:r w:rsidRPr="00262F3A">
              <w:rPr>
                <w:b w:val="0"/>
                <w:lang w:val="en-AU"/>
              </w:rPr>
              <w:t xml:space="preserve"> ($m)</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1D9D80AD" w14:textId="77777777"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$17,850 million as per the PBS (all programs)</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3CEB17BD" w14:textId="3C737532"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Baseline: Portfolio Budget Statements 2018-19</w:t>
            </w:r>
          </w:p>
          <w:p w14:paraId="21FA7884" w14:textId="70EF464D"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Result: $19,266 million as per the </w:t>
            </w:r>
            <w:r w:rsidR="0026406F">
              <w:rPr>
                <w:lang w:val="en-AU"/>
              </w:rPr>
              <w:t xml:space="preserve">NDIA </w:t>
            </w:r>
            <w:r w:rsidRPr="00262F3A">
              <w:rPr>
                <w:lang w:val="en-AU"/>
              </w:rPr>
              <w:t xml:space="preserve">Financial Statements </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20EE250A" w14:textId="2D7AA413" w:rsidR="0025606A" w:rsidRPr="00262F3A" w:rsidRDefault="00BE306F" w:rsidP="00BE306F">
            <w:pPr>
              <w:pStyle w:val="Tableformat"/>
              <w:cnfStyle w:val="000000100000" w:firstRow="0" w:lastRow="0" w:firstColumn="0" w:lastColumn="0" w:oddVBand="0" w:evenVBand="0" w:oddHBand="1" w:evenHBand="0" w:firstRowFirstColumn="0" w:firstRowLastColumn="0" w:lastRowFirstColumn="0" w:lastRowLastColumn="0"/>
              <w:rPr>
                <w:rFonts w:eastAsiaTheme="minorHAnsi"/>
                <w:color w:val="0D0D0D"/>
                <w:lang w:val="en-AU" w:eastAsia="en-US"/>
              </w:rPr>
            </w:pPr>
            <w:r w:rsidRPr="00BE306F">
              <w:rPr>
                <w:rFonts w:eastAsiaTheme="minorHAnsi"/>
                <w:color w:val="000000"/>
                <w:lang w:val="en-AU" w:eastAsia="en-US"/>
              </w:rPr>
              <w:t>The Scheme experienced strong growth in Scheme costs due to both growing participant numbers and increased spend per participant. This led to a $1,376 million overspend against budget, for which approval was received from the Minister for Finance to use retained earnings to fund the deficit.</w:t>
            </w:r>
          </w:p>
        </w:tc>
      </w:tr>
      <w:tr w:rsidR="008554AD" w:rsidRPr="00262F3A" w14:paraId="41DA745C" w14:textId="77777777" w:rsidTr="00BE306F">
        <w:tblPrEx>
          <w:tblBorders>
            <w:top w:val="single" w:sz="8" w:space="0" w:color="FFC000" w:themeColor="accent4"/>
            <w:left w:val="none" w:sz="0" w:space="0" w:color="auto"/>
            <w:bottom w:val="single" w:sz="8" w:space="0" w:color="FFC000" w:themeColor="accent4"/>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left w:val="single" w:sz="4" w:space="0" w:color="auto"/>
              <w:bottom w:val="single" w:sz="4" w:space="0" w:color="auto"/>
              <w:right w:val="single" w:sz="4" w:space="0" w:color="auto"/>
            </w:tcBorders>
            <w:shd w:val="clear" w:color="auto" w:fill="auto"/>
            <w:hideMark/>
          </w:tcPr>
          <w:p w14:paraId="54CF388C" w14:textId="77777777" w:rsidR="0025606A" w:rsidRPr="00262F3A" w:rsidRDefault="0025606A" w:rsidP="00BE306F">
            <w:pPr>
              <w:pStyle w:val="Tableformat"/>
              <w:rPr>
                <w:b w:val="0"/>
                <w:bCs w:val="0"/>
                <w:lang w:val="en-AU"/>
              </w:rPr>
            </w:pPr>
            <w:r w:rsidRPr="00262F3A">
              <w:rPr>
                <w:b w:val="0"/>
                <w:bCs w:val="0"/>
                <w:lang w:val="en-AU"/>
              </w:rPr>
              <w:t>Payment errors/ anomalies (% of program outlay)</w:t>
            </w:r>
          </w:p>
        </w:tc>
        <w:tc>
          <w:tcPr>
            <w:tcW w:w="1419" w:type="dxa"/>
            <w:tcBorders>
              <w:top w:val="single" w:sz="4" w:space="0" w:color="auto"/>
              <w:left w:val="single" w:sz="4" w:space="0" w:color="auto"/>
              <w:bottom w:val="single" w:sz="4" w:space="0" w:color="auto"/>
              <w:right w:val="single" w:sz="4" w:space="0" w:color="auto"/>
            </w:tcBorders>
            <w:shd w:val="clear" w:color="auto" w:fill="auto"/>
            <w:hideMark/>
          </w:tcPr>
          <w:p w14:paraId="2CB92C66" w14:textId="77777777" w:rsidR="0025606A" w:rsidRPr="00262F3A" w:rsidRDefault="0025606A" w:rsidP="00BE306F">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5%</w:t>
            </w:r>
          </w:p>
        </w:tc>
        <w:tc>
          <w:tcPr>
            <w:tcW w:w="1841" w:type="dxa"/>
            <w:tcBorders>
              <w:top w:val="single" w:sz="4" w:space="0" w:color="auto"/>
              <w:left w:val="single" w:sz="4" w:space="0" w:color="auto"/>
              <w:bottom w:val="single" w:sz="4" w:space="0" w:color="auto"/>
              <w:right w:val="single" w:sz="4" w:space="0" w:color="auto"/>
            </w:tcBorders>
            <w:shd w:val="clear" w:color="auto" w:fill="auto"/>
            <w:hideMark/>
          </w:tcPr>
          <w:p w14:paraId="56E92137" w14:textId="77777777" w:rsidR="0025606A" w:rsidRPr="00262F3A" w:rsidRDefault="0025606A" w:rsidP="00BE306F">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Baseline: NDIA Financial Statements</w:t>
            </w:r>
          </w:p>
          <w:p w14:paraId="48AC24DB" w14:textId="70130D02" w:rsidR="0025606A" w:rsidRPr="00262F3A" w:rsidRDefault="0025606A" w:rsidP="00BE306F">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lang w:val="en-AU"/>
              </w:rPr>
              <w:t>Result: 6.</w:t>
            </w:r>
            <w:r w:rsidR="00CA4422">
              <w:rPr>
                <w:lang w:val="en-AU"/>
              </w:rPr>
              <w:t>2</w:t>
            </w:r>
            <w:r w:rsidRPr="00262F3A">
              <w:rPr>
                <w:lang w:val="en-AU"/>
              </w:rPr>
              <w:t>%</w:t>
            </w:r>
          </w:p>
        </w:tc>
        <w:tc>
          <w:tcPr>
            <w:tcW w:w="3918" w:type="dxa"/>
            <w:tcBorders>
              <w:top w:val="single" w:sz="4" w:space="0" w:color="auto"/>
              <w:left w:val="single" w:sz="4" w:space="0" w:color="auto"/>
              <w:bottom w:val="single" w:sz="4" w:space="0" w:color="auto"/>
              <w:right w:val="single" w:sz="4" w:space="0" w:color="auto"/>
            </w:tcBorders>
            <w:shd w:val="clear" w:color="auto" w:fill="auto"/>
            <w:hideMark/>
          </w:tcPr>
          <w:p w14:paraId="0F0EB24A" w14:textId="25E6EA0F" w:rsidR="0025606A" w:rsidRPr="00262F3A" w:rsidRDefault="0025606A" w:rsidP="00BE306F">
            <w:pPr>
              <w:pStyle w:val="Tableformat"/>
              <w:cnfStyle w:val="000000010000" w:firstRow="0" w:lastRow="0" w:firstColumn="0" w:lastColumn="0" w:oddVBand="0" w:evenVBand="0" w:oddHBand="0" w:evenHBand="1" w:firstRowFirstColumn="0" w:firstRowLastColumn="0" w:lastRowFirstColumn="0" w:lastRowLastColumn="0"/>
              <w:rPr>
                <w:lang w:val="en-AU"/>
              </w:rPr>
            </w:pPr>
            <w:r w:rsidRPr="00262F3A">
              <w:rPr>
                <w:rFonts w:eastAsiaTheme="minorHAnsi"/>
                <w:color w:val="000000"/>
                <w:lang w:val="en-AU" w:eastAsia="en-US"/>
              </w:rPr>
              <w:t xml:space="preserve"> The Agency has a compliance and assurance program aimed at substantiating a statistically selected sample of claims lodged by providers and self-managed plan participants. The results of the review conducted in 2019-20 extrapolated over the total value of provider payments assessed the accuracy rate in total payments made to providers was </w:t>
            </w:r>
            <w:r w:rsidR="00CA4422" w:rsidRPr="00262F3A">
              <w:rPr>
                <w:rFonts w:eastAsiaTheme="minorHAnsi"/>
                <w:color w:val="000000"/>
                <w:lang w:val="en-AU" w:eastAsia="en-US"/>
              </w:rPr>
              <w:t>9</w:t>
            </w:r>
            <w:r w:rsidR="00CA4422">
              <w:rPr>
                <w:rFonts w:eastAsiaTheme="minorHAnsi"/>
                <w:color w:val="000000"/>
                <w:lang w:val="en-AU" w:eastAsia="en-US"/>
              </w:rPr>
              <w:t>3</w:t>
            </w:r>
            <w:r w:rsidRPr="00262F3A">
              <w:rPr>
                <w:rFonts w:eastAsiaTheme="minorHAnsi"/>
                <w:color w:val="000000"/>
                <w:lang w:val="en-AU" w:eastAsia="en-US"/>
              </w:rPr>
              <w:t>.8</w:t>
            </w:r>
            <w:r w:rsidR="00B56574">
              <w:rPr>
                <w:color w:val="000000"/>
                <w:lang w:val="en-AU"/>
              </w:rPr>
              <w:t xml:space="preserve"> per cent</w:t>
            </w:r>
            <w:r w:rsidRPr="00262F3A">
              <w:rPr>
                <w:rFonts w:eastAsiaTheme="minorHAnsi"/>
                <w:color w:val="000000"/>
                <w:lang w:val="en-AU" w:eastAsia="en-US"/>
              </w:rPr>
              <w:t>. The estimated potential overall financial impact of the provider error rates is $181.3</w:t>
            </w:r>
            <w:r w:rsidR="0026406F">
              <w:rPr>
                <w:rFonts w:eastAsiaTheme="minorHAnsi"/>
                <w:color w:val="000000"/>
                <w:lang w:val="en-AU" w:eastAsia="en-US"/>
              </w:rPr>
              <w:t xml:space="preserve"> </w:t>
            </w:r>
            <w:r w:rsidRPr="00262F3A">
              <w:rPr>
                <w:rFonts w:eastAsiaTheme="minorHAnsi"/>
                <w:color w:val="000000"/>
                <w:lang w:val="en-AU" w:eastAsia="en-US"/>
              </w:rPr>
              <w:t>m</w:t>
            </w:r>
            <w:r w:rsidR="0026406F">
              <w:rPr>
                <w:rFonts w:eastAsiaTheme="minorHAnsi"/>
                <w:color w:val="000000"/>
                <w:lang w:val="en-AU" w:eastAsia="en-US"/>
              </w:rPr>
              <w:t>illion</w:t>
            </w:r>
            <w:r w:rsidRPr="00262F3A">
              <w:rPr>
                <w:rFonts w:eastAsiaTheme="minorHAnsi"/>
                <w:color w:val="000000"/>
                <w:lang w:val="en-AU" w:eastAsia="en-US"/>
              </w:rPr>
              <w:t>, or 1.2</w:t>
            </w:r>
            <w:r w:rsidR="00B56574">
              <w:rPr>
                <w:color w:val="000000"/>
                <w:lang w:val="en-AU"/>
              </w:rPr>
              <w:t xml:space="preserve"> per cent</w:t>
            </w:r>
            <w:r w:rsidRPr="00262F3A">
              <w:rPr>
                <w:rFonts w:eastAsiaTheme="minorHAnsi"/>
                <w:color w:val="000000"/>
                <w:lang w:val="en-AU" w:eastAsia="en-US"/>
              </w:rPr>
              <w:t xml:space="preserve"> of total cash payments.</w:t>
            </w:r>
          </w:p>
        </w:tc>
      </w:tr>
      <w:tr w:rsidR="0025606A" w:rsidRPr="00262F3A" w14:paraId="2223BCD3" w14:textId="77777777" w:rsidTr="00BE306F">
        <w:tblPrEx>
          <w:tblBorders>
            <w:top w:val="single" w:sz="8" w:space="0" w:color="FFC000" w:themeColor="accent4"/>
            <w:left w:val="none" w:sz="0" w:space="0" w:color="auto"/>
            <w:bottom w:val="single" w:sz="8" w:space="0" w:color="FFC000" w:themeColor="accent4"/>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left w:val="single" w:sz="4" w:space="0" w:color="auto"/>
              <w:bottom w:val="single" w:sz="4" w:space="0" w:color="auto"/>
              <w:right w:val="single" w:sz="4" w:space="0" w:color="auto"/>
            </w:tcBorders>
            <w:shd w:val="clear" w:color="auto" w:fill="auto"/>
          </w:tcPr>
          <w:p w14:paraId="74AEBF17" w14:textId="77777777" w:rsidR="0025606A" w:rsidRPr="00262F3A" w:rsidRDefault="0025606A" w:rsidP="00BE306F">
            <w:pPr>
              <w:pStyle w:val="Tableformat"/>
              <w:rPr>
                <w:b w:val="0"/>
                <w:bCs w:val="0"/>
                <w:lang w:val="en-AU"/>
              </w:rPr>
            </w:pPr>
            <w:r w:rsidRPr="00262F3A">
              <w:rPr>
                <w:rFonts w:eastAsia="Times New Roman"/>
                <w:b w:val="0"/>
                <w:bCs w:val="0"/>
                <w:lang w:val="en-AU"/>
              </w:rPr>
              <w:t xml:space="preserve">Community inclusion and capacity development grant costs ($m) </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6EE5D51B" w14:textId="77777777"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$132 million</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022D617A" w14:textId="588C5F35"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color w:val="000000"/>
                <w:lang w:val="en-AU"/>
              </w:rPr>
            </w:pPr>
            <w:r w:rsidRPr="00262F3A">
              <w:rPr>
                <w:color w:val="000000"/>
                <w:lang w:val="en-AU"/>
              </w:rPr>
              <w:t xml:space="preserve">Baseline: </w:t>
            </w:r>
            <w:r w:rsidR="0026406F">
              <w:rPr>
                <w:color w:val="000000"/>
                <w:lang w:val="en-AU"/>
              </w:rPr>
              <w:t>b</w:t>
            </w:r>
            <w:r w:rsidRPr="00262F3A">
              <w:rPr>
                <w:color w:val="000000"/>
                <w:lang w:val="en-AU"/>
              </w:rPr>
              <w:t xml:space="preserve">ased on PBS 2019–20 (Program 1.2) </w:t>
            </w:r>
          </w:p>
          <w:p w14:paraId="220131C1" w14:textId="77777777"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Result: $135 million</w:t>
            </w:r>
          </w:p>
        </w:tc>
        <w:tc>
          <w:tcPr>
            <w:tcW w:w="3918" w:type="dxa"/>
            <w:tcBorders>
              <w:top w:val="single" w:sz="4" w:space="0" w:color="auto"/>
              <w:left w:val="single" w:sz="4" w:space="0" w:color="auto"/>
              <w:bottom w:val="single" w:sz="4" w:space="0" w:color="auto"/>
              <w:right w:val="single" w:sz="4" w:space="0" w:color="auto"/>
            </w:tcBorders>
            <w:shd w:val="clear" w:color="auto" w:fill="auto"/>
          </w:tcPr>
          <w:p w14:paraId="22DE87F1" w14:textId="78E4034E"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rFonts w:eastAsiaTheme="minorHAnsi"/>
                <w:color w:val="000000"/>
                <w:lang w:val="en-AU" w:eastAsia="en-US"/>
              </w:rPr>
            </w:pPr>
            <w:r w:rsidRPr="00262F3A">
              <w:rPr>
                <w:rFonts w:eastAsiaTheme="minorHAnsi"/>
                <w:color w:val="000000"/>
                <w:lang w:val="en-AU" w:eastAsia="en-US"/>
              </w:rPr>
              <w:t xml:space="preserve">The ILC </w:t>
            </w:r>
            <w:r w:rsidR="0026406F">
              <w:rPr>
                <w:rFonts w:eastAsiaTheme="minorHAnsi"/>
                <w:color w:val="000000"/>
                <w:lang w:val="en-AU" w:eastAsia="en-US"/>
              </w:rPr>
              <w:t>p</w:t>
            </w:r>
            <w:r w:rsidRPr="00262F3A">
              <w:rPr>
                <w:rFonts w:eastAsiaTheme="minorHAnsi"/>
                <w:color w:val="000000"/>
                <w:lang w:val="en-AU" w:eastAsia="en-US"/>
              </w:rPr>
              <w:t>rogram seeks to build the capacity of people with disability and communities to enable people with disability to achieve their goals and be included in all aspects of community life. Delivering ILC activities serves as a catalyst for change and is focused on creating greater inclusion for people with disability.</w:t>
            </w:r>
          </w:p>
          <w:p w14:paraId="4E11F653" w14:textId="77777777" w:rsidR="0025606A" w:rsidRPr="00262F3A" w:rsidRDefault="0025606A" w:rsidP="00BE306F">
            <w:pPr>
              <w:pStyle w:val="Tableformat"/>
              <w:cnfStyle w:val="000000100000" w:firstRow="0" w:lastRow="0" w:firstColumn="0" w:lastColumn="0" w:oddVBand="0" w:evenVBand="0" w:oddHBand="1" w:evenHBand="0" w:firstRowFirstColumn="0" w:firstRowLastColumn="0" w:lastRowFirstColumn="0" w:lastRowLastColumn="0"/>
              <w:rPr>
                <w:rFonts w:eastAsiaTheme="minorHAnsi"/>
                <w:color w:val="000000"/>
                <w:lang w:val="en-AU" w:eastAsia="en-US"/>
              </w:rPr>
            </w:pPr>
            <w:r w:rsidRPr="00262F3A">
              <w:rPr>
                <w:rFonts w:eastAsiaTheme="minorHAnsi"/>
                <w:color w:val="000000"/>
                <w:lang w:val="en-AU" w:eastAsia="en-US"/>
              </w:rPr>
              <w:t>This program will cease to be managed by the Agency in the 2021 financial year with responsibility transferring to the Department of Social Services.</w:t>
            </w:r>
          </w:p>
        </w:tc>
      </w:tr>
    </w:tbl>
    <w:p w14:paraId="555F7CB6" w14:textId="77777777" w:rsidR="00BE306F" w:rsidRDefault="00BE306F" w:rsidP="008F00D1">
      <w:pPr>
        <w:pStyle w:val="Heading4"/>
      </w:pPr>
      <w:r>
        <w:br w:type="textWrapping" w:clear="all"/>
      </w:r>
    </w:p>
    <w:p w14:paraId="7861A1FB" w14:textId="77777777" w:rsidR="00BE306F" w:rsidRDefault="00BE306F">
      <w:pPr>
        <w:spacing w:before="0" w:after="160" w:line="259" w:lineRule="auto"/>
        <w:ind w:left="0"/>
        <w:rPr>
          <w:rFonts w:eastAsia="Georgia"/>
          <w:b/>
          <w:color w:val="6A2875"/>
          <w:sz w:val="24"/>
          <w:szCs w:val="28"/>
          <w:lang w:eastAsia="en-US"/>
        </w:rPr>
      </w:pPr>
      <w:r>
        <w:br w:type="page"/>
      </w:r>
    </w:p>
    <w:p w14:paraId="500FA8FE" w14:textId="4B402F41" w:rsidR="0025606A" w:rsidRPr="00262F3A" w:rsidRDefault="0025606A" w:rsidP="008F00D1">
      <w:pPr>
        <w:pStyle w:val="Heading4"/>
      </w:pPr>
      <w:r w:rsidRPr="00262F3A">
        <w:lastRenderedPageBreak/>
        <w:t>Aspiration 5:  A high-performing NDIA</w:t>
      </w:r>
    </w:p>
    <w:p w14:paraId="03D2F6E9" w14:textId="77777777" w:rsidR="0025606A" w:rsidRPr="00262F3A" w:rsidRDefault="0025606A" w:rsidP="008554AD">
      <w:pPr>
        <w:rPr>
          <w:rFonts w:eastAsia="Cambria"/>
        </w:rPr>
      </w:pPr>
      <w:r w:rsidRPr="00262F3A">
        <w:rPr>
          <w:rFonts w:eastAsia="Cambria"/>
          <w:b/>
        </w:rPr>
        <w:t>A high-performing NDIA</w:t>
      </w:r>
      <w:r w:rsidRPr="00262F3A">
        <w:rPr>
          <w:rFonts w:eastAsia="Cambria"/>
        </w:rPr>
        <w:t xml:space="preserve"> is measured by:</w:t>
      </w:r>
    </w:p>
    <w:p w14:paraId="4F570BEE" w14:textId="51AB4068" w:rsidR="0025606A" w:rsidRPr="00262F3A" w:rsidRDefault="0026406F" w:rsidP="006D2911">
      <w:pPr>
        <w:pStyle w:val="ListParagraph"/>
        <w:numPr>
          <w:ilvl w:val="0"/>
          <w:numId w:val="4"/>
        </w:numPr>
        <w:rPr>
          <w:rFonts w:eastAsia="Times New Roman"/>
          <w:lang w:eastAsia="en-AU"/>
        </w:rPr>
      </w:pPr>
      <w:r>
        <w:rPr>
          <w:rFonts w:eastAsia="Times New Roman"/>
          <w:lang w:eastAsia="en-AU"/>
        </w:rPr>
        <w:t>employee engagement</w:t>
      </w:r>
    </w:p>
    <w:p w14:paraId="597187A5" w14:textId="66E506D4" w:rsidR="0025606A" w:rsidRPr="00262F3A" w:rsidRDefault="0026406F" w:rsidP="006D2911">
      <w:pPr>
        <w:pStyle w:val="ListParagraph"/>
        <w:numPr>
          <w:ilvl w:val="0"/>
          <w:numId w:val="4"/>
        </w:numPr>
        <w:rPr>
          <w:rFonts w:eastAsia="Times New Roman"/>
          <w:lang w:eastAsia="en-AU"/>
        </w:rPr>
      </w:pPr>
      <w:r>
        <w:rPr>
          <w:rFonts w:eastAsia="Times New Roman"/>
          <w:lang w:eastAsia="en-AU"/>
        </w:rPr>
        <w:t>gender balanced leadership</w:t>
      </w:r>
    </w:p>
    <w:p w14:paraId="736DAB24" w14:textId="5AE0F70E" w:rsidR="0025606A" w:rsidRPr="00262F3A" w:rsidRDefault="0026406F" w:rsidP="006D2911">
      <w:pPr>
        <w:pStyle w:val="ListParagraph"/>
        <w:numPr>
          <w:ilvl w:val="0"/>
          <w:numId w:val="4"/>
        </w:numPr>
        <w:rPr>
          <w:rFonts w:eastAsia="Times New Roman"/>
          <w:lang w:eastAsia="en-AU"/>
        </w:rPr>
      </w:pPr>
      <w:r>
        <w:rPr>
          <w:rFonts w:eastAsia="Times New Roman"/>
          <w:lang w:eastAsia="en-AU"/>
        </w:rPr>
        <w:t>p</w:t>
      </w:r>
      <w:r w:rsidR="0025606A" w:rsidRPr="00262F3A">
        <w:rPr>
          <w:rFonts w:eastAsia="Times New Roman"/>
          <w:lang w:eastAsia="en-AU"/>
        </w:rPr>
        <w:t xml:space="preserve">eople </w:t>
      </w:r>
      <w:r>
        <w:rPr>
          <w:rFonts w:eastAsia="Times New Roman"/>
          <w:lang w:eastAsia="en-AU"/>
        </w:rPr>
        <w:t>with disability employment</w:t>
      </w:r>
    </w:p>
    <w:p w14:paraId="514B7AFD" w14:textId="52D2D776" w:rsidR="0025606A" w:rsidRPr="00262F3A" w:rsidRDefault="0026406F" w:rsidP="006D2911">
      <w:pPr>
        <w:pStyle w:val="ListParagraph"/>
        <w:numPr>
          <w:ilvl w:val="0"/>
          <w:numId w:val="4"/>
        </w:numPr>
        <w:rPr>
          <w:rFonts w:eastAsia="Times New Roman"/>
          <w:lang w:eastAsia="en-AU"/>
        </w:rPr>
      </w:pPr>
      <w:r>
        <w:rPr>
          <w:rFonts w:eastAsia="Times New Roman"/>
          <w:lang w:eastAsia="en-AU"/>
        </w:rPr>
        <w:t>r</w:t>
      </w:r>
      <w:r w:rsidR="0025606A" w:rsidRPr="00262F3A">
        <w:rPr>
          <w:rFonts w:eastAsia="Times New Roman"/>
          <w:lang w:eastAsia="en-AU"/>
        </w:rPr>
        <w:t>isk culture.</w:t>
      </w:r>
    </w:p>
    <w:p w14:paraId="57BA1FF0" w14:textId="77777777" w:rsidR="0025606A" w:rsidRPr="00262F3A" w:rsidRDefault="0025606A" w:rsidP="00901595">
      <w:pPr>
        <w:pStyle w:val="TableTitle"/>
        <w:keepNext/>
        <w:ind w:left="652"/>
        <w:rPr>
          <w:rFonts w:eastAsia="MS Mincho" w:cs="Arial"/>
          <w:sz w:val="21"/>
          <w:szCs w:val="21"/>
          <w:lang w:val="en-AU"/>
        </w:rPr>
      </w:pPr>
      <w:r w:rsidRPr="00262F3A">
        <w:rPr>
          <w:rFonts w:cs="Arial"/>
          <w:sz w:val="21"/>
          <w:szCs w:val="21"/>
          <w:lang w:val="en-AU"/>
        </w:rPr>
        <w:t>Table 3.</w:t>
      </w:r>
      <w:r w:rsidR="008554AD" w:rsidRPr="00262F3A">
        <w:rPr>
          <w:rFonts w:cs="Arial"/>
          <w:sz w:val="21"/>
          <w:szCs w:val="21"/>
          <w:lang w:val="en-AU"/>
        </w:rPr>
        <w:t>3.3G</w:t>
      </w:r>
      <w:r w:rsidRPr="00262F3A">
        <w:rPr>
          <w:rFonts w:cs="Arial"/>
          <w:sz w:val="21"/>
          <w:szCs w:val="21"/>
          <w:lang w:val="en-AU"/>
        </w:rPr>
        <w:t xml:space="preserve">: </w:t>
      </w:r>
      <w:r w:rsidRPr="00262F3A">
        <w:rPr>
          <w:rFonts w:cs="Arial"/>
          <w:b w:val="0"/>
          <w:bCs/>
          <w:sz w:val="21"/>
          <w:szCs w:val="21"/>
          <w:lang w:val="en-AU"/>
        </w:rPr>
        <w:t>Aspiration 5</w:t>
      </w:r>
      <w:r w:rsidRPr="00262F3A">
        <w:rPr>
          <w:rFonts w:cs="Arial"/>
          <w:sz w:val="21"/>
          <w:szCs w:val="21"/>
          <w:lang w:val="en-AU"/>
        </w:rPr>
        <w:t xml:space="preserve"> </w:t>
      </w:r>
      <w:r w:rsidRPr="00262F3A">
        <w:rPr>
          <w:rFonts w:cs="Arial"/>
          <w:b w:val="0"/>
          <w:bCs/>
          <w:sz w:val="21"/>
          <w:szCs w:val="21"/>
          <w:lang w:val="en-AU"/>
        </w:rPr>
        <w:t>– A high-performing NDIA</w:t>
      </w:r>
    </w:p>
    <w:tbl>
      <w:tblPr>
        <w:tblStyle w:val="LightShading-Accent4"/>
        <w:tblW w:w="901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e table has four columns: Metrics; Target; Baseline and result; and Comment. &#10;There are four rows with different metrics listed: Employee engagement (per cent); Gender balanced leadership (per cent); People with disability employment (per cent); and Risk culture (per cent of staff agreeing the Agency has a positive risk culture). &#10;&#10;The table shows that in 2019–20 the employee engagement Index increased by four per cent to 80 per cent, from the 2019 APS Census result of 76 per cent. This illustrates that its workforce continues to be engaged and committed. The Agency recognises the importance of Gender–balanced leadership, with 51 per cent of women holding senior leadership roles across the Agency. This represents a one per cent increase from 2018–19. The Agency is committed to its focus on the employment of people with disability (11.1 per cent) through a variety of targeted recruitment approaches. In 2019–20 57 per cent of staff agree that the Agency has a positive culture, including the implementation of Insight and Risk Week, delivering a week of risk focussed activities&#10;"/>
      </w:tblPr>
      <w:tblGrid>
        <w:gridCol w:w="1838"/>
        <w:gridCol w:w="1134"/>
        <w:gridCol w:w="2126"/>
        <w:gridCol w:w="3918"/>
      </w:tblGrid>
      <w:tr w:rsidR="008554AD" w:rsidRPr="00262F3A" w14:paraId="3B6EA308" w14:textId="77777777" w:rsidTr="008554AD">
        <w:trPr>
          <w:cnfStyle w:val="100000000000" w:firstRow="1" w:lastRow="0" w:firstColumn="0" w:lastColumn="0" w:oddVBand="0" w:evenVBand="0" w:oddHBand="0" w:evenHBand="0" w:firstRowFirstColumn="0" w:firstRowLastColumn="0" w:lastRowFirstColumn="0" w:lastRowLastColumn="0"/>
          <w:trHeight w:val="448"/>
          <w:tblHeader/>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shd w:val="clear" w:color="auto" w:fill="7030A0"/>
            <w:hideMark/>
          </w:tcPr>
          <w:p w14:paraId="1A6826D6" w14:textId="77777777" w:rsidR="0025606A" w:rsidRPr="00262F3A" w:rsidRDefault="0025606A" w:rsidP="008554AD">
            <w:pPr>
              <w:pStyle w:val="Tableformat"/>
              <w:rPr>
                <w:b w:val="0"/>
                <w:lang w:val="en-AU"/>
              </w:rPr>
            </w:pPr>
            <w:r w:rsidRPr="00262F3A">
              <w:rPr>
                <w:b w:val="0"/>
                <w:lang w:val="en-AU"/>
              </w:rPr>
              <w:t xml:space="preserve">Metric </w:t>
            </w:r>
          </w:p>
        </w:tc>
        <w:tc>
          <w:tcPr>
            <w:tcW w:w="1134" w:type="dxa"/>
            <w:tcBorders>
              <w:bottom w:val="single" w:sz="4" w:space="0" w:color="auto"/>
            </w:tcBorders>
            <w:shd w:val="clear" w:color="auto" w:fill="7030A0"/>
            <w:hideMark/>
          </w:tcPr>
          <w:p w14:paraId="28A6A1C1"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Target</w:t>
            </w:r>
          </w:p>
        </w:tc>
        <w:tc>
          <w:tcPr>
            <w:tcW w:w="2126" w:type="dxa"/>
            <w:tcBorders>
              <w:bottom w:val="single" w:sz="4" w:space="0" w:color="auto"/>
            </w:tcBorders>
            <w:shd w:val="clear" w:color="auto" w:fill="7030A0"/>
            <w:hideMark/>
          </w:tcPr>
          <w:p w14:paraId="1B9843EE"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Baseline and result</w:t>
            </w:r>
          </w:p>
        </w:tc>
        <w:tc>
          <w:tcPr>
            <w:tcW w:w="3918" w:type="dxa"/>
            <w:tcBorders>
              <w:bottom w:val="single" w:sz="4" w:space="0" w:color="auto"/>
            </w:tcBorders>
            <w:shd w:val="clear" w:color="auto" w:fill="7030A0"/>
          </w:tcPr>
          <w:p w14:paraId="3B72BAA2" w14:textId="77777777" w:rsidR="0025606A" w:rsidRPr="00262F3A" w:rsidRDefault="0025606A" w:rsidP="008554AD">
            <w:pPr>
              <w:pStyle w:val="Tableformat"/>
              <w:cnfStyle w:val="100000000000" w:firstRow="1" w:lastRow="0" w:firstColumn="0" w:lastColumn="0" w:oddVBand="0" w:evenVBand="0" w:oddHBand="0" w:evenHBand="0" w:firstRowFirstColumn="0" w:firstRowLastColumn="0" w:lastRowFirstColumn="0" w:lastRowLastColumn="0"/>
              <w:rPr>
                <w:b w:val="0"/>
                <w:lang w:val="en-AU"/>
              </w:rPr>
            </w:pPr>
            <w:r w:rsidRPr="00262F3A">
              <w:rPr>
                <w:b w:val="0"/>
                <w:lang w:val="en-AU"/>
              </w:rPr>
              <w:t>Comment</w:t>
            </w:r>
          </w:p>
        </w:tc>
      </w:tr>
      <w:tr w:rsidR="0025606A" w:rsidRPr="00262F3A" w14:paraId="50299846" w14:textId="77777777" w:rsidTr="008554A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hideMark/>
          </w:tcPr>
          <w:p w14:paraId="1E713D01" w14:textId="77777777" w:rsidR="0025606A" w:rsidRPr="00262F3A" w:rsidRDefault="0025606A" w:rsidP="008554AD">
            <w:pPr>
              <w:pStyle w:val="Tableformat"/>
              <w:rPr>
                <w:rFonts w:eastAsia="Times New Roman"/>
                <w:b w:val="0"/>
                <w:bCs w:val="0"/>
                <w:lang w:val="en-AU" w:eastAsia="en-US"/>
              </w:rPr>
            </w:pPr>
            <w:r w:rsidRPr="00262F3A">
              <w:rPr>
                <w:rFonts w:eastAsia="Times New Roman"/>
                <w:b w:val="0"/>
                <w:bCs w:val="0"/>
                <w:lang w:val="en-AU" w:eastAsia="en-US"/>
              </w:rPr>
              <w:t>Employee engagement</w:t>
            </w:r>
            <w:r w:rsidRPr="00262F3A">
              <w:rPr>
                <w:rFonts w:eastAsia="Times New Roman"/>
                <w:b w:val="0"/>
                <w:bCs w:val="0"/>
                <w:vertAlign w:val="superscript"/>
                <w:lang w:val="en-AU" w:eastAsia="en-US"/>
              </w:rPr>
              <w:footnoteReference w:id="15"/>
            </w:r>
          </w:p>
        </w:tc>
        <w:tc>
          <w:tcPr>
            <w:tcW w:w="1134" w:type="dxa"/>
            <w:shd w:val="clear" w:color="auto" w:fill="auto"/>
            <w:hideMark/>
          </w:tcPr>
          <w:p w14:paraId="793E13B2"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eastAsia="en-US"/>
              </w:rPr>
            </w:pPr>
            <w:r w:rsidRPr="00262F3A">
              <w:rPr>
                <w:rFonts w:eastAsia="Times New Roman"/>
                <w:lang w:val="en-AU" w:eastAsia="en-US"/>
              </w:rPr>
              <w:t>76%</w:t>
            </w:r>
          </w:p>
        </w:tc>
        <w:tc>
          <w:tcPr>
            <w:tcW w:w="2126" w:type="dxa"/>
            <w:shd w:val="clear" w:color="auto" w:fill="auto"/>
            <w:hideMark/>
          </w:tcPr>
          <w:p w14:paraId="5D8686AD"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heme="minorHAnsi"/>
                <w:color w:val="0D0D0D"/>
                <w:lang w:val="en-AU" w:eastAsia="en-US"/>
              </w:rPr>
            </w:pPr>
            <w:r w:rsidRPr="00262F3A">
              <w:rPr>
                <w:rFonts w:eastAsia="Times New Roman"/>
                <w:lang w:val="en-AU" w:eastAsia="en-US"/>
              </w:rPr>
              <w:t xml:space="preserve">Baseline: </w:t>
            </w:r>
            <w:r w:rsidRPr="00262F3A">
              <w:rPr>
                <w:rFonts w:eastAsiaTheme="minorHAnsi"/>
                <w:color w:val="0D0D0D"/>
                <w:lang w:val="en-AU" w:eastAsia="en-US"/>
              </w:rPr>
              <w:t>NDIA pulse survey 2020</w:t>
            </w:r>
          </w:p>
          <w:p w14:paraId="0CE99429"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eastAsia="en-US"/>
              </w:rPr>
            </w:pPr>
            <w:r w:rsidRPr="00262F3A">
              <w:rPr>
                <w:rFonts w:eastAsia="Times New Roman"/>
                <w:lang w:val="en-AU" w:eastAsia="en-US"/>
              </w:rPr>
              <w:t>Result: 80%</w:t>
            </w:r>
          </w:p>
        </w:tc>
        <w:tc>
          <w:tcPr>
            <w:tcW w:w="3918" w:type="dxa"/>
            <w:shd w:val="clear" w:color="auto" w:fill="auto"/>
          </w:tcPr>
          <w:p w14:paraId="3F1CD524" w14:textId="0F228C91" w:rsidR="0025606A" w:rsidRPr="00262F3A" w:rsidRDefault="0025606A" w:rsidP="00B56574">
            <w:pPr>
              <w:pStyle w:val="Tableformat"/>
              <w:cnfStyle w:val="000000100000" w:firstRow="0" w:lastRow="0" w:firstColumn="0" w:lastColumn="0" w:oddVBand="0" w:evenVBand="0" w:oddHBand="1" w:evenHBand="0" w:firstRowFirstColumn="0" w:firstRowLastColumn="0" w:lastRowFirstColumn="0" w:lastRowLastColumn="0"/>
              <w:rPr>
                <w:lang w:val="en-AU"/>
              </w:rPr>
            </w:pPr>
            <w:r w:rsidRPr="00262F3A">
              <w:rPr>
                <w:lang w:val="en-AU"/>
              </w:rPr>
              <w:t xml:space="preserve">The </w:t>
            </w:r>
            <w:r w:rsidRPr="00262F3A">
              <w:rPr>
                <w:lang w:val="en-AU" w:eastAsia="en-AU"/>
              </w:rPr>
              <w:t>Agency’s Engagement Index increased by 4</w:t>
            </w:r>
            <w:r w:rsidR="00B56574">
              <w:rPr>
                <w:color w:val="000000"/>
                <w:lang w:val="en-AU"/>
              </w:rPr>
              <w:t xml:space="preserve"> per cent</w:t>
            </w:r>
            <w:r w:rsidRPr="00262F3A">
              <w:rPr>
                <w:lang w:val="en-AU" w:eastAsia="en-AU"/>
              </w:rPr>
              <w:t xml:space="preserve"> to 80</w:t>
            </w:r>
            <w:r w:rsidR="00B56574">
              <w:rPr>
                <w:color w:val="000000"/>
                <w:lang w:val="en-AU"/>
              </w:rPr>
              <w:t xml:space="preserve"> per cent</w:t>
            </w:r>
            <w:r w:rsidRPr="00262F3A">
              <w:rPr>
                <w:lang w:val="en-AU" w:eastAsia="en-AU"/>
              </w:rPr>
              <w:t xml:space="preserve">, from the 2019 </w:t>
            </w:r>
            <w:r w:rsidR="0026406F">
              <w:rPr>
                <w:lang w:val="en-AU" w:eastAsia="en-AU"/>
              </w:rPr>
              <w:t xml:space="preserve">APS </w:t>
            </w:r>
            <w:r w:rsidRPr="00262F3A">
              <w:rPr>
                <w:lang w:val="en-AU" w:eastAsia="en-AU"/>
              </w:rPr>
              <w:t>Census result of 76</w:t>
            </w:r>
            <w:r w:rsidR="00B56574">
              <w:rPr>
                <w:color w:val="000000"/>
                <w:lang w:val="en-AU"/>
              </w:rPr>
              <w:t xml:space="preserve"> per cent</w:t>
            </w:r>
            <w:r w:rsidRPr="00262F3A">
              <w:rPr>
                <w:lang w:val="en-AU" w:eastAsia="en-AU"/>
              </w:rPr>
              <w:t>. This illustrates that its workforce continues to be engaged and committed. The Agency’s continued focus on leadership development, recognition, skill and capability development, clear performance expectations and goal setting and quality decision making has contributed to the level of engagement.</w:t>
            </w:r>
            <w:r w:rsidR="00B56574" w:rsidRPr="00262F3A" w:rsidDel="00B56574">
              <w:rPr>
                <w:lang w:val="en-AU" w:eastAsia="en-AU"/>
              </w:rPr>
              <w:t xml:space="preserve"> </w:t>
            </w:r>
          </w:p>
        </w:tc>
      </w:tr>
      <w:tr w:rsidR="0025606A" w:rsidRPr="00262F3A" w14:paraId="7D34BA17" w14:textId="77777777" w:rsidTr="008554AD">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66C3993B" w14:textId="77777777" w:rsidR="0025606A" w:rsidRPr="00262F3A" w:rsidRDefault="0025606A" w:rsidP="008554AD">
            <w:pPr>
              <w:pStyle w:val="Tableformat"/>
              <w:rPr>
                <w:rFonts w:eastAsia="Times New Roman"/>
                <w:b w:val="0"/>
                <w:bCs w:val="0"/>
                <w:lang w:val="en-AU" w:eastAsia="en-US"/>
              </w:rPr>
            </w:pPr>
            <w:r w:rsidRPr="00262F3A">
              <w:rPr>
                <w:rFonts w:eastAsia="Times New Roman"/>
                <w:b w:val="0"/>
                <w:lang w:val="en-AU"/>
              </w:rPr>
              <w:t>Gender Balanced Leadership</w:t>
            </w:r>
          </w:p>
        </w:tc>
        <w:tc>
          <w:tcPr>
            <w:tcW w:w="1134" w:type="dxa"/>
            <w:shd w:val="clear" w:color="auto" w:fill="auto"/>
          </w:tcPr>
          <w:p w14:paraId="78DA6A89"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imes New Roman"/>
                <w:lang w:val="en-AU" w:eastAsia="en-US"/>
              </w:rPr>
              <w:t>50%</w:t>
            </w:r>
          </w:p>
        </w:tc>
        <w:tc>
          <w:tcPr>
            <w:tcW w:w="2126" w:type="dxa"/>
            <w:shd w:val="clear" w:color="auto" w:fill="auto"/>
          </w:tcPr>
          <w:p w14:paraId="6E35FE81" w14:textId="2C1EC0A6"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heme="minorHAnsi"/>
                <w:color w:val="0D0D0D"/>
                <w:lang w:val="en-AU" w:eastAsia="en-US"/>
              </w:rPr>
              <w:t xml:space="preserve">Baseline: People </w:t>
            </w:r>
            <w:r w:rsidR="0026406F">
              <w:rPr>
                <w:rFonts w:eastAsiaTheme="minorHAnsi"/>
                <w:color w:val="0D0D0D"/>
                <w:lang w:val="en-AU" w:eastAsia="en-US"/>
              </w:rPr>
              <w:t>and</w:t>
            </w:r>
            <w:r w:rsidRPr="00262F3A">
              <w:rPr>
                <w:rFonts w:eastAsiaTheme="minorHAnsi"/>
                <w:color w:val="0D0D0D"/>
                <w:lang w:val="en-AU" w:eastAsia="en-US"/>
              </w:rPr>
              <w:t xml:space="preserve"> Culture </w:t>
            </w:r>
            <w:r w:rsidR="0026406F">
              <w:rPr>
                <w:rFonts w:eastAsiaTheme="minorHAnsi"/>
                <w:color w:val="0D0D0D"/>
                <w:lang w:val="en-AU" w:eastAsia="en-US"/>
              </w:rPr>
              <w:t xml:space="preserve">Division </w:t>
            </w:r>
            <w:r w:rsidRPr="00262F3A">
              <w:rPr>
                <w:rFonts w:eastAsiaTheme="minorHAnsi"/>
                <w:color w:val="0D0D0D"/>
                <w:lang w:val="en-AU" w:eastAsia="en-US"/>
              </w:rPr>
              <w:t>data</w:t>
            </w:r>
          </w:p>
          <w:p w14:paraId="28719B11"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imes New Roman"/>
                <w:lang w:val="en-AU" w:eastAsia="en-US"/>
              </w:rPr>
              <w:t>Result: 51%</w:t>
            </w:r>
          </w:p>
        </w:tc>
        <w:tc>
          <w:tcPr>
            <w:tcW w:w="3918" w:type="dxa"/>
            <w:shd w:val="clear" w:color="auto" w:fill="auto"/>
          </w:tcPr>
          <w:p w14:paraId="2956ACED"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262F3A">
              <w:rPr>
                <w:lang w:val="en-AU"/>
              </w:rPr>
              <w:t>The Agency recognises the importance of gender-balanced leadership, with 51 per cent of women holding senior leadership roles across the Agency. This represents a one per cent increase on last year. The Agency continues to champion gender inclusion through the celebration of International Women’s Day and investment in leadership development programs that nurture female talent.</w:t>
            </w:r>
          </w:p>
        </w:tc>
      </w:tr>
      <w:tr w:rsidR="0025606A" w:rsidRPr="00262F3A" w14:paraId="0539769D" w14:textId="77777777" w:rsidTr="008554A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6AD3F4D2" w14:textId="77777777" w:rsidR="0025606A" w:rsidRPr="00262F3A" w:rsidRDefault="0025606A" w:rsidP="008554AD">
            <w:pPr>
              <w:pStyle w:val="Tableformat"/>
              <w:rPr>
                <w:rFonts w:eastAsia="Times New Roman"/>
                <w:b w:val="0"/>
                <w:bCs w:val="0"/>
                <w:lang w:val="en-AU" w:eastAsia="en-US"/>
              </w:rPr>
            </w:pPr>
            <w:r w:rsidRPr="00262F3A">
              <w:rPr>
                <w:rFonts w:eastAsia="Times New Roman"/>
                <w:b w:val="0"/>
                <w:lang w:val="en-AU"/>
              </w:rPr>
              <w:t>People with disability employment</w:t>
            </w:r>
          </w:p>
        </w:tc>
        <w:tc>
          <w:tcPr>
            <w:tcW w:w="1134" w:type="dxa"/>
            <w:shd w:val="clear" w:color="auto" w:fill="auto"/>
          </w:tcPr>
          <w:p w14:paraId="60640EDA"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eastAsia="en-US"/>
              </w:rPr>
            </w:pPr>
            <w:r w:rsidRPr="00262F3A">
              <w:rPr>
                <w:rFonts w:eastAsia="Times New Roman"/>
                <w:lang w:val="en-AU" w:eastAsia="en-US"/>
              </w:rPr>
              <w:t>15%</w:t>
            </w:r>
          </w:p>
        </w:tc>
        <w:tc>
          <w:tcPr>
            <w:tcW w:w="2126" w:type="dxa"/>
            <w:shd w:val="clear" w:color="auto" w:fill="auto"/>
          </w:tcPr>
          <w:p w14:paraId="799AB70E" w14:textId="6D1193BE"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eastAsia="en-US"/>
              </w:rPr>
            </w:pPr>
            <w:r w:rsidRPr="00262F3A">
              <w:rPr>
                <w:rFonts w:eastAsiaTheme="minorHAnsi"/>
                <w:color w:val="0D0D0D"/>
                <w:lang w:val="en-AU" w:eastAsia="en-US"/>
              </w:rPr>
              <w:t xml:space="preserve">Baseline: People </w:t>
            </w:r>
            <w:r w:rsidR="0026406F">
              <w:rPr>
                <w:rFonts w:eastAsiaTheme="minorHAnsi"/>
                <w:color w:val="0D0D0D"/>
                <w:lang w:val="en-AU" w:eastAsia="en-US"/>
              </w:rPr>
              <w:t>and</w:t>
            </w:r>
            <w:r w:rsidRPr="00262F3A">
              <w:rPr>
                <w:rFonts w:eastAsiaTheme="minorHAnsi"/>
                <w:color w:val="0D0D0D"/>
                <w:lang w:val="en-AU" w:eastAsia="en-US"/>
              </w:rPr>
              <w:t xml:space="preserve"> Culture </w:t>
            </w:r>
            <w:r w:rsidR="0026406F">
              <w:rPr>
                <w:rFonts w:eastAsiaTheme="minorHAnsi"/>
                <w:color w:val="0D0D0D"/>
                <w:lang w:val="en-AU" w:eastAsia="en-US"/>
              </w:rPr>
              <w:t xml:space="preserve">Division </w:t>
            </w:r>
            <w:r w:rsidRPr="00262F3A">
              <w:rPr>
                <w:rFonts w:eastAsiaTheme="minorHAnsi"/>
                <w:color w:val="0D0D0D"/>
                <w:lang w:val="en-AU" w:eastAsia="en-US"/>
              </w:rPr>
              <w:t>data</w:t>
            </w:r>
          </w:p>
          <w:p w14:paraId="3F6D8993" w14:textId="77777777" w:rsidR="0025606A" w:rsidRPr="00262F3A" w:rsidRDefault="0025606A" w:rsidP="008554AD">
            <w:pPr>
              <w:pStyle w:val="Tableformat"/>
              <w:cnfStyle w:val="000000100000" w:firstRow="0" w:lastRow="0" w:firstColumn="0" w:lastColumn="0" w:oddVBand="0" w:evenVBand="0" w:oddHBand="1" w:evenHBand="0" w:firstRowFirstColumn="0" w:firstRowLastColumn="0" w:lastRowFirstColumn="0" w:lastRowLastColumn="0"/>
              <w:rPr>
                <w:rFonts w:eastAsia="Times New Roman"/>
                <w:lang w:val="en-AU" w:eastAsia="en-US"/>
              </w:rPr>
            </w:pPr>
            <w:r w:rsidRPr="00262F3A">
              <w:rPr>
                <w:rFonts w:eastAsia="Times New Roman"/>
                <w:lang w:val="en-AU" w:eastAsia="en-US"/>
              </w:rPr>
              <w:t>Result: 11.1%</w:t>
            </w:r>
          </w:p>
        </w:tc>
        <w:tc>
          <w:tcPr>
            <w:tcW w:w="3918" w:type="dxa"/>
            <w:shd w:val="clear" w:color="auto" w:fill="auto"/>
          </w:tcPr>
          <w:p w14:paraId="68439F0C" w14:textId="148EB711" w:rsidR="0025606A" w:rsidRPr="00262F3A" w:rsidRDefault="0025606A" w:rsidP="0026406F">
            <w:pPr>
              <w:pStyle w:val="Tableformat"/>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262F3A">
              <w:rPr>
                <w:lang w:val="en-AU" w:eastAsia="en-AU"/>
              </w:rPr>
              <w:t xml:space="preserve">The Agency is committed to its focus on the employment of </w:t>
            </w:r>
            <w:r w:rsidR="0026406F">
              <w:rPr>
                <w:lang w:val="en-AU" w:eastAsia="en-AU"/>
              </w:rPr>
              <w:t>p</w:t>
            </w:r>
            <w:r w:rsidRPr="00262F3A">
              <w:rPr>
                <w:lang w:val="en-AU" w:eastAsia="en-AU"/>
              </w:rPr>
              <w:t xml:space="preserve">eople with </w:t>
            </w:r>
            <w:r w:rsidR="0026406F">
              <w:rPr>
                <w:lang w:val="en-AU" w:eastAsia="en-AU"/>
              </w:rPr>
              <w:t>d</w:t>
            </w:r>
            <w:r w:rsidRPr="00262F3A">
              <w:rPr>
                <w:lang w:val="en-AU" w:eastAsia="en-AU"/>
              </w:rPr>
              <w:t>isability (11.1</w:t>
            </w:r>
            <w:r w:rsidR="0026406F">
              <w:rPr>
                <w:lang w:val="en-AU" w:eastAsia="en-AU"/>
              </w:rPr>
              <w:t xml:space="preserve"> per cent</w:t>
            </w:r>
            <w:r w:rsidRPr="00262F3A">
              <w:rPr>
                <w:lang w:val="en-AU" w:eastAsia="en-AU"/>
              </w:rPr>
              <w:t>) through a variety of targeted recruitment approaches including the Indigenous Apprenticeship</w:t>
            </w:r>
            <w:r w:rsidR="0026406F">
              <w:rPr>
                <w:lang w:val="en-AU" w:eastAsia="en-AU"/>
              </w:rPr>
              <w:t>s</w:t>
            </w:r>
            <w:r w:rsidRPr="00262F3A">
              <w:rPr>
                <w:lang w:val="en-AU" w:eastAsia="en-AU"/>
              </w:rPr>
              <w:t xml:space="preserve"> </w:t>
            </w:r>
            <w:r w:rsidR="0026406F">
              <w:rPr>
                <w:lang w:val="en-AU" w:eastAsia="en-AU"/>
              </w:rPr>
              <w:t>P</w:t>
            </w:r>
            <w:r w:rsidRPr="00262F3A">
              <w:rPr>
                <w:lang w:val="en-AU" w:eastAsia="en-AU"/>
              </w:rPr>
              <w:t xml:space="preserve">rogram, Indigenous Australian Government </w:t>
            </w:r>
            <w:r w:rsidR="0026406F">
              <w:rPr>
                <w:lang w:val="en-AU" w:eastAsia="en-AU"/>
              </w:rPr>
              <w:t xml:space="preserve">Development </w:t>
            </w:r>
            <w:r w:rsidRPr="00262F3A">
              <w:rPr>
                <w:lang w:val="en-AU" w:eastAsia="en-AU"/>
              </w:rPr>
              <w:t xml:space="preserve">Program, Australian Network on Disability Stepping Into Program, RecruitAbility and the APSC’s </w:t>
            </w:r>
            <w:r w:rsidR="0026406F">
              <w:rPr>
                <w:lang w:val="en-AU" w:eastAsia="en-AU"/>
              </w:rPr>
              <w:t>a</w:t>
            </w:r>
            <w:r w:rsidRPr="00262F3A">
              <w:rPr>
                <w:lang w:val="en-AU" w:eastAsia="en-AU"/>
              </w:rPr>
              <w:t xml:space="preserve">ffirmative </w:t>
            </w:r>
            <w:r w:rsidR="0026406F">
              <w:rPr>
                <w:lang w:val="en-AU" w:eastAsia="en-AU"/>
              </w:rPr>
              <w:t>m</w:t>
            </w:r>
            <w:r w:rsidRPr="00262F3A">
              <w:rPr>
                <w:lang w:val="en-AU" w:eastAsia="en-AU"/>
              </w:rPr>
              <w:t xml:space="preserve">easures </w:t>
            </w:r>
            <w:r w:rsidR="0026406F">
              <w:rPr>
                <w:lang w:val="en-AU" w:eastAsia="en-AU"/>
              </w:rPr>
              <w:t>d</w:t>
            </w:r>
            <w:r w:rsidRPr="00262F3A">
              <w:rPr>
                <w:lang w:val="en-AU" w:eastAsia="en-AU"/>
              </w:rPr>
              <w:t xml:space="preserve">isability and Indigenous </w:t>
            </w:r>
            <w:r w:rsidR="0026406F">
              <w:rPr>
                <w:lang w:val="en-AU" w:eastAsia="en-AU"/>
              </w:rPr>
              <w:t>s</w:t>
            </w:r>
            <w:r w:rsidRPr="00262F3A">
              <w:rPr>
                <w:lang w:val="en-AU" w:eastAsia="en-AU"/>
              </w:rPr>
              <w:t xml:space="preserve">chemes. </w:t>
            </w:r>
          </w:p>
        </w:tc>
      </w:tr>
      <w:tr w:rsidR="0025606A" w:rsidRPr="00262F3A" w14:paraId="2EE919E0" w14:textId="77777777" w:rsidTr="008554AD">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888240E" w14:textId="77777777" w:rsidR="0025606A" w:rsidRPr="00262F3A" w:rsidRDefault="0025606A" w:rsidP="008554AD">
            <w:pPr>
              <w:pStyle w:val="Tableformat"/>
              <w:rPr>
                <w:rFonts w:eastAsia="Times New Roman"/>
                <w:b w:val="0"/>
                <w:bCs w:val="0"/>
                <w:lang w:val="en-AU" w:eastAsia="en-US"/>
              </w:rPr>
            </w:pPr>
            <w:r w:rsidRPr="00262F3A">
              <w:rPr>
                <w:rFonts w:eastAsia="Times New Roman"/>
                <w:b w:val="0"/>
                <w:lang w:val="en-AU"/>
              </w:rPr>
              <w:t>Risk culture (% staff agreeing Agency has positive risk culture)</w:t>
            </w:r>
          </w:p>
        </w:tc>
        <w:tc>
          <w:tcPr>
            <w:tcW w:w="1134" w:type="dxa"/>
            <w:shd w:val="clear" w:color="auto" w:fill="auto"/>
          </w:tcPr>
          <w:p w14:paraId="69DBD758"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imes New Roman"/>
                <w:lang w:val="en-AU" w:eastAsia="en-US"/>
              </w:rPr>
              <w:t>50%</w:t>
            </w:r>
          </w:p>
        </w:tc>
        <w:tc>
          <w:tcPr>
            <w:tcW w:w="2126" w:type="dxa"/>
            <w:shd w:val="clear" w:color="auto" w:fill="auto"/>
          </w:tcPr>
          <w:p w14:paraId="31E135E5"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heme="minorHAnsi"/>
                <w:color w:val="0D0D0D"/>
                <w:lang w:val="en-AU" w:eastAsia="en-US"/>
              </w:rPr>
              <w:t>Baseline: APS Census</w:t>
            </w:r>
            <w:r w:rsidRPr="00262F3A">
              <w:rPr>
                <w:rFonts w:eastAsia="Times New Roman"/>
                <w:lang w:val="en-AU" w:eastAsia="en-US"/>
              </w:rPr>
              <w:t xml:space="preserve"> 2019</w:t>
            </w:r>
          </w:p>
          <w:p w14:paraId="27DD4D63" w14:textId="77777777"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rFonts w:eastAsia="Times New Roman"/>
                <w:lang w:val="en-AU" w:eastAsia="en-US"/>
              </w:rPr>
            </w:pPr>
            <w:r w:rsidRPr="00262F3A">
              <w:rPr>
                <w:rFonts w:eastAsia="Times New Roman"/>
                <w:lang w:val="en-AU" w:eastAsia="en-US"/>
              </w:rPr>
              <w:t>Result: 57%</w:t>
            </w:r>
          </w:p>
        </w:tc>
        <w:tc>
          <w:tcPr>
            <w:tcW w:w="3918" w:type="dxa"/>
            <w:shd w:val="clear" w:color="auto" w:fill="auto"/>
          </w:tcPr>
          <w:p w14:paraId="6FEE9578" w14:textId="7105B623" w:rsidR="0025606A" w:rsidRPr="00262F3A" w:rsidRDefault="0025606A" w:rsidP="008554AD">
            <w:pPr>
              <w:pStyle w:val="Tableformat"/>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262F3A">
              <w:rPr>
                <w:color w:val="000000" w:themeColor="text1"/>
                <w:lang w:val="en-AU"/>
              </w:rPr>
              <w:t>The Agency continues to improve the focus of staff on managing risks. This includes the implementation of Insight and Risk Week</w:t>
            </w:r>
            <w:r w:rsidR="0026406F">
              <w:rPr>
                <w:color w:val="000000" w:themeColor="text1"/>
                <w:lang w:val="en-AU"/>
              </w:rPr>
              <w:t>,</w:t>
            </w:r>
            <w:r w:rsidRPr="00262F3A">
              <w:rPr>
                <w:color w:val="000000" w:themeColor="text1"/>
                <w:lang w:val="en-AU"/>
              </w:rPr>
              <w:t xml:space="preserve"> delivering a week of activities focused on risk.</w:t>
            </w:r>
          </w:p>
        </w:tc>
      </w:tr>
      <w:bookmarkEnd w:id="131"/>
    </w:tbl>
    <w:p w14:paraId="3F9274D3" w14:textId="77777777" w:rsidR="00EC35FC" w:rsidRPr="00262F3A" w:rsidRDefault="00EC35FC" w:rsidP="00561B3B">
      <w:pPr>
        <w:rPr>
          <w:lang w:eastAsia="en-US"/>
        </w:rPr>
      </w:pPr>
    </w:p>
    <w:p w14:paraId="7098A34F" w14:textId="7E8B4781" w:rsidR="00EC35FC" w:rsidRPr="00262F3A" w:rsidRDefault="00EC35FC" w:rsidP="00561B3B">
      <w:pPr>
        <w:pStyle w:val="Heading1"/>
      </w:pPr>
      <w:bookmarkStart w:id="136" w:name="_Toc51067977"/>
      <w:r w:rsidRPr="00262F3A">
        <w:lastRenderedPageBreak/>
        <w:t xml:space="preserve">Management and </w:t>
      </w:r>
      <w:r w:rsidR="002D46B3" w:rsidRPr="00262F3A">
        <w:t>a</w:t>
      </w:r>
      <w:r w:rsidRPr="00262F3A">
        <w:t>ccountability</w:t>
      </w:r>
      <w:bookmarkEnd w:id="136"/>
    </w:p>
    <w:p w14:paraId="2ABDF3AE" w14:textId="77777777" w:rsidR="00EC35FC" w:rsidRPr="00262F3A" w:rsidRDefault="00EC35FC" w:rsidP="008F00D1">
      <w:pPr>
        <w:pStyle w:val="Heading2"/>
      </w:pPr>
      <w:bookmarkStart w:id="137" w:name="_Toc51067978"/>
      <w:r w:rsidRPr="00262F3A">
        <w:t>Governance</w:t>
      </w:r>
      <w:bookmarkEnd w:id="137"/>
    </w:p>
    <w:p w14:paraId="543A15EE" w14:textId="19646BD4" w:rsidR="00B31B53" w:rsidRPr="00262F3A" w:rsidRDefault="00B31B53" w:rsidP="00561B3B">
      <w:pPr>
        <w:rPr>
          <w:lang w:eastAsia="en-AU"/>
        </w:rPr>
      </w:pPr>
      <w:r w:rsidRPr="00262F3A">
        <w:rPr>
          <w:lang w:eastAsia="en-AU"/>
        </w:rPr>
        <w:t xml:space="preserve">The governance model for the Agency is set out in the NDIS Act. </w:t>
      </w:r>
    </w:p>
    <w:p w14:paraId="53681C62" w14:textId="77777777" w:rsidR="00BD0318" w:rsidRPr="00262F3A" w:rsidRDefault="00BD0318" w:rsidP="00561B3B">
      <w:pPr>
        <w:rPr>
          <w:lang w:eastAsia="en-AU"/>
        </w:rPr>
      </w:pPr>
      <w:r w:rsidRPr="00262F3A">
        <w:t>The Agency is a corporate Commonwealth entity under the PGPA Act with statutory authority under the NDIS Act. The NDIS Act sets out the governance model for the Scheme.</w:t>
      </w:r>
    </w:p>
    <w:p w14:paraId="5C15BC08" w14:textId="6955135F" w:rsidR="00B31B53" w:rsidRPr="00262F3A" w:rsidRDefault="00B31B53" w:rsidP="00901595">
      <w:pPr>
        <w:keepNext/>
      </w:pPr>
      <w:r w:rsidRPr="00262F3A">
        <w:rPr>
          <w:b/>
        </w:rPr>
        <w:t xml:space="preserve">Figure </w:t>
      </w:r>
      <w:r w:rsidR="00E3245B" w:rsidRPr="00262F3A">
        <w:rPr>
          <w:b/>
        </w:rPr>
        <w:t>4.1A</w:t>
      </w:r>
      <w:r w:rsidR="009262BD">
        <w:rPr>
          <w:b/>
        </w:rPr>
        <w:t>:</w:t>
      </w:r>
      <w:r w:rsidR="009262BD" w:rsidRPr="00262F3A">
        <w:rPr>
          <w:b/>
        </w:rPr>
        <w:t xml:space="preserve"> </w:t>
      </w:r>
      <w:r w:rsidR="000B619D" w:rsidRPr="00262F3A">
        <w:t>Agency</w:t>
      </w:r>
      <w:r w:rsidRPr="00262F3A">
        <w:t xml:space="preserve"> governance </w:t>
      </w:r>
      <w:r w:rsidR="00D82775">
        <w:t>d</w:t>
      </w:r>
      <w:r w:rsidRPr="00262F3A">
        <w:t xml:space="preserve">iagram </w:t>
      </w:r>
    </w:p>
    <w:tbl>
      <w:tblPr>
        <w:tblStyle w:val="TableGrid"/>
        <w:tblW w:w="8642" w:type="dxa"/>
        <w:tblInd w:w="607" w:type="dxa"/>
        <w:tblLook w:val="04A0" w:firstRow="1" w:lastRow="0" w:firstColumn="1" w:lastColumn="0" w:noHBand="0" w:noVBand="1"/>
        <w:tblDescription w:val="Figure 4.1A is a diagram of the Agency’s key governance arrangements. It shows five boxes to illustrate the governance relationships. There are two purple boxes at the top level. The one on the left says Federal Parliament, and underneath that (in the same box) it says Commonwealth Minister.  The box to the right of that, on the same level, says Ministerial Council. There is a line joining those two boxes and extending down the centre to another purple box that says NDIA Board.  To the right of the NDIA Board box, not connected by a line, is a white box that says Independent Advisory Council.  A line extends downward from the box with NDIA Board in it to the last box, centred at the bottom of the diagram that says NDIA Management."/>
      </w:tblPr>
      <w:tblGrid>
        <w:gridCol w:w="2122"/>
        <w:gridCol w:w="992"/>
        <w:gridCol w:w="992"/>
        <w:gridCol w:w="567"/>
        <w:gridCol w:w="567"/>
        <w:gridCol w:w="567"/>
        <w:gridCol w:w="425"/>
        <w:gridCol w:w="709"/>
        <w:gridCol w:w="1701"/>
      </w:tblGrid>
      <w:tr w:rsidR="00DC7238" w:rsidRPr="00262F3A" w14:paraId="6C349DDF" w14:textId="77777777" w:rsidTr="00D97797">
        <w:trPr>
          <w:tblHeader/>
        </w:trPr>
        <w:tc>
          <w:tcPr>
            <w:tcW w:w="4106" w:type="dxa"/>
            <w:gridSpan w:val="3"/>
            <w:vAlign w:val="center"/>
          </w:tcPr>
          <w:p w14:paraId="48DB7657" w14:textId="77777777" w:rsidR="00DC7238" w:rsidRPr="00262F3A" w:rsidRDefault="00DC7238" w:rsidP="00DC7238">
            <w:pPr>
              <w:ind w:left="0"/>
              <w:jc w:val="center"/>
            </w:pPr>
            <w:r w:rsidRPr="00262F3A">
              <w:t>Federal Parliament</w:t>
            </w:r>
          </w:p>
          <w:p w14:paraId="2657D5FA" w14:textId="77777777" w:rsidR="00DC7238" w:rsidRPr="00262F3A" w:rsidRDefault="00DC7238" w:rsidP="00DC7238">
            <w:pPr>
              <w:ind w:left="0"/>
              <w:jc w:val="center"/>
            </w:pPr>
            <w:r w:rsidRPr="00262F3A">
              <w:t>Commonwealth Minister</w:t>
            </w:r>
          </w:p>
        </w:tc>
        <w:tc>
          <w:tcPr>
            <w:tcW w:w="567" w:type="dxa"/>
            <w:tcBorders>
              <w:top w:val="nil"/>
              <w:bottom w:val="nil"/>
              <w:right w:val="nil"/>
            </w:tcBorders>
            <w:vAlign w:val="center"/>
          </w:tcPr>
          <w:p w14:paraId="12B8A0A7" w14:textId="77777777" w:rsidR="00DC7238" w:rsidRPr="00262F3A" w:rsidRDefault="00DC7238" w:rsidP="009D0822">
            <w:pPr>
              <w:jc w:val="center"/>
            </w:pPr>
          </w:p>
        </w:tc>
        <w:tc>
          <w:tcPr>
            <w:tcW w:w="567" w:type="dxa"/>
            <w:tcBorders>
              <w:top w:val="nil"/>
              <w:left w:val="nil"/>
              <w:bottom w:val="nil"/>
            </w:tcBorders>
          </w:tcPr>
          <w:p w14:paraId="4FF7EF6C" w14:textId="77777777" w:rsidR="00DC7238" w:rsidRPr="00262F3A" w:rsidRDefault="00DC7238" w:rsidP="009D0822">
            <w:pPr>
              <w:jc w:val="center"/>
            </w:pPr>
          </w:p>
        </w:tc>
        <w:tc>
          <w:tcPr>
            <w:tcW w:w="3402" w:type="dxa"/>
            <w:gridSpan w:val="4"/>
            <w:vAlign w:val="center"/>
          </w:tcPr>
          <w:p w14:paraId="75A8EA62" w14:textId="77777777" w:rsidR="00DC7238" w:rsidRPr="00262F3A" w:rsidRDefault="00DC7238" w:rsidP="00DC7238">
            <w:pPr>
              <w:ind w:left="0"/>
              <w:jc w:val="center"/>
            </w:pPr>
            <w:r w:rsidRPr="00262F3A">
              <w:t>Ministerial Council</w:t>
            </w:r>
          </w:p>
        </w:tc>
      </w:tr>
      <w:tr w:rsidR="00DC7238" w:rsidRPr="00262F3A" w14:paraId="2752AAD2" w14:textId="77777777" w:rsidTr="00D97797">
        <w:trPr>
          <w:tblHeader/>
        </w:trPr>
        <w:tc>
          <w:tcPr>
            <w:tcW w:w="2122" w:type="dxa"/>
            <w:tcBorders>
              <w:left w:val="nil"/>
              <w:bottom w:val="nil"/>
            </w:tcBorders>
          </w:tcPr>
          <w:p w14:paraId="39995FFC" w14:textId="77777777" w:rsidR="00DC7238" w:rsidRPr="00262F3A" w:rsidRDefault="00DC7238" w:rsidP="009D0822"/>
        </w:tc>
        <w:tc>
          <w:tcPr>
            <w:tcW w:w="1984" w:type="dxa"/>
            <w:gridSpan w:val="2"/>
            <w:tcBorders>
              <w:bottom w:val="single" w:sz="4" w:space="0" w:color="auto"/>
              <w:right w:val="nil"/>
            </w:tcBorders>
          </w:tcPr>
          <w:p w14:paraId="4C0416A5" w14:textId="77777777" w:rsidR="00DC7238" w:rsidRPr="00262F3A" w:rsidRDefault="00DC7238" w:rsidP="009D0822"/>
        </w:tc>
        <w:tc>
          <w:tcPr>
            <w:tcW w:w="567" w:type="dxa"/>
            <w:tcBorders>
              <w:top w:val="nil"/>
              <w:left w:val="nil"/>
              <w:bottom w:val="single" w:sz="4" w:space="0" w:color="auto"/>
              <w:right w:val="nil"/>
            </w:tcBorders>
          </w:tcPr>
          <w:p w14:paraId="53E59873" w14:textId="77777777" w:rsidR="00DC7238" w:rsidRPr="00262F3A" w:rsidRDefault="00DC7238" w:rsidP="009D0822"/>
        </w:tc>
        <w:tc>
          <w:tcPr>
            <w:tcW w:w="567" w:type="dxa"/>
            <w:tcBorders>
              <w:top w:val="nil"/>
              <w:left w:val="nil"/>
              <w:right w:val="nil"/>
            </w:tcBorders>
          </w:tcPr>
          <w:p w14:paraId="2A164BD2" w14:textId="77777777" w:rsidR="00DC7238" w:rsidRPr="00262F3A" w:rsidRDefault="00DC7238" w:rsidP="009D0822"/>
        </w:tc>
        <w:tc>
          <w:tcPr>
            <w:tcW w:w="1701" w:type="dxa"/>
            <w:gridSpan w:val="3"/>
            <w:tcBorders>
              <w:left w:val="nil"/>
              <w:bottom w:val="single" w:sz="4" w:space="0" w:color="auto"/>
            </w:tcBorders>
          </w:tcPr>
          <w:p w14:paraId="34677B2D" w14:textId="77777777" w:rsidR="00DC7238" w:rsidRPr="00262F3A" w:rsidRDefault="00DC7238" w:rsidP="009D0822"/>
        </w:tc>
        <w:tc>
          <w:tcPr>
            <w:tcW w:w="1701" w:type="dxa"/>
            <w:tcBorders>
              <w:bottom w:val="nil"/>
              <w:right w:val="nil"/>
            </w:tcBorders>
          </w:tcPr>
          <w:p w14:paraId="00ED368F" w14:textId="77777777" w:rsidR="00DC7238" w:rsidRPr="00262F3A" w:rsidRDefault="00DC7238" w:rsidP="009D0822"/>
        </w:tc>
      </w:tr>
      <w:tr w:rsidR="00DC7238" w:rsidRPr="00262F3A" w14:paraId="749A2F4F" w14:textId="77777777" w:rsidTr="00D97797">
        <w:trPr>
          <w:tblHeader/>
        </w:trPr>
        <w:tc>
          <w:tcPr>
            <w:tcW w:w="2122" w:type="dxa"/>
            <w:tcBorders>
              <w:top w:val="nil"/>
              <w:left w:val="nil"/>
              <w:bottom w:val="nil"/>
              <w:right w:val="nil"/>
            </w:tcBorders>
          </w:tcPr>
          <w:p w14:paraId="29700DD6" w14:textId="77777777" w:rsidR="00DC7238" w:rsidRPr="00262F3A" w:rsidRDefault="00DC7238" w:rsidP="009D0822"/>
        </w:tc>
        <w:tc>
          <w:tcPr>
            <w:tcW w:w="992" w:type="dxa"/>
            <w:tcBorders>
              <w:left w:val="nil"/>
              <w:bottom w:val="nil"/>
              <w:right w:val="nil"/>
            </w:tcBorders>
          </w:tcPr>
          <w:p w14:paraId="4ACF9E06" w14:textId="77777777" w:rsidR="00DC7238" w:rsidRPr="00262F3A" w:rsidRDefault="00DC7238" w:rsidP="009D0822"/>
        </w:tc>
        <w:tc>
          <w:tcPr>
            <w:tcW w:w="992" w:type="dxa"/>
            <w:tcBorders>
              <w:left w:val="nil"/>
              <w:right w:val="nil"/>
            </w:tcBorders>
          </w:tcPr>
          <w:p w14:paraId="19EE351F" w14:textId="77777777" w:rsidR="00DC7238" w:rsidRPr="00262F3A" w:rsidRDefault="00DC7238" w:rsidP="009D0822"/>
        </w:tc>
        <w:tc>
          <w:tcPr>
            <w:tcW w:w="567" w:type="dxa"/>
            <w:tcBorders>
              <w:left w:val="nil"/>
              <w:right w:val="nil"/>
            </w:tcBorders>
          </w:tcPr>
          <w:p w14:paraId="62789577" w14:textId="77777777" w:rsidR="00DC7238" w:rsidRPr="00262F3A" w:rsidRDefault="00DC7238" w:rsidP="009D0822"/>
        </w:tc>
        <w:tc>
          <w:tcPr>
            <w:tcW w:w="567" w:type="dxa"/>
            <w:tcBorders>
              <w:right w:val="nil"/>
            </w:tcBorders>
          </w:tcPr>
          <w:p w14:paraId="470AE0B4" w14:textId="77777777" w:rsidR="00DC7238" w:rsidRPr="00262F3A" w:rsidRDefault="00DC7238" w:rsidP="009D0822"/>
        </w:tc>
        <w:tc>
          <w:tcPr>
            <w:tcW w:w="567" w:type="dxa"/>
            <w:tcBorders>
              <w:left w:val="nil"/>
              <w:bottom w:val="single" w:sz="4" w:space="0" w:color="auto"/>
              <w:right w:val="nil"/>
            </w:tcBorders>
          </w:tcPr>
          <w:p w14:paraId="075B3781" w14:textId="77777777" w:rsidR="00DC7238" w:rsidRPr="00262F3A" w:rsidRDefault="00DC7238" w:rsidP="009D0822"/>
        </w:tc>
        <w:tc>
          <w:tcPr>
            <w:tcW w:w="425" w:type="dxa"/>
            <w:tcBorders>
              <w:left w:val="nil"/>
              <w:bottom w:val="nil"/>
              <w:right w:val="nil"/>
            </w:tcBorders>
          </w:tcPr>
          <w:p w14:paraId="516D08BC" w14:textId="77777777" w:rsidR="00DC7238" w:rsidRPr="00262F3A" w:rsidRDefault="00DC7238" w:rsidP="009D0822"/>
        </w:tc>
        <w:tc>
          <w:tcPr>
            <w:tcW w:w="2410" w:type="dxa"/>
            <w:gridSpan w:val="2"/>
            <w:tcBorders>
              <w:top w:val="nil"/>
              <w:left w:val="nil"/>
              <w:right w:val="nil"/>
            </w:tcBorders>
          </w:tcPr>
          <w:p w14:paraId="5EF4E8F7" w14:textId="77777777" w:rsidR="00DC7238" w:rsidRPr="00262F3A" w:rsidRDefault="00DC7238" w:rsidP="009D0822"/>
        </w:tc>
      </w:tr>
      <w:tr w:rsidR="00DC7238" w:rsidRPr="00262F3A" w14:paraId="2ACAE796" w14:textId="77777777" w:rsidTr="00D97797">
        <w:trPr>
          <w:tblHeader/>
        </w:trPr>
        <w:tc>
          <w:tcPr>
            <w:tcW w:w="2122" w:type="dxa"/>
            <w:tcBorders>
              <w:top w:val="nil"/>
              <w:left w:val="nil"/>
              <w:bottom w:val="nil"/>
              <w:right w:val="nil"/>
            </w:tcBorders>
          </w:tcPr>
          <w:p w14:paraId="5A15D2E6" w14:textId="77777777" w:rsidR="00DC7238" w:rsidRPr="00262F3A" w:rsidRDefault="00DC7238" w:rsidP="009D0822"/>
        </w:tc>
        <w:tc>
          <w:tcPr>
            <w:tcW w:w="992" w:type="dxa"/>
            <w:tcBorders>
              <w:top w:val="nil"/>
              <w:left w:val="nil"/>
              <w:bottom w:val="nil"/>
            </w:tcBorders>
          </w:tcPr>
          <w:p w14:paraId="12489C4C" w14:textId="77777777" w:rsidR="00DC7238" w:rsidRPr="00262F3A" w:rsidRDefault="00DC7238" w:rsidP="009D0822"/>
        </w:tc>
        <w:tc>
          <w:tcPr>
            <w:tcW w:w="2693" w:type="dxa"/>
            <w:gridSpan w:val="4"/>
            <w:vAlign w:val="center"/>
          </w:tcPr>
          <w:p w14:paraId="06A0C1D1" w14:textId="77777777" w:rsidR="00DC7238" w:rsidRPr="00262F3A" w:rsidRDefault="00DC7238" w:rsidP="00DC7238">
            <w:pPr>
              <w:ind w:left="0"/>
              <w:jc w:val="center"/>
            </w:pPr>
            <w:r w:rsidRPr="00262F3A">
              <w:t>NDIA Board</w:t>
            </w:r>
          </w:p>
        </w:tc>
        <w:tc>
          <w:tcPr>
            <w:tcW w:w="425" w:type="dxa"/>
            <w:tcBorders>
              <w:top w:val="nil"/>
              <w:bottom w:val="nil"/>
            </w:tcBorders>
          </w:tcPr>
          <w:p w14:paraId="603816DC" w14:textId="77777777" w:rsidR="00DC7238" w:rsidRPr="00262F3A" w:rsidRDefault="00DC7238" w:rsidP="009D0822"/>
        </w:tc>
        <w:tc>
          <w:tcPr>
            <w:tcW w:w="2410" w:type="dxa"/>
            <w:gridSpan w:val="2"/>
            <w:vAlign w:val="center"/>
          </w:tcPr>
          <w:p w14:paraId="62D1EF01" w14:textId="77777777" w:rsidR="00DC7238" w:rsidRPr="00262F3A" w:rsidRDefault="00DC7238" w:rsidP="00DC7238">
            <w:pPr>
              <w:ind w:left="0"/>
              <w:jc w:val="center"/>
            </w:pPr>
            <w:r w:rsidRPr="00262F3A">
              <w:t>Independent Advisory Council</w:t>
            </w:r>
          </w:p>
        </w:tc>
      </w:tr>
      <w:tr w:rsidR="00DC7238" w:rsidRPr="00262F3A" w14:paraId="226847C2" w14:textId="77777777" w:rsidTr="00D97797">
        <w:trPr>
          <w:tblHeader/>
        </w:trPr>
        <w:tc>
          <w:tcPr>
            <w:tcW w:w="2122" w:type="dxa"/>
            <w:tcBorders>
              <w:top w:val="nil"/>
              <w:left w:val="nil"/>
              <w:right w:val="nil"/>
            </w:tcBorders>
          </w:tcPr>
          <w:p w14:paraId="45232063" w14:textId="77777777" w:rsidR="00DC7238" w:rsidRPr="00262F3A" w:rsidRDefault="00DC7238" w:rsidP="009D0822"/>
        </w:tc>
        <w:tc>
          <w:tcPr>
            <w:tcW w:w="1984" w:type="dxa"/>
            <w:gridSpan w:val="2"/>
            <w:tcBorders>
              <w:top w:val="nil"/>
              <w:left w:val="nil"/>
              <w:right w:val="nil"/>
            </w:tcBorders>
          </w:tcPr>
          <w:p w14:paraId="6F9E46F6" w14:textId="77777777" w:rsidR="00DC7238" w:rsidRPr="00262F3A" w:rsidRDefault="00DC7238" w:rsidP="009D0822"/>
        </w:tc>
        <w:tc>
          <w:tcPr>
            <w:tcW w:w="567" w:type="dxa"/>
            <w:tcBorders>
              <w:left w:val="nil"/>
            </w:tcBorders>
          </w:tcPr>
          <w:p w14:paraId="261532C5" w14:textId="77777777" w:rsidR="00DC7238" w:rsidRPr="00262F3A" w:rsidRDefault="00DC7238" w:rsidP="009D0822"/>
        </w:tc>
        <w:tc>
          <w:tcPr>
            <w:tcW w:w="1134" w:type="dxa"/>
            <w:gridSpan w:val="2"/>
            <w:tcBorders>
              <w:right w:val="nil"/>
            </w:tcBorders>
          </w:tcPr>
          <w:p w14:paraId="16497C85" w14:textId="77777777" w:rsidR="00DC7238" w:rsidRPr="00262F3A" w:rsidRDefault="00DC7238" w:rsidP="009D0822"/>
        </w:tc>
        <w:tc>
          <w:tcPr>
            <w:tcW w:w="425" w:type="dxa"/>
            <w:tcBorders>
              <w:top w:val="nil"/>
              <w:left w:val="nil"/>
              <w:right w:val="nil"/>
            </w:tcBorders>
          </w:tcPr>
          <w:p w14:paraId="1C3AC2B3" w14:textId="77777777" w:rsidR="00DC7238" w:rsidRPr="00262F3A" w:rsidRDefault="00DC7238" w:rsidP="009D0822"/>
        </w:tc>
        <w:tc>
          <w:tcPr>
            <w:tcW w:w="2410" w:type="dxa"/>
            <w:gridSpan w:val="2"/>
            <w:tcBorders>
              <w:left w:val="nil"/>
              <w:right w:val="nil"/>
            </w:tcBorders>
          </w:tcPr>
          <w:p w14:paraId="154C1257" w14:textId="77777777" w:rsidR="00DC7238" w:rsidRPr="00262F3A" w:rsidRDefault="00DC7238" w:rsidP="009D0822"/>
        </w:tc>
      </w:tr>
      <w:tr w:rsidR="00DC7238" w:rsidRPr="00262F3A" w14:paraId="28539661" w14:textId="77777777" w:rsidTr="00D97797">
        <w:trPr>
          <w:tblHeader/>
        </w:trPr>
        <w:tc>
          <w:tcPr>
            <w:tcW w:w="8642" w:type="dxa"/>
            <w:gridSpan w:val="9"/>
            <w:vAlign w:val="center"/>
          </w:tcPr>
          <w:p w14:paraId="1595A124" w14:textId="77777777" w:rsidR="00DC7238" w:rsidRPr="00262F3A" w:rsidRDefault="00DC7238" w:rsidP="00DC7238">
            <w:pPr>
              <w:ind w:left="0"/>
              <w:jc w:val="center"/>
            </w:pPr>
            <w:r w:rsidRPr="00262F3A">
              <w:t>NDIA Management</w:t>
            </w:r>
          </w:p>
        </w:tc>
      </w:tr>
    </w:tbl>
    <w:p w14:paraId="29BCD8D6" w14:textId="77777777" w:rsidR="00B31B53" w:rsidRPr="00262F3A" w:rsidRDefault="00B31B53" w:rsidP="008F00D1">
      <w:pPr>
        <w:pStyle w:val="Heading3"/>
      </w:pPr>
      <w:bookmarkStart w:id="138" w:name="_Toc51067979"/>
      <w:r w:rsidRPr="00262F3A">
        <w:t>Responsible Minister</w:t>
      </w:r>
      <w:bookmarkEnd w:id="138"/>
      <w:r w:rsidRPr="00262F3A">
        <w:t xml:space="preserve"> </w:t>
      </w:r>
    </w:p>
    <w:p w14:paraId="4CD75C2A" w14:textId="7FD508A9" w:rsidR="00B31B53" w:rsidRPr="00262F3A" w:rsidRDefault="00B31B53" w:rsidP="00561B3B">
      <w:pPr>
        <w:rPr>
          <w:lang w:eastAsia="en-US"/>
        </w:rPr>
      </w:pPr>
      <w:r w:rsidRPr="00262F3A">
        <w:rPr>
          <w:rFonts w:eastAsiaTheme="minorHAnsi"/>
          <w:lang w:eastAsia="en-US"/>
        </w:rPr>
        <w:t xml:space="preserve">The Minister for the </w:t>
      </w:r>
      <w:r w:rsidR="00EC57BF" w:rsidRPr="00262F3A">
        <w:rPr>
          <w:lang w:eastAsia="en-AU"/>
        </w:rPr>
        <w:t>NDIS</w:t>
      </w:r>
      <w:r w:rsidRPr="00262F3A">
        <w:rPr>
          <w:rFonts w:eastAsiaTheme="minorHAnsi"/>
          <w:lang w:eastAsia="en-US"/>
        </w:rPr>
        <w:t xml:space="preserve"> is responsible for administering the NDIS Act and, with the agreement of states and territories, exercises statutory powers</w:t>
      </w:r>
      <w:r w:rsidR="00D82775">
        <w:rPr>
          <w:rFonts w:eastAsiaTheme="minorHAnsi"/>
          <w:lang w:eastAsia="en-US"/>
        </w:rPr>
        <w:t>,</w:t>
      </w:r>
      <w:r w:rsidRPr="00262F3A">
        <w:rPr>
          <w:rFonts w:eastAsiaTheme="minorHAnsi"/>
          <w:lang w:eastAsia="en-US"/>
        </w:rPr>
        <w:t xml:space="preserve"> including the power to make delegated legislation in the form of NDIS Rules and the power to direct the Agency. </w:t>
      </w:r>
      <w:r w:rsidRPr="00262F3A">
        <w:rPr>
          <w:rFonts w:eastAsiaTheme="minorHAnsi"/>
        </w:rPr>
        <w:t xml:space="preserve">As at 30 June 2020, the Hon Stuart Robert MP </w:t>
      </w:r>
      <w:r w:rsidR="00EB6FFE" w:rsidRPr="00262F3A">
        <w:rPr>
          <w:rFonts w:eastAsiaTheme="minorHAnsi"/>
        </w:rPr>
        <w:t>w</w:t>
      </w:r>
      <w:r w:rsidRPr="00262F3A">
        <w:rPr>
          <w:rFonts w:eastAsiaTheme="minorHAnsi"/>
        </w:rPr>
        <w:t xml:space="preserve">as Minister for the </w:t>
      </w:r>
      <w:r w:rsidR="00EC57BF" w:rsidRPr="00262F3A">
        <w:rPr>
          <w:rFonts w:eastAsiaTheme="minorHAnsi"/>
        </w:rPr>
        <w:t>NDIS</w:t>
      </w:r>
      <w:r w:rsidRPr="00262F3A">
        <w:rPr>
          <w:rFonts w:eastAsiaTheme="minorHAnsi"/>
        </w:rPr>
        <w:t>.</w:t>
      </w:r>
    </w:p>
    <w:p w14:paraId="7CF7899A" w14:textId="77777777" w:rsidR="00B31B53" w:rsidRPr="00262F3A" w:rsidRDefault="00B31B53" w:rsidP="008F00D1">
      <w:pPr>
        <w:pStyle w:val="Heading3"/>
      </w:pPr>
      <w:bookmarkStart w:id="139" w:name="_Toc51067980"/>
      <w:r w:rsidRPr="00262F3A">
        <w:t>Ministerial Council</w:t>
      </w:r>
      <w:bookmarkEnd w:id="139"/>
      <w:r w:rsidRPr="00262F3A">
        <w:t xml:space="preserve"> </w:t>
      </w:r>
    </w:p>
    <w:p w14:paraId="3F66CAB0" w14:textId="77777777" w:rsidR="00B31B53" w:rsidRPr="00262F3A" w:rsidRDefault="00B31B53" w:rsidP="00561B3B">
      <w:r w:rsidRPr="00262F3A">
        <w:t xml:space="preserve">In 2019–20, the Council of Australian Governments (COAG) Disability Reform Council (referred to as the Ministerial Council) comprised the Australian Government and state and territory treasurers and ministers responsible for disability. The Ministerial Council was the principal decision-maker on significant Scheme policy issues. </w:t>
      </w:r>
    </w:p>
    <w:p w14:paraId="657A9196" w14:textId="77777777" w:rsidR="00EC35FC" w:rsidRPr="00262F3A" w:rsidRDefault="00B31B53" w:rsidP="00561B3B">
      <w:pPr>
        <w:rPr>
          <w:lang w:eastAsia="en-US"/>
        </w:rPr>
      </w:pPr>
      <w:r w:rsidRPr="00262F3A">
        <w:t xml:space="preserve">In early 2020, the focus of the Ministerial Council shifted towards the immediate response to the COVID-19 pandemic, particularly its potential impact on Scheme participants, providers and the disability workforce. On 29 May 2020, the Prime Minister announced that COAG would cease and that a new National Federation Reform Council would be formed, with National Cabinet at its centre. Information about the National Federation Reform Council is available on the Department of the Prime Minister and Cabinet website at </w:t>
      </w:r>
      <w:hyperlink r:id="rId59" w:history="1">
        <w:r w:rsidRPr="00262F3A">
          <w:rPr>
            <w:rStyle w:val="Hyperlink"/>
          </w:rPr>
          <w:t>https://pmc.gov.au/</w:t>
        </w:r>
      </w:hyperlink>
      <w:r w:rsidRPr="00262F3A">
        <w:rPr>
          <w:lang w:eastAsia="en-US"/>
        </w:rPr>
        <w:t>.</w:t>
      </w:r>
    </w:p>
    <w:p w14:paraId="2A30048E" w14:textId="77777777" w:rsidR="00EC35FC" w:rsidRPr="00262F3A" w:rsidRDefault="00EC35FC" w:rsidP="008F00D1">
      <w:pPr>
        <w:pStyle w:val="Heading2"/>
      </w:pPr>
      <w:bookmarkStart w:id="140" w:name="_Toc51067981"/>
      <w:r w:rsidRPr="00262F3A">
        <w:t>The Board</w:t>
      </w:r>
      <w:bookmarkEnd w:id="140"/>
    </w:p>
    <w:p w14:paraId="0F2B85FE" w14:textId="529F72A7" w:rsidR="00AC2A7C" w:rsidRPr="00262F3A" w:rsidRDefault="00AC2A7C" w:rsidP="00784A78">
      <w:pPr>
        <w:ind w:left="633"/>
      </w:pPr>
      <w:r w:rsidRPr="00262F3A">
        <w:t>The Board:</w:t>
      </w:r>
    </w:p>
    <w:p w14:paraId="13C022EA" w14:textId="2450E2E1" w:rsidR="00AC2A7C" w:rsidRPr="00262F3A" w:rsidRDefault="00AC2A7C" w:rsidP="00784A78">
      <w:pPr>
        <w:pStyle w:val="ListParagraph"/>
        <w:numPr>
          <w:ilvl w:val="0"/>
          <w:numId w:val="19"/>
        </w:numPr>
      </w:pPr>
      <w:r w:rsidRPr="00262F3A">
        <w:t>ensure</w:t>
      </w:r>
      <w:r w:rsidR="00EB6FFE" w:rsidRPr="00262F3A">
        <w:t>s</w:t>
      </w:r>
      <w:r w:rsidRPr="00262F3A">
        <w:t xml:space="preserve"> the proper, efficient and effective perfor</w:t>
      </w:r>
      <w:r w:rsidR="00EB6FFE" w:rsidRPr="00262F3A">
        <w:t>mance of the Agency’s functions, and</w:t>
      </w:r>
    </w:p>
    <w:p w14:paraId="653D8030" w14:textId="0E2B816A" w:rsidR="00AC2A7C" w:rsidRPr="00262F3A" w:rsidRDefault="00AC2A7C" w:rsidP="00B651FB">
      <w:pPr>
        <w:pStyle w:val="ListParagraph"/>
        <w:numPr>
          <w:ilvl w:val="0"/>
          <w:numId w:val="19"/>
        </w:numPr>
      </w:pPr>
      <w:r w:rsidRPr="00262F3A">
        <w:t>determine</w:t>
      </w:r>
      <w:r w:rsidR="00EB6FFE" w:rsidRPr="00262F3A">
        <w:t>s</w:t>
      </w:r>
      <w:r w:rsidRPr="00262F3A">
        <w:t xml:space="preserve"> objectives, strategies and policies to be followed by the Agency.</w:t>
      </w:r>
    </w:p>
    <w:p w14:paraId="49ABCB9F" w14:textId="77777777" w:rsidR="00EC35FC" w:rsidRPr="00262F3A" w:rsidRDefault="00832B78" w:rsidP="00561B3B">
      <w:r w:rsidRPr="00262F3A">
        <w:t xml:space="preserve">Board membership is determined by the responsible Commonwealth Government Minister in consultation with the states and territories. </w:t>
      </w:r>
    </w:p>
    <w:p w14:paraId="0CC06C48" w14:textId="2ABA43D7" w:rsidR="00127FCB" w:rsidRPr="00262F3A" w:rsidRDefault="00127FCB" w:rsidP="00127FCB">
      <w:r w:rsidRPr="00262F3A">
        <w:t xml:space="preserve">As part of good corporate governance, the Board undertakes a review of </w:t>
      </w:r>
      <w:r w:rsidR="00B651FB" w:rsidRPr="00262F3A">
        <w:t xml:space="preserve">itself </w:t>
      </w:r>
      <w:r w:rsidRPr="00262F3A">
        <w:t xml:space="preserve">and its committees each year. This includes an annual review of the Board committee charters to </w:t>
      </w:r>
      <w:r w:rsidRPr="00262F3A">
        <w:lastRenderedPageBreak/>
        <w:t>ensure correct alignment of committee functions in supporting the Board’s responsibility as Accountable Authority of the Agency, and a review of committee memberships</w:t>
      </w:r>
      <w:r w:rsidR="00D82775">
        <w:t>,</w:t>
      </w:r>
      <w:r w:rsidRPr="00262F3A">
        <w:t xml:space="preserve"> which resulted in changes to committee membership to optimise operations. </w:t>
      </w:r>
      <w:r w:rsidR="00784A78" w:rsidRPr="00262F3A">
        <w:t>Board</w:t>
      </w:r>
      <w:r w:rsidRPr="00262F3A">
        <w:t xml:space="preserve"> performance is also reviewed annually in accordance with the Board </w:t>
      </w:r>
      <w:r w:rsidR="00D82775">
        <w:t>C</w:t>
      </w:r>
      <w:r w:rsidRPr="00262F3A">
        <w:t xml:space="preserve">harter and this year the performance review was undertaken by an external consultant. While COVID-19 posed a challenge to Board processes, the Board remained agile and adjusted </w:t>
      </w:r>
      <w:r w:rsidR="005156F6">
        <w:t xml:space="preserve">its </w:t>
      </w:r>
      <w:r w:rsidRPr="00262F3A">
        <w:t xml:space="preserve">operating patterns to include videoconference meetings. </w:t>
      </w:r>
    </w:p>
    <w:p w14:paraId="4D06C3BF" w14:textId="77777777" w:rsidR="00832B78" w:rsidRPr="00262F3A" w:rsidRDefault="00832B78" w:rsidP="008F00D1">
      <w:pPr>
        <w:pStyle w:val="Heading3"/>
      </w:pPr>
      <w:bookmarkStart w:id="141" w:name="_Toc51067982"/>
      <w:r w:rsidRPr="00262F3A">
        <w:t>Directors</w:t>
      </w:r>
      <w:bookmarkEnd w:id="141"/>
    </w:p>
    <w:tbl>
      <w:tblPr>
        <w:tblStyle w:val="TableGrid"/>
        <w:tblW w:w="0" w:type="auto"/>
        <w:tblInd w:w="607" w:type="dxa"/>
        <w:tblLook w:val="04A0" w:firstRow="1" w:lastRow="0" w:firstColumn="1" w:lastColumn="0" w:noHBand="0" w:noVBand="1"/>
        <w:tblDescription w:val="Table of directors"/>
      </w:tblPr>
      <w:tblGrid>
        <w:gridCol w:w="5861"/>
        <w:gridCol w:w="3155"/>
      </w:tblGrid>
      <w:tr w:rsidR="00832B78" w:rsidRPr="00262F3A" w14:paraId="01146C50" w14:textId="77777777" w:rsidTr="00D97797">
        <w:trPr>
          <w:tblHeader/>
        </w:trPr>
        <w:tc>
          <w:tcPr>
            <w:tcW w:w="5861" w:type="dxa"/>
          </w:tcPr>
          <w:p w14:paraId="17905C11" w14:textId="77777777" w:rsidR="00832B78" w:rsidRPr="00262F3A" w:rsidRDefault="00832B78" w:rsidP="003C5FE1">
            <w:pPr>
              <w:spacing w:before="60" w:after="60"/>
              <w:ind w:left="0"/>
              <w:rPr>
                <w:rFonts w:eastAsiaTheme="minorHAnsi"/>
                <w:b/>
                <w:color w:val="000000"/>
                <w:sz w:val="20"/>
                <w:szCs w:val="20"/>
                <w:lang w:eastAsia="en-US"/>
              </w:rPr>
            </w:pPr>
            <w:r w:rsidRPr="00262F3A">
              <w:rPr>
                <w:b/>
                <w:sz w:val="20"/>
                <w:szCs w:val="20"/>
              </w:rPr>
              <w:t>Dr Helen Nugent AO (Chair</w:t>
            </w:r>
            <w:r w:rsidR="00E06B29" w:rsidRPr="00262F3A">
              <w:rPr>
                <w:b/>
                <w:sz w:val="20"/>
                <w:szCs w:val="20"/>
              </w:rPr>
              <w:t>man</w:t>
            </w:r>
            <w:r w:rsidRPr="00262F3A">
              <w:rPr>
                <w:b/>
                <w:sz w:val="20"/>
                <w:szCs w:val="20"/>
              </w:rPr>
              <w:t>)</w:t>
            </w:r>
            <w:r w:rsidRPr="00262F3A">
              <w:rPr>
                <w:rFonts w:eastAsiaTheme="minorHAnsi"/>
                <w:b/>
                <w:color w:val="000000"/>
                <w:sz w:val="20"/>
                <w:szCs w:val="20"/>
                <w:lang w:eastAsia="en-US"/>
              </w:rPr>
              <w:t xml:space="preserve"> </w:t>
            </w:r>
          </w:p>
          <w:p w14:paraId="1828BE50" w14:textId="77777777" w:rsidR="00832B78" w:rsidRPr="00262F3A" w:rsidRDefault="00234808" w:rsidP="003C5FE1">
            <w:pPr>
              <w:pStyle w:val="Pa4"/>
              <w:spacing w:before="60" w:after="60"/>
              <w:ind w:left="0"/>
              <w:rPr>
                <w:rFonts w:ascii="Arial" w:hAnsi="Arial" w:cs="Arial"/>
                <w:sz w:val="20"/>
                <w:szCs w:val="20"/>
              </w:rPr>
            </w:pPr>
            <w:r w:rsidRPr="00262F3A">
              <w:rPr>
                <w:rFonts w:ascii="Arial" w:hAnsi="Arial" w:cs="Arial"/>
                <w:sz w:val="20"/>
                <w:szCs w:val="20"/>
              </w:rPr>
              <w:t>Helen</w:t>
            </w:r>
            <w:r w:rsidR="00832B78" w:rsidRPr="00262F3A">
              <w:rPr>
                <w:rFonts w:ascii="Arial" w:hAnsi="Arial" w:cs="Arial"/>
                <w:sz w:val="20"/>
                <w:szCs w:val="20"/>
              </w:rPr>
              <w:t xml:space="preserve"> Nugent is an experienced Chairman and Non-Executive Director (NED), with a background in insurance, banking and energy.  She gives back to the community in the arts, education and health.</w:t>
            </w:r>
          </w:p>
          <w:p w14:paraId="6E19B723" w14:textId="77777777" w:rsidR="00832B78" w:rsidRPr="00262F3A" w:rsidRDefault="00832B78" w:rsidP="003C5FE1">
            <w:pPr>
              <w:pStyle w:val="Pa4"/>
              <w:spacing w:before="60" w:after="60"/>
              <w:ind w:left="0"/>
              <w:rPr>
                <w:rFonts w:ascii="Arial" w:hAnsi="Arial" w:cs="Arial"/>
                <w:sz w:val="20"/>
                <w:szCs w:val="20"/>
              </w:rPr>
            </w:pPr>
            <w:r w:rsidRPr="00262F3A">
              <w:rPr>
                <w:rFonts w:ascii="Arial" w:hAnsi="Arial" w:cs="Arial"/>
                <w:sz w:val="20"/>
                <w:szCs w:val="20"/>
              </w:rPr>
              <w:t xml:space="preserve">She is currently a NED of IAG, TPG Telecom and the Garvan Institute of Medical Research, and is Chairman of Ausgrid and the National Portrait Gallery.  Previously, she was Chairman of Swiss Re (Australia); Chancellor of Bond University; and President of Cranbrook School; and a NED of Macquarie Group and Origin Energy.  </w:t>
            </w:r>
          </w:p>
          <w:p w14:paraId="6B939CC5" w14:textId="77777777" w:rsidR="00E06B29" w:rsidRPr="00262F3A" w:rsidRDefault="00DC5755" w:rsidP="003C5FE1">
            <w:pPr>
              <w:spacing w:before="60" w:after="60"/>
              <w:ind w:left="0"/>
              <w:rPr>
                <w:sz w:val="20"/>
                <w:szCs w:val="20"/>
              </w:rPr>
            </w:pPr>
            <w:r w:rsidRPr="00262F3A">
              <w:rPr>
                <w:sz w:val="20"/>
                <w:szCs w:val="20"/>
              </w:rPr>
              <w:t>Qual</w:t>
            </w:r>
            <w:r w:rsidR="00E06B29" w:rsidRPr="00262F3A">
              <w:rPr>
                <w:sz w:val="20"/>
                <w:szCs w:val="20"/>
              </w:rPr>
              <w:t>ifications</w:t>
            </w:r>
            <w:r w:rsidRPr="00262F3A">
              <w:rPr>
                <w:sz w:val="20"/>
                <w:szCs w:val="20"/>
              </w:rPr>
              <w:t xml:space="preserve">: </w:t>
            </w:r>
            <w:r w:rsidR="00E06B29" w:rsidRPr="00262F3A">
              <w:rPr>
                <w:sz w:val="20"/>
                <w:szCs w:val="20"/>
              </w:rPr>
              <w:t>MBA (Distinction) from Harvard Business School; PhD and a BA (Hons) from Queensland University; and Honorary Doctorates from Bond and Queensland Universities.</w:t>
            </w:r>
          </w:p>
          <w:p w14:paraId="18F21081" w14:textId="77777777" w:rsidR="00DC5755" w:rsidRPr="00262F3A" w:rsidRDefault="00E06B29" w:rsidP="003C5FE1">
            <w:pPr>
              <w:pStyle w:val="Tableformat"/>
              <w:spacing w:before="60" w:after="60"/>
            </w:pPr>
            <w:r w:rsidRPr="00262F3A">
              <w:t>Member: Sustainability Committee; Risk Committee; People and Remuneration Commi</w:t>
            </w:r>
            <w:r w:rsidR="003C5FE1" w:rsidRPr="00262F3A">
              <w:t>ttee; ICT and Digital Committee</w:t>
            </w:r>
          </w:p>
          <w:p w14:paraId="196FDDBD" w14:textId="77777777" w:rsidR="003C5FE1" w:rsidRPr="00262F3A" w:rsidRDefault="003C5FE1" w:rsidP="003C5FE1">
            <w:pPr>
              <w:pStyle w:val="Tableformat"/>
              <w:spacing w:before="60" w:after="60"/>
            </w:pPr>
            <w:r w:rsidRPr="00262F3A">
              <w:t>Attends: Audit Committee</w:t>
            </w:r>
          </w:p>
        </w:tc>
        <w:tc>
          <w:tcPr>
            <w:tcW w:w="2503" w:type="dxa"/>
          </w:tcPr>
          <w:p w14:paraId="739A49F7" w14:textId="77777777" w:rsidR="00832B78" w:rsidRPr="00262F3A" w:rsidRDefault="00832B78" w:rsidP="00561B3B">
            <w:pPr>
              <w:rPr>
                <w:sz w:val="20"/>
                <w:szCs w:val="20"/>
                <w:lang w:eastAsia="en-US"/>
              </w:rPr>
            </w:pPr>
            <w:r w:rsidRPr="00262F3A">
              <w:rPr>
                <w:noProof/>
                <w:sz w:val="20"/>
                <w:szCs w:val="20"/>
                <w:lang w:eastAsia="en-AU"/>
              </w:rPr>
              <w:drawing>
                <wp:inline distT="0" distB="0" distL="0" distR="0" wp14:anchorId="5DEE8BA2" wp14:editId="236FAED4">
                  <wp:extent cx="1023620" cy="1543050"/>
                  <wp:effectExtent l="0" t="0" r="5080" b="0"/>
                  <wp:docPr id="284" name="Picture 284" descr="A photo of National Disability Insurance Agency Chairman Dr Helen Nugent, who is smiling and facing the camera. Dr Nugent is wearing a smart black and white jacket, and a black top, with a gold neck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23620" cy="1543050"/>
                          </a:xfrm>
                          <a:prstGeom prst="rect">
                            <a:avLst/>
                          </a:prstGeom>
                        </pic:spPr>
                      </pic:pic>
                    </a:graphicData>
                  </a:graphic>
                </wp:inline>
              </w:drawing>
            </w:r>
          </w:p>
        </w:tc>
      </w:tr>
      <w:tr w:rsidR="00832B78" w:rsidRPr="00262F3A" w14:paraId="199B84F6" w14:textId="77777777" w:rsidTr="00D4656B">
        <w:tc>
          <w:tcPr>
            <w:tcW w:w="5861" w:type="dxa"/>
          </w:tcPr>
          <w:p w14:paraId="078BFBFA" w14:textId="77777777" w:rsidR="00832B78" w:rsidRPr="00262F3A" w:rsidRDefault="00832B78" w:rsidP="003C5FE1">
            <w:pPr>
              <w:spacing w:before="60" w:after="60"/>
              <w:ind w:left="0"/>
              <w:rPr>
                <w:b/>
                <w:sz w:val="20"/>
                <w:szCs w:val="20"/>
                <w:lang w:eastAsia="en-US"/>
              </w:rPr>
            </w:pPr>
            <w:r w:rsidRPr="00262F3A">
              <w:rPr>
                <w:b/>
                <w:sz w:val="20"/>
                <w:szCs w:val="20"/>
              </w:rPr>
              <w:t>Ms Sandra Birkensleigh</w:t>
            </w:r>
          </w:p>
          <w:p w14:paraId="204E612B" w14:textId="77777777" w:rsidR="00832B78" w:rsidRPr="00262F3A" w:rsidRDefault="00832B78" w:rsidP="003C5FE1">
            <w:pPr>
              <w:pStyle w:val="Pa4"/>
              <w:spacing w:before="60" w:after="60"/>
              <w:ind w:left="0"/>
              <w:rPr>
                <w:rFonts w:ascii="Arial" w:hAnsi="Arial" w:cs="Arial"/>
                <w:sz w:val="20"/>
                <w:szCs w:val="20"/>
              </w:rPr>
            </w:pPr>
            <w:r w:rsidRPr="00262F3A">
              <w:rPr>
                <w:rFonts w:ascii="Arial" w:hAnsi="Arial" w:cs="Arial"/>
                <w:sz w:val="20"/>
                <w:szCs w:val="20"/>
              </w:rPr>
              <w:t xml:space="preserve">Sandra Birkensleigh is an experienced Non-Executive Director, bringing extensive experience in financial service and insurance industries to the Agency. She currently holds board positions with MLC Insurance Ltd, Auswide Bank Limited, Horizon Oil Limited, 7–11 Holdings Limited (and its subsidiaries) and Sunshine Coast Children’s Therapy Centre. She chairs the Audit Committee for each of these organisations. </w:t>
            </w:r>
          </w:p>
          <w:p w14:paraId="79F26833" w14:textId="77777777" w:rsidR="00832B78" w:rsidRPr="00262F3A" w:rsidRDefault="00E06B29" w:rsidP="003C5FE1">
            <w:pPr>
              <w:pStyle w:val="Pa4"/>
              <w:spacing w:before="60" w:after="60"/>
              <w:ind w:left="0"/>
              <w:rPr>
                <w:rFonts w:ascii="Arial" w:hAnsi="Arial" w:cs="Arial"/>
                <w:sz w:val="20"/>
                <w:szCs w:val="20"/>
              </w:rPr>
            </w:pPr>
            <w:r w:rsidRPr="00262F3A">
              <w:rPr>
                <w:rFonts w:ascii="Arial" w:hAnsi="Arial" w:cs="Arial"/>
                <w:sz w:val="20"/>
                <w:szCs w:val="20"/>
              </w:rPr>
              <w:t xml:space="preserve">She is </w:t>
            </w:r>
            <w:r w:rsidR="00832B78" w:rsidRPr="00262F3A">
              <w:rPr>
                <w:rFonts w:ascii="Arial" w:hAnsi="Arial" w:cs="Arial"/>
                <w:sz w:val="20"/>
                <w:szCs w:val="20"/>
              </w:rPr>
              <w:t xml:space="preserve">a member of the Council for the University of the Sunshine Coast and an independent member of the Audit Committee of the Reserve Bank of Australia, and Chair of the Audit and Risk Committee for the Public Trustee of Queensland. </w:t>
            </w:r>
            <w:r w:rsidR="003C5FE1" w:rsidRPr="00262F3A">
              <w:rPr>
                <w:rFonts w:ascii="Arial" w:hAnsi="Arial" w:cs="Arial"/>
                <w:sz w:val="20"/>
                <w:szCs w:val="20"/>
              </w:rPr>
              <w:t>Previously, she was</w:t>
            </w:r>
            <w:r w:rsidR="00832B78" w:rsidRPr="00262F3A">
              <w:rPr>
                <w:rFonts w:ascii="Arial" w:hAnsi="Arial" w:cs="Arial"/>
                <w:sz w:val="20"/>
                <w:szCs w:val="20"/>
              </w:rPr>
              <w:t xml:space="preserve"> a partner with PricewaterhouseCoopers, including its governance, risk and compliance practice.</w:t>
            </w:r>
          </w:p>
          <w:p w14:paraId="63947036" w14:textId="58E7DF5A" w:rsidR="00DC5755" w:rsidRPr="00262F3A" w:rsidRDefault="00DC5755" w:rsidP="003C5FE1">
            <w:pPr>
              <w:pStyle w:val="Tableformat"/>
              <w:spacing w:before="60" w:after="60"/>
            </w:pPr>
            <w:r w:rsidRPr="00262F3A">
              <w:t xml:space="preserve">Qualifications: Bachelor of Commerce </w:t>
            </w:r>
            <w:r w:rsidR="003C5FE1" w:rsidRPr="00262F3A">
              <w:t xml:space="preserve">from </w:t>
            </w:r>
            <w:r w:rsidR="002D21D4">
              <w:t xml:space="preserve">the </w:t>
            </w:r>
            <w:r w:rsidRPr="00262F3A">
              <w:t>University of New South Wales; Chartered Accountant</w:t>
            </w:r>
          </w:p>
          <w:p w14:paraId="50A1BDA1" w14:textId="77777777" w:rsidR="00E953EE" w:rsidRPr="00262F3A" w:rsidRDefault="00832B78" w:rsidP="003C5FE1">
            <w:pPr>
              <w:spacing w:before="60" w:after="60"/>
              <w:ind w:left="0"/>
              <w:rPr>
                <w:sz w:val="20"/>
                <w:szCs w:val="20"/>
              </w:rPr>
            </w:pPr>
            <w:r w:rsidRPr="00262F3A">
              <w:rPr>
                <w:sz w:val="20"/>
                <w:szCs w:val="20"/>
              </w:rPr>
              <w:t>Chair</w:t>
            </w:r>
            <w:r w:rsidR="00E953EE" w:rsidRPr="00262F3A">
              <w:rPr>
                <w:sz w:val="20"/>
                <w:szCs w:val="20"/>
              </w:rPr>
              <w:t>:</w:t>
            </w:r>
            <w:r w:rsidRPr="00262F3A">
              <w:rPr>
                <w:sz w:val="20"/>
                <w:szCs w:val="20"/>
              </w:rPr>
              <w:t xml:space="preserve"> Audit Committee</w:t>
            </w:r>
          </w:p>
          <w:p w14:paraId="67F4A68C" w14:textId="77777777" w:rsidR="00E953EE" w:rsidRPr="00262F3A" w:rsidRDefault="00E953EE" w:rsidP="003C5FE1">
            <w:pPr>
              <w:spacing w:before="60" w:after="60"/>
              <w:ind w:left="0"/>
              <w:rPr>
                <w:sz w:val="20"/>
                <w:szCs w:val="20"/>
              </w:rPr>
            </w:pPr>
            <w:r w:rsidRPr="00262F3A">
              <w:rPr>
                <w:sz w:val="20"/>
                <w:szCs w:val="20"/>
              </w:rPr>
              <w:t xml:space="preserve">Member: </w:t>
            </w:r>
            <w:r w:rsidR="00832B78" w:rsidRPr="00262F3A">
              <w:rPr>
                <w:sz w:val="20"/>
                <w:szCs w:val="20"/>
              </w:rPr>
              <w:t>People and Remuneration Committee</w:t>
            </w:r>
          </w:p>
          <w:p w14:paraId="2FA639A1" w14:textId="77777777" w:rsidR="00DC5755" w:rsidRPr="00262F3A" w:rsidRDefault="00E953EE" w:rsidP="003C5FE1">
            <w:pPr>
              <w:spacing w:before="60" w:after="60"/>
              <w:ind w:left="0"/>
              <w:rPr>
                <w:sz w:val="20"/>
                <w:szCs w:val="20"/>
              </w:rPr>
            </w:pPr>
            <w:r w:rsidRPr="00262F3A">
              <w:rPr>
                <w:sz w:val="20"/>
                <w:szCs w:val="20"/>
              </w:rPr>
              <w:t xml:space="preserve">Attends: </w:t>
            </w:r>
            <w:r w:rsidR="00832B78" w:rsidRPr="00262F3A">
              <w:rPr>
                <w:sz w:val="20"/>
                <w:szCs w:val="20"/>
              </w:rPr>
              <w:t xml:space="preserve">Risk Committee </w:t>
            </w:r>
          </w:p>
        </w:tc>
        <w:tc>
          <w:tcPr>
            <w:tcW w:w="2503" w:type="dxa"/>
          </w:tcPr>
          <w:p w14:paraId="16FD9721"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35F701E8" wp14:editId="6010FABE">
                  <wp:extent cx="1452245" cy="1921510"/>
                  <wp:effectExtent l="0" t="0" r="0" b="2540"/>
                  <wp:docPr id="21" name="Picture 21" descr="A photo of Ms Sandra Birkensleigh, who is smiling and facing the camera. Ms Birkensleigh is wearing a grey suit jacket and pearl neck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452245" cy="1921510"/>
                          </a:xfrm>
                          <a:prstGeom prst="rect">
                            <a:avLst/>
                          </a:prstGeom>
                        </pic:spPr>
                      </pic:pic>
                    </a:graphicData>
                  </a:graphic>
                </wp:inline>
              </w:drawing>
            </w:r>
          </w:p>
        </w:tc>
      </w:tr>
      <w:tr w:rsidR="00832B78" w:rsidRPr="00262F3A" w14:paraId="4DC6161D" w14:textId="77777777" w:rsidTr="00D4656B">
        <w:tc>
          <w:tcPr>
            <w:tcW w:w="5861" w:type="dxa"/>
          </w:tcPr>
          <w:p w14:paraId="7E489F24" w14:textId="77777777" w:rsidR="00832B78" w:rsidRPr="00262F3A" w:rsidRDefault="00832B78" w:rsidP="003C5FE1">
            <w:pPr>
              <w:spacing w:before="60" w:after="60"/>
              <w:ind w:left="0"/>
              <w:rPr>
                <w:b/>
                <w:sz w:val="20"/>
                <w:szCs w:val="20"/>
              </w:rPr>
            </w:pPr>
            <w:r w:rsidRPr="00262F3A">
              <w:rPr>
                <w:b/>
                <w:sz w:val="20"/>
                <w:szCs w:val="20"/>
              </w:rPr>
              <w:lastRenderedPageBreak/>
              <w:t>Professor Jane Burns</w:t>
            </w:r>
          </w:p>
          <w:p w14:paraId="430E16BF" w14:textId="46C9601A" w:rsidR="00832B78" w:rsidRPr="00262F3A" w:rsidRDefault="00832B78" w:rsidP="003C5FE1">
            <w:pPr>
              <w:pStyle w:val="NormalWeb"/>
              <w:spacing w:before="60" w:beforeAutospacing="0" w:after="60" w:afterAutospacing="0"/>
              <w:ind w:left="0"/>
              <w:rPr>
                <w:rFonts w:ascii="Arial" w:eastAsia="Georgia" w:hAnsi="Arial" w:cs="Arial"/>
                <w:sz w:val="20"/>
                <w:szCs w:val="20"/>
              </w:rPr>
            </w:pPr>
            <w:r w:rsidRPr="00262F3A">
              <w:rPr>
                <w:rFonts w:ascii="Arial" w:eastAsia="Georgia" w:hAnsi="Arial" w:cs="Arial"/>
                <w:sz w:val="20"/>
                <w:szCs w:val="20"/>
              </w:rPr>
              <w:t>Jane Burns has extensive experience advising government, industry, university and the social enterprise sectors.  She is Chair of Open Arms, Veterans Families Counselling Service</w:t>
            </w:r>
            <w:r w:rsidR="00711033" w:rsidRPr="00262F3A">
              <w:rPr>
                <w:rFonts w:ascii="Arial" w:eastAsia="Georgia" w:hAnsi="Arial" w:cs="Arial"/>
                <w:sz w:val="20"/>
                <w:szCs w:val="20"/>
              </w:rPr>
              <w:t xml:space="preserve">; </w:t>
            </w:r>
            <w:r w:rsidRPr="00262F3A">
              <w:rPr>
                <w:rFonts w:ascii="Arial" w:eastAsia="Georgia" w:hAnsi="Arial" w:cs="Arial"/>
                <w:sz w:val="20"/>
                <w:szCs w:val="20"/>
              </w:rPr>
              <w:t>STREAT</w:t>
            </w:r>
            <w:r w:rsidR="00711033" w:rsidRPr="00262F3A">
              <w:rPr>
                <w:rFonts w:ascii="Arial" w:eastAsia="Georgia" w:hAnsi="Arial" w:cs="Arial"/>
                <w:sz w:val="20"/>
                <w:szCs w:val="20"/>
              </w:rPr>
              <w:t xml:space="preserve">; </w:t>
            </w:r>
            <w:r w:rsidRPr="00262F3A">
              <w:rPr>
                <w:rFonts w:ascii="Arial" w:eastAsia="Georgia" w:hAnsi="Arial" w:cs="Arial"/>
                <w:sz w:val="20"/>
                <w:szCs w:val="20"/>
              </w:rPr>
              <w:t>and the Centre for Mental Health at Swinburne University. </w:t>
            </w:r>
            <w:r w:rsidR="0049637E">
              <w:rPr>
                <w:rFonts w:ascii="Arial" w:eastAsia="Georgia" w:hAnsi="Arial" w:cs="Arial"/>
                <w:sz w:val="20"/>
                <w:szCs w:val="20"/>
              </w:rPr>
              <w:t>She is</w:t>
            </w:r>
            <w:r w:rsidR="0049637E" w:rsidRPr="00262F3A">
              <w:rPr>
                <w:rFonts w:ascii="Arial" w:eastAsia="Georgia" w:hAnsi="Arial" w:cs="Arial"/>
                <w:sz w:val="20"/>
                <w:szCs w:val="20"/>
              </w:rPr>
              <w:t xml:space="preserve"> </w:t>
            </w:r>
            <w:r w:rsidR="00812643" w:rsidRPr="00262F3A">
              <w:rPr>
                <w:rFonts w:ascii="Arial" w:eastAsia="Georgia" w:hAnsi="Arial" w:cs="Arial"/>
                <w:sz w:val="20"/>
                <w:szCs w:val="20"/>
              </w:rPr>
              <w:t xml:space="preserve">also the Mental Health and Wellbeing Innovator at Bupa and Professor of Innovation and Chair of the Centre for Mental Health at Swinburne University. </w:t>
            </w:r>
          </w:p>
          <w:p w14:paraId="0E8B822B" w14:textId="7A3EF749" w:rsidR="00C27F48" w:rsidRPr="00262F3A" w:rsidRDefault="00832B78" w:rsidP="003C5FE1">
            <w:pPr>
              <w:pStyle w:val="NormalWeb"/>
              <w:spacing w:before="60" w:beforeAutospacing="0" w:after="60" w:afterAutospacing="0"/>
              <w:ind w:left="0"/>
              <w:rPr>
                <w:rFonts w:ascii="Arial" w:eastAsia="Georgia" w:hAnsi="Arial" w:cs="Arial"/>
                <w:sz w:val="20"/>
                <w:szCs w:val="20"/>
              </w:rPr>
            </w:pPr>
            <w:r w:rsidRPr="00262F3A">
              <w:rPr>
                <w:rFonts w:ascii="Arial" w:eastAsia="Georgia" w:hAnsi="Arial" w:cs="Arial"/>
                <w:sz w:val="20"/>
                <w:szCs w:val="20"/>
              </w:rPr>
              <w:t xml:space="preserve">She is the Founder and Non-Executive Director of InnoWell and a Non-Executive Director with the </w:t>
            </w:r>
            <w:r w:rsidR="00E953EE" w:rsidRPr="00262F3A">
              <w:rPr>
                <w:rFonts w:ascii="Arial" w:eastAsia="Georgia" w:hAnsi="Arial" w:cs="Arial"/>
                <w:sz w:val="20"/>
                <w:szCs w:val="20"/>
              </w:rPr>
              <w:t>Applied</w:t>
            </w:r>
            <w:r w:rsidRPr="00262F3A">
              <w:rPr>
                <w:rFonts w:ascii="Arial" w:eastAsia="Georgia" w:hAnsi="Arial" w:cs="Arial"/>
                <w:sz w:val="20"/>
                <w:szCs w:val="20"/>
              </w:rPr>
              <w:t xml:space="preserve"> Positive Psychology Learning Institute and Mind Medicines Australia. She was a Commonwealth Fund Harkness Fellow in Health Care Policy at the University of California</w:t>
            </w:r>
            <w:r w:rsidR="00711033" w:rsidRPr="00262F3A">
              <w:rPr>
                <w:rFonts w:ascii="Arial" w:eastAsia="Georgia" w:hAnsi="Arial" w:cs="Arial"/>
                <w:sz w:val="20"/>
                <w:szCs w:val="20"/>
              </w:rPr>
              <w:t>;</w:t>
            </w:r>
            <w:r w:rsidRPr="00262F3A">
              <w:rPr>
                <w:rFonts w:ascii="Arial" w:eastAsia="Georgia" w:hAnsi="Arial" w:cs="Arial"/>
                <w:sz w:val="20"/>
                <w:szCs w:val="20"/>
              </w:rPr>
              <w:t xml:space="preserve"> a VicHealth Fellow in Health Promotion at Orygen, </w:t>
            </w:r>
            <w:r w:rsidR="00D82775">
              <w:rPr>
                <w:rFonts w:ascii="Arial" w:eastAsia="Georgia" w:hAnsi="Arial" w:cs="Arial"/>
                <w:sz w:val="20"/>
                <w:szCs w:val="20"/>
              </w:rPr>
              <w:t>t</w:t>
            </w:r>
            <w:r w:rsidRPr="00262F3A">
              <w:rPr>
                <w:rFonts w:ascii="Arial" w:eastAsia="Georgia" w:hAnsi="Arial" w:cs="Arial"/>
                <w:sz w:val="20"/>
                <w:szCs w:val="20"/>
              </w:rPr>
              <w:t xml:space="preserve">he National Centre of Excellence in Youth Mental Health and an NHMRC Fellow in Suicide Prevention at the Murdoch Children’s Research Institute. </w:t>
            </w:r>
          </w:p>
          <w:p w14:paraId="190D6ADD" w14:textId="7322B3F8" w:rsidR="00832B78" w:rsidRPr="00262F3A" w:rsidRDefault="00C27F48" w:rsidP="003C5FE1">
            <w:pPr>
              <w:pStyle w:val="NormalWeb"/>
              <w:spacing w:before="60" w:beforeAutospacing="0" w:after="60" w:afterAutospacing="0"/>
              <w:ind w:left="0"/>
              <w:rPr>
                <w:rFonts w:ascii="Arial" w:eastAsia="Georgia" w:hAnsi="Arial" w:cs="Arial"/>
                <w:sz w:val="20"/>
                <w:szCs w:val="20"/>
              </w:rPr>
            </w:pPr>
            <w:r w:rsidRPr="00262F3A">
              <w:rPr>
                <w:rFonts w:ascii="Arial" w:eastAsia="Georgia" w:hAnsi="Arial" w:cs="Arial"/>
                <w:sz w:val="20"/>
                <w:szCs w:val="20"/>
              </w:rPr>
              <w:t>S</w:t>
            </w:r>
            <w:r w:rsidR="00832B78" w:rsidRPr="00262F3A">
              <w:rPr>
                <w:rFonts w:ascii="Arial" w:eastAsia="Georgia" w:hAnsi="Arial" w:cs="Arial"/>
                <w:sz w:val="20"/>
                <w:szCs w:val="20"/>
              </w:rPr>
              <w:t xml:space="preserve">he won the category of Social Enterprise for </w:t>
            </w:r>
            <w:r w:rsidR="00D82775">
              <w:rPr>
                <w:rFonts w:ascii="Arial" w:eastAsia="Georgia" w:hAnsi="Arial" w:cs="Arial"/>
                <w:sz w:val="20"/>
                <w:szCs w:val="20"/>
              </w:rPr>
              <w:t xml:space="preserve">the </w:t>
            </w:r>
            <w:r w:rsidR="00832B78" w:rsidRPr="00262F3A">
              <w:rPr>
                <w:rFonts w:ascii="Arial" w:eastAsia="Georgia" w:hAnsi="Arial" w:cs="Arial"/>
                <w:sz w:val="20"/>
                <w:szCs w:val="20"/>
              </w:rPr>
              <w:t>2015 Australian Financial Review and Westpac Group 100 Women of Influence</w:t>
            </w:r>
            <w:r w:rsidRPr="00262F3A">
              <w:rPr>
                <w:rFonts w:ascii="Arial" w:eastAsia="Georgia" w:hAnsi="Arial" w:cs="Arial"/>
                <w:sz w:val="20"/>
                <w:szCs w:val="20"/>
              </w:rPr>
              <w:t xml:space="preserve"> for her achievements in entrepreneurship and </w:t>
            </w:r>
            <w:r w:rsidR="00812643" w:rsidRPr="00262F3A">
              <w:rPr>
                <w:rFonts w:ascii="Arial" w:eastAsia="Georgia" w:hAnsi="Arial" w:cs="Arial"/>
                <w:sz w:val="20"/>
                <w:szCs w:val="20"/>
              </w:rPr>
              <w:t>w</w:t>
            </w:r>
            <w:r w:rsidR="00832B78" w:rsidRPr="00262F3A">
              <w:rPr>
                <w:rFonts w:ascii="Arial" w:eastAsia="Georgia" w:hAnsi="Arial" w:cs="Arial"/>
                <w:sz w:val="20"/>
                <w:szCs w:val="20"/>
              </w:rPr>
              <w:t>a</w:t>
            </w:r>
            <w:r w:rsidR="00812643" w:rsidRPr="00262F3A">
              <w:rPr>
                <w:rFonts w:ascii="Arial" w:eastAsia="Georgia" w:hAnsi="Arial" w:cs="Arial"/>
                <w:sz w:val="20"/>
                <w:szCs w:val="20"/>
              </w:rPr>
              <w:t>s a</w:t>
            </w:r>
            <w:r w:rsidR="00832B78" w:rsidRPr="00262F3A">
              <w:rPr>
                <w:rFonts w:ascii="Arial" w:eastAsia="Georgia" w:hAnsi="Arial" w:cs="Arial"/>
                <w:sz w:val="20"/>
                <w:szCs w:val="20"/>
              </w:rPr>
              <w:t xml:space="preserve"> Victorian Finalist in the 2017 Telstra Business Women’s Awards.</w:t>
            </w:r>
          </w:p>
          <w:p w14:paraId="32C95F73" w14:textId="60D0D233" w:rsidR="00DC5755" w:rsidRPr="00262F3A" w:rsidRDefault="00DC5755" w:rsidP="003C5FE1">
            <w:pPr>
              <w:pStyle w:val="NormalWeb"/>
              <w:spacing w:before="60" w:beforeAutospacing="0" w:after="60" w:afterAutospacing="0"/>
              <w:ind w:left="0"/>
              <w:rPr>
                <w:rFonts w:ascii="Arial" w:eastAsia="Georgia" w:hAnsi="Arial" w:cs="Arial"/>
                <w:sz w:val="20"/>
                <w:szCs w:val="20"/>
              </w:rPr>
            </w:pPr>
            <w:r w:rsidRPr="00262F3A">
              <w:rPr>
                <w:rFonts w:ascii="Arial" w:eastAsia="Georgia" w:hAnsi="Arial" w:cs="Arial"/>
                <w:sz w:val="20"/>
                <w:szCs w:val="20"/>
              </w:rPr>
              <w:t xml:space="preserve">Qualifications: </w:t>
            </w:r>
            <w:r w:rsidRPr="00262F3A">
              <w:rPr>
                <w:rFonts w:ascii="Arial" w:hAnsi="Arial" w:cs="Arial"/>
                <w:sz w:val="20"/>
                <w:szCs w:val="20"/>
              </w:rPr>
              <w:t>PhD in Medicine</w:t>
            </w:r>
            <w:r w:rsidR="00D82775">
              <w:rPr>
                <w:rFonts w:ascii="Arial" w:hAnsi="Arial" w:cs="Arial"/>
                <w:sz w:val="20"/>
                <w:szCs w:val="20"/>
              </w:rPr>
              <w:t xml:space="preserve"> from the </w:t>
            </w:r>
            <w:r w:rsidRPr="00262F3A">
              <w:rPr>
                <w:rFonts w:ascii="Arial" w:hAnsi="Arial" w:cs="Arial"/>
                <w:sz w:val="20"/>
                <w:szCs w:val="20"/>
              </w:rPr>
              <w:t>University of Adelaide</w:t>
            </w:r>
          </w:p>
          <w:p w14:paraId="725F9D56" w14:textId="77777777" w:rsidR="00832B78" w:rsidRPr="00262F3A" w:rsidRDefault="00C27F48" w:rsidP="003C5FE1">
            <w:pPr>
              <w:spacing w:before="60" w:after="60"/>
              <w:ind w:left="0"/>
              <w:rPr>
                <w:b/>
                <w:sz w:val="20"/>
                <w:szCs w:val="20"/>
              </w:rPr>
            </w:pPr>
            <w:r w:rsidRPr="00262F3A">
              <w:rPr>
                <w:rFonts w:eastAsia="Georgia"/>
                <w:sz w:val="20"/>
                <w:szCs w:val="20"/>
                <w:lang w:eastAsia="en-US"/>
              </w:rPr>
              <w:t>M</w:t>
            </w:r>
            <w:r w:rsidR="00832B78" w:rsidRPr="00262F3A">
              <w:rPr>
                <w:rFonts w:eastAsia="Georgia"/>
                <w:sz w:val="20"/>
                <w:szCs w:val="20"/>
                <w:lang w:eastAsia="en-US"/>
              </w:rPr>
              <w:t>ember</w:t>
            </w:r>
            <w:r w:rsidRPr="00262F3A">
              <w:rPr>
                <w:rFonts w:eastAsia="Georgia"/>
                <w:sz w:val="20"/>
                <w:szCs w:val="20"/>
                <w:lang w:eastAsia="en-US"/>
              </w:rPr>
              <w:t>: ICT</w:t>
            </w:r>
            <w:r w:rsidR="00832B78" w:rsidRPr="00262F3A">
              <w:rPr>
                <w:rFonts w:eastAsia="Georgia"/>
                <w:sz w:val="20"/>
                <w:szCs w:val="20"/>
                <w:lang w:eastAsia="en-US"/>
              </w:rPr>
              <w:t xml:space="preserve"> and Digital Committee</w:t>
            </w:r>
          </w:p>
        </w:tc>
        <w:tc>
          <w:tcPr>
            <w:tcW w:w="2503" w:type="dxa"/>
          </w:tcPr>
          <w:p w14:paraId="5923CEEC"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1E2A55A2" wp14:editId="5923F421">
                  <wp:extent cx="1238250" cy="1695450"/>
                  <wp:effectExtent l="0" t="0" r="0" b="0"/>
                  <wp:docPr id="25" name="Picture 25" descr="A photo of Professor Jane Burns, who is smiling and facing the camera. Professor Burns is wearing a navy suit jacket with a white top and silver neck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Jane Burns"/>
                          <pic:cNvPicPr>
                            <a:picLocks noChangeAspect="1" noChangeArrowheads="1"/>
                          </pic:cNvPicPr>
                        </pic:nvPicPr>
                        <pic:blipFill rotWithShape="1">
                          <a:blip r:embed="rId62">
                            <a:extLst>
                              <a:ext uri="{28A0092B-C50C-407E-A947-70E740481C1C}">
                                <a14:useLocalDpi xmlns:a14="http://schemas.microsoft.com/office/drawing/2010/main" val="0"/>
                              </a:ext>
                            </a:extLst>
                          </a:blip>
                          <a:srcRect b="559"/>
                          <a:stretch/>
                        </pic:blipFill>
                        <pic:spPr bwMode="auto">
                          <a:xfrm>
                            <a:off x="0" y="0"/>
                            <a:ext cx="1238250" cy="1696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32B78" w:rsidRPr="00262F3A" w14:paraId="2FCE5D36" w14:textId="77777777" w:rsidTr="00D4656B">
        <w:tc>
          <w:tcPr>
            <w:tcW w:w="5861" w:type="dxa"/>
          </w:tcPr>
          <w:p w14:paraId="434B4355"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t>Mr Glenn Keys AO</w:t>
            </w:r>
          </w:p>
          <w:p w14:paraId="3962E3D4" w14:textId="2D1914BA" w:rsidR="00832B78" w:rsidRPr="00262F3A" w:rsidRDefault="00832B78"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Glenn Keys </w:t>
            </w:r>
            <w:r w:rsidR="00ED3CB1" w:rsidRPr="00262F3A">
              <w:rPr>
                <w:rFonts w:ascii="Arial" w:hAnsi="Arial" w:cs="Arial"/>
                <w:sz w:val="20"/>
                <w:szCs w:val="20"/>
              </w:rPr>
              <w:t xml:space="preserve">has been </w:t>
            </w:r>
            <w:r w:rsidRPr="00262F3A">
              <w:rPr>
                <w:rFonts w:ascii="Arial" w:hAnsi="Arial" w:cs="Arial"/>
                <w:sz w:val="20"/>
                <w:szCs w:val="20"/>
              </w:rPr>
              <w:t>a member of the NDIS Board since inception. He has been involved in efforts to improve the lives of people with disability</w:t>
            </w:r>
            <w:r w:rsidR="00ED3CB1" w:rsidRPr="00262F3A">
              <w:rPr>
                <w:rFonts w:ascii="Arial" w:hAnsi="Arial" w:cs="Arial"/>
                <w:sz w:val="20"/>
                <w:szCs w:val="20"/>
              </w:rPr>
              <w:t xml:space="preserve"> </w:t>
            </w:r>
            <w:r w:rsidRPr="00262F3A">
              <w:rPr>
                <w:rFonts w:ascii="Arial" w:hAnsi="Arial" w:cs="Arial"/>
                <w:sz w:val="20"/>
                <w:szCs w:val="20"/>
              </w:rPr>
              <w:t xml:space="preserve">through involvement in the Special Olympics, the Down Syndrome Association and the disability housing sector. </w:t>
            </w:r>
            <w:r w:rsidR="005156F6">
              <w:rPr>
                <w:rFonts w:ascii="Arial" w:hAnsi="Arial" w:cs="Arial"/>
                <w:sz w:val="20"/>
                <w:szCs w:val="20"/>
              </w:rPr>
              <w:t>He has a</w:t>
            </w:r>
            <w:r w:rsidR="00711033" w:rsidRPr="00262F3A">
              <w:rPr>
                <w:rFonts w:ascii="Arial" w:hAnsi="Arial" w:cs="Arial"/>
                <w:sz w:val="20"/>
                <w:szCs w:val="20"/>
              </w:rPr>
              <w:t xml:space="preserve"> health sector </w:t>
            </w:r>
            <w:r w:rsidRPr="00262F3A">
              <w:rPr>
                <w:rFonts w:ascii="Arial" w:hAnsi="Arial" w:cs="Arial"/>
                <w:sz w:val="20"/>
                <w:szCs w:val="20"/>
              </w:rPr>
              <w:t xml:space="preserve">background as co-founder and co-executive Chairman of Aspen Medical, and </w:t>
            </w:r>
            <w:r w:rsidR="00711033" w:rsidRPr="00262F3A">
              <w:rPr>
                <w:rFonts w:ascii="Arial" w:hAnsi="Arial" w:cs="Arial"/>
                <w:sz w:val="20"/>
                <w:szCs w:val="20"/>
              </w:rPr>
              <w:t>f</w:t>
            </w:r>
            <w:r w:rsidRPr="00262F3A">
              <w:rPr>
                <w:rFonts w:ascii="Arial" w:hAnsi="Arial" w:cs="Arial"/>
                <w:sz w:val="20"/>
                <w:szCs w:val="20"/>
              </w:rPr>
              <w:t xml:space="preserve">ounder and Chairman </w:t>
            </w:r>
            <w:r w:rsidR="005156F6">
              <w:rPr>
                <w:rFonts w:ascii="Arial" w:hAnsi="Arial" w:cs="Arial"/>
                <w:sz w:val="20"/>
                <w:szCs w:val="20"/>
              </w:rPr>
              <w:t>of</w:t>
            </w:r>
            <w:r w:rsidR="005156F6" w:rsidRPr="00262F3A">
              <w:rPr>
                <w:rFonts w:ascii="Arial" w:hAnsi="Arial" w:cs="Arial"/>
                <w:sz w:val="20"/>
                <w:szCs w:val="20"/>
              </w:rPr>
              <w:t xml:space="preserve"> </w:t>
            </w:r>
            <w:r w:rsidRPr="00262F3A">
              <w:rPr>
                <w:rFonts w:ascii="Arial" w:hAnsi="Arial" w:cs="Arial"/>
                <w:sz w:val="20"/>
                <w:szCs w:val="20"/>
              </w:rPr>
              <w:t xml:space="preserve">Project Independence, an initiative offering home ownership to people with disability. </w:t>
            </w:r>
            <w:r w:rsidR="005156F6">
              <w:rPr>
                <w:rFonts w:ascii="Arial" w:hAnsi="Arial" w:cs="Arial"/>
                <w:sz w:val="20"/>
                <w:szCs w:val="20"/>
              </w:rPr>
              <w:t>He was a</w:t>
            </w:r>
            <w:r w:rsidRPr="00262F3A">
              <w:rPr>
                <w:rFonts w:ascii="Arial" w:hAnsi="Arial" w:cs="Arial"/>
                <w:sz w:val="20"/>
                <w:szCs w:val="20"/>
              </w:rPr>
              <w:t xml:space="preserve">warded an Officer in the General Division (AO) in the 2017 Queen’s Birthday Honours list for distinguished service to disability, business and commerce and as an advocate for corporate social responsibility. </w:t>
            </w:r>
            <w:r w:rsidR="00ED3CB1" w:rsidRPr="00262F3A">
              <w:rPr>
                <w:rFonts w:ascii="Arial" w:hAnsi="Arial" w:cs="Arial"/>
                <w:sz w:val="20"/>
                <w:szCs w:val="20"/>
              </w:rPr>
              <w:t>He</w:t>
            </w:r>
            <w:r w:rsidRPr="00262F3A">
              <w:rPr>
                <w:rFonts w:ascii="Arial" w:hAnsi="Arial" w:cs="Arial"/>
                <w:sz w:val="20"/>
                <w:szCs w:val="20"/>
              </w:rPr>
              <w:t xml:space="preserve"> was named 2015 </w:t>
            </w:r>
            <w:r w:rsidR="00ED3CB1" w:rsidRPr="00262F3A">
              <w:rPr>
                <w:rFonts w:ascii="Arial" w:hAnsi="Arial" w:cs="Arial"/>
                <w:sz w:val="20"/>
                <w:szCs w:val="20"/>
              </w:rPr>
              <w:t>ACT</w:t>
            </w:r>
            <w:r w:rsidRPr="00262F3A">
              <w:rPr>
                <w:rFonts w:ascii="Arial" w:hAnsi="Arial" w:cs="Arial"/>
                <w:sz w:val="20"/>
                <w:szCs w:val="20"/>
              </w:rPr>
              <w:t xml:space="preserve"> Australian of the Year</w:t>
            </w:r>
            <w:r w:rsidR="00CC7185">
              <w:rPr>
                <w:rFonts w:ascii="Arial" w:hAnsi="Arial" w:cs="Arial"/>
                <w:sz w:val="20"/>
                <w:szCs w:val="20"/>
              </w:rPr>
              <w:t xml:space="preserve"> and was a</w:t>
            </w:r>
            <w:r w:rsidRPr="00262F3A">
              <w:rPr>
                <w:rFonts w:ascii="Arial" w:hAnsi="Arial" w:cs="Arial"/>
                <w:sz w:val="20"/>
                <w:szCs w:val="20"/>
              </w:rPr>
              <w:t xml:space="preserve"> board member of the organising committee for the Australian Invictus Games 2018. </w:t>
            </w:r>
            <w:r w:rsidR="00ED3CB1" w:rsidRPr="00262F3A">
              <w:rPr>
                <w:rFonts w:ascii="Arial" w:hAnsi="Arial" w:cs="Arial"/>
                <w:sz w:val="20"/>
                <w:szCs w:val="20"/>
              </w:rPr>
              <w:t xml:space="preserve">He </w:t>
            </w:r>
            <w:r w:rsidRPr="00262F3A">
              <w:rPr>
                <w:rFonts w:ascii="Arial" w:hAnsi="Arial" w:cs="Arial"/>
                <w:sz w:val="20"/>
                <w:szCs w:val="20"/>
              </w:rPr>
              <w:t>has a child with an intellectual disability.</w:t>
            </w:r>
          </w:p>
          <w:p w14:paraId="21CB0E97" w14:textId="02C67C5F" w:rsidR="00DC5755" w:rsidRPr="00262F3A" w:rsidRDefault="00DC5755"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lastRenderedPageBreak/>
              <w:t>Qualifications: Bachelor of Mechanical Engineering</w:t>
            </w:r>
            <w:r w:rsidR="00D82775">
              <w:rPr>
                <w:rFonts w:ascii="Arial" w:hAnsi="Arial" w:cs="Arial"/>
                <w:sz w:val="20"/>
                <w:szCs w:val="20"/>
              </w:rPr>
              <w:t xml:space="preserve"> from the</w:t>
            </w:r>
            <w:r w:rsidRPr="00262F3A">
              <w:rPr>
                <w:rFonts w:ascii="Arial" w:hAnsi="Arial" w:cs="Arial"/>
                <w:sz w:val="20"/>
                <w:szCs w:val="20"/>
              </w:rPr>
              <w:t xml:space="preserve"> University of New South Wales</w:t>
            </w:r>
          </w:p>
          <w:p w14:paraId="05FB70C7" w14:textId="77777777" w:rsidR="00832B78" w:rsidRPr="00262F3A" w:rsidRDefault="00E953EE" w:rsidP="003C5FE1">
            <w:pPr>
              <w:spacing w:before="60" w:after="60"/>
              <w:ind w:left="0"/>
              <w:rPr>
                <w:b/>
                <w:sz w:val="20"/>
                <w:szCs w:val="20"/>
              </w:rPr>
            </w:pPr>
            <w:r w:rsidRPr="00262F3A">
              <w:rPr>
                <w:sz w:val="20"/>
                <w:szCs w:val="20"/>
              </w:rPr>
              <w:t>M</w:t>
            </w:r>
            <w:r w:rsidR="00832B78" w:rsidRPr="00262F3A">
              <w:rPr>
                <w:sz w:val="20"/>
                <w:szCs w:val="20"/>
              </w:rPr>
              <w:t>ember</w:t>
            </w:r>
            <w:r w:rsidRPr="00262F3A">
              <w:rPr>
                <w:sz w:val="20"/>
                <w:szCs w:val="20"/>
              </w:rPr>
              <w:t xml:space="preserve">: </w:t>
            </w:r>
            <w:r w:rsidR="00C27F48" w:rsidRPr="00262F3A">
              <w:rPr>
                <w:sz w:val="20"/>
                <w:szCs w:val="20"/>
              </w:rPr>
              <w:t xml:space="preserve">ICT </w:t>
            </w:r>
            <w:r w:rsidR="00832B78" w:rsidRPr="00262F3A">
              <w:rPr>
                <w:sz w:val="20"/>
                <w:szCs w:val="20"/>
              </w:rPr>
              <w:t>and Digital Committee</w:t>
            </w:r>
            <w:r w:rsidRPr="00262F3A">
              <w:rPr>
                <w:sz w:val="20"/>
                <w:szCs w:val="20"/>
              </w:rPr>
              <w:t xml:space="preserve">; </w:t>
            </w:r>
            <w:r w:rsidR="00832B78" w:rsidRPr="00262F3A">
              <w:rPr>
                <w:sz w:val="20"/>
                <w:szCs w:val="20"/>
              </w:rPr>
              <w:t>People and Remuneration Committee</w:t>
            </w:r>
          </w:p>
        </w:tc>
        <w:tc>
          <w:tcPr>
            <w:tcW w:w="2503" w:type="dxa"/>
          </w:tcPr>
          <w:p w14:paraId="1A22456E" w14:textId="77777777" w:rsidR="00832B78" w:rsidRPr="00262F3A" w:rsidRDefault="00832B78" w:rsidP="00561B3B">
            <w:pPr>
              <w:rPr>
                <w:noProof/>
                <w:sz w:val="20"/>
                <w:szCs w:val="20"/>
                <w:lang w:eastAsia="en-AU"/>
              </w:rPr>
            </w:pPr>
            <w:r w:rsidRPr="00262F3A">
              <w:rPr>
                <w:noProof/>
                <w:sz w:val="20"/>
                <w:szCs w:val="20"/>
                <w:lang w:eastAsia="en-AU"/>
              </w:rPr>
              <w:lastRenderedPageBreak/>
              <w:drawing>
                <wp:inline distT="0" distB="0" distL="0" distR="0" wp14:anchorId="3326278A" wp14:editId="59C7A3FC">
                  <wp:extent cx="1326515" cy="1865630"/>
                  <wp:effectExtent l="0" t="0" r="6985" b="1270"/>
                  <wp:docPr id="227" name="Picture 227" descr="A photo of Mr Glenn Keys, who is smiling and facing the camera. Mr Keys is wearing a dark suit, yellow tie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Glenn Key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26515" cy="1865630"/>
                          </a:xfrm>
                          <a:prstGeom prst="rect">
                            <a:avLst/>
                          </a:prstGeom>
                          <a:noFill/>
                          <a:ln>
                            <a:noFill/>
                          </a:ln>
                        </pic:spPr>
                      </pic:pic>
                    </a:graphicData>
                  </a:graphic>
                </wp:inline>
              </w:drawing>
            </w:r>
          </w:p>
        </w:tc>
      </w:tr>
      <w:tr w:rsidR="00832B78" w:rsidRPr="00262F3A" w14:paraId="076B5D1A" w14:textId="77777777" w:rsidTr="00D4656B">
        <w:tc>
          <w:tcPr>
            <w:tcW w:w="5861" w:type="dxa"/>
          </w:tcPr>
          <w:p w14:paraId="1ADAA8B3"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t>Ms Robyn Kruk AO</w:t>
            </w:r>
          </w:p>
          <w:p w14:paraId="5186AAD3" w14:textId="77777777" w:rsidR="00832B78" w:rsidRPr="00262F3A" w:rsidRDefault="00832B78" w:rsidP="003C5FE1">
            <w:pPr>
              <w:spacing w:before="60" w:after="60"/>
              <w:ind w:left="0"/>
              <w:rPr>
                <w:sz w:val="20"/>
                <w:szCs w:val="20"/>
              </w:rPr>
            </w:pPr>
            <w:r w:rsidRPr="00262F3A">
              <w:rPr>
                <w:sz w:val="20"/>
                <w:szCs w:val="20"/>
              </w:rPr>
              <w:t xml:space="preserve">Robyn Kruk has extensive experience as Chief Executive of national and state policy, regulatory and service delivery agencies, including NSW Health and Premier and Cabinet. She established and served as inaugural CEO/Commissioner of the National Mental Health Commission. </w:t>
            </w:r>
            <w:r w:rsidR="008E40AB" w:rsidRPr="00262F3A">
              <w:rPr>
                <w:sz w:val="20"/>
                <w:szCs w:val="20"/>
              </w:rPr>
              <w:t>She</w:t>
            </w:r>
            <w:r w:rsidRPr="00262F3A">
              <w:rPr>
                <w:sz w:val="20"/>
                <w:szCs w:val="20"/>
              </w:rPr>
              <w:t xml:space="preserve"> is currently Chair, Board Director or member of international, national and state statutory, non-government and private entities in healthcare and emergency services, quality and safety, governance and mental health.</w:t>
            </w:r>
          </w:p>
          <w:p w14:paraId="36544BA7" w14:textId="363CFE16" w:rsidR="00DC5755" w:rsidRPr="00262F3A" w:rsidRDefault="00DC5755" w:rsidP="003C5FE1">
            <w:pPr>
              <w:pStyle w:val="Tableformat"/>
              <w:spacing w:before="60" w:after="60"/>
            </w:pPr>
            <w:r w:rsidRPr="00262F3A">
              <w:t>Qualifications: Bachelor of Science, Psychology (Hons)</w:t>
            </w:r>
            <w:r w:rsidR="00D82775">
              <w:t xml:space="preserve"> </w:t>
            </w:r>
            <w:r w:rsidR="009262BD">
              <w:t xml:space="preserve">from </w:t>
            </w:r>
            <w:r w:rsidR="00D82775">
              <w:t xml:space="preserve">the </w:t>
            </w:r>
            <w:r w:rsidRPr="00262F3A">
              <w:t>University of New South Wales; Master of Administration; Advanced Management Program</w:t>
            </w:r>
            <w:r w:rsidR="00D82775">
              <w:t xml:space="preserve"> from the </w:t>
            </w:r>
            <w:r w:rsidRPr="00262F3A">
              <w:t>Harvard Business School</w:t>
            </w:r>
          </w:p>
          <w:p w14:paraId="5AE707D4" w14:textId="77777777" w:rsidR="00E953EE" w:rsidRPr="00262F3A" w:rsidRDefault="00E953EE" w:rsidP="003C5FE1">
            <w:pPr>
              <w:spacing w:before="60" w:after="60"/>
              <w:ind w:left="0"/>
              <w:rPr>
                <w:sz w:val="20"/>
                <w:szCs w:val="20"/>
              </w:rPr>
            </w:pPr>
            <w:r w:rsidRPr="00262F3A">
              <w:rPr>
                <w:sz w:val="20"/>
                <w:szCs w:val="20"/>
              </w:rPr>
              <w:t>Chair: People and Remuneration Committee</w:t>
            </w:r>
          </w:p>
          <w:p w14:paraId="6C2438C3" w14:textId="77777777" w:rsidR="00E953EE" w:rsidRPr="00262F3A" w:rsidRDefault="00E953EE" w:rsidP="003C5FE1">
            <w:pPr>
              <w:spacing w:before="60" w:after="60"/>
              <w:ind w:left="0"/>
              <w:rPr>
                <w:sz w:val="20"/>
                <w:szCs w:val="20"/>
              </w:rPr>
            </w:pPr>
            <w:r w:rsidRPr="00262F3A">
              <w:rPr>
                <w:sz w:val="20"/>
                <w:szCs w:val="20"/>
              </w:rPr>
              <w:t>M</w:t>
            </w:r>
            <w:r w:rsidR="00832B78" w:rsidRPr="00262F3A">
              <w:rPr>
                <w:sz w:val="20"/>
                <w:szCs w:val="20"/>
              </w:rPr>
              <w:t>ember</w:t>
            </w:r>
            <w:r w:rsidRPr="00262F3A">
              <w:rPr>
                <w:sz w:val="20"/>
                <w:szCs w:val="20"/>
              </w:rPr>
              <w:t xml:space="preserve">: </w:t>
            </w:r>
            <w:r w:rsidR="008E40AB" w:rsidRPr="00262F3A">
              <w:rPr>
                <w:sz w:val="20"/>
                <w:szCs w:val="20"/>
              </w:rPr>
              <w:t>Risk Committee</w:t>
            </w:r>
            <w:r w:rsidR="00832B78" w:rsidRPr="00262F3A">
              <w:rPr>
                <w:sz w:val="20"/>
                <w:szCs w:val="20"/>
              </w:rPr>
              <w:t xml:space="preserve">. </w:t>
            </w:r>
          </w:p>
          <w:p w14:paraId="44A28E7F" w14:textId="77777777" w:rsidR="00832B78" w:rsidRPr="00262F3A" w:rsidRDefault="00832B78" w:rsidP="003C5FE1">
            <w:pPr>
              <w:spacing w:before="60" w:after="60"/>
              <w:ind w:left="0"/>
              <w:rPr>
                <w:b/>
                <w:sz w:val="20"/>
                <w:szCs w:val="20"/>
              </w:rPr>
            </w:pPr>
            <w:r w:rsidRPr="00262F3A">
              <w:rPr>
                <w:sz w:val="20"/>
                <w:szCs w:val="20"/>
              </w:rPr>
              <w:t>Principal Member</w:t>
            </w:r>
            <w:r w:rsidR="00E953EE" w:rsidRPr="00262F3A">
              <w:rPr>
                <w:sz w:val="20"/>
                <w:szCs w:val="20"/>
              </w:rPr>
              <w:t xml:space="preserve">: </w:t>
            </w:r>
            <w:r w:rsidRPr="00262F3A">
              <w:rPr>
                <w:sz w:val="20"/>
                <w:szCs w:val="20"/>
              </w:rPr>
              <w:t xml:space="preserve">Independent Advisory Council </w:t>
            </w:r>
            <w:r w:rsidR="00E953EE" w:rsidRPr="00262F3A">
              <w:rPr>
                <w:sz w:val="20"/>
                <w:szCs w:val="20"/>
              </w:rPr>
              <w:t>from</w:t>
            </w:r>
            <w:r w:rsidRPr="00262F3A">
              <w:rPr>
                <w:sz w:val="20"/>
                <w:szCs w:val="20"/>
              </w:rPr>
              <w:t xml:space="preserve"> 1 July 2020.</w:t>
            </w:r>
          </w:p>
        </w:tc>
        <w:tc>
          <w:tcPr>
            <w:tcW w:w="2503" w:type="dxa"/>
          </w:tcPr>
          <w:p w14:paraId="2B416924"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6B658DFA" wp14:editId="320493A0">
                  <wp:extent cx="1364226" cy="1918274"/>
                  <wp:effectExtent l="0" t="0" r="7620" b="6350"/>
                  <wp:docPr id="240" name="Picture 240" descr="A photo of Ms Robyn Kruk, who is facing the camera. Ms Kruk is wearing a red shirt, red scarf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Robyn Kruk"/>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64226" cy="1918274"/>
                          </a:xfrm>
                          <a:prstGeom prst="rect">
                            <a:avLst/>
                          </a:prstGeom>
                          <a:noFill/>
                          <a:ln>
                            <a:noFill/>
                          </a:ln>
                        </pic:spPr>
                      </pic:pic>
                    </a:graphicData>
                  </a:graphic>
                </wp:inline>
              </w:drawing>
            </w:r>
          </w:p>
        </w:tc>
      </w:tr>
      <w:tr w:rsidR="00832B78" w:rsidRPr="00262F3A" w14:paraId="13356C24" w14:textId="77777777" w:rsidTr="00D4656B">
        <w:tc>
          <w:tcPr>
            <w:tcW w:w="5861" w:type="dxa"/>
          </w:tcPr>
          <w:p w14:paraId="3CDF6BD0"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t>Mr John Langoulant AO</w:t>
            </w:r>
          </w:p>
          <w:p w14:paraId="6237DB55" w14:textId="77777777" w:rsidR="00832B78" w:rsidRPr="00262F3A" w:rsidRDefault="00234808" w:rsidP="003C5FE1">
            <w:pPr>
              <w:spacing w:before="60" w:after="60"/>
              <w:ind w:left="0"/>
              <w:rPr>
                <w:sz w:val="20"/>
                <w:szCs w:val="20"/>
              </w:rPr>
            </w:pPr>
            <w:r w:rsidRPr="00262F3A">
              <w:rPr>
                <w:sz w:val="20"/>
                <w:szCs w:val="20"/>
              </w:rPr>
              <w:t xml:space="preserve">John </w:t>
            </w:r>
            <w:r w:rsidR="00832B78" w:rsidRPr="00262F3A">
              <w:rPr>
                <w:sz w:val="20"/>
                <w:szCs w:val="20"/>
              </w:rPr>
              <w:t xml:space="preserve">Langoulant has extensive experience across many areas of public policy development and implementation from being the Western Australian Under Treasurer, Chairman of a number of government statutory authorities and from leading several government inquiries. </w:t>
            </w:r>
            <w:r w:rsidRPr="00262F3A">
              <w:rPr>
                <w:sz w:val="20"/>
                <w:szCs w:val="20"/>
              </w:rPr>
              <w:t xml:space="preserve">He </w:t>
            </w:r>
            <w:r w:rsidR="00832B78" w:rsidRPr="00262F3A">
              <w:rPr>
                <w:sz w:val="20"/>
                <w:szCs w:val="20"/>
              </w:rPr>
              <w:t>also chairs several private and not-for-profit organisations.</w:t>
            </w:r>
          </w:p>
          <w:p w14:paraId="13E644BE" w14:textId="45B225FC" w:rsidR="00DC5755" w:rsidRPr="00262F3A" w:rsidRDefault="00DC5755" w:rsidP="003C5FE1">
            <w:pPr>
              <w:spacing w:before="60" w:after="60"/>
              <w:ind w:left="0"/>
              <w:rPr>
                <w:sz w:val="20"/>
                <w:szCs w:val="20"/>
              </w:rPr>
            </w:pPr>
            <w:r w:rsidRPr="00262F3A">
              <w:rPr>
                <w:sz w:val="20"/>
                <w:szCs w:val="20"/>
              </w:rPr>
              <w:t>Qualifications: Bachelor of Economics (Hons)</w:t>
            </w:r>
            <w:r w:rsidR="00D82775">
              <w:rPr>
                <w:sz w:val="20"/>
                <w:szCs w:val="20"/>
              </w:rPr>
              <w:t xml:space="preserve"> from the</w:t>
            </w:r>
            <w:r w:rsidRPr="00262F3A">
              <w:rPr>
                <w:sz w:val="20"/>
                <w:szCs w:val="20"/>
              </w:rPr>
              <w:t xml:space="preserve"> University of Western Australia</w:t>
            </w:r>
          </w:p>
          <w:p w14:paraId="03E7DFFB" w14:textId="77777777" w:rsidR="00832B78" w:rsidRPr="00262F3A" w:rsidRDefault="00E953EE"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Member: </w:t>
            </w:r>
            <w:r w:rsidR="00832B78" w:rsidRPr="00262F3A">
              <w:rPr>
                <w:rFonts w:ascii="Arial" w:hAnsi="Arial" w:cs="Arial"/>
                <w:sz w:val="20"/>
                <w:szCs w:val="20"/>
              </w:rPr>
              <w:t>Audit Committee</w:t>
            </w:r>
            <w:r w:rsidRPr="00262F3A">
              <w:rPr>
                <w:rFonts w:ascii="Arial" w:hAnsi="Arial" w:cs="Arial"/>
                <w:sz w:val="20"/>
                <w:szCs w:val="20"/>
              </w:rPr>
              <w:t xml:space="preserve">; </w:t>
            </w:r>
            <w:r w:rsidR="00832B78" w:rsidRPr="00262F3A">
              <w:rPr>
                <w:rFonts w:ascii="Arial" w:hAnsi="Arial" w:cs="Arial"/>
                <w:sz w:val="20"/>
                <w:szCs w:val="20"/>
              </w:rPr>
              <w:t>Risk Committee</w:t>
            </w:r>
            <w:r w:rsidRPr="00262F3A">
              <w:rPr>
                <w:rFonts w:ascii="Arial" w:hAnsi="Arial" w:cs="Arial"/>
                <w:sz w:val="20"/>
                <w:szCs w:val="20"/>
              </w:rPr>
              <w:t xml:space="preserve">; </w:t>
            </w:r>
            <w:r w:rsidR="00832B78" w:rsidRPr="00262F3A">
              <w:rPr>
                <w:rFonts w:ascii="Arial" w:hAnsi="Arial" w:cs="Arial"/>
                <w:sz w:val="20"/>
                <w:szCs w:val="20"/>
              </w:rPr>
              <w:t>Sustainability Committee</w:t>
            </w:r>
          </w:p>
        </w:tc>
        <w:tc>
          <w:tcPr>
            <w:tcW w:w="2503" w:type="dxa"/>
          </w:tcPr>
          <w:p w14:paraId="71884113"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47B41835" wp14:editId="63117A40">
                  <wp:extent cx="1378585" cy="1819275"/>
                  <wp:effectExtent l="0" t="0" r="0" b="9525"/>
                  <wp:docPr id="239" name="Picture 239" descr="A photo of Mr John Langoulant, who is smiling and facing the camera. Mr Langoulant is wearing a dark suit and a striped red and grey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of John Langoulan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8585" cy="1819275"/>
                          </a:xfrm>
                          <a:prstGeom prst="rect">
                            <a:avLst/>
                          </a:prstGeom>
                          <a:noFill/>
                          <a:ln>
                            <a:noFill/>
                          </a:ln>
                        </pic:spPr>
                      </pic:pic>
                    </a:graphicData>
                  </a:graphic>
                </wp:inline>
              </w:drawing>
            </w:r>
          </w:p>
        </w:tc>
      </w:tr>
      <w:tr w:rsidR="00832B78" w:rsidRPr="00262F3A" w14:paraId="7B0D3226" w14:textId="77777777" w:rsidTr="00D4656B">
        <w:tc>
          <w:tcPr>
            <w:tcW w:w="5861" w:type="dxa"/>
          </w:tcPr>
          <w:p w14:paraId="03826CD6" w14:textId="4583F80D" w:rsidR="00832B78" w:rsidRPr="00262F3A" w:rsidRDefault="00842024" w:rsidP="003C5FE1">
            <w:pPr>
              <w:spacing w:before="60" w:after="60"/>
              <w:ind w:left="0"/>
              <w:rPr>
                <w:rFonts w:eastAsiaTheme="minorHAnsi"/>
                <w:b/>
                <w:sz w:val="20"/>
                <w:szCs w:val="20"/>
                <w:lang w:eastAsia="en-US"/>
              </w:rPr>
            </w:pPr>
            <w:r w:rsidRPr="00262F3A">
              <w:rPr>
                <w:rFonts w:eastAsiaTheme="minorHAnsi"/>
                <w:b/>
                <w:sz w:val="20"/>
                <w:szCs w:val="20"/>
                <w:lang w:eastAsia="en-US"/>
              </w:rPr>
              <w:lastRenderedPageBreak/>
              <w:t>Dr</w:t>
            </w:r>
            <w:r w:rsidR="00832B78" w:rsidRPr="00262F3A">
              <w:rPr>
                <w:rFonts w:eastAsiaTheme="minorHAnsi"/>
                <w:b/>
                <w:sz w:val="20"/>
                <w:szCs w:val="20"/>
                <w:lang w:eastAsia="en-US"/>
              </w:rPr>
              <w:t xml:space="preserve"> Martin Laverty</w:t>
            </w:r>
          </w:p>
          <w:p w14:paraId="3D95F35B" w14:textId="52CCC906" w:rsidR="00832B78" w:rsidRPr="00262F3A" w:rsidRDefault="00832B78" w:rsidP="003C5FE1">
            <w:pPr>
              <w:spacing w:before="60" w:after="60"/>
              <w:ind w:left="0"/>
              <w:rPr>
                <w:sz w:val="20"/>
                <w:szCs w:val="20"/>
              </w:rPr>
            </w:pPr>
            <w:r w:rsidRPr="00262F3A">
              <w:rPr>
                <w:sz w:val="20"/>
                <w:szCs w:val="20"/>
              </w:rPr>
              <w:t>Martin Laverty is Secretary General of the Australian Medical Association. He is Deputy Chair of the Australian Charities and Not-for-Profit Commission Advisory</w:t>
            </w:r>
            <w:r w:rsidR="003A7539" w:rsidRPr="00262F3A">
              <w:rPr>
                <w:sz w:val="20"/>
                <w:szCs w:val="20"/>
              </w:rPr>
              <w:t xml:space="preserve"> Board, </w:t>
            </w:r>
            <w:r w:rsidRPr="00262F3A">
              <w:rPr>
                <w:sz w:val="20"/>
                <w:szCs w:val="20"/>
              </w:rPr>
              <w:t>a Board Director of Caritas Ltd, and a member of the Charity, Not-for-profit, and Philanthropy Advisory Committee to the National COVID-19 Coordination Commission. He is an Adjunct Professor at the University of Western Australia’s Not-for-Profit Initiative</w:t>
            </w:r>
            <w:r w:rsidR="00D82775">
              <w:rPr>
                <w:sz w:val="20"/>
                <w:szCs w:val="20"/>
              </w:rPr>
              <w:t xml:space="preserve"> and a </w:t>
            </w:r>
            <w:r w:rsidRPr="00262F3A">
              <w:rPr>
                <w:sz w:val="20"/>
                <w:szCs w:val="20"/>
              </w:rPr>
              <w:t xml:space="preserve">former CEO of the Royal Flying Doctor Service of Australia and Catholic Health Australia. </w:t>
            </w:r>
            <w:r w:rsidR="003A7539" w:rsidRPr="00262F3A">
              <w:rPr>
                <w:sz w:val="20"/>
                <w:szCs w:val="20"/>
              </w:rPr>
              <w:t xml:space="preserve">He </w:t>
            </w:r>
            <w:r w:rsidRPr="00262F3A">
              <w:rPr>
                <w:sz w:val="20"/>
                <w:szCs w:val="20"/>
              </w:rPr>
              <w:t xml:space="preserve">is also a former Board Chair of two disability service organisations, Sunshine and Challenge Southern Highlands, and is a former Director of the </w:t>
            </w:r>
            <w:r w:rsidR="003A7539" w:rsidRPr="00262F3A">
              <w:rPr>
                <w:sz w:val="20"/>
                <w:szCs w:val="20"/>
              </w:rPr>
              <w:t>NSW</w:t>
            </w:r>
            <w:r w:rsidRPr="00262F3A">
              <w:rPr>
                <w:sz w:val="20"/>
                <w:szCs w:val="20"/>
              </w:rPr>
              <w:t xml:space="preserve"> Muscular Dystrophy Association.</w:t>
            </w:r>
          </w:p>
          <w:p w14:paraId="3CA5CAF1" w14:textId="77777777" w:rsidR="00DC5755" w:rsidRPr="00262F3A" w:rsidRDefault="00DC5755" w:rsidP="003C5FE1">
            <w:pPr>
              <w:pStyle w:val="Tableformat"/>
              <w:spacing w:before="60" w:after="60"/>
            </w:pPr>
            <w:r w:rsidRPr="00262F3A">
              <w:t>Qualifications: LLB; PhD in Board Governance</w:t>
            </w:r>
          </w:p>
          <w:p w14:paraId="3F675412" w14:textId="77777777" w:rsidR="00832B78" w:rsidRPr="00262F3A" w:rsidRDefault="00832B78"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A lawyer by training with a doctorate in board governance, </w:t>
            </w:r>
            <w:r w:rsidR="003A7539" w:rsidRPr="00262F3A">
              <w:rPr>
                <w:rFonts w:ascii="Arial" w:hAnsi="Arial" w:cs="Arial"/>
                <w:sz w:val="20"/>
                <w:szCs w:val="20"/>
              </w:rPr>
              <w:t xml:space="preserve">he </w:t>
            </w:r>
            <w:r w:rsidRPr="00262F3A">
              <w:rPr>
                <w:rFonts w:ascii="Arial" w:hAnsi="Arial" w:cs="Arial"/>
                <w:sz w:val="20"/>
                <w:szCs w:val="20"/>
              </w:rPr>
              <w:t>was a member of the Audit Committee and Risk Committee</w:t>
            </w:r>
            <w:r w:rsidR="005E7C18" w:rsidRPr="00262F3A">
              <w:rPr>
                <w:rFonts w:ascii="Arial" w:hAnsi="Arial" w:cs="Arial"/>
                <w:sz w:val="20"/>
                <w:szCs w:val="20"/>
              </w:rPr>
              <w:t xml:space="preserve"> until he retired from the Board on 30 June 2020</w:t>
            </w:r>
            <w:r w:rsidRPr="00262F3A">
              <w:rPr>
                <w:rFonts w:ascii="Arial" w:hAnsi="Arial" w:cs="Arial"/>
                <w:sz w:val="20"/>
                <w:szCs w:val="20"/>
              </w:rPr>
              <w:t>.</w:t>
            </w:r>
          </w:p>
        </w:tc>
        <w:tc>
          <w:tcPr>
            <w:tcW w:w="2503" w:type="dxa"/>
          </w:tcPr>
          <w:p w14:paraId="7A110C2E"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189E8BE0" wp14:editId="1568D516">
                  <wp:extent cx="1364226" cy="1918274"/>
                  <wp:effectExtent l="0" t="0" r="7620" b="6350"/>
                  <wp:docPr id="236" name="Picture 236" descr="A photo of Dr Martin Laverty, who is smiling and facing the camera. Dr Laverty is wearing a dark suit and a green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Martin Laverty"/>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64226" cy="1918274"/>
                          </a:xfrm>
                          <a:prstGeom prst="rect">
                            <a:avLst/>
                          </a:prstGeom>
                          <a:noFill/>
                          <a:ln>
                            <a:noFill/>
                          </a:ln>
                        </pic:spPr>
                      </pic:pic>
                    </a:graphicData>
                  </a:graphic>
                </wp:inline>
              </w:drawing>
            </w:r>
          </w:p>
        </w:tc>
      </w:tr>
      <w:tr w:rsidR="00832B78" w:rsidRPr="00262F3A" w14:paraId="39374B6B" w14:textId="77777777" w:rsidTr="00D4656B">
        <w:tc>
          <w:tcPr>
            <w:tcW w:w="5861" w:type="dxa"/>
          </w:tcPr>
          <w:p w14:paraId="4449DC4F" w14:textId="77777777" w:rsidR="00832B78" w:rsidRPr="00262F3A" w:rsidRDefault="00832B78" w:rsidP="003C5FE1">
            <w:pPr>
              <w:spacing w:before="60" w:after="60"/>
              <w:ind w:left="0"/>
              <w:rPr>
                <w:b/>
                <w:color w:val="222222"/>
                <w:sz w:val="20"/>
                <w:szCs w:val="20"/>
              </w:rPr>
            </w:pPr>
            <w:r w:rsidRPr="00262F3A">
              <w:rPr>
                <w:rFonts w:eastAsiaTheme="minorHAnsi"/>
                <w:b/>
                <w:sz w:val="20"/>
                <w:szCs w:val="20"/>
                <w:lang w:eastAsia="en-US"/>
              </w:rPr>
              <w:t>Mr Jim Minto</w:t>
            </w:r>
          </w:p>
          <w:p w14:paraId="63DA4BE0" w14:textId="5CEC55A7" w:rsidR="00832B78" w:rsidRPr="00262F3A" w:rsidRDefault="00FB20CA" w:rsidP="003C5FE1">
            <w:pPr>
              <w:spacing w:before="60" w:after="60"/>
              <w:ind w:left="0"/>
              <w:rPr>
                <w:sz w:val="20"/>
                <w:szCs w:val="20"/>
              </w:rPr>
            </w:pPr>
            <w:r w:rsidRPr="00262F3A">
              <w:rPr>
                <w:sz w:val="20"/>
                <w:szCs w:val="20"/>
              </w:rPr>
              <w:t xml:space="preserve">Jim Minto is Chair of Swiss Re Life &amp; Health Australia Ltd and of Swiss Re Asia Pte. Ltd, Chair of NZ life insurer Partners Life Limited, Deputy Chair of Equity Trustees Ltd and Director of Dai-ichi Life Asia Pacific. He retired as Group Managing Director of life insurer TAL in March 2015 holding that role since 2006, and prior to that was Group CEO of the Trans-Tasman TOWER Limited Group. </w:t>
            </w:r>
            <w:r w:rsidR="00F7505B">
              <w:rPr>
                <w:sz w:val="20"/>
                <w:szCs w:val="20"/>
              </w:rPr>
              <w:t>He</w:t>
            </w:r>
            <w:r w:rsidRPr="00262F3A">
              <w:rPr>
                <w:sz w:val="20"/>
                <w:szCs w:val="20"/>
              </w:rPr>
              <w:t xml:space="preserve"> had 26 years senior executive experience in the financial services sector. He was previously Chair of the Association of Superannuation Funds of Australia and a panel member of the Australian Government’s Review of Natural Disasters Insurance in 2011.</w:t>
            </w:r>
          </w:p>
          <w:p w14:paraId="489DC257" w14:textId="00A66CE8" w:rsidR="00DC5755" w:rsidRPr="00262F3A" w:rsidRDefault="00DC5755" w:rsidP="003C5FE1">
            <w:pPr>
              <w:tabs>
                <w:tab w:val="left" w:pos="1890"/>
              </w:tabs>
              <w:spacing w:before="60" w:after="60"/>
              <w:ind w:left="0"/>
              <w:rPr>
                <w:sz w:val="20"/>
                <w:szCs w:val="20"/>
              </w:rPr>
            </w:pPr>
            <w:r w:rsidRPr="00262F3A">
              <w:rPr>
                <w:sz w:val="20"/>
                <w:szCs w:val="20"/>
              </w:rPr>
              <w:t>Qualifications: Chartered Accountant</w:t>
            </w:r>
            <w:r w:rsidR="00D82775">
              <w:rPr>
                <w:sz w:val="20"/>
                <w:szCs w:val="20"/>
              </w:rPr>
              <w:t xml:space="preserve"> from</w:t>
            </w:r>
            <w:r w:rsidRPr="00262F3A">
              <w:rPr>
                <w:sz w:val="20"/>
                <w:szCs w:val="20"/>
              </w:rPr>
              <w:t xml:space="preserve"> Massey University</w:t>
            </w:r>
          </w:p>
          <w:p w14:paraId="67356802" w14:textId="77777777" w:rsidR="00E953EE" w:rsidRPr="00262F3A" w:rsidRDefault="00234808"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Chair</w:t>
            </w:r>
            <w:r w:rsidR="00E953EE" w:rsidRPr="00262F3A">
              <w:rPr>
                <w:rFonts w:ascii="Arial" w:hAnsi="Arial" w:cs="Arial"/>
                <w:sz w:val="20"/>
                <w:szCs w:val="20"/>
              </w:rPr>
              <w:t xml:space="preserve">: </w:t>
            </w:r>
            <w:r w:rsidR="00832B78" w:rsidRPr="00262F3A">
              <w:rPr>
                <w:rFonts w:ascii="Arial" w:hAnsi="Arial" w:cs="Arial"/>
                <w:sz w:val="20"/>
                <w:szCs w:val="20"/>
              </w:rPr>
              <w:t>Risk Committee</w:t>
            </w:r>
          </w:p>
          <w:p w14:paraId="06E3FDDB" w14:textId="77777777" w:rsidR="00832B78" w:rsidRPr="00262F3A" w:rsidRDefault="00E953EE"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Member: </w:t>
            </w:r>
            <w:r w:rsidR="006A7803" w:rsidRPr="00262F3A">
              <w:rPr>
                <w:rFonts w:ascii="Arial" w:hAnsi="Arial" w:cs="Arial"/>
                <w:sz w:val="20"/>
                <w:szCs w:val="20"/>
              </w:rPr>
              <w:t>Sustainability Committee</w:t>
            </w:r>
          </w:p>
        </w:tc>
        <w:tc>
          <w:tcPr>
            <w:tcW w:w="2503" w:type="dxa"/>
          </w:tcPr>
          <w:p w14:paraId="738E67F6" w14:textId="77777777" w:rsidR="00832B78" w:rsidRPr="00262F3A" w:rsidRDefault="00832B78" w:rsidP="00561B3B">
            <w:pPr>
              <w:rPr>
                <w:noProof/>
                <w:color w:val="222222"/>
                <w:sz w:val="20"/>
                <w:szCs w:val="20"/>
                <w:lang w:eastAsia="en-AU"/>
              </w:rPr>
            </w:pPr>
            <w:r w:rsidRPr="00262F3A">
              <w:rPr>
                <w:rFonts w:eastAsiaTheme="minorHAnsi"/>
                <w:noProof/>
                <w:sz w:val="20"/>
                <w:szCs w:val="20"/>
                <w:highlight w:val="yellow"/>
                <w:lang w:eastAsia="en-AU"/>
              </w:rPr>
              <w:drawing>
                <wp:inline distT="0" distB="0" distL="0" distR="0" wp14:anchorId="263223EB" wp14:editId="6C98AEF5">
                  <wp:extent cx="1275080" cy="1881505"/>
                  <wp:effectExtent l="0" t="0" r="1270" b="4445"/>
                  <wp:docPr id="235" name="Picture 235" descr="A photo of Mr Jim Minto, who is smiling and facing the camera. Mr Minto is wearing a dark suit with an orange tie and matching orange handkerch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of Jim Minto"/>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75080" cy="1881505"/>
                          </a:xfrm>
                          <a:prstGeom prst="rect">
                            <a:avLst/>
                          </a:prstGeom>
                          <a:noFill/>
                          <a:ln>
                            <a:noFill/>
                          </a:ln>
                        </pic:spPr>
                      </pic:pic>
                    </a:graphicData>
                  </a:graphic>
                </wp:inline>
              </w:drawing>
            </w:r>
          </w:p>
        </w:tc>
      </w:tr>
      <w:tr w:rsidR="00832B78" w:rsidRPr="00262F3A" w14:paraId="6892EAD1" w14:textId="77777777" w:rsidTr="00D4656B">
        <w:tc>
          <w:tcPr>
            <w:tcW w:w="5861" w:type="dxa"/>
          </w:tcPr>
          <w:p w14:paraId="195515E0"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lastRenderedPageBreak/>
              <w:t>Mr Paul O'Sullivan</w:t>
            </w:r>
          </w:p>
          <w:p w14:paraId="7034E938" w14:textId="72920879" w:rsidR="00832B78" w:rsidRPr="00262F3A" w:rsidRDefault="00832B78" w:rsidP="003C5FE1">
            <w:pPr>
              <w:spacing w:before="60" w:after="60"/>
              <w:ind w:left="0"/>
              <w:rPr>
                <w:sz w:val="20"/>
                <w:szCs w:val="20"/>
              </w:rPr>
            </w:pPr>
            <w:r w:rsidRPr="00262F3A">
              <w:rPr>
                <w:sz w:val="20"/>
                <w:szCs w:val="20"/>
              </w:rPr>
              <w:t>Paul O’Sullivan has been Chairman of Optus since October 2014 and is a member of the Board of Commissioners of Telkomsel–Indonesia’s largest mobile communications company. He is a Director of</w:t>
            </w:r>
            <w:r w:rsidR="008E40AB" w:rsidRPr="00262F3A">
              <w:rPr>
                <w:sz w:val="20"/>
                <w:szCs w:val="20"/>
              </w:rPr>
              <w:t xml:space="preserve"> ANZ, Coca-Cola Amatil Limited and St Vincent’s Health Australia.</w:t>
            </w:r>
            <w:r w:rsidRPr="00262F3A">
              <w:rPr>
                <w:sz w:val="20"/>
                <w:szCs w:val="20"/>
              </w:rPr>
              <w:t xml:space="preserve"> </w:t>
            </w:r>
            <w:r w:rsidR="00815EDF" w:rsidRPr="00262F3A">
              <w:rPr>
                <w:sz w:val="20"/>
                <w:szCs w:val="20"/>
              </w:rPr>
              <w:t>He</w:t>
            </w:r>
            <w:r w:rsidRPr="00262F3A">
              <w:rPr>
                <w:sz w:val="20"/>
                <w:szCs w:val="20"/>
              </w:rPr>
              <w:t xml:space="preserve"> is also a Board Member of the St George and Sutherland Medical Research Foundation</w:t>
            </w:r>
            <w:r w:rsidR="00815EDF" w:rsidRPr="00262F3A">
              <w:rPr>
                <w:sz w:val="20"/>
                <w:szCs w:val="20"/>
              </w:rPr>
              <w:t xml:space="preserve"> and </w:t>
            </w:r>
            <w:r w:rsidRPr="00262F3A">
              <w:rPr>
                <w:sz w:val="20"/>
                <w:szCs w:val="20"/>
              </w:rPr>
              <w:t>is Chairman of the Western Sydney Airport Corporation (WSA Co).</w:t>
            </w:r>
          </w:p>
          <w:p w14:paraId="38E4080C" w14:textId="70A099BF" w:rsidR="00DC5755" w:rsidRPr="00262F3A" w:rsidRDefault="00DC5755" w:rsidP="003C5FE1">
            <w:pPr>
              <w:pStyle w:val="Tableformat"/>
              <w:spacing w:before="60" w:after="60"/>
            </w:pPr>
            <w:r w:rsidRPr="00262F3A">
              <w:t>Qualifications: Bachelor of Economics</w:t>
            </w:r>
            <w:r w:rsidR="00D82775">
              <w:t xml:space="preserve"> from</w:t>
            </w:r>
            <w:r w:rsidRPr="00262F3A">
              <w:t xml:space="preserve"> Trinity College; Advanced Management Program, Harvard Business School</w:t>
            </w:r>
          </w:p>
          <w:p w14:paraId="1F159432" w14:textId="77777777" w:rsidR="00E953EE" w:rsidRPr="00262F3A" w:rsidRDefault="00815EDF"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Chair</w:t>
            </w:r>
            <w:r w:rsidR="00E953EE" w:rsidRPr="00262F3A">
              <w:rPr>
                <w:rFonts w:ascii="Arial" w:hAnsi="Arial" w:cs="Arial"/>
                <w:sz w:val="20"/>
                <w:szCs w:val="20"/>
              </w:rPr>
              <w:t>:</w:t>
            </w:r>
            <w:r w:rsidR="00832B78" w:rsidRPr="00262F3A">
              <w:rPr>
                <w:rFonts w:ascii="Arial" w:hAnsi="Arial" w:cs="Arial"/>
                <w:sz w:val="20"/>
                <w:szCs w:val="20"/>
              </w:rPr>
              <w:t xml:space="preserve"> Information Communication Technology and Digital Committee</w:t>
            </w:r>
          </w:p>
          <w:p w14:paraId="19E301DB" w14:textId="77777777" w:rsidR="00832B78" w:rsidRPr="00262F3A" w:rsidRDefault="00E953EE"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Member: </w:t>
            </w:r>
            <w:r w:rsidR="00832B78" w:rsidRPr="00262F3A">
              <w:rPr>
                <w:rFonts w:ascii="Arial" w:hAnsi="Arial" w:cs="Arial"/>
                <w:sz w:val="20"/>
                <w:szCs w:val="20"/>
              </w:rPr>
              <w:t>Risk Committee</w:t>
            </w:r>
            <w:r w:rsidRPr="00262F3A">
              <w:rPr>
                <w:rFonts w:ascii="Arial" w:hAnsi="Arial" w:cs="Arial"/>
                <w:sz w:val="20"/>
                <w:szCs w:val="20"/>
              </w:rPr>
              <w:t xml:space="preserve">; </w:t>
            </w:r>
            <w:r w:rsidR="00832B78" w:rsidRPr="00262F3A">
              <w:rPr>
                <w:rFonts w:ascii="Arial" w:hAnsi="Arial" w:cs="Arial"/>
                <w:sz w:val="20"/>
                <w:szCs w:val="20"/>
              </w:rPr>
              <w:t>People and Remuneration Committee</w:t>
            </w:r>
          </w:p>
        </w:tc>
        <w:tc>
          <w:tcPr>
            <w:tcW w:w="2503" w:type="dxa"/>
          </w:tcPr>
          <w:p w14:paraId="34CAF12C"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2B4FA301" wp14:editId="292D310F">
                  <wp:extent cx="1327150" cy="1866265"/>
                  <wp:effectExtent l="0" t="0" r="6350" b="635"/>
                  <wp:docPr id="233" name="Picture 233" descr="A photo of Mr Paul O’Sullivan, who is smiling and facing the camera. Mr O’Sullivan is wearing a dark suit with a striped blue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of Paul O&amp;#039;Sulliva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27150" cy="1866265"/>
                          </a:xfrm>
                          <a:prstGeom prst="rect">
                            <a:avLst/>
                          </a:prstGeom>
                          <a:noFill/>
                          <a:ln>
                            <a:noFill/>
                          </a:ln>
                        </pic:spPr>
                      </pic:pic>
                    </a:graphicData>
                  </a:graphic>
                </wp:inline>
              </w:drawing>
            </w:r>
          </w:p>
        </w:tc>
      </w:tr>
      <w:tr w:rsidR="00832B78" w:rsidRPr="00262F3A" w14:paraId="35C8D73F" w14:textId="77777777" w:rsidTr="00D4656B">
        <w:tc>
          <w:tcPr>
            <w:tcW w:w="5861" w:type="dxa"/>
          </w:tcPr>
          <w:p w14:paraId="674738DA"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t>Ms Estelle Pearson</w:t>
            </w:r>
          </w:p>
          <w:p w14:paraId="325CF6BC" w14:textId="57FF097F" w:rsidR="00832B78" w:rsidRPr="00262F3A" w:rsidRDefault="00832B78" w:rsidP="003C5FE1">
            <w:pPr>
              <w:spacing w:before="60" w:after="60"/>
              <w:ind w:left="0"/>
              <w:rPr>
                <w:sz w:val="20"/>
                <w:szCs w:val="20"/>
              </w:rPr>
            </w:pPr>
            <w:r w:rsidRPr="00262F3A">
              <w:rPr>
                <w:sz w:val="20"/>
                <w:szCs w:val="20"/>
              </w:rPr>
              <w:t xml:space="preserve">Estelle Pearson has extensive experience in the insurance and injury compensation sector having worked as an </w:t>
            </w:r>
            <w:r w:rsidR="00D82775">
              <w:rPr>
                <w:sz w:val="20"/>
                <w:szCs w:val="20"/>
              </w:rPr>
              <w:t>a</w:t>
            </w:r>
            <w:r w:rsidRPr="00262F3A">
              <w:rPr>
                <w:sz w:val="20"/>
                <w:szCs w:val="20"/>
              </w:rPr>
              <w:t>ctuary and consultant in this sector since 1989. She is currently a Director of Finity Consulting Pty Limited, and was previously on the Council of the Actuaries Institute, including a term as President in 2015.</w:t>
            </w:r>
          </w:p>
          <w:p w14:paraId="33726795" w14:textId="33E0172A" w:rsidR="00DC5755" w:rsidRPr="00262F3A" w:rsidRDefault="00DC5755" w:rsidP="003C5FE1">
            <w:pPr>
              <w:pStyle w:val="Tableformat"/>
              <w:spacing w:before="60" w:after="60"/>
            </w:pPr>
            <w:r w:rsidRPr="00262F3A">
              <w:t>Qualifications: B</w:t>
            </w:r>
            <w:r w:rsidR="007A6628" w:rsidRPr="00262F3A">
              <w:t xml:space="preserve">A </w:t>
            </w:r>
            <w:r w:rsidRPr="00262F3A">
              <w:t>Hon</w:t>
            </w:r>
            <w:r w:rsidR="007A6628" w:rsidRPr="00262F3A">
              <w:t>s (Mathematics)</w:t>
            </w:r>
            <w:r w:rsidR="00D82775">
              <w:t xml:space="preserve"> from the</w:t>
            </w:r>
            <w:r w:rsidR="007A6628" w:rsidRPr="00262F3A">
              <w:t xml:space="preserve"> University of Oxford;</w:t>
            </w:r>
            <w:r w:rsidRPr="00262F3A">
              <w:t xml:space="preserve"> FIAA</w:t>
            </w:r>
          </w:p>
          <w:p w14:paraId="46FC9E70" w14:textId="77777777" w:rsidR="00E953EE" w:rsidRPr="00262F3A" w:rsidRDefault="00B14600"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Chair</w:t>
            </w:r>
            <w:r w:rsidR="00E953EE" w:rsidRPr="00262F3A">
              <w:rPr>
                <w:rFonts w:ascii="Arial" w:hAnsi="Arial" w:cs="Arial"/>
                <w:sz w:val="20"/>
                <w:szCs w:val="20"/>
              </w:rPr>
              <w:t>:</w:t>
            </w:r>
            <w:r w:rsidR="00832B78" w:rsidRPr="00262F3A">
              <w:rPr>
                <w:rFonts w:ascii="Arial" w:hAnsi="Arial" w:cs="Arial"/>
                <w:sz w:val="20"/>
                <w:szCs w:val="20"/>
              </w:rPr>
              <w:t xml:space="preserve"> Sustainability Committee</w:t>
            </w:r>
          </w:p>
          <w:p w14:paraId="64570A53" w14:textId="77777777" w:rsidR="00832B78" w:rsidRPr="00262F3A" w:rsidRDefault="00E953EE"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M</w:t>
            </w:r>
            <w:r w:rsidR="00832B78" w:rsidRPr="00262F3A">
              <w:rPr>
                <w:rFonts w:ascii="Arial" w:hAnsi="Arial" w:cs="Arial"/>
                <w:sz w:val="20"/>
                <w:szCs w:val="20"/>
              </w:rPr>
              <w:t>ember</w:t>
            </w:r>
            <w:r w:rsidRPr="00262F3A">
              <w:rPr>
                <w:rFonts w:ascii="Arial" w:hAnsi="Arial" w:cs="Arial"/>
                <w:sz w:val="20"/>
                <w:szCs w:val="20"/>
              </w:rPr>
              <w:t xml:space="preserve">: </w:t>
            </w:r>
            <w:r w:rsidR="00832B78" w:rsidRPr="00262F3A">
              <w:rPr>
                <w:rFonts w:ascii="Arial" w:hAnsi="Arial" w:cs="Arial"/>
                <w:sz w:val="20"/>
                <w:szCs w:val="20"/>
              </w:rPr>
              <w:t>Audit Committee</w:t>
            </w:r>
          </w:p>
        </w:tc>
        <w:tc>
          <w:tcPr>
            <w:tcW w:w="2503" w:type="dxa"/>
          </w:tcPr>
          <w:p w14:paraId="7A33F19C"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3E0EEAB9" wp14:editId="5D4F9D96">
                  <wp:extent cx="1076960" cy="1514475"/>
                  <wp:effectExtent l="0" t="0" r="8890" b="9525"/>
                  <wp:docPr id="232" name="Picture 232" descr="A photo of Ms Estelle Pearson, who is smiling and facing the camera. Ms Pearson is wearing a green top, a suit jacket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of Estelle Pearso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76960" cy="1514475"/>
                          </a:xfrm>
                          <a:prstGeom prst="rect">
                            <a:avLst/>
                          </a:prstGeom>
                          <a:noFill/>
                          <a:ln>
                            <a:noFill/>
                          </a:ln>
                        </pic:spPr>
                      </pic:pic>
                    </a:graphicData>
                  </a:graphic>
                </wp:inline>
              </w:drawing>
            </w:r>
          </w:p>
        </w:tc>
      </w:tr>
      <w:tr w:rsidR="00832B78" w:rsidRPr="00262F3A" w14:paraId="5FF765F0" w14:textId="77777777" w:rsidTr="00D4656B">
        <w:tc>
          <w:tcPr>
            <w:tcW w:w="5861" w:type="dxa"/>
          </w:tcPr>
          <w:p w14:paraId="74F6632D" w14:textId="77777777" w:rsidR="00832B78" w:rsidRPr="00262F3A" w:rsidRDefault="00832B78" w:rsidP="003C5FE1">
            <w:pPr>
              <w:spacing w:before="60" w:after="60"/>
              <w:ind w:left="0"/>
              <w:rPr>
                <w:rFonts w:eastAsiaTheme="minorHAnsi"/>
                <w:b/>
                <w:sz w:val="20"/>
                <w:szCs w:val="20"/>
                <w:lang w:eastAsia="en-US"/>
              </w:rPr>
            </w:pPr>
            <w:r w:rsidRPr="00262F3A">
              <w:rPr>
                <w:rFonts w:eastAsiaTheme="minorHAnsi"/>
                <w:b/>
                <w:sz w:val="20"/>
                <w:szCs w:val="20"/>
                <w:lang w:eastAsia="en-US"/>
              </w:rPr>
              <w:lastRenderedPageBreak/>
              <w:t>Mr John Walsh AM</w:t>
            </w:r>
          </w:p>
          <w:p w14:paraId="2B47A6A4" w14:textId="77777777" w:rsidR="007E35B6" w:rsidRPr="00262F3A" w:rsidRDefault="00832B78" w:rsidP="003C5FE1">
            <w:pPr>
              <w:spacing w:before="60" w:after="60"/>
              <w:ind w:left="0"/>
              <w:rPr>
                <w:sz w:val="20"/>
                <w:szCs w:val="20"/>
              </w:rPr>
            </w:pPr>
            <w:r w:rsidRPr="00262F3A">
              <w:rPr>
                <w:sz w:val="20"/>
                <w:szCs w:val="20"/>
              </w:rPr>
              <w:t>John Walsh is one of Australia’s leading actuaries. He is a retired Partner of Pricewaterhouse Coopers, where he worked for over 20 years in the areas of social policy and funding across accident compensation, health and disability. He has personal experience of disability, having lived with quadriplegia following a rugby league accident in his early-twenties.</w:t>
            </w:r>
            <w:r w:rsidR="007E35B6" w:rsidRPr="00262F3A">
              <w:rPr>
                <w:sz w:val="20"/>
                <w:szCs w:val="20"/>
              </w:rPr>
              <w:t xml:space="preserve">  He has resigned from the Board effective 31 August 2020.</w:t>
            </w:r>
          </w:p>
          <w:p w14:paraId="76D0ADA1" w14:textId="77777777" w:rsidR="00DC5755" w:rsidRPr="00262F3A" w:rsidRDefault="00DC5755" w:rsidP="003C5FE1">
            <w:pPr>
              <w:spacing w:before="60" w:after="60"/>
              <w:ind w:left="0"/>
              <w:rPr>
                <w:sz w:val="20"/>
                <w:szCs w:val="20"/>
              </w:rPr>
            </w:pPr>
            <w:r w:rsidRPr="00262F3A">
              <w:rPr>
                <w:sz w:val="20"/>
                <w:szCs w:val="20"/>
              </w:rPr>
              <w:t>Qualifications: FIAA</w:t>
            </w:r>
          </w:p>
          <w:p w14:paraId="3EA1E157" w14:textId="77777777" w:rsidR="00E953EE" w:rsidRPr="00262F3A" w:rsidRDefault="00E953EE"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 xml:space="preserve">Member: </w:t>
            </w:r>
            <w:r w:rsidR="00832B78" w:rsidRPr="00262F3A">
              <w:rPr>
                <w:rFonts w:ascii="Arial" w:hAnsi="Arial" w:cs="Arial"/>
                <w:sz w:val="20"/>
                <w:szCs w:val="20"/>
              </w:rPr>
              <w:t>Sustainability Committee</w:t>
            </w:r>
            <w:r w:rsidRPr="00262F3A">
              <w:rPr>
                <w:rFonts w:ascii="Arial" w:hAnsi="Arial" w:cs="Arial"/>
                <w:sz w:val="20"/>
                <w:szCs w:val="20"/>
              </w:rPr>
              <w:t xml:space="preserve">; </w:t>
            </w:r>
            <w:r w:rsidR="00C27F48" w:rsidRPr="00262F3A">
              <w:rPr>
                <w:rFonts w:ascii="Arial" w:hAnsi="Arial" w:cs="Arial"/>
                <w:sz w:val="20"/>
                <w:szCs w:val="20"/>
              </w:rPr>
              <w:t xml:space="preserve">ICT </w:t>
            </w:r>
            <w:r w:rsidR="00832B78" w:rsidRPr="00262F3A">
              <w:rPr>
                <w:rFonts w:ascii="Arial" w:hAnsi="Arial" w:cs="Arial"/>
                <w:sz w:val="20"/>
                <w:szCs w:val="20"/>
              </w:rPr>
              <w:t>and Digital Committee</w:t>
            </w:r>
          </w:p>
          <w:p w14:paraId="634E9727" w14:textId="77777777" w:rsidR="00832B78" w:rsidRPr="00262F3A" w:rsidRDefault="00832B78" w:rsidP="003C5FE1">
            <w:pPr>
              <w:pStyle w:val="NormalWeb"/>
              <w:spacing w:before="60" w:beforeAutospacing="0" w:after="60" w:afterAutospacing="0"/>
              <w:ind w:left="0"/>
              <w:rPr>
                <w:rFonts w:ascii="Arial" w:hAnsi="Arial" w:cs="Arial"/>
                <w:sz w:val="20"/>
                <w:szCs w:val="20"/>
              </w:rPr>
            </w:pPr>
            <w:r w:rsidRPr="00262F3A">
              <w:rPr>
                <w:rFonts w:ascii="Arial" w:hAnsi="Arial" w:cs="Arial"/>
                <w:sz w:val="20"/>
                <w:szCs w:val="20"/>
              </w:rPr>
              <w:t>Principal Member</w:t>
            </w:r>
            <w:r w:rsidR="00E953EE" w:rsidRPr="00262F3A">
              <w:rPr>
                <w:rFonts w:ascii="Arial" w:hAnsi="Arial" w:cs="Arial"/>
                <w:sz w:val="20"/>
                <w:szCs w:val="20"/>
              </w:rPr>
              <w:t xml:space="preserve">: </w:t>
            </w:r>
            <w:r w:rsidRPr="00262F3A">
              <w:rPr>
                <w:rFonts w:ascii="Arial" w:hAnsi="Arial" w:cs="Arial"/>
                <w:sz w:val="20"/>
                <w:szCs w:val="20"/>
              </w:rPr>
              <w:t>Independent Advisory Council until 30 June 2020</w:t>
            </w:r>
          </w:p>
        </w:tc>
        <w:tc>
          <w:tcPr>
            <w:tcW w:w="2503" w:type="dxa"/>
          </w:tcPr>
          <w:p w14:paraId="5909971F" w14:textId="77777777" w:rsidR="00832B78" w:rsidRPr="00262F3A" w:rsidRDefault="00832B78" w:rsidP="00561B3B">
            <w:pPr>
              <w:rPr>
                <w:noProof/>
                <w:sz w:val="20"/>
                <w:szCs w:val="20"/>
                <w:lang w:eastAsia="en-AU"/>
              </w:rPr>
            </w:pPr>
            <w:r w:rsidRPr="00262F3A">
              <w:rPr>
                <w:noProof/>
                <w:sz w:val="20"/>
                <w:szCs w:val="20"/>
                <w:lang w:eastAsia="en-AU"/>
              </w:rPr>
              <w:drawing>
                <wp:inline distT="0" distB="0" distL="0" distR="0" wp14:anchorId="1AF8F31E" wp14:editId="5B938ECD">
                  <wp:extent cx="1336675" cy="1880235"/>
                  <wp:effectExtent l="0" t="0" r="0" b="5715"/>
                  <wp:docPr id="231" name="Picture 231" descr="A photo of Mr John Walsh, who is smiling and facing the camera. Mr Walsh is wearing a black jumper over a white shirt and checked purple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John Wals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36675" cy="1880235"/>
                          </a:xfrm>
                          <a:prstGeom prst="rect">
                            <a:avLst/>
                          </a:prstGeom>
                          <a:noFill/>
                          <a:ln>
                            <a:noFill/>
                          </a:ln>
                        </pic:spPr>
                      </pic:pic>
                    </a:graphicData>
                  </a:graphic>
                </wp:inline>
              </w:drawing>
            </w:r>
          </w:p>
        </w:tc>
      </w:tr>
      <w:tr w:rsidR="00C641B8" w:rsidRPr="00262F3A" w14:paraId="560A403A" w14:textId="77777777" w:rsidTr="003C5FE1">
        <w:trPr>
          <w:trHeight w:val="2253"/>
        </w:trPr>
        <w:tc>
          <w:tcPr>
            <w:tcW w:w="5861" w:type="dxa"/>
          </w:tcPr>
          <w:p w14:paraId="310E94AF" w14:textId="77777777" w:rsidR="00C641B8" w:rsidRPr="00262F3A" w:rsidRDefault="00C641B8" w:rsidP="003C5FE1">
            <w:pPr>
              <w:spacing w:before="60" w:after="60"/>
              <w:ind w:left="0"/>
              <w:rPr>
                <w:b/>
                <w:sz w:val="20"/>
                <w:szCs w:val="20"/>
              </w:rPr>
            </w:pPr>
            <w:r w:rsidRPr="00262F3A">
              <w:rPr>
                <w:b/>
                <w:sz w:val="20"/>
                <w:szCs w:val="20"/>
              </w:rPr>
              <w:t>Ms Andrea Staines OAM</w:t>
            </w:r>
          </w:p>
          <w:p w14:paraId="176AD804" w14:textId="77777777" w:rsidR="00C641B8" w:rsidRPr="00262F3A" w:rsidRDefault="00C641B8" w:rsidP="003C5FE1">
            <w:pPr>
              <w:spacing w:before="60" w:after="60"/>
              <w:ind w:left="0"/>
              <w:rPr>
                <w:rFonts w:eastAsiaTheme="minorHAnsi"/>
                <w:b/>
                <w:color w:val="000000"/>
                <w:sz w:val="20"/>
                <w:szCs w:val="20"/>
                <w:highlight w:val="yellow"/>
                <w:lang w:eastAsia="en-US"/>
              </w:rPr>
            </w:pPr>
            <w:r w:rsidRPr="00262F3A">
              <w:rPr>
                <w:sz w:val="20"/>
                <w:szCs w:val="20"/>
              </w:rPr>
              <w:t>Andrea Staines OAM is a Non-Executive Director with 13 years</w:t>
            </w:r>
            <w:r w:rsidR="008E40AB" w:rsidRPr="00262F3A">
              <w:rPr>
                <w:sz w:val="20"/>
                <w:szCs w:val="20"/>
              </w:rPr>
              <w:t>’</w:t>
            </w:r>
            <w:r w:rsidRPr="00262F3A">
              <w:rPr>
                <w:sz w:val="20"/>
                <w:szCs w:val="20"/>
              </w:rPr>
              <w:t xml:space="preserve"> experience on listed, private, government and for-purpose boards in retail service and transport areas. Specifically in the area of care, Ms Staines is on the Board of UnitingCare Queensland, and was previously on the boards of Goodstart Early Learning and Early Learning Services. Ms Staines’ term on the Board concluded on 31 December 2019</w:t>
            </w:r>
            <w:r w:rsidR="006A7803" w:rsidRPr="00262F3A">
              <w:rPr>
                <w:sz w:val="20"/>
                <w:szCs w:val="20"/>
              </w:rPr>
              <w:t>.</w:t>
            </w:r>
          </w:p>
        </w:tc>
        <w:tc>
          <w:tcPr>
            <w:tcW w:w="2503" w:type="dxa"/>
          </w:tcPr>
          <w:p w14:paraId="78EDCE24" w14:textId="77777777" w:rsidR="00C641B8" w:rsidRPr="00262F3A" w:rsidRDefault="00C641B8" w:rsidP="00561B3B">
            <w:pPr>
              <w:rPr>
                <w:noProof/>
                <w:sz w:val="20"/>
                <w:szCs w:val="20"/>
                <w:lang w:eastAsia="en-AU"/>
              </w:rPr>
            </w:pPr>
            <w:r w:rsidRPr="00262F3A">
              <w:rPr>
                <w:noProof/>
                <w:sz w:val="20"/>
                <w:szCs w:val="20"/>
                <w:lang w:eastAsia="en-AU"/>
              </w:rPr>
              <w:drawing>
                <wp:inline distT="0" distB="0" distL="0" distR="0" wp14:anchorId="6A1BE506" wp14:editId="4B2E0B18">
                  <wp:extent cx="1143000" cy="1345565"/>
                  <wp:effectExtent l="0" t="0" r="0" b="6985"/>
                  <wp:docPr id="24" name="Picture 24" descr="A photo of Ms Andrea Staines, who is smiling and facing the camera. Ms Staines is wearing a multi-coloured jacket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000" cy="1345565"/>
                          </a:xfrm>
                          <a:prstGeom prst="rect">
                            <a:avLst/>
                          </a:prstGeom>
                          <a:noFill/>
                          <a:ln>
                            <a:noFill/>
                          </a:ln>
                        </pic:spPr>
                      </pic:pic>
                    </a:graphicData>
                  </a:graphic>
                </wp:inline>
              </w:drawing>
            </w:r>
          </w:p>
        </w:tc>
      </w:tr>
    </w:tbl>
    <w:p w14:paraId="624EC25E" w14:textId="77777777" w:rsidR="00832B78" w:rsidRPr="00262F3A" w:rsidRDefault="002C054D" w:rsidP="008F00D1">
      <w:pPr>
        <w:pStyle w:val="Heading3"/>
      </w:pPr>
      <w:bookmarkStart w:id="142" w:name="_Toc51067983"/>
      <w:r w:rsidRPr="00262F3A">
        <w:t>Board c</w:t>
      </w:r>
      <w:r w:rsidR="000270C0" w:rsidRPr="00262F3A">
        <w:t>ommittees</w:t>
      </w:r>
      <w:bookmarkEnd w:id="142"/>
    </w:p>
    <w:p w14:paraId="02836D10" w14:textId="77777777" w:rsidR="00475947" w:rsidRPr="00262F3A" w:rsidRDefault="00475947" w:rsidP="00561B3B">
      <w:r w:rsidRPr="00262F3A">
        <w:t xml:space="preserve">A number of committees, councils and groups are in place to support the Board in ensuring the Agency meets its statutory requirements and manages risk. The following table provides the title and role of each committee and its members as at 30 June 2020. </w:t>
      </w:r>
    </w:p>
    <w:p w14:paraId="06FBBB49" w14:textId="77777777" w:rsidR="00475947" w:rsidRPr="00262F3A" w:rsidRDefault="00475947" w:rsidP="00901595">
      <w:pPr>
        <w:keepNext/>
      </w:pPr>
      <w:r w:rsidRPr="00262F3A">
        <w:rPr>
          <w:b/>
        </w:rPr>
        <w:t xml:space="preserve">Table </w:t>
      </w:r>
      <w:r w:rsidR="00E3245B" w:rsidRPr="00262F3A">
        <w:rPr>
          <w:b/>
        </w:rPr>
        <w:t>4.2.3A</w:t>
      </w:r>
      <w:r w:rsidRPr="00262F3A">
        <w:t>: Board committees and members as at 30 June 2020</w:t>
      </w:r>
    </w:p>
    <w:tbl>
      <w:tblPr>
        <w:tblStyle w:val="GridTable2-Accent3"/>
        <w:tblW w:w="0" w:type="auto"/>
        <w:tblInd w:w="612" w:type="dxa"/>
        <w:tblLook w:val="04A0" w:firstRow="1" w:lastRow="0" w:firstColumn="1" w:lastColumn="0" w:noHBand="0" w:noVBand="1"/>
        <w:tblCaption w:val="Table 2.2.1: Board Committees and members at 30 June 2018"/>
        <w:tblDescription w:val="This table provides information on the committees in place to ensure the NDIA meets its statutory requirements and manages risk. The table provides the title and role of each committee and lists committee members. All of these committees report to the NDIA Board."/>
      </w:tblPr>
      <w:tblGrid>
        <w:gridCol w:w="2082"/>
        <w:gridCol w:w="4252"/>
        <w:gridCol w:w="3089"/>
      </w:tblGrid>
      <w:tr w:rsidR="00475947" w:rsidRPr="00262F3A" w14:paraId="42D9DD9A" w14:textId="77777777" w:rsidTr="00D775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82" w:type="dxa"/>
            <w:tcBorders>
              <w:left w:val="nil"/>
            </w:tcBorders>
            <w:shd w:val="clear" w:color="auto" w:fill="6F2381"/>
            <w:hideMark/>
          </w:tcPr>
          <w:p w14:paraId="024C830B" w14:textId="77777777" w:rsidR="00475947" w:rsidRPr="00262F3A" w:rsidRDefault="00475947" w:rsidP="00561B3B">
            <w:pPr>
              <w:rPr>
                <w:color w:val="FFFFFF" w:themeColor="background1"/>
              </w:rPr>
            </w:pPr>
            <w:r w:rsidRPr="00262F3A">
              <w:rPr>
                <w:color w:val="FFFFFF" w:themeColor="background1"/>
              </w:rPr>
              <w:t>Committee</w:t>
            </w:r>
          </w:p>
        </w:tc>
        <w:tc>
          <w:tcPr>
            <w:tcW w:w="4252" w:type="dxa"/>
            <w:shd w:val="clear" w:color="auto" w:fill="6F2381"/>
            <w:hideMark/>
          </w:tcPr>
          <w:p w14:paraId="4C4BE4D9" w14:textId="77777777" w:rsidR="00475947" w:rsidRPr="00262F3A" w:rsidRDefault="00475947" w:rsidP="00561B3B">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Role</w:t>
            </w:r>
          </w:p>
        </w:tc>
        <w:tc>
          <w:tcPr>
            <w:tcW w:w="3089" w:type="dxa"/>
            <w:tcBorders>
              <w:right w:val="nil"/>
            </w:tcBorders>
            <w:shd w:val="clear" w:color="auto" w:fill="6F2381"/>
            <w:hideMark/>
          </w:tcPr>
          <w:p w14:paraId="16973BB2" w14:textId="77777777" w:rsidR="00475947" w:rsidRPr="00262F3A" w:rsidRDefault="00475947" w:rsidP="00561B3B">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Members</w:t>
            </w:r>
          </w:p>
        </w:tc>
      </w:tr>
      <w:tr w:rsidR="00475947" w:rsidRPr="00262F3A" w14:paraId="73B70101" w14:textId="77777777" w:rsidTr="00D7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3B1730CA" w14:textId="77777777" w:rsidR="00475947" w:rsidRPr="00262F3A" w:rsidRDefault="00475947" w:rsidP="00D4656B">
            <w:pPr>
              <w:ind w:left="0"/>
              <w:rPr>
                <w:sz w:val="20"/>
                <w:szCs w:val="20"/>
              </w:rPr>
            </w:pPr>
            <w:r w:rsidRPr="00262F3A">
              <w:rPr>
                <w:sz w:val="20"/>
                <w:szCs w:val="20"/>
              </w:rPr>
              <w:t>Audit Committee</w:t>
            </w:r>
          </w:p>
        </w:tc>
        <w:tc>
          <w:tcPr>
            <w:tcW w:w="425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03B7990B" w14:textId="77777777" w:rsidR="00475947" w:rsidRPr="00262F3A" w:rsidRDefault="00475947" w:rsidP="00AC60F9">
            <w:pPr>
              <w:pStyle w:val="Tableformat"/>
              <w:cnfStyle w:val="000000100000" w:firstRow="0" w:lastRow="0" w:firstColumn="0" w:lastColumn="0" w:oddVBand="0" w:evenVBand="0" w:oddHBand="1" w:evenHBand="0" w:firstRowFirstColumn="0" w:firstRowLastColumn="0" w:lastRowFirstColumn="0" w:lastRowLastColumn="0"/>
            </w:pPr>
            <w:r w:rsidRPr="00262F3A">
              <w:t>The Audit Committee assists the Board in the management and oversight of the quality and integrity of the accounting, auditing and financial reporting of the Agency. It was established in compliance with section 45 of the PGPA Act.</w:t>
            </w:r>
          </w:p>
          <w:p w14:paraId="3576DE70" w14:textId="77777777" w:rsidR="00475947" w:rsidRPr="00262F3A" w:rsidRDefault="00475947" w:rsidP="00AC60F9">
            <w:pPr>
              <w:pStyle w:val="Tableformat"/>
              <w:cnfStyle w:val="000000100000" w:firstRow="0" w:lastRow="0" w:firstColumn="0" w:lastColumn="0" w:oddVBand="0" w:evenVBand="0" w:oddHBand="1" w:evenHBand="0" w:firstRowFirstColumn="0" w:firstRowLastColumn="0" w:lastRowFirstColumn="0" w:lastRowLastColumn="0"/>
            </w:pPr>
            <w:r w:rsidRPr="00262F3A">
              <w:lastRenderedPageBreak/>
              <w:t xml:space="preserve">The Australian National Audit Office attends Audit Committee meetings as external auditor, along with </w:t>
            </w:r>
            <w:r w:rsidRPr="00262F3A">
              <w:rPr>
                <w:iCs/>
              </w:rPr>
              <w:t>the Chief Internal Auditor</w:t>
            </w:r>
            <w:r w:rsidRPr="00262F3A">
              <w:t>.</w:t>
            </w:r>
          </w:p>
        </w:tc>
        <w:tc>
          <w:tcPr>
            <w:tcW w:w="3089"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38AF9A47" w14:textId="5BC519E3" w:rsidR="00475947" w:rsidRPr="00262F3A" w:rsidRDefault="00D7752C"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lastRenderedPageBreak/>
              <w:t xml:space="preserve">Ms Sandra Birkensleigh </w:t>
            </w:r>
            <w:r w:rsidR="00475947" w:rsidRPr="00262F3A">
              <w:rPr>
                <w:rFonts w:ascii="Arial" w:hAnsi="Arial" w:cs="Arial"/>
                <w:sz w:val="20"/>
                <w:szCs w:val="20"/>
              </w:rPr>
              <w:t xml:space="preserve">(Chair) </w:t>
            </w:r>
          </w:p>
          <w:p w14:paraId="43BE6092"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Mr John Langoulant AO</w:t>
            </w:r>
          </w:p>
          <w:p w14:paraId="798BA584"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Dr Martin Laverty </w:t>
            </w:r>
          </w:p>
          <w:p w14:paraId="7D59A90B"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Ms Estelle Pearson </w:t>
            </w:r>
          </w:p>
        </w:tc>
      </w:tr>
      <w:tr w:rsidR="00475947" w:rsidRPr="00262F3A" w14:paraId="0C213013" w14:textId="77777777" w:rsidTr="00D7752C">
        <w:tc>
          <w:tcPr>
            <w:cnfStyle w:val="001000000000" w:firstRow="0" w:lastRow="0" w:firstColumn="1" w:lastColumn="0" w:oddVBand="0" w:evenVBand="0" w:oddHBand="0" w:evenHBand="0" w:firstRowFirstColumn="0" w:firstRowLastColumn="0" w:lastRowFirstColumn="0" w:lastRowLastColumn="0"/>
            <w:tcW w:w="2082"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4EAE86DD" w14:textId="77777777" w:rsidR="00475947" w:rsidRPr="00262F3A" w:rsidRDefault="00F9417A" w:rsidP="00F9417A">
            <w:pPr>
              <w:ind w:left="0"/>
              <w:rPr>
                <w:sz w:val="20"/>
                <w:szCs w:val="20"/>
                <w:lang w:eastAsia="en-AU"/>
              </w:rPr>
            </w:pPr>
            <w:r w:rsidRPr="00262F3A">
              <w:rPr>
                <w:sz w:val="20"/>
                <w:szCs w:val="20"/>
                <w:lang w:eastAsia="en-AU"/>
              </w:rPr>
              <w:t>ICT</w:t>
            </w:r>
            <w:r w:rsidR="00475947" w:rsidRPr="00262F3A">
              <w:rPr>
                <w:sz w:val="20"/>
                <w:szCs w:val="20"/>
                <w:lang w:eastAsia="en-AU"/>
              </w:rPr>
              <w:t xml:space="preserve"> and Digital Committee</w:t>
            </w:r>
          </w:p>
        </w:tc>
        <w:tc>
          <w:tcPr>
            <w:tcW w:w="425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18789DBC" w14:textId="77777777" w:rsidR="00475947" w:rsidRPr="00262F3A" w:rsidRDefault="00475947" w:rsidP="00AB5308">
            <w:pPr>
              <w:ind w:left="0"/>
              <w:cnfStyle w:val="000000000000" w:firstRow="0" w:lastRow="0" w:firstColumn="0" w:lastColumn="0" w:oddVBand="0" w:evenVBand="0" w:oddHBand="0" w:evenHBand="0" w:firstRowFirstColumn="0" w:firstRowLastColumn="0" w:lastRowFirstColumn="0" w:lastRowLastColumn="0"/>
              <w:rPr>
                <w:sz w:val="20"/>
                <w:szCs w:val="20"/>
              </w:rPr>
            </w:pPr>
            <w:r w:rsidRPr="00262F3A">
              <w:rPr>
                <w:sz w:val="20"/>
                <w:szCs w:val="20"/>
              </w:rPr>
              <w:t xml:space="preserve">The </w:t>
            </w:r>
            <w:r w:rsidR="00AB5308" w:rsidRPr="00262F3A">
              <w:rPr>
                <w:sz w:val="20"/>
                <w:szCs w:val="20"/>
              </w:rPr>
              <w:t>ICT</w:t>
            </w:r>
            <w:r w:rsidRPr="00262F3A">
              <w:rPr>
                <w:sz w:val="20"/>
                <w:szCs w:val="20"/>
              </w:rPr>
              <w:t xml:space="preserve"> and Digital Committee assists the Board in the management and oversight of the Agency’s information, communication, technology and digital solutions including providing input to the Board on the design, development, delivery and performance of the information, communication, technology and digital strategy and systems. </w:t>
            </w:r>
          </w:p>
        </w:tc>
        <w:tc>
          <w:tcPr>
            <w:tcW w:w="3089"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6647F9C8"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Mr Paul O’Sullivan (Chair) </w:t>
            </w:r>
          </w:p>
          <w:p w14:paraId="58E434FE" w14:textId="77777777" w:rsidR="00815D62" w:rsidRPr="00262F3A" w:rsidRDefault="00815D62" w:rsidP="00815D62">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Professor Jane Burns </w:t>
            </w:r>
          </w:p>
          <w:p w14:paraId="0EBEB242" w14:textId="77777777" w:rsidR="00815D62" w:rsidRPr="00262F3A" w:rsidRDefault="00815D62" w:rsidP="00815D62">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Mr Glenn Keys AO</w:t>
            </w:r>
          </w:p>
          <w:p w14:paraId="7246483E"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Dr Helen Nugent AO</w:t>
            </w:r>
          </w:p>
          <w:p w14:paraId="7C0FFB1B"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Mr John Walsh AM </w:t>
            </w:r>
          </w:p>
        </w:tc>
      </w:tr>
      <w:tr w:rsidR="00475947" w:rsidRPr="00262F3A" w14:paraId="5FDB07D3" w14:textId="77777777" w:rsidTr="00D7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703E06B7" w14:textId="77777777" w:rsidR="00475947" w:rsidRPr="00262F3A" w:rsidRDefault="00475947" w:rsidP="00D4656B">
            <w:pPr>
              <w:ind w:left="0"/>
              <w:rPr>
                <w:sz w:val="20"/>
                <w:szCs w:val="20"/>
                <w:lang w:eastAsia="en-AU"/>
              </w:rPr>
            </w:pPr>
            <w:r w:rsidRPr="00262F3A">
              <w:rPr>
                <w:sz w:val="20"/>
                <w:szCs w:val="20"/>
                <w:lang w:eastAsia="en-AU"/>
              </w:rPr>
              <w:t>People and Remuneration Committee</w:t>
            </w:r>
          </w:p>
        </w:tc>
        <w:tc>
          <w:tcPr>
            <w:tcW w:w="425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16949511" w14:textId="77777777" w:rsidR="00475947" w:rsidRPr="00262F3A" w:rsidRDefault="00475947" w:rsidP="00D4656B">
            <w:pPr>
              <w:ind w:left="0"/>
              <w:cnfStyle w:val="000000100000" w:firstRow="0" w:lastRow="0" w:firstColumn="0" w:lastColumn="0" w:oddVBand="0" w:evenVBand="0" w:oddHBand="1" w:evenHBand="0" w:firstRowFirstColumn="0" w:firstRowLastColumn="0" w:lastRowFirstColumn="0" w:lastRowLastColumn="0"/>
              <w:rPr>
                <w:sz w:val="20"/>
                <w:szCs w:val="20"/>
              </w:rPr>
            </w:pPr>
            <w:r w:rsidRPr="00262F3A">
              <w:rPr>
                <w:sz w:val="20"/>
                <w:szCs w:val="20"/>
              </w:rPr>
              <w:t>The People and Remuneration Committee assists the Agency to attract, retain and develop high-performing employees. It oversees strategies, frameworks and programs related to people and remuneration, and provides recommendations to the Board on CEO succession planning.</w:t>
            </w:r>
          </w:p>
        </w:tc>
        <w:tc>
          <w:tcPr>
            <w:tcW w:w="3089"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5D2766F2"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Ms Robyn Kruk AO (Chair) </w:t>
            </w:r>
          </w:p>
          <w:p w14:paraId="4BA52D7A"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Ms Sandra Birkensleigh</w:t>
            </w:r>
            <w:r w:rsidRPr="00262F3A">
              <w:rPr>
                <w:rStyle w:val="A11"/>
                <w:rFonts w:ascii="Arial" w:hAnsi="Arial" w:cs="Arial"/>
                <w:sz w:val="20"/>
                <w:szCs w:val="20"/>
              </w:rPr>
              <w:t xml:space="preserve"> </w:t>
            </w:r>
          </w:p>
          <w:p w14:paraId="1ACE79D0"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Mr Glenn Keys AO</w:t>
            </w:r>
          </w:p>
          <w:p w14:paraId="7E23E7E4"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Dr Helen Nugent AO </w:t>
            </w:r>
          </w:p>
          <w:p w14:paraId="42841309" w14:textId="77777777" w:rsidR="00475947" w:rsidRPr="00262F3A" w:rsidRDefault="00475947" w:rsidP="00D4656B">
            <w:pPr>
              <w:ind w:left="0"/>
              <w:cnfStyle w:val="000000100000" w:firstRow="0" w:lastRow="0" w:firstColumn="0" w:lastColumn="0" w:oddVBand="0" w:evenVBand="0" w:oddHBand="1" w:evenHBand="0" w:firstRowFirstColumn="0" w:firstRowLastColumn="0" w:lastRowFirstColumn="0" w:lastRowLastColumn="0"/>
              <w:rPr>
                <w:sz w:val="20"/>
                <w:szCs w:val="20"/>
              </w:rPr>
            </w:pPr>
            <w:r w:rsidRPr="00262F3A">
              <w:rPr>
                <w:sz w:val="20"/>
                <w:szCs w:val="20"/>
              </w:rPr>
              <w:t xml:space="preserve">Mr Paul O’Sullivan </w:t>
            </w:r>
          </w:p>
        </w:tc>
      </w:tr>
      <w:tr w:rsidR="00475947" w:rsidRPr="00262F3A" w14:paraId="51649080" w14:textId="77777777" w:rsidTr="00D7752C">
        <w:tc>
          <w:tcPr>
            <w:cnfStyle w:val="001000000000" w:firstRow="0" w:lastRow="0" w:firstColumn="1" w:lastColumn="0" w:oddVBand="0" w:evenVBand="0" w:oddHBand="0" w:evenHBand="0" w:firstRowFirstColumn="0" w:firstRowLastColumn="0" w:lastRowFirstColumn="0" w:lastRowLastColumn="0"/>
            <w:tcW w:w="2082"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70C81566" w14:textId="77777777" w:rsidR="00475947" w:rsidRPr="00262F3A" w:rsidRDefault="00475947" w:rsidP="00D4656B">
            <w:pPr>
              <w:ind w:left="0"/>
              <w:rPr>
                <w:sz w:val="20"/>
                <w:szCs w:val="20"/>
              </w:rPr>
            </w:pPr>
            <w:r w:rsidRPr="00262F3A">
              <w:rPr>
                <w:sz w:val="20"/>
                <w:szCs w:val="20"/>
                <w:lang w:eastAsia="en-AU"/>
              </w:rPr>
              <w:t>Risk Committee</w:t>
            </w:r>
          </w:p>
        </w:tc>
        <w:tc>
          <w:tcPr>
            <w:tcW w:w="425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46E9CB89" w14:textId="77777777" w:rsidR="00475947" w:rsidRPr="00262F3A" w:rsidRDefault="00475947" w:rsidP="00D4656B">
            <w:pPr>
              <w:ind w:left="0"/>
              <w:cnfStyle w:val="000000000000" w:firstRow="0" w:lastRow="0" w:firstColumn="0" w:lastColumn="0" w:oddVBand="0" w:evenVBand="0" w:oddHBand="0" w:evenHBand="0" w:firstRowFirstColumn="0" w:firstRowLastColumn="0" w:lastRowFirstColumn="0" w:lastRowLastColumn="0"/>
              <w:rPr>
                <w:sz w:val="20"/>
                <w:szCs w:val="20"/>
              </w:rPr>
            </w:pPr>
            <w:r w:rsidRPr="00262F3A">
              <w:rPr>
                <w:sz w:val="20"/>
                <w:szCs w:val="20"/>
              </w:rPr>
              <w:t>The Risk Committee assists the Board in the management and oversight of the Agency’s approach to risk management. Its role is to advise the Board on the development and implementation of the Agency’s overall risk management approach.</w:t>
            </w:r>
          </w:p>
        </w:tc>
        <w:tc>
          <w:tcPr>
            <w:tcW w:w="3089"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12322CC0"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Mr James Minto (Chair) </w:t>
            </w:r>
          </w:p>
          <w:p w14:paraId="6CF41E31" w14:textId="77777777" w:rsidR="00815D62" w:rsidRPr="00262F3A" w:rsidRDefault="00815D62" w:rsidP="00815D62">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Ms Robyn Kruk AO </w:t>
            </w:r>
          </w:p>
          <w:p w14:paraId="29EB7D65"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Mr John Langoulant AO</w:t>
            </w:r>
          </w:p>
          <w:p w14:paraId="21807F7F"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Dr Martin Laverty </w:t>
            </w:r>
          </w:p>
          <w:p w14:paraId="59A7FBD5" w14:textId="77777777" w:rsidR="00475947" w:rsidRPr="00262F3A" w:rsidRDefault="00475947" w:rsidP="00D4656B">
            <w:pPr>
              <w:pStyle w:val="Pa35"/>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Dr Helen Nugent AO </w:t>
            </w:r>
          </w:p>
          <w:p w14:paraId="1C750C46" w14:textId="77777777" w:rsidR="00475947" w:rsidRPr="00262F3A" w:rsidRDefault="00475947" w:rsidP="00D4656B">
            <w:pPr>
              <w:ind w:left="0"/>
              <w:cnfStyle w:val="000000000000" w:firstRow="0" w:lastRow="0" w:firstColumn="0" w:lastColumn="0" w:oddVBand="0" w:evenVBand="0" w:oddHBand="0" w:evenHBand="0" w:firstRowFirstColumn="0" w:firstRowLastColumn="0" w:lastRowFirstColumn="0" w:lastRowLastColumn="0"/>
              <w:rPr>
                <w:sz w:val="20"/>
                <w:szCs w:val="20"/>
              </w:rPr>
            </w:pPr>
            <w:r w:rsidRPr="00262F3A">
              <w:rPr>
                <w:sz w:val="20"/>
                <w:szCs w:val="20"/>
              </w:rPr>
              <w:t xml:space="preserve">Mr Paul O’Sullivan </w:t>
            </w:r>
          </w:p>
        </w:tc>
      </w:tr>
      <w:tr w:rsidR="00475947" w:rsidRPr="00262F3A" w14:paraId="1B3E38A1" w14:textId="77777777" w:rsidTr="00D7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1A086BC0" w14:textId="77777777" w:rsidR="00475947" w:rsidRPr="00262F3A" w:rsidRDefault="00475947" w:rsidP="00D4656B">
            <w:pPr>
              <w:ind w:left="0"/>
              <w:rPr>
                <w:sz w:val="20"/>
                <w:szCs w:val="20"/>
                <w:lang w:eastAsia="en-AU"/>
              </w:rPr>
            </w:pPr>
            <w:r w:rsidRPr="00262F3A">
              <w:rPr>
                <w:sz w:val="20"/>
                <w:szCs w:val="20"/>
                <w:lang w:eastAsia="en-AU"/>
              </w:rPr>
              <w:t>Sustainability Committee</w:t>
            </w:r>
          </w:p>
        </w:tc>
        <w:tc>
          <w:tcPr>
            <w:tcW w:w="425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501A51C8" w14:textId="77777777" w:rsidR="00475947" w:rsidRPr="00262F3A" w:rsidRDefault="00475947" w:rsidP="00D4656B">
            <w:pPr>
              <w:ind w:left="0"/>
              <w:cnfStyle w:val="000000100000" w:firstRow="0" w:lastRow="0" w:firstColumn="0" w:lastColumn="0" w:oddVBand="0" w:evenVBand="0" w:oddHBand="1" w:evenHBand="0" w:firstRowFirstColumn="0" w:firstRowLastColumn="0" w:lastRowFirstColumn="0" w:lastRowLastColumn="0"/>
              <w:rPr>
                <w:sz w:val="20"/>
                <w:szCs w:val="20"/>
              </w:rPr>
            </w:pPr>
            <w:r w:rsidRPr="00262F3A">
              <w:rPr>
                <w:sz w:val="20"/>
                <w:szCs w:val="20"/>
              </w:rPr>
              <w:t>The Sustainability Committee provides advice in assessing, monitoring, reporting on and managing the financial sustainability of the Scheme.</w:t>
            </w:r>
          </w:p>
        </w:tc>
        <w:tc>
          <w:tcPr>
            <w:tcW w:w="3089"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1CC045DE"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Ms Estelle Pearson (Chair) </w:t>
            </w:r>
          </w:p>
          <w:p w14:paraId="174511D2"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Mr John Langoulant AO</w:t>
            </w:r>
            <w:r w:rsidRPr="00262F3A">
              <w:rPr>
                <w:rStyle w:val="A11"/>
                <w:rFonts w:ascii="Arial" w:hAnsi="Arial" w:cs="Arial"/>
                <w:sz w:val="20"/>
                <w:szCs w:val="20"/>
              </w:rPr>
              <w:t xml:space="preserve"> </w:t>
            </w:r>
          </w:p>
          <w:p w14:paraId="4FC9534B"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Mr James Minto </w:t>
            </w:r>
          </w:p>
          <w:p w14:paraId="798D5250"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2F3A">
              <w:rPr>
                <w:rFonts w:ascii="Arial" w:hAnsi="Arial" w:cs="Arial"/>
                <w:sz w:val="20"/>
                <w:szCs w:val="20"/>
              </w:rPr>
              <w:t xml:space="preserve">Dr Helen Nugent AO </w:t>
            </w:r>
          </w:p>
          <w:p w14:paraId="3D9BC0BF" w14:textId="77777777" w:rsidR="00475947" w:rsidRPr="00262F3A" w:rsidRDefault="00475947" w:rsidP="00D4656B">
            <w:pPr>
              <w:pStyle w:val="Pa35"/>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AU"/>
              </w:rPr>
            </w:pPr>
            <w:r w:rsidRPr="00262F3A">
              <w:rPr>
                <w:rFonts w:ascii="Arial" w:hAnsi="Arial" w:cs="Arial"/>
                <w:sz w:val="20"/>
                <w:szCs w:val="20"/>
              </w:rPr>
              <w:t>Mr John Walsh AM</w:t>
            </w:r>
          </w:p>
        </w:tc>
      </w:tr>
    </w:tbl>
    <w:p w14:paraId="3D0F38C7" w14:textId="77777777" w:rsidR="00475947" w:rsidRPr="00262F3A" w:rsidRDefault="00917052" w:rsidP="00561B3B">
      <w:r w:rsidRPr="00262F3A">
        <w:t>The Audit Committee Charter can be found at Appendix 5.2.</w:t>
      </w:r>
    </w:p>
    <w:p w14:paraId="0C01FE4B" w14:textId="77777777" w:rsidR="00475947" w:rsidRPr="00262F3A" w:rsidRDefault="00475947" w:rsidP="008F00D1">
      <w:pPr>
        <w:pStyle w:val="Heading3"/>
      </w:pPr>
      <w:bookmarkStart w:id="143" w:name="_Toc51067984"/>
      <w:r w:rsidRPr="00262F3A">
        <w:t xml:space="preserve">Board </w:t>
      </w:r>
      <w:r w:rsidR="008D1398" w:rsidRPr="00262F3A">
        <w:t xml:space="preserve">and committee </w:t>
      </w:r>
      <w:r w:rsidR="002C054D" w:rsidRPr="00262F3A">
        <w:t>a</w:t>
      </w:r>
      <w:r w:rsidRPr="00262F3A">
        <w:t>ttendance</w:t>
      </w:r>
      <w:bookmarkEnd w:id="143"/>
    </w:p>
    <w:p w14:paraId="4385281C" w14:textId="77777777" w:rsidR="00C34ADE" w:rsidRPr="00262F3A" w:rsidRDefault="00C34ADE" w:rsidP="00901595">
      <w:pPr>
        <w:keepNext/>
        <w:rPr>
          <w:lang w:eastAsia="en-US"/>
        </w:rPr>
      </w:pPr>
      <w:r w:rsidRPr="00262F3A">
        <w:rPr>
          <w:b/>
        </w:rPr>
        <w:t xml:space="preserve">Table </w:t>
      </w:r>
      <w:r w:rsidR="005D5BCA" w:rsidRPr="00262F3A">
        <w:rPr>
          <w:b/>
        </w:rPr>
        <w:t>4.2.4A</w:t>
      </w:r>
      <w:r w:rsidRPr="00262F3A">
        <w:rPr>
          <w:b/>
        </w:rPr>
        <w:t>:</w:t>
      </w:r>
      <w:r w:rsidRPr="00262F3A">
        <w:t xml:space="preserve"> Number of meetings attended by Board members in 2019–20</w:t>
      </w:r>
    </w:p>
    <w:tbl>
      <w:tblPr>
        <w:tblStyle w:val="GridTable4-Accent3"/>
        <w:tblW w:w="10065" w:type="dxa"/>
        <w:tblLook w:val="04A0" w:firstRow="1" w:lastRow="0" w:firstColumn="1" w:lastColumn="0" w:noHBand="0" w:noVBand="1"/>
        <w:tblCaption w:val="Table C1: Board members' meeting attendance"/>
        <w:tblDescription w:val="This table provides information about the number of NDIA Board and Committee meetings that were attended during 2017-18, by each member of the NDIA Board. Members of the Board may attend committee meetings as either a member or a non-member of the committee. This table shows the number of meetings that the person was eligible to attend as a committee member and the total number of meetings that were attended.      "/>
      </w:tblPr>
      <w:tblGrid>
        <w:gridCol w:w="1289"/>
        <w:gridCol w:w="747"/>
        <w:gridCol w:w="706"/>
        <w:gridCol w:w="680"/>
        <w:gridCol w:w="646"/>
        <w:gridCol w:w="715"/>
        <w:gridCol w:w="699"/>
        <w:gridCol w:w="699"/>
        <w:gridCol w:w="698"/>
        <w:gridCol w:w="699"/>
        <w:gridCol w:w="699"/>
        <w:gridCol w:w="969"/>
        <w:gridCol w:w="819"/>
      </w:tblGrid>
      <w:tr w:rsidR="00020CAF" w:rsidRPr="00262F3A" w14:paraId="298C3C32" w14:textId="77777777" w:rsidTr="00D74F3A">
        <w:trPr>
          <w:cnfStyle w:val="100000000000" w:firstRow="1" w:lastRow="0" w:firstColumn="0" w:lastColumn="0" w:oddVBand="0" w:evenVBand="0" w:oddHBand="0" w:evenHBand="0" w:firstRowFirstColumn="0" w:firstRowLastColumn="0" w:lastRowFirstColumn="0" w:lastRowLastColumn="0"/>
          <w:trHeight w:val="1405"/>
          <w:tblHeader/>
        </w:trPr>
        <w:tc>
          <w:tcPr>
            <w:cnfStyle w:val="001000000000" w:firstRow="0" w:lastRow="0" w:firstColumn="1" w:lastColumn="0" w:oddVBand="0" w:evenVBand="0" w:oddHBand="0" w:evenHBand="0" w:firstRowFirstColumn="0" w:firstRowLastColumn="0" w:lastRowFirstColumn="0" w:lastRowLastColumn="0"/>
            <w:tcW w:w="1232" w:type="dxa"/>
            <w:tcBorders>
              <w:top w:val="nil"/>
              <w:left w:val="nil"/>
              <w:bottom w:val="nil"/>
            </w:tcBorders>
            <w:shd w:val="clear" w:color="auto" w:fill="6B2976"/>
            <w:vAlign w:val="center"/>
          </w:tcPr>
          <w:p w14:paraId="6660A218" w14:textId="77777777" w:rsidR="00020CAF" w:rsidRPr="00262F3A" w:rsidRDefault="00020CAF" w:rsidP="00D4656B">
            <w:pPr>
              <w:jc w:val="center"/>
              <w:rPr>
                <w:sz w:val="16"/>
                <w:szCs w:val="16"/>
              </w:rPr>
            </w:pPr>
          </w:p>
        </w:tc>
        <w:tc>
          <w:tcPr>
            <w:tcW w:w="1462" w:type="dxa"/>
            <w:gridSpan w:val="2"/>
            <w:tcBorders>
              <w:top w:val="nil"/>
              <w:bottom w:val="nil"/>
            </w:tcBorders>
            <w:shd w:val="clear" w:color="auto" w:fill="6B2976"/>
            <w:textDirection w:val="btLr"/>
            <w:vAlign w:val="center"/>
          </w:tcPr>
          <w:p w14:paraId="24377073" w14:textId="77777777" w:rsidR="00020CAF" w:rsidRPr="00262F3A" w:rsidRDefault="00020CAF" w:rsidP="00D4656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rFonts w:eastAsia="Times New Roman"/>
                <w:sz w:val="16"/>
                <w:szCs w:val="16"/>
                <w:lang w:eastAsia="en-AU"/>
              </w:rPr>
              <w:t>NDIA Board</w:t>
            </w:r>
          </w:p>
        </w:tc>
        <w:tc>
          <w:tcPr>
            <w:tcW w:w="1328" w:type="dxa"/>
            <w:gridSpan w:val="2"/>
            <w:tcBorders>
              <w:top w:val="nil"/>
              <w:bottom w:val="nil"/>
            </w:tcBorders>
            <w:shd w:val="clear" w:color="auto" w:fill="6B2976"/>
            <w:textDirection w:val="btLr"/>
            <w:vAlign w:val="center"/>
          </w:tcPr>
          <w:p w14:paraId="7DE1BDAC" w14:textId="77777777" w:rsidR="00020CAF" w:rsidRPr="00262F3A" w:rsidRDefault="00020CAF" w:rsidP="00D4656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rFonts w:eastAsia="Times New Roman"/>
                <w:sz w:val="16"/>
                <w:szCs w:val="16"/>
                <w:lang w:eastAsia="en-AU"/>
              </w:rPr>
              <w:t>Sustainability Committee</w:t>
            </w:r>
          </w:p>
        </w:tc>
        <w:tc>
          <w:tcPr>
            <w:tcW w:w="1421" w:type="dxa"/>
            <w:gridSpan w:val="2"/>
            <w:tcBorders>
              <w:top w:val="nil"/>
              <w:bottom w:val="nil"/>
            </w:tcBorders>
            <w:shd w:val="clear" w:color="auto" w:fill="6B2976"/>
            <w:textDirection w:val="btLr"/>
            <w:vAlign w:val="center"/>
          </w:tcPr>
          <w:p w14:paraId="58365DC7" w14:textId="77777777" w:rsidR="00020CAF" w:rsidRPr="00262F3A" w:rsidRDefault="00020CAF" w:rsidP="00020CAF">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sz w:val="16"/>
                <w:szCs w:val="16"/>
              </w:rPr>
              <w:t>ICT and Digital Committee</w:t>
            </w:r>
          </w:p>
        </w:tc>
        <w:tc>
          <w:tcPr>
            <w:tcW w:w="1403" w:type="dxa"/>
            <w:gridSpan w:val="2"/>
            <w:tcBorders>
              <w:top w:val="nil"/>
              <w:bottom w:val="nil"/>
            </w:tcBorders>
            <w:shd w:val="clear" w:color="auto" w:fill="6B2976"/>
            <w:textDirection w:val="btLr"/>
            <w:vAlign w:val="center"/>
          </w:tcPr>
          <w:p w14:paraId="38B88385" w14:textId="77777777" w:rsidR="00020CAF" w:rsidRPr="00262F3A" w:rsidRDefault="00020CAF" w:rsidP="00D4656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rFonts w:eastAsia="Times New Roman"/>
                <w:sz w:val="16"/>
                <w:szCs w:val="16"/>
                <w:lang w:eastAsia="en-AU"/>
              </w:rPr>
              <w:t>Audit Committee</w:t>
            </w:r>
          </w:p>
        </w:tc>
        <w:tc>
          <w:tcPr>
            <w:tcW w:w="1404" w:type="dxa"/>
            <w:gridSpan w:val="2"/>
            <w:tcBorders>
              <w:top w:val="nil"/>
              <w:bottom w:val="nil"/>
            </w:tcBorders>
            <w:shd w:val="clear" w:color="auto" w:fill="6B2976"/>
            <w:textDirection w:val="btLr"/>
            <w:vAlign w:val="center"/>
          </w:tcPr>
          <w:p w14:paraId="199A5232" w14:textId="77777777" w:rsidR="00020CAF" w:rsidRPr="00262F3A" w:rsidRDefault="00020CAF" w:rsidP="00D4656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rFonts w:eastAsia="Times New Roman"/>
                <w:sz w:val="16"/>
                <w:szCs w:val="16"/>
                <w:lang w:eastAsia="en-AU"/>
              </w:rPr>
              <w:t>Risk Committee</w:t>
            </w:r>
          </w:p>
        </w:tc>
        <w:tc>
          <w:tcPr>
            <w:tcW w:w="1815" w:type="dxa"/>
            <w:gridSpan w:val="2"/>
            <w:tcBorders>
              <w:top w:val="nil"/>
              <w:bottom w:val="nil"/>
            </w:tcBorders>
            <w:shd w:val="clear" w:color="auto" w:fill="6B2976"/>
            <w:textDirection w:val="btLr"/>
            <w:vAlign w:val="center"/>
          </w:tcPr>
          <w:p w14:paraId="50500993" w14:textId="77777777" w:rsidR="00020CAF" w:rsidRPr="00262F3A" w:rsidRDefault="00020CAF" w:rsidP="00020CAF">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262F3A">
              <w:rPr>
                <w:rFonts w:eastAsia="Times New Roman"/>
                <w:sz w:val="16"/>
                <w:szCs w:val="16"/>
                <w:lang w:eastAsia="en-AU"/>
              </w:rPr>
              <w:t>People  and Remuneration Committee</w:t>
            </w:r>
          </w:p>
        </w:tc>
      </w:tr>
      <w:tr w:rsidR="0049736E" w:rsidRPr="00262F3A" w14:paraId="44DD21CC" w14:textId="77777777" w:rsidTr="00020CAF">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232" w:type="dxa"/>
            <w:tcBorders>
              <w:top w:val="nil"/>
              <w:right w:val="single" w:sz="4" w:space="0" w:color="auto"/>
            </w:tcBorders>
            <w:vAlign w:val="bottom"/>
          </w:tcPr>
          <w:p w14:paraId="03EE244F" w14:textId="77777777" w:rsidR="00D4656B" w:rsidRPr="00262F3A" w:rsidRDefault="00D4656B" w:rsidP="00D4656B">
            <w:pPr>
              <w:ind w:left="0"/>
              <w:rPr>
                <w:sz w:val="16"/>
                <w:szCs w:val="16"/>
              </w:rPr>
            </w:pPr>
            <w:r w:rsidRPr="00262F3A">
              <w:rPr>
                <w:sz w:val="16"/>
                <w:szCs w:val="16"/>
              </w:rPr>
              <w:t>Board members:</w:t>
            </w:r>
          </w:p>
        </w:tc>
        <w:tc>
          <w:tcPr>
            <w:tcW w:w="753" w:type="dxa"/>
            <w:tcBorders>
              <w:top w:val="nil"/>
              <w:left w:val="single" w:sz="4" w:space="0" w:color="auto"/>
            </w:tcBorders>
            <w:textDirection w:val="btLr"/>
            <w:vAlign w:val="bottom"/>
          </w:tcPr>
          <w:p w14:paraId="61F38B84"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709" w:type="dxa"/>
            <w:tcBorders>
              <w:top w:val="nil"/>
              <w:right w:val="single" w:sz="4" w:space="0" w:color="auto"/>
            </w:tcBorders>
            <w:textDirection w:val="btLr"/>
            <w:vAlign w:val="bottom"/>
          </w:tcPr>
          <w:p w14:paraId="573C3638"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c>
          <w:tcPr>
            <w:tcW w:w="682" w:type="dxa"/>
            <w:tcBorders>
              <w:top w:val="nil"/>
              <w:left w:val="single" w:sz="4" w:space="0" w:color="auto"/>
            </w:tcBorders>
            <w:textDirection w:val="btLr"/>
            <w:vAlign w:val="bottom"/>
          </w:tcPr>
          <w:p w14:paraId="3BF8F86E"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646" w:type="dxa"/>
            <w:tcBorders>
              <w:top w:val="nil"/>
              <w:right w:val="single" w:sz="4" w:space="0" w:color="auto"/>
            </w:tcBorders>
            <w:textDirection w:val="btLr"/>
            <w:vAlign w:val="bottom"/>
          </w:tcPr>
          <w:p w14:paraId="595F77FD"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c>
          <w:tcPr>
            <w:tcW w:w="719" w:type="dxa"/>
            <w:tcBorders>
              <w:top w:val="nil"/>
              <w:left w:val="single" w:sz="4" w:space="0" w:color="auto"/>
            </w:tcBorders>
            <w:textDirection w:val="btLr"/>
            <w:vAlign w:val="bottom"/>
          </w:tcPr>
          <w:p w14:paraId="3E8B118E"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702" w:type="dxa"/>
            <w:tcBorders>
              <w:top w:val="nil"/>
              <w:right w:val="single" w:sz="4" w:space="0" w:color="auto"/>
            </w:tcBorders>
            <w:textDirection w:val="btLr"/>
            <w:vAlign w:val="bottom"/>
          </w:tcPr>
          <w:p w14:paraId="782D5CF5"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c>
          <w:tcPr>
            <w:tcW w:w="702" w:type="dxa"/>
            <w:tcBorders>
              <w:top w:val="nil"/>
              <w:left w:val="single" w:sz="4" w:space="0" w:color="auto"/>
            </w:tcBorders>
            <w:textDirection w:val="btLr"/>
            <w:vAlign w:val="bottom"/>
          </w:tcPr>
          <w:p w14:paraId="7F54242D"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701" w:type="dxa"/>
            <w:tcBorders>
              <w:top w:val="nil"/>
              <w:right w:val="single" w:sz="4" w:space="0" w:color="auto"/>
            </w:tcBorders>
            <w:textDirection w:val="btLr"/>
            <w:vAlign w:val="bottom"/>
          </w:tcPr>
          <w:p w14:paraId="59FCD83E"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c>
          <w:tcPr>
            <w:tcW w:w="702" w:type="dxa"/>
            <w:tcBorders>
              <w:top w:val="nil"/>
              <w:left w:val="single" w:sz="4" w:space="0" w:color="auto"/>
            </w:tcBorders>
            <w:textDirection w:val="btLr"/>
            <w:vAlign w:val="bottom"/>
          </w:tcPr>
          <w:p w14:paraId="5400B324"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702" w:type="dxa"/>
            <w:tcBorders>
              <w:top w:val="nil"/>
              <w:right w:val="single" w:sz="4" w:space="0" w:color="auto"/>
            </w:tcBorders>
            <w:textDirection w:val="btLr"/>
            <w:vAlign w:val="bottom"/>
          </w:tcPr>
          <w:p w14:paraId="39E54625"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c>
          <w:tcPr>
            <w:tcW w:w="987" w:type="dxa"/>
            <w:tcBorders>
              <w:top w:val="nil"/>
              <w:left w:val="single" w:sz="4" w:space="0" w:color="auto"/>
            </w:tcBorders>
            <w:textDirection w:val="btLr"/>
            <w:vAlign w:val="bottom"/>
          </w:tcPr>
          <w:p w14:paraId="2BC0B9A8"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262F3A">
              <w:rPr>
                <w:rFonts w:eastAsia="Times New Roman"/>
                <w:bCs/>
                <w:color w:val="000000"/>
                <w:sz w:val="16"/>
                <w:szCs w:val="16"/>
                <w:lang w:eastAsia="en-AU"/>
              </w:rPr>
              <w:t>Eligible</w:t>
            </w:r>
          </w:p>
        </w:tc>
        <w:tc>
          <w:tcPr>
            <w:tcW w:w="828" w:type="dxa"/>
            <w:textDirection w:val="btLr"/>
            <w:vAlign w:val="bottom"/>
          </w:tcPr>
          <w:p w14:paraId="1B9F2F0F" w14:textId="77777777" w:rsidR="00D4656B" w:rsidRPr="00262F3A" w:rsidRDefault="00D4656B" w:rsidP="00D74F3A">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262F3A">
              <w:rPr>
                <w:rFonts w:eastAsia="Times New Roman"/>
                <w:color w:val="000000"/>
                <w:sz w:val="16"/>
                <w:szCs w:val="16"/>
                <w:lang w:eastAsia="en-AU"/>
              </w:rPr>
              <w:t>Attended</w:t>
            </w:r>
          </w:p>
        </w:tc>
      </w:tr>
      <w:tr w:rsidR="00020CAF" w:rsidRPr="00262F3A" w14:paraId="16125025"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726676A8"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lastRenderedPageBreak/>
              <w:t>Dr Helen Nugent AO</w:t>
            </w:r>
            <w:r w:rsidRPr="00262F3A">
              <w:rPr>
                <w:rFonts w:eastAsia="Times New Roman"/>
                <w:sz w:val="16"/>
                <w:szCs w:val="16"/>
                <w:vertAlign w:val="superscript"/>
                <w:lang w:eastAsia="en-AU"/>
              </w:rPr>
              <w:footnoteReference w:id="16"/>
            </w:r>
          </w:p>
        </w:tc>
        <w:tc>
          <w:tcPr>
            <w:tcW w:w="753" w:type="dxa"/>
            <w:tcBorders>
              <w:left w:val="single" w:sz="4" w:space="0" w:color="auto"/>
            </w:tcBorders>
            <w:vAlign w:val="center"/>
          </w:tcPr>
          <w:p w14:paraId="5FE30C4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245B0CBC"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682" w:type="dxa"/>
            <w:tcBorders>
              <w:left w:val="single" w:sz="4" w:space="0" w:color="auto"/>
            </w:tcBorders>
            <w:vAlign w:val="center"/>
          </w:tcPr>
          <w:p w14:paraId="54045552"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9</w:t>
            </w:r>
          </w:p>
        </w:tc>
        <w:tc>
          <w:tcPr>
            <w:tcW w:w="646" w:type="dxa"/>
            <w:tcBorders>
              <w:right w:val="single" w:sz="4" w:space="0" w:color="auto"/>
            </w:tcBorders>
            <w:vAlign w:val="center"/>
          </w:tcPr>
          <w:p w14:paraId="454A2080"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9</w:t>
            </w:r>
          </w:p>
        </w:tc>
        <w:tc>
          <w:tcPr>
            <w:tcW w:w="719" w:type="dxa"/>
            <w:tcBorders>
              <w:left w:val="single" w:sz="4" w:space="0" w:color="auto"/>
            </w:tcBorders>
            <w:vAlign w:val="center"/>
          </w:tcPr>
          <w:p w14:paraId="47CDB60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2</w:t>
            </w:r>
          </w:p>
        </w:tc>
        <w:tc>
          <w:tcPr>
            <w:tcW w:w="702" w:type="dxa"/>
            <w:tcBorders>
              <w:right w:val="single" w:sz="4" w:space="0" w:color="auto"/>
            </w:tcBorders>
            <w:vAlign w:val="center"/>
          </w:tcPr>
          <w:p w14:paraId="39CDEB9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left w:val="single" w:sz="4" w:space="0" w:color="auto"/>
            </w:tcBorders>
            <w:vAlign w:val="center"/>
          </w:tcPr>
          <w:p w14:paraId="2BD4A62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17F7D26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left w:val="single" w:sz="4" w:space="0" w:color="auto"/>
            </w:tcBorders>
            <w:vAlign w:val="center"/>
          </w:tcPr>
          <w:p w14:paraId="194FB34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right w:val="single" w:sz="4" w:space="0" w:color="auto"/>
            </w:tcBorders>
            <w:vAlign w:val="center"/>
          </w:tcPr>
          <w:p w14:paraId="219C856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987" w:type="dxa"/>
            <w:tcBorders>
              <w:left w:val="single" w:sz="4" w:space="0" w:color="auto"/>
            </w:tcBorders>
            <w:vAlign w:val="center"/>
          </w:tcPr>
          <w:p w14:paraId="0CB7850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828" w:type="dxa"/>
            <w:vAlign w:val="center"/>
          </w:tcPr>
          <w:p w14:paraId="7776727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r>
      <w:tr w:rsidR="00020CAF" w:rsidRPr="00262F3A" w14:paraId="51D60A0A"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57995A4E"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Mr James (Jim) Minto</w:t>
            </w:r>
            <w:r w:rsidRPr="00262F3A">
              <w:rPr>
                <w:rFonts w:eastAsia="Times New Roman"/>
                <w:sz w:val="16"/>
                <w:szCs w:val="16"/>
                <w:vertAlign w:val="superscript"/>
                <w:lang w:eastAsia="en-AU"/>
              </w:rPr>
              <w:footnoteReference w:id="17"/>
            </w:r>
          </w:p>
        </w:tc>
        <w:tc>
          <w:tcPr>
            <w:tcW w:w="753" w:type="dxa"/>
            <w:tcBorders>
              <w:left w:val="single" w:sz="4" w:space="0" w:color="auto"/>
            </w:tcBorders>
            <w:vAlign w:val="center"/>
          </w:tcPr>
          <w:p w14:paraId="312A4B6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3E9AE1C4"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11</w:t>
            </w:r>
          </w:p>
        </w:tc>
        <w:tc>
          <w:tcPr>
            <w:tcW w:w="682" w:type="dxa"/>
            <w:tcBorders>
              <w:left w:val="single" w:sz="4" w:space="0" w:color="auto"/>
            </w:tcBorders>
            <w:vAlign w:val="center"/>
          </w:tcPr>
          <w:p w14:paraId="56D3FD02"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9</w:t>
            </w:r>
          </w:p>
        </w:tc>
        <w:tc>
          <w:tcPr>
            <w:tcW w:w="646" w:type="dxa"/>
            <w:tcBorders>
              <w:right w:val="single" w:sz="4" w:space="0" w:color="auto"/>
            </w:tcBorders>
            <w:vAlign w:val="center"/>
          </w:tcPr>
          <w:p w14:paraId="1D9E29A5"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8</w:t>
            </w:r>
          </w:p>
        </w:tc>
        <w:tc>
          <w:tcPr>
            <w:tcW w:w="719" w:type="dxa"/>
            <w:tcBorders>
              <w:left w:val="single" w:sz="4" w:space="0" w:color="auto"/>
            </w:tcBorders>
            <w:vAlign w:val="center"/>
          </w:tcPr>
          <w:p w14:paraId="57B05257"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2253C4AD"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02ACD80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3BE71F7D"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2</w:t>
            </w:r>
          </w:p>
        </w:tc>
        <w:tc>
          <w:tcPr>
            <w:tcW w:w="702" w:type="dxa"/>
            <w:tcBorders>
              <w:left w:val="single" w:sz="4" w:space="0" w:color="auto"/>
            </w:tcBorders>
            <w:vAlign w:val="center"/>
          </w:tcPr>
          <w:p w14:paraId="2CAFCDB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right w:val="single" w:sz="4" w:space="0" w:color="auto"/>
            </w:tcBorders>
            <w:vAlign w:val="center"/>
          </w:tcPr>
          <w:p w14:paraId="6F72AA2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987" w:type="dxa"/>
            <w:tcBorders>
              <w:left w:val="single" w:sz="4" w:space="0" w:color="auto"/>
            </w:tcBorders>
            <w:vAlign w:val="center"/>
          </w:tcPr>
          <w:p w14:paraId="1CF6BCD7"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828" w:type="dxa"/>
            <w:vAlign w:val="center"/>
          </w:tcPr>
          <w:p w14:paraId="40B744C5"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020CAF" w:rsidRPr="00262F3A" w14:paraId="5F1EF603"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1B4BFE9F"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Ms Estelle Pearson</w:t>
            </w:r>
            <w:r w:rsidRPr="00262F3A">
              <w:rPr>
                <w:rFonts w:eastAsia="Times New Roman"/>
                <w:sz w:val="16"/>
                <w:szCs w:val="16"/>
                <w:vertAlign w:val="superscript"/>
                <w:lang w:eastAsia="en-AU"/>
              </w:rPr>
              <w:footnoteReference w:id="18"/>
            </w:r>
          </w:p>
        </w:tc>
        <w:tc>
          <w:tcPr>
            <w:tcW w:w="753" w:type="dxa"/>
            <w:tcBorders>
              <w:left w:val="single" w:sz="4" w:space="0" w:color="auto"/>
            </w:tcBorders>
            <w:vAlign w:val="center"/>
          </w:tcPr>
          <w:p w14:paraId="4D73DD32"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70F9B34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682" w:type="dxa"/>
            <w:tcBorders>
              <w:left w:val="single" w:sz="4" w:space="0" w:color="auto"/>
            </w:tcBorders>
            <w:vAlign w:val="center"/>
          </w:tcPr>
          <w:p w14:paraId="365FD57B"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9</w:t>
            </w:r>
          </w:p>
        </w:tc>
        <w:tc>
          <w:tcPr>
            <w:tcW w:w="646" w:type="dxa"/>
            <w:tcBorders>
              <w:right w:val="single" w:sz="4" w:space="0" w:color="auto"/>
            </w:tcBorders>
            <w:vAlign w:val="center"/>
          </w:tcPr>
          <w:p w14:paraId="158DA122"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9</w:t>
            </w:r>
          </w:p>
        </w:tc>
        <w:tc>
          <w:tcPr>
            <w:tcW w:w="719" w:type="dxa"/>
            <w:tcBorders>
              <w:left w:val="single" w:sz="4" w:space="0" w:color="auto"/>
            </w:tcBorders>
            <w:vAlign w:val="center"/>
          </w:tcPr>
          <w:p w14:paraId="756B59D5"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32624155"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7E712494"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1" w:type="dxa"/>
            <w:tcBorders>
              <w:right w:val="single" w:sz="4" w:space="0" w:color="auto"/>
            </w:tcBorders>
            <w:vAlign w:val="center"/>
          </w:tcPr>
          <w:p w14:paraId="559545A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left w:val="single" w:sz="4" w:space="0" w:color="auto"/>
            </w:tcBorders>
            <w:vAlign w:val="center"/>
          </w:tcPr>
          <w:p w14:paraId="5A9D726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653BB53C"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987" w:type="dxa"/>
            <w:tcBorders>
              <w:left w:val="single" w:sz="4" w:space="0" w:color="auto"/>
            </w:tcBorders>
            <w:vAlign w:val="center"/>
          </w:tcPr>
          <w:p w14:paraId="3EA49F6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828" w:type="dxa"/>
            <w:vAlign w:val="center"/>
          </w:tcPr>
          <w:p w14:paraId="4C832B3F"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20CAF" w:rsidRPr="00262F3A" w14:paraId="344D544C"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41D0C108"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Mr Paul O’Sullivan</w:t>
            </w:r>
            <w:r w:rsidRPr="00262F3A">
              <w:rPr>
                <w:rFonts w:eastAsia="Times New Roman"/>
                <w:sz w:val="16"/>
                <w:szCs w:val="16"/>
                <w:vertAlign w:val="superscript"/>
                <w:lang w:eastAsia="en-AU"/>
              </w:rPr>
              <w:footnoteReference w:id="19"/>
            </w:r>
          </w:p>
        </w:tc>
        <w:tc>
          <w:tcPr>
            <w:tcW w:w="753" w:type="dxa"/>
            <w:tcBorders>
              <w:left w:val="single" w:sz="4" w:space="0" w:color="auto"/>
            </w:tcBorders>
            <w:vAlign w:val="center"/>
          </w:tcPr>
          <w:p w14:paraId="008A37FC"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51927D7C"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10</w:t>
            </w:r>
          </w:p>
        </w:tc>
        <w:tc>
          <w:tcPr>
            <w:tcW w:w="682" w:type="dxa"/>
            <w:tcBorders>
              <w:left w:val="single" w:sz="4" w:space="0" w:color="auto"/>
            </w:tcBorders>
            <w:vAlign w:val="center"/>
          </w:tcPr>
          <w:p w14:paraId="7BE4EE1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188DD65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w:t>
            </w:r>
          </w:p>
        </w:tc>
        <w:tc>
          <w:tcPr>
            <w:tcW w:w="719" w:type="dxa"/>
            <w:tcBorders>
              <w:left w:val="single" w:sz="4" w:space="0" w:color="auto"/>
            </w:tcBorders>
            <w:vAlign w:val="center"/>
          </w:tcPr>
          <w:p w14:paraId="1463E10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right w:val="single" w:sz="4" w:space="0" w:color="auto"/>
            </w:tcBorders>
            <w:vAlign w:val="center"/>
          </w:tcPr>
          <w:p w14:paraId="56BCB032"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left w:val="single" w:sz="4" w:space="0" w:color="auto"/>
            </w:tcBorders>
            <w:vAlign w:val="center"/>
          </w:tcPr>
          <w:p w14:paraId="1FC04229"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2DB6EA2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5D408F3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right w:val="single" w:sz="4" w:space="0" w:color="auto"/>
            </w:tcBorders>
            <w:vAlign w:val="center"/>
          </w:tcPr>
          <w:p w14:paraId="10C1FBCF"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987" w:type="dxa"/>
            <w:tcBorders>
              <w:left w:val="single" w:sz="4" w:space="0" w:color="auto"/>
            </w:tcBorders>
            <w:vAlign w:val="center"/>
          </w:tcPr>
          <w:p w14:paraId="7CE5DFBB"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828" w:type="dxa"/>
            <w:vAlign w:val="center"/>
          </w:tcPr>
          <w:p w14:paraId="19C4F73B"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r>
      <w:tr w:rsidR="00020CAF" w:rsidRPr="00262F3A" w14:paraId="4C7AEBFC"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15A7B47D"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Ms Sandra Birkensleigh</w:t>
            </w:r>
            <w:r w:rsidRPr="00262F3A">
              <w:rPr>
                <w:rFonts w:eastAsia="Times New Roman"/>
                <w:sz w:val="16"/>
                <w:szCs w:val="16"/>
                <w:vertAlign w:val="superscript"/>
                <w:lang w:eastAsia="en-AU"/>
              </w:rPr>
              <w:footnoteReference w:id="20"/>
            </w:r>
          </w:p>
        </w:tc>
        <w:tc>
          <w:tcPr>
            <w:tcW w:w="753" w:type="dxa"/>
            <w:tcBorders>
              <w:left w:val="single" w:sz="4" w:space="0" w:color="auto"/>
            </w:tcBorders>
            <w:vAlign w:val="center"/>
          </w:tcPr>
          <w:p w14:paraId="5DC3E0D2"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3E94C815"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682" w:type="dxa"/>
            <w:tcBorders>
              <w:left w:val="single" w:sz="4" w:space="0" w:color="auto"/>
            </w:tcBorders>
            <w:vAlign w:val="center"/>
          </w:tcPr>
          <w:p w14:paraId="6CCCA7C4"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024CF7C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w:t>
            </w:r>
          </w:p>
        </w:tc>
        <w:tc>
          <w:tcPr>
            <w:tcW w:w="719" w:type="dxa"/>
            <w:tcBorders>
              <w:left w:val="single" w:sz="4" w:space="0" w:color="auto"/>
            </w:tcBorders>
            <w:vAlign w:val="center"/>
          </w:tcPr>
          <w:p w14:paraId="5DC949C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0E21418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2CDA97E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1" w:type="dxa"/>
            <w:tcBorders>
              <w:right w:val="single" w:sz="4" w:space="0" w:color="auto"/>
            </w:tcBorders>
            <w:vAlign w:val="center"/>
          </w:tcPr>
          <w:p w14:paraId="5903436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left w:val="single" w:sz="4" w:space="0" w:color="auto"/>
            </w:tcBorders>
            <w:vAlign w:val="center"/>
          </w:tcPr>
          <w:p w14:paraId="6D3E8EC0"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13F75A02"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w:t>
            </w:r>
          </w:p>
        </w:tc>
        <w:tc>
          <w:tcPr>
            <w:tcW w:w="987" w:type="dxa"/>
            <w:tcBorders>
              <w:left w:val="single" w:sz="4" w:space="0" w:color="auto"/>
            </w:tcBorders>
            <w:vAlign w:val="center"/>
          </w:tcPr>
          <w:p w14:paraId="1344B4C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828" w:type="dxa"/>
            <w:vAlign w:val="center"/>
          </w:tcPr>
          <w:p w14:paraId="4DD7022A"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r>
      <w:tr w:rsidR="00020CAF" w:rsidRPr="00262F3A" w14:paraId="66D2F619"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22BBFD83"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Mr John Langoulant AO</w:t>
            </w:r>
            <w:r w:rsidRPr="00262F3A">
              <w:rPr>
                <w:rFonts w:eastAsia="Times New Roman"/>
                <w:sz w:val="16"/>
                <w:szCs w:val="16"/>
                <w:vertAlign w:val="superscript"/>
                <w:lang w:eastAsia="en-AU"/>
              </w:rPr>
              <w:footnoteReference w:id="21"/>
            </w:r>
          </w:p>
        </w:tc>
        <w:tc>
          <w:tcPr>
            <w:tcW w:w="753" w:type="dxa"/>
            <w:tcBorders>
              <w:left w:val="single" w:sz="4" w:space="0" w:color="auto"/>
            </w:tcBorders>
            <w:vAlign w:val="center"/>
          </w:tcPr>
          <w:p w14:paraId="20F951B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17C001F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11</w:t>
            </w:r>
          </w:p>
        </w:tc>
        <w:tc>
          <w:tcPr>
            <w:tcW w:w="682" w:type="dxa"/>
            <w:tcBorders>
              <w:left w:val="single" w:sz="4" w:space="0" w:color="auto"/>
            </w:tcBorders>
            <w:vAlign w:val="center"/>
          </w:tcPr>
          <w:p w14:paraId="3C18349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9</w:t>
            </w:r>
          </w:p>
        </w:tc>
        <w:tc>
          <w:tcPr>
            <w:tcW w:w="646" w:type="dxa"/>
            <w:tcBorders>
              <w:right w:val="single" w:sz="4" w:space="0" w:color="auto"/>
            </w:tcBorders>
            <w:vAlign w:val="center"/>
          </w:tcPr>
          <w:p w14:paraId="07A5CF1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8</w:t>
            </w:r>
          </w:p>
        </w:tc>
        <w:tc>
          <w:tcPr>
            <w:tcW w:w="719" w:type="dxa"/>
            <w:tcBorders>
              <w:left w:val="single" w:sz="4" w:space="0" w:color="auto"/>
            </w:tcBorders>
            <w:vAlign w:val="center"/>
          </w:tcPr>
          <w:p w14:paraId="7F053C4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06E5603C"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28A9906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701" w:type="dxa"/>
            <w:tcBorders>
              <w:right w:val="single" w:sz="4" w:space="0" w:color="auto"/>
            </w:tcBorders>
            <w:vAlign w:val="center"/>
          </w:tcPr>
          <w:p w14:paraId="0C147DA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702" w:type="dxa"/>
            <w:tcBorders>
              <w:left w:val="single" w:sz="4" w:space="0" w:color="auto"/>
            </w:tcBorders>
            <w:vAlign w:val="center"/>
          </w:tcPr>
          <w:p w14:paraId="09255427"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w:t>
            </w:r>
          </w:p>
        </w:tc>
        <w:tc>
          <w:tcPr>
            <w:tcW w:w="702" w:type="dxa"/>
            <w:tcBorders>
              <w:right w:val="single" w:sz="4" w:space="0" w:color="auto"/>
            </w:tcBorders>
            <w:vAlign w:val="center"/>
          </w:tcPr>
          <w:p w14:paraId="7819FF8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987" w:type="dxa"/>
            <w:tcBorders>
              <w:left w:val="single" w:sz="4" w:space="0" w:color="auto"/>
            </w:tcBorders>
            <w:vAlign w:val="center"/>
          </w:tcPr>
          <w:p w14:paraId="186CFA6C"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828" w:type="dxa"/>
            <w:vAlign w:val="center"/>
          </w:tcPr>
          <w:p w14:paraId="27CFB802"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020CAF" w:rsidRPr="00262F3A" w14:paraId="0A497702"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463800F6"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Ms Andrea Staines</w:t>
            </w:r>
            <w:r w:rsidRPr="00262F3A">
              <w:rPr>
                <w:rStyle w:val="FootnoteReference"/>
                <w:rFonts w:eastAsia="Times New Roman"/>
                <w:sz w:val="16"/>
                <w:szCs w:val="16"/>
                <w:lang w:eastAsia="en-AU"/>
              </w:rPr>
              <w:footnoteReference w:id="22"/>
            </w:r>
          </w:p>
        </w:tc>
        <w:tc>
          <w:tcPr>
            <w:tcW w:w="753" w:type="dxa"/>
            <w:tcBorders>
              <w:left w:val="single" w:sz="4" w:space="0" w:color="auto"/>
            </w:tcBorders>
            <w:vAlign w:val="center"/>
          </w:tcPr>
          <w:p w14:paraId="6D89BC1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7</w:t>
            </w:r>
          </w:p>
        </w:tc>
        <w:tc>
          <w:tcPr>
            <w:tcW w:w="709" w:type="dxa"/>
            <w:tcBorders>
              <w:right w:val="single" w:sz="4" w:space="0" w:color="auto"/>
            </w:tcBorders>
            <w:vAlign w:val="center"/>
          </w:tcPr>
          <w:p w14:paraId="58011585"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6</w:t>
            </w:r>
          </w:p>
        </w:tc>
        <w:tc>
          <w:tcPr>
            <w:tcW w:w="682" w:type="dxa"/>
            <w:tcBorders>
              <w:left w:val="single" w:sz="4" w:space="0" w:color="auto"/>
            </w:tcBorders>
            <w:vAlign w:val="center"/>
          </w:tcPr>
          <w:p w14:paraId="3CA36975"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641174AF"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19" w:type="dxa"/>
            <w:tcBorders>
              <w:left w:val="single" w:sz="4" w:space="0" w:color="auto"/>
            </w:tcBorders>
            <w:vAlign w:val="center"/>
          </w:tcPr>
          <w:p w14:paraId="0CB64CD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2</w:t>
            </w:r>
          </w:p>
        </w:tc>
        <w:tc>
          <w:tcPr>
            <w:tcW w:w="702" w:type="dxa"/>
            <w:tcBorders>
              <w:right w:val="single" w:sz="4" w:space="0" w:color="auto"/>
            </w:tcBorders>
            <w:vAlign w:val="center"/>
          </w:tcPr>
          <w:p w14:paraId="48AECA3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w:t>
            </w:r>
          </w:p>
        </w:tc>
        <w:tc>
          <w:tcPr>
            <w:tcW w:w="702" w:type="dxa"/>
            <w:tcBorders>
              <w:left w:val="single" w:sz="4" w:space="0" w:color="auto"/>
            </w:tcBorders>
            <w:vAlign w:val="center"/>
          </w:tcPr>
          <w:p w14:paraId="748F9DD4"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44A6BAA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4B53CDEB"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690F991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987" w:type="dxa"/>
            <w:tcBorders>
              <w:left w:val="single" w:sz="4" w:space="0" w:color="auto"/>
            </w:tcBorders>
            <w:vAlign w:val="center"/>
          </w:tcPr>
          <w:p w14:paraId="1672118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highlight w:val="yellow"/>
              </w:rPr>
            </w:pPr>
          </w:p>
        </w:tc>
        <w:tc>
          <w:tcPr>
            <w:tcW w:w="828" w:type="dxa"/>
            <w:vAlign w:val="center"/>
          </w:tcPr>
          <w:p w14:paraId="31183F84"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highlight w:val="yellow"/>
              </w:rPr>
            </w:pPr>
          </w:p>
        </w:tc>
      </w:tr>
      <w:tr w:rsidR="00020CAF" w:rsidRPr="00262F3A" w14:paraId="05145111"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3F674937"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Ms Robyn</w:t>
            </w:r>
            <w:r w:rsidRPr="00262F3A">
              <w:rPr>
                <w:rFonts w:eastAsia="Times New Roman"/>
                <w:sz w:val="16"/>
                <w:szCs w:val="16"/>
                <w:vertAlign w:val="superscript"/>
                <w:lang w:eastAsia="en-AU"/>
              </w:rPr>
              <w:footnoteReference w:id="23"/>
            </w:r>
            <w:r w:rsidRPr="00262F3A">
              <w:rPr>
                <w:rFonts w:eastAsia="Times New Roman"/>
                <w:sz w:val="16"/>
                <w:szCs w:val="16"/>
                <w:lang w:eastAsia="en-AU"/>
              </w:rPr>
              <w:t xml:space="preserve"> Kruk AO</w:t>
            </w:r>
          </w:p>
        </w:tc>
        <w:tc>
          <w:tcPr>
            <w:tcW w:w="753" w:type="dxa"/>
            <w:tcBorders>
              <w:left w:val="single" w:sz="4" w:space="0" w:color="auto"/>
            </w:tcBorders>
            <w:vAlign w:val="center"/>
          </w:tcPr>
          <w:p w14:paraId="7870936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11D2C642" w14:textId="401DA631" w:rsidR="00D4656B" w:rsidRPr="00262F3A" w:rsidRDefault="009F7DAD"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11</w:t>
            </w:r>
          </w:p>
        </w:tc>
        <w:tc>
          <w:tcPr>
            <w:tcW w:w="682" w:type="dxa"/>
            <w:tcBorders>
              <w:left w:val="single" w:sz="4" w:space="0" w:color="auto"/>
            </w:tcBorders>
            <w:vAlign w:val="center"/>
          </w:tcPr>
          <w:p w14:paraId="5E0C998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246AE22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19" w:type="dxa"/>
            <w:tcBorders>
              <w:left w:val="single" w:sz="4" w:space="0" w:color="auto"/>
            </w:tcBorders>
            <w:vAlign w:val="center"/>
          </w:tcPr>
          <w:p w14:paraId="3372D3A7"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572E6D35"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2B20654B"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14DABC5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267779F8"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right w:val="single" w:sz="4" w:space="0" w:color="auto"/>
            </w:tcBorders>
            <w:vAlign w:val="center"/>
          </w:tcPr>
          <w:p w14:paraId="508EF35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2</w:t>
            </w:r>
          </w:p>
        </w:tc>
        <w:tc>
          <w:tcPr>
            <w:tcW w:w="987" w:type="dxa"/>
            <w:tcBorders>
              <w:left w:val="single" w:sz="4" w:space="0" w:color="auto"/>
            </w:tcBorders>
            <w:vAlign w:val="center"/>
          </w:tcPr>
          <w:p w14:paraId="1719243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c>
          <w:tcPr>
            <w:tcW w:w="828" w:type="dxa"/>
            <w:vAlign w:val="center"/>
          </w:tcPr>
          <w:p w14:paraId="3A8E6DBA"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4</w:t>
            </w:r>
          </w:p>
        </w:tc>
      </w:tr>
      <w:tr w:rsidR="00020CAF" w:rsidRPr="00262F3A" w14:paraId="34B88752"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77769A24"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Dr Martin Laverty</w:t>
            </w:r>
            <w:r w:rsidRPr="00262F3A">
              <w:rPr>
                <w:rStyle w:val="FootnoteReference"/>
                <w:rFonts w:eastAsia="Times New Roman"/>
                <w:sz w:val="16"/>
                <w:szCs w:val="16"/>
                <w:lang w:eastAsia="en-AU"/>
              </w:rPr>
              <w:footnoteReference w:id="24"/>
            </w:r>
          </w:p>
        </w:tc>
        <w:tc>
          <w:tcPr>
            <w:tcW w:w="753" w:type="dxa"/>
            <w:tcBorders>
              <w:left w:val="single" w:sz="4" w:space="0" w:color="auto"/>
            </w:tcBorders>
            <w:vAlign w:val="center"/>
          </w:tcPr>
          <w:p w14:paraId="1C04544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6D223C13" w14:textId="21D520F1" w:rsidR="00D4656B" w:rsidRPr="00262F3A" w:rsidRDefault="009F7DAD"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11</w:t>
            </w:r>
          </w:p>
        </w:tc>
        <w:tc>
          <w:tcPr>
            <w:tcW w:w="682" w:type="dxa"/>
            <w:tcBorders>
              <w:left w:val="single" w:sz="4" w:space="0" w:color="auto"/>
            </w:tcBorders>
            <w:vAlign w:val="center"/>
          </w:tcPr>
          <w:p w14:paraId="556790A6"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012511F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19" w:type="dxa"/>
            <w:tcBorders>
              <w:left w:val="single" w:sz="4" w:space="0" w:color="auto"/>
            </w:tcBorders>
            <w:vAlign w:val="center"/>
          </w:tcPr>
          <w:p w14:paraId="062DF1AB"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2B9CD98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3B52F6E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1" w:type="dxa"/>
            <w:tcBorders>
              <w:right w:val="single" w:sz="4" w:space="0" w:color="auto"/>
            </w:tcBorders>
            <w:vAlign w:val="center"/>
          </w:tcPr>
          <w:p w14:paraId="78D7066B"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left w:val="single" w:sz="4" w:space="0" w:color="auto"/>
            </w:tcBorders>
            <w:vAlign w:val="center"/>
          </w:tcPr>
          <w:p w14:paraId="6C1E4130"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702" w:type="dxa"/>
            <w:tcBorders>
              <w:right w:val="single" w:sz="4" w:space="0" w:color="auto"/>
            </w:tcBorders>
            <w:vAlign w:val="center"/>
          </w:tcPr>
          <w:p w14:paraId="5FB7B44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4</w:t>
            </w:r>
          </w:p>
        </w:tc>
        <w:tc>
          <w:tcPr>
            <w:tcW w:w="987" w:type="dxa"/>
            <w:tcBorders>
              <w:left w:val="single" w:sz="4" w:space="0" w:color="auto"/>
            </w:tcBorders>
            <w:vAlign w:val="center"/>
          </w:tcPr>
          <w:p w14:paraId="258B68D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828" w:type="dxa"/>
            <w:vAlign w:val="center"/>
          </w:tcPr>
          <w:p w14:paraId="704225F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20CAF" w:rsidRPr="00262F3A" w14:paraId="384C0D03"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262C2CFB"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 xml:space="preserve">Mr John Walsh AM </w:t>
            </w:r>
          </w:p>
        </w:tc>
        <w:tc>
          <w:tcPr>
            <w:tcW w:w="753" w:type="dxa"/>
            <w:tcBorders>
              <w:left w:val="single" w:sz="4" w:space="0" w:color="auto"/>
            </w:tcBorders>
            <w:vAlign w:val="center"/>
          </w:tcPr>
          <w:p w14:paraId="07C66B02"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6203ECB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12</w:t>
            </w:r>
          </w:p>
        </w:tc>
        <w:tc>
          <w:tcPr>
            <w:tcW w:w="682" w:type="dxa"/>
            <w:tcBorders>
              <w:left w:val="single" w:sz="4" w:space="0" w:color="auto"/>
            </w:tcBorders>
            <w:vAlign w:val="center"/>
          </w:tcPr>
          <w:p w14:paraId="4B9C0849"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9</w:t>
            </w:r>
          </w:p>
        </w:tc>
        <w:tc>
          <w:tcPr>
            <w:tcW w:w="646" w:type="dxa"/>
            <w:tcBorders>
              <w:right w:val="single" w:sz="4" w:space="0" w:color="auto"/>
            </w:tcBorders>
            <w:vAlign w:val="center"/>
          </w:tcPr>
          <w:p w14:paraId="3BF6A506"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8</w:t>
            </w:r>
          </w:p>
        </w:tc>
        <w:tc>
          <w:tcPr>
            <w:tcW w:w="719" w:type="dxa"/>
            <w:tcBorders>
              <w:left w:val="single" w:sz="4" w:space="0" w:color="auto"/>
            </w:tcBorders>
            <w:vAlign w:val="center"/>
          </w:tcPr>
          <w:p w14:paraId="00259C1E"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right w:val="single" w:sz="4" w:space="0" w:color="auto"/>
            </w:tcBorders>
            <w:vAlign w:val="center"/>
          </w:tcPr>
          <w:p w14:paraId="3DE2E292"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702" w:type="dxa"/>
            <w:tcBorders>
              <w:left w:val="single" w:sz="4" w:space="0" w:color="auto"/>
            </w:tcBorders>
            <w:vAlign w:val="center"/>
          </w:tcPr>
          <w:p w14:paraId="441AD34E"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54293E8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2</w:t>
            </w:r>
          </w:p>
        </w:tc>
        <w:tc>
          <w:tcPr>
            <w:tcW w:w="702" w:type="dxa"/>
            <w:tcBorders>
              <w:left w:val="single" w:sz="4" w:space="0" w:color="auto"/>
            </w:tcBorders>
            <w:vAlign w:val="center"/>
          </w:tcPr>
          <w:p w14:paraId="4D500600"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120302BF"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987" w:type="dxa"/>
            <w:tcBorders>
              <w:left w:val="single" w:sz="4" w:space="0" w:color="auto"/>
            </w:tcBorders>
            <w:vAlign w:val="center"/>
          </w:tcPr>
          <w:p w14:paraId="188D1D93"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828" w:type="dxa"/>
            <w:vAlign w:val="center"/>
          </w:tcPr>
          <w:p w14:paraId="78B44F1D" w14:textId="77777777" w:rsidR="00D4656B" w:rsidRPr="00262F3A" w:rsidRDefault="00D4656B" w:rsidP="00AC60F9">
            <w:pPr>
              <w:pStyle w:val="Tableformat"/>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020CAF" w:rsidRPr="00262F3A" w14:paraId="23CA7684" w14:textId="77777777" w:rsidTr="00020CAF">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589C0122" w14:textId="77777777" w:rsidR="00D4656B" w:rsidRPr="00262F3A" w:rsidRDefault="00D4656B" w:rsidP="00AC60F9">
            <w:pPr>
              <w:pStyle w:val="Tableformat"/>
              <w:rPr>
                <w:rFonts w:eastAsia="Times New Roman"/>
                <w:i/>
                <w:sz w:val="16"/>
                <w:szCs w:val="16"/>
                <w:lang w:eastAsia="en-AU"/>
              </w:rPr>
            </w:pPr>
            <w:r w:rsidRPr="00262F3A">
              <w:rPr>
                <w:rFonts w:eastAsia="Times New Roman"/>
                <w:sz w:val="16"/>
                <w:szCs w:val="16"/>
                <w:lang w:eastAsia="en-AU"/>
              </w:rPr>
              <w:t>Mr Glenn Keys AO</w:t>
            </w:r>
            <w:r w:rsidRPr="00262F3A">
              <w:rPr>
                <w:rStyle w:val="FootnoteReference"/>
                <w:rFonts w:eastAsia="Times New Roman"/>
                <w:sz w:val="16"/>
                <w:szCs w:val="16"/>
                <w:lang w:eastAsia="en-AU"/>
              </w:rPr>
              <w:footnoteReference w:id="25"/>
            </w:r>
          </w:p>
        </w:tc>
        <w:tc>
          <w:tcPr>
            <w:tcW w:w="753" w:type="dxa"/>
            <w:tcBorders>
              <w:left w:val="single" w:sz="4" w:space="0" w:color="auto"/>
            </w:tcBorders>
            <w:vAlign w:val="center"/>
          </w:tcPr>
          <w:p w14:paraId="73E4556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12</w:t>
            </w:r>
          </w:p>
        </w:tc>
        <w:tc>
          <w:tcPr>
            <w:tcW w:w="709" w:type="dxa"/>
            <w:tcBorders>
              <w:right w:val="single" w:sz="4" w:space="0" w:color="auto"/>
            </w:tcBorders>
            <w:vAlign w:val="center"/>
          </w:tcPr>
          <w:p w14:paraId="19AD71BE"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10</w:t>
            </w:r>
          </w:p>
        </w:tc>
        <w:tc>
          <w:tcPr>
            <w:tcW w:w="682" w:type="dxa"/>
            <w:tcBorders>
              <w:left w:val="single" w:sz="4" w:space="0" w:color="auto"/>
            </w:tcBorders>
            <w:vAlign w:val="center"/>
          </w:tcPr>
          <w:p w14:paraId="2DF13C5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1AA4F04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w:t>
            </w:r>
          </w:p>
        </w:tc>
        <w:tc>
          <w:tcPr>
            <w:tcW w:w="719" w:type="dxa"/>
            <w:tcBorders>
              <w:left w:val="single" w:sz="4" w:space="0" w:color="auto"/>
            </w:tcBorders>
            <w:vAlign w:val="center"/>
          </w:tcPr>
          <w:p w14:paraId="44A1EA38"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5</w:t>
            </w:r>
          </w:p>
        </w:tc>
        <w:tc>
          <w:tcPr>
            <w:tcW w:w="702" w:type="dxa"/>
            <w:tcBorders>
              <w:right w:val="single" w:sz="4" w:space="0" w:color="auto"/>
            </w:tcBorders>
            <w:vAlign w:val="center"/>
          </w:tcPr>
          <w:p w14:paraId="12A342CF"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3</w:t>
            </w:r>
          </w:p>
        </w:tc>
        <w:tc>
          <w:tcPr>
            <w:tcW w:w="702" w:type="dxa"/>
            <w:tcBorders>
              <w:left w:val="single" w:sz="4" w:space="0" w:color="auto"/>
            </w:tcBorders>
            <w:vAlign w:val="center"/>
          </w:tcPr>
          <w:p w14:paraId="1C46B839"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60161EF3"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4BAE2B9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73CC0FFB"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987" w:type="dxa"/>
            <w:tcBorders>
              <w:left w:val="single" w:sz="4" w:space="0" w:color="auto"/>
            </w:tcBorders>
            <w:vAlign w:val="center"/>
          </w:tcPr>
          <w:p w14:paraId="768E0A3D"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2</w:t>
            </w:r>
          </w:p>
        </w:tc>
        <w:tc>
          <w:tcPr>
            <w:tcW w:w="828" w:type="dxa"/>
            <w:vAlign w:val="center"/>
          </w:tcPr>
          <w:p w14:paraId="422BC251" w14:textId="77777777" w:rsidR="00D4656B" w:rsidRPr="00262F3A" w:rsidRDefault="00D4656B" w:rsidP="00AC60F9">
            <w:pPr>
              <w:pStyle w:val="Tableformat"/>
              <w:cnfStyle w:val="000000000000" w:firstRow="0" w:lastRow="0" w:firstColumn="0" w:lastColumn="0" w:oddVBand="0" w:evenVBand="0" w:oddHBand="0" w:evenHBand="0" w:firstRowFirstColumn="0" w:firstRowLastColumn="0" w:lastRowFirstColumn="0" w:lastRowLastColumn="0"/>
              <w:rPr>
                <w:color w:val="000000"/>
                <w:sz w:val="16"/>
                <w:szCs w:val="16"/>
              </w:rPr>
            </w:pPr>
            <w:r w:rsidRPr="00262F3A">
              <w:rPr>
                <w:color w:val="000000"/>
                <w:sz w:val="16"/>
                <w:szCs w:val="16"/>
              </w:rPr>
              <w:t>1</w:t>
            </w:r>
          </w:p>
        </w:tc>
      </w:tr>
      <w:tr w:rsidR="00020CAF" w:rsidRPr="00262F3A" w14:paraId="726D7699" w14:textId="77777777" w:rsidTr="00020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dxa"/>
            <w:tcBorders>
              <w:right w:val="single" w:sz="4" w:space="0" w:color="auto"/>
            </w:tcBorders>
          </w:tcPr>
          <w:p w14:paraId="29317EAC" w14:textId="77777777" w:rsidR="00D4656B" w:rsidRPr="00262F3A" w:rsidRDefault="00D4656B" w:rsidP="00D4656B">
            <w:pPr>
              <w:ind w:left="0"/>
              <w:rPr>
                <w:rFonts w:eastAsia="Times New Roman"/>
                <w:sz w:val="16"/>
                <w:szCs w:val="16"/>
                <w:lang w:eastAsia="en-AU"/>
              </w:rPr>
            </w:pPr>
            <w:r w:rsidRPr="00262F3A">
              <w:rPr>
                <w:rFonts w:eastAsia="Times New Roman"/>
                <w:sz w:val="16"/>
                <w:szCs w:val="16"/>
                <w:lang w:eastAsia="en-AU"/>
              </w:rPr>
              <w:t>Prof Jane Burns</w:t>
            </w:r>
            <w:r w:rsidRPr="00262F3A">
              <w:rPr>
                <w:rStyle w:val="FootnoteReference"/>
                <w:rFonts w:eastAsia="Times New Roman"/>
                <w:sz w:val="16"/>
                <w:szCs w:val="16"/>
                <w:lang w:eastAsia="en-AU"/>
              </w:rPr>
              <w:footnoteReference w:id="26"/>
            </w:r>
          </w:p>
        </w:tc>
        <w:tc>
          <w:tcPr>
            <w:tcW w:w="753" w:type="dxa"/>
            <w:tcBorders>
              <w:left w:val="single" w:sz="4" w:space="0" w:color="auto"/>
            </w:tcBorders>
            <w:vAlign w:val="center"/>
          </w:tcPr>
          <w:p w14:paraId="6AD5425B"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709" w:type="dxa"/>
            <w:tcBorders>
              <w:right w:val="single" w:sz="4" w:space="0" w:color="auto"/>
            </w:tcBorders>
            <w:vAlign w:val="center"/>
          </w:tcPr>
          <w:p w14:paraId="125F8DE7"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5</w:t>
            </w:r>
          </w:p>
        </w:tc>
        <w:tc>
          <w:tcPr>
            <w:tcW w:w="682" w:type="dxa"/>
            <w:tcBorders>
              <w:left w:val="single" w:sz="4" w:space="0" w:color="auto"/>
            </w:tcBorders>
            <w:vAlign w:val="center"/>
          </w:tcPr>
          <w:p w14:paraId="76D39FAC"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646" w:type="dxa"/>
            <w:tcBorders>
              <w:right w:val="single" w:sz="4" w:space="0" w:color="auto"/>
            </w:tcBorders>
            <w:vAlign w:val="center"/>
          </w:tcPr>
          <w:p w14:paraId="2FA171A3"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19" w:type="dxa"/>
            <w:tcBorders>
              <w:left w:val="single" w:sz="4" w:space="0" w:color="auto"/>
            </w:tcBorders>
            <w:vAlign w:val="center"/>
          </w:tcPr>
          <w:p w14:paraId="5F914045"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702" w:type="dxa"/>
            <w:tcBorders>
              <w:right w:val="single" w:sz="4" w:space="0" w:color="auto"/>
            </w:tcBorders>
            <w:vAlign w:val="center"/>
          </w:tcPr>
          <w:p w14:paraId="625B90E6"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2F3A">
              <w:rPr>
                <w:color w:val="000000"/>
                <w:sz w:val="16"/>
                <w:szCs w:val="16"/>
              </w:rPr>
              <w:t>3</w:t>
            </w:r>
          </w:p>
        </w:tc>
        <w:tc>
          <w:tcPr>
            <w:tcW w:w="702" w:type="dxa"/>
            <w:tcBorders>
              <w:left w:val="single" w:sz="4" w:space="0" w:color="auto"/>
            </w:tcBorders>
            <w:vAlign w:val="center"/>
          </w:tcPr>
          <w:p w14:paraId="6DD2AEBA"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1" w:type="dxa"/>
            <w:tcBorders>
              <w:right w:val="single" w:sz="4" w:space="0" w:color="auto"/>
            </w:tcBorders>
            <w:vAlign w:val="center"/>
          </w:tcPr>
          <w:p w14:paraId="46861A58"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left w:val="single" w:sz="4" w:space="0" w:color="auto"/>
            </w:tcBorders>
            <w:vAlign w:val="center"/>
          </w:tcPr>
          <w:p w14:paraId="21AD76B7"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702" w:type="dxa"/>
            <w:tcBorders>
              <w:right w:val="single" w:sz="4" w:space="0" w:color="auto"/>
            </w:tcBorders>
            <w:vAlign w:val="center"/>
          </w:tcPr>
          <w:p w14:paraId="16B00EAB"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987" w:type="dxa"/>
            <w:tcBorders>
              <w:left w:val="single" w:sz="4" w:space="0" w:color="auto"/>
            </w:tcBorders>
            <w:vAlign w:val="center"/>
          </w:tcPr>
          <w:p w14:paraId="7B2F74D5"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828" w:type="dxa"/>
            <w:vAlign w:val="center"/>
          </w:tcPr>
          <w:p w14:paraId="66A210DA" w14:textId="77777777" w:rsidR="00D4656B" w:rsidRPr="00262F3A" w:rsidRDefault="00D4656B" w:rsidP="00020CAF">
            <w:pPr>
              <w:ind w:left="0"/>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bl>
    <w:p w14:paraId="6C6BD200" w14:textId="13B6F568" w:rsidR="00475947" w:rsidRPr="00262F3A" w:rsidRDefault="00C34ADE" w:rsidP="00561B3B">
      <w:r w:rsidRPr="00262F3A">
        <w:t xml:space="preserve">Board Directors may attend any Board </w:t>
      </w:r>
      <w:r w:rsidR="00ED1EB5">
        <w:t>c</w:t>
      </w:r>
      <w:r w:rsidRPr="00262F3A">
        <w:t xml:space="preserve">ommittee meeting in their capacity as a Director. “Eligible” refers to the number of committee meetings attended by a Director as a formal member of the Committee. “Attended” column includes all attendance at committee meetings, regardless of membership status. </w:t>
      </w:r>
    </w:p>
    <w:p w14:paraId="5D87F6DC" w14:textId="27AC5AE8" w:rsidR="002E08C3" w:rsidRPr="00262F3A" w:rsidRDefault="00B651FB" w:rsidP="008F00D1">
      <w:pPr>
        <w:pStyle w:val="Heading3"/>
      </w:pPr>
      <w:bookmarkStart w:id="144" w:name="_Toc51067985"/>
      <w:r w:rsidRPr="00262F3A">
        <w:lastRenderedPageBreak/>
        <w:t xml:space="preserve">Board membership </w:t>
      </w:r>
      <w:r w:rsidR="002E08C3" w:rsidRPr="00262F3A">
        <w:t>changes</w:t>
      </w:r>
      <w:bookmarkEnd w:id="144"/>
    </w:p>
    <w:p w14:paraId="1DAB96D5" w14:textId="2A135CF6" w:rsidR="00B651FB" w:rsidRPr="00262F3A" w:rsidRDefault="002E08C3" w:rsidP="002E08C3">
      <w:r w:rsidRPr="00262F3A">
        <w:t xml:space="preserve">On 13 December 2019, the Hon Stuart Robert MP, Minister for the </w:t>
      </w:r>
      <w:r w:rsidR="00ED1EB5">
        <w:t>NDIS</w:t>
      </w:r>
      <w:r w:rsidRPr="00262F3A">
        <w:t xml:space="preserve">, announced the Board of the NDIA from 1 January 2020, with nine reappointments and one new member. Dr Helen Nugent was reappointed for a two-year term as Chair of the Board. Mr Paul O’Sullivan, Ms Robyn Kruk AO, Mr John Langoulant AO, Ms Estelle Pearson, Ms Sandra Birkensleigh, Mr James Minto, Mr Glenn Keys AO and Mr John Walsh AM </w:t>
      </w:r>
      <w:r w:rsidR="00B651FB" w:rsidRPr="00262F3A">
        <w:t>were</w:t>
      </w:r>
      <w:r w:rsidRPr="00262F3A">
        <w:t xml:space="preserve"> also reappointed to the Board</w:t>
      </w:r>
      <w:r w:rsidR="00B651FB" w:rsidRPr="00262F3A">
        <w:t xml:space="preserve"> for terms </w:t>
      </w:r>
      <w:r w:rsidR="00815D62">
        <w:t xml:space="preserve">of </w:t>
      </w:r>
      <w:r w:rsidR="00B651FB" w:rsidRPr="00262F3A">
        <w:t>up to two years</w:t>
      </w:r>
      <w:r w:rsidRPr="00262F3A">
        <w:t xml:space="preserve">. Professor Jane Burns was newly appointed to the Board </w:t>
      </w:r>
      <w:r w:rsidR="00B651FB" w:rsidRPr="00262F3A">
        <w:t>for two years</w:t>
      </w:r>
      <w:r w:rsidRPr="00262F3A">
        <w:t xml:space="preserve">. </w:t>
      </w:r>
    </w:p>
    <w:p w14:paraId="441645DD" w14:textId="5621F6D8" w:rsidR="002E08C3" w:rsidRPr="00262F3A" w:rsidRDefault="002E08C3" w:rsidP="002E08C3">
      <w:r w:rsidRPr="00262F3A">
        <w:t xml:space="preserve">Ms Andrea Staines concluded her term as a </w:t>
      </w:r>
      <w:r w:rsidR="00ED1EB5">
        <w:t>D</w:t>
      </w:r>
      <w:r w:rsidRPr="00262F3A">
        <w:t xml:space="preserve">irector on 31 December 2019, and </w:t>
      </w:r>
      <w:r w:rsidR="00842024" w:rsidRPr="00262F3A">
        <w:t>Dr</w:t>
      </w:r>
      <w:r w:rsidRPr="00262F3A">
        <w:t xml:space="preserve"> Martin Laverty concluded his term as a </w:t>
      </w:r>
      <w:r w:rsidR="00ED1EB5">
        <w:t>D</w:t>
      </w:r>
      <w:r w:rsidRPr="00262F3A">
        <w:t>irector on 30 June 2020. Membership of Board committees changed over the course of the financial year. Current membership is shown at 4.2.</w:t>
      </w:r>
      <w:r w:rsidR="00B651FB" w:rsidRPr="00262F3A">
        <w:t>2</w:t>
      </w:r>
      <w:r w:rsidRPr="00262F3A">
        <w:t>.</w:t>
      </w:r>
    </w:p>
    <w:p w14:paraId="7F64451B" w14:textId="39C42C6C" w:rsidR="00EC35FC" w:rsidRPr="00262F3A" w:rsidRDefault="00EC35FC" w:rsidP="008F00D1">
      <w:pPr>
        <w:pStyle w:val="Heading2"/>
      </w:pPr>
      <w:bookmarkStart w:id="145" w:name="_Toc51067986"/>
      <w:r w:rsidRPr="00262F3A">
        <w:t xml:space="preserve">The Independent Advisory </w:t>
      </w:r>
      <w:bookmarkEnd w:id="145"/>
      <w:r w:rsidR="001E6D27">
        <w:t>Council</w:t>
      </w:r>
    </w:p>
    <w:p w14:paraId="44BC076E" w14:textId="77777777" w:rsidR="00EC35FC" w:rsidRPr="00262F3A" w:rsidRDefault="00832B78" w:rsidP="00561B3B">
      <w:r w:rsidRPr="00262F3A">
        <w:t xml:space="preserve">The Independent Advisory Council (IAC) provides the Board with independent advice, which the Board must consider when performing its duties. The IAC, formally appointed by the Minister, is composed of people with disability, service providers and carers. It brings the crucial perspectives of these stakeholders to the work of the Agency and the design of the Scheme. Further information on the IAC is provided on the IAC's website at </w:t>
      </w:r>
      <w:hyperlink r:id="rId72" w:history="1">
        <w:r w:rsidRPr="00262F3A">
          <w:rPr>
            <w:rStyle w:val="Hyperlink"/>
            <w:rFonts w:cs="FS Me Pro Light"/>
          </w:rPr>
          <w:t>https://www.ndis-iac.com.au/</w:t>
        </w:r>
      </w:hyperlink>
      <w:r w:rsidRPr="00262F3A">
        <w:t>.</w:t>
      </w:r>
    </w:p>
    <w:p w14:paraId="7C75F314" w14:textId="77777777" w:rsidR="00C34ADE" w:rsidRPr="00262F3A" w:rsidRDefault="00C34ADE" w:rsidP="00561B3B">
      <w:pPr>
        <w:rPr>
          <w:rFonts w:eastAsiaTheme="minorHAnsi"/>
          <w:lang w:eastAsia="en-US"/>
        </w:rPr>
      </w:pPr>
      <w:r w:rsidRPr="00262F3A">
        <w:rPr>
          <w:rFonts w:eastAsiaTheme="minorHAnsi"/>
          <w:lang w:eastAsia="en-US"/>
        </w:rPr>
        <w:t xml:space="preserve">The </w:t>
      </w:r>
      <w:r w:rsidRPr="00262F3A">
        <w:t>IAC</w:t>
      </w:r>
      <w:r w:rsidRPr="00262F3A">
        <w:rPr>
          <w:rFonts w:eastAsiaTheme="minorHAnsi"/>
          <w:lang w:eastAsia="en-US"/>
        </w:rPr>
        <w:t xml:space="preserve"> plays an integral role in bringing the views of participants, families and disability sector experts to the heart of the NDIS by providing independent advice on the experience of its members and expert advisers, and their networks.</w:t>
      </w:r>
    </w:p>
    <w:p w14:paraId="53FB4A97" w14:textId="77777777" w:rsidR="00C34ADE" w:rsidRPr="00262F3A" w:rsidRDefault="00C34ADE" w:rsidP="00561B3B">
      <w:pPr>
        <w:rPr>
          <w:rFonts w:eastAsiaTheme="minorHAnsi"/>
          <w:lang w:eastAsia="en-US"/>
        </w:rPr>
      </w:pPr>
      <w:r w:rsidRPr="00262F3A">
        <w:rPr>
          <w:rFonts w:eastAsiaTheme="minorHAnsi"/>
          <w:lang w:eastAsia="en-US"/>
        </w:rPr>
        <w:t xml:space="preserve">During 2019–20, the IAC continued to engage with a number of </w:t>
      </w:r>
      <w:r w:rsidR="000B619D" w:rsidRPr="00262F3A">
        <w:rPr>
          <w:rFonts w:eastAsiaTheme="minorHAnsi"/>
          <w:lang w:eastAsia="en-US"/>
        </w:rPr>
        <w:t>Agency</w:t>
      </w:r>
      <w:r w:rsidRPr="00262F3A">
        <w:rPr>
          <w:rFonts w:eastAsiaTheme="minorHAnsi"/>
          <w:lang w:eastAsia="en-US"/>
        </w:rPr>
        <w:t xml:space="preserve"> business areas to provide both formal and informal advice. Key highlights for the financial year included: </w:t>
      </w:r>
    </w:p>
    <w:p w14:paraId="6A69544D" w14:textId="127337C0" w:rsidR="00C34ADE" w:rsidRPr="00262F3A" w:rsidRDefault="00ED1EB5" w:rsidP="006D2911">
      <w:pPr>
        <w:pStyle w:val="ListParagraph"/>
        <w:numPr>
          <w:ilvl w:val="0"/>
          <w:numId w:val="4"/>
        </w:numPr>
        <w:rPr>
          <w:rFonts w:eastAsiaTheme="minorHAnsi"/>
          <w:lang w:eastAsia="en-US"/>
        </w:rPr>
      </w:pPr>
      <w:r>
        <w:rPr>
          <w:rFonts w:eastAsia="Times New Roman"/>
          <w:lang w:eastAsia="en-AU"/>
        </w:rPr>
        <w:t>t</w:t>
      </w:r>
      <w:r w:rsidR="00C34ADE" w:rsidRPr="00262F3A">
        <w:rPr>
          <w:rFonts w:eastAsia="Times New Roman"/>
          <w:lang w:eastAsia="en-AU"/>
        </w:rPr>
        <w:t>he</w:t>
      </w:r>
      <w:r w:rsidR="00C34ADE" w:rsidRPr="00262F3A">
        <w:rPr>
          <w:rFonts w:eastAsiaTheme="minorHAnsi"/>
          <w:lang w:eastAsia="en-US"/>
        </w:rPr>
        <w:t xml:space="preserve"> endorsement of the IAC’s new operating model, aimed to optimise the role of IAC and expertise of its members in delivering a world leading NDIS. The implementation of the operating model will enable stronger alignment to corporate processes and priorities between the IAC and the Board, helping to translate advice into actionable programs of work, and support the Agency with implementation.</w:t>
      </w:r>
    </w:p>
    <w:p w14:paraId="65D3F8D2" w14:textId="52C501BB" w:rsidR="00C34ADE" w:rsidRPr="00262F3A" w:rsidRDefault="00ED1EB5" w:rsidP="006D2911">
      <w:pPr>
        <w:pStyle w:val="ListParagraph"/>
        <w:numPr>
          <w:ilvl w:val="0"/>
          <w:numId w:val="4"/>
        </w:numPr>
        <w:rPr>
          <w:rFonts w:eastAsiaTheme="minorHAnsi"/>
          <w:lang w:eastAsia="en-US"/>
        </w:rPr>
      </w:pPr>
      <w:r>
        <w:rPr>
          <w:rFonts w:eastAsia="Times New Roman"/>
          <w:lang w:eastAsia="en-AU"/>
        </w:rPr>
        <w:t>t</w:t>
      </w:r>
      <w:r w:rsidR="00C34ADE" w:rsidRPr="00262F3A">
        <w:rPr>
          <w:rFonts w:eastAsia="Times New Roman"/>
          <w:lang w:eastAsia="en-AU"/>
        </w:rPr>
        <w:t>he</w:t>
      </w:r>
      <w:r w:rsidR="00C34ADE" w:rsidRPr="00262F3A">
        <w:rPr>
          <w:rFonts w:eastAsiaTheme="minorHAnsi"/>
          <w:lang w:eastAsia="en-US"/>
        </w:rPr>
        <w:t xml:space="preserve"> provision of formal advice to the Board in the areas of: </w:t>
      </w:r>
    </w:p>
    <w:p w14:paraId="0FFD6AE1" w14:textId="7809D33F" w:rsidR="00C34ADE" w:rsidRPr="00262F3A" w:rsidRDefault="00ED1EB5" w:rsidP="006D2911">
      <w:pPr>
        <w:pStyle w:val="ListParagraph"/>
        <w:numPr>
          <w:ilvl w:val="0"/>
          <w:numId w:val="3"/>
        </w:numPr>
        <w:rPr>
          <w:rFonts w:eastAsiaTheme="minorHAnsi"/>
          <w:lang w:eastAsia="en-US"/>
        </w:rPr>
      </w:pPr>
      <w:r>
        <w:rPr>
          <w:rFonts w:eastAsiaTheme="minorHAnsi"/>
          <w:lang w:eastAsia="en-US"/>
        </w:rPr>
        <w:t>p</w:t>
      </w:r>
      <w:r w:rsidR="00C34ADE" w:rsidRPr="00262F3A">
        <w:rPr>
          <w:rFonts w:eastAsiaTheme="minorHAnsi"/>
          <w:lang w:eastAsia="en-US"/>
        </w:rPr>
        <w:t>lan support flexibility</w:t>
      </w:r>
    </w:p>
    <w:p w14:paraId="07FA045F" w14:textId="77777777" w:rsidR="00C34ADE" w:rsidRPr="00262F3A" w:rsidRDefault="00C34ADE" w:rsidP="006D2911">
      <w:pPr>
        <w:pStyle w:val="ListParagraph"/>
        <w:numPr>
          <w:ilvl w:val="0"/>
          <w:numId w:val="3"/>
        </w:numPr>
        <w:rPr>
          <w:rFonts w:eastAsiaTheme="minorHAnsi"/>
          <w:lang w:eastAsia="en-US"/>
        </w:rPr>
      </w:pPr>
      <w:r w:rsidRPr="00262F3A">
        <w:rPr>
          <w:rFonts w:eastAsiaTheme="minorHAnsi"/>
          <w:lang w:eastAsia="en-US"/>
        </w:rPr>
        <w:t>NDIS supports for participants who are parents</w:t>
      </w:r>
    </w:p>
    <w:p w14:paraId="1D8660B1" w14:textId="2C31857D" w:rsidR="00C34ADE" w:rsidRPr="00262F3A" w:rsidRDefault="00ED1EB5" w:rsidP="006D2911">
      <w:pPr>
        <w:pStyle w:val="ListParagraph"/>
        <w:numPr>
          <w:ilvl w:val="0"/>
          <w:numId w:val="3"/>
        </w:numPr>
        <w:rPr>
          <w:rFonts w:eastAsiaTheme="minorHAnsi"/>
          <w:lang w:eastAsia="en-US"/>
        </w:rPr>
      </w:pPr>
      <w:r>
        <w:rPr>
          <w:rFonts w:eastAsiaTheme="minorHAnsi"/>
          <w:lang w:eastAsia="en-US"/>
        </w:rPr>
        <w:t>s</w:t>
      </w:r>
      <w:r w:rsidR="00C34ADE" w:rsidRPr="00262F3A">
        <w:rPr>
          <w:rFonts w:eastAsiaTheme="minorHAnsi"/>
          <w:lang w:eastAsia="en-US"/>
        </w:rPr>
        <w:t>upport for decision making</w:t>
      </w:r>
    </w:p>
    <w:p w14:paraId="47383846" w14:textId="4BD6E1B6" w:rsidR="00C34ADE" w:rsidRPr="00262F3A" w:rsidRDefault="00ED1EB5" w:rsidP="006D2911">
      <w:pPr>
        <w:pStyle w:val="ListParagraph"/>
        <w:numPr>
          <w:ilvl w:val="0"/>
          <w:numId w:val="3"/>
        </w:numPr>
        <w:rPr>
          <w:rFonts w:eastAsiaTheme="minorHAnsi"/>
          <w:lang w:eastAsia="en-US"/>
        </w:rPr>
      </w:pPr>
      <w:r>
        <w:rPr>
          <w:rFonts w:eastAsiaTheme="minorHAnsi"/>
          <w:lang w:eastAsia="en-US"/>
        </w:rPr>
        <w:t>e</w:t>
      </w:r>
      <w:r w:rsidR="00C34ADE" w:rsidRPr="00262F3A">
        <w:rPr>
          <w:rFonts w:eastAsiaTheme="minorHAnsi"/>
          <w:lang w:eastAsia="en-US"/>
        </w:rPr>
        <w:t xml:space="preserve">arly </w:t>
      </w:r>
      <w:r>
        <w:rPr>
          <w:rFonts w:eastAsiaTheme="minorHAnsi"/>
          <w:lang w:eastAsia="en-US"/>
        </w:rPr>
        <w:t>c</w:t>
      </w:r>
      <w:r w:rsidR="00C34ADE" w:rsidRPr="00262F3A">
        <w:rPr>
          <w:rFonts w:eastAsiaTheme="minorHAnsi"/>
          <w:lang w:eastAsia="en-US"/>
        </w:rPr>
        <w:t xml:space="preserve">hildhood </w:t>
      </w:r>
      <w:r>
        <w:rPr>
          <w:rFonts w:eastAsiaTheme="minorHAnsi"/>
          <w:lang w:eastAsia="en-US"/>
        </w:rPr>
        <w:t>i</w:t>
      </w:r>
      <w:r w:rsidR="00C34ADE" w:rsidRPr="00262F3A">
        <w:rPr>
          <w:rFonts w:eastAsiaTheme="minorHAnsi"/>
          <w:lang w:eastAsia="en-US"/>
        </w:rPr>
        <w:t>ntervention</w:t>
      </w:r>
    </w:p>
    <w:p w14:paraId="52D3A454" w14:textId="314E2EA4" w:rsidR="00C34ADE" w:rsidRPr="00262F3A" w:rsidRDefault="00ED1EB5" w:rsidP="006D2911">
      <w:pPr>
        <w:pStyle w:val="ListParagraph"/>
        <w:numPr>
          <w:ilvl w:val="0"/>
          <w:numId w:val="3"/>
        </w:numPr>
        <w:rPr>
          <w:rFonts w:eastAsiaTheme="minorHAnsi"/>
          <w:lang w:eastAsia="en-US"/>
        </w:rPr>
      </w:pPr>
      <w:r>
        <w:rPr>
          <w:rFonts w:eastAsiaTheme="minorHAnsi"/>
          <w:lang w:eastAsia="en-US"/>
        </w:rPr>
        <w:t>c</w:t>
      </w:r>
      <w:r w:rsidR="00C34ADE" w:rsidRPr="00262F3A">
        <w:rPr>
          <w:rFonts w:eastAsiaTheme="minorHAnsi"/>
          <w:lang w:eastAsia="en-US"/>
        </w:rPr>
        <w:t xml:space="preserve">apacity </w:t>
      </w:r>
      <w:r>
        <w:rPr>
          <w:rFonts w:eastAsiaTheme="minorHAnsi"/>
          <w:lang w:eastAsia="en-US"/>
        </w:rPr>
        <w:t>b</w:t>
      </w:r>
      <w:r w:rsidR="00C34ADE" w:rsidRPr="00262F3A">
        <w:rPr>
          <w:rFonts w:eastAsiaTheme="minorHAnsi"/>
          <w:lang w:eastAsia="en-US"/>
        </w:rPr>
        <w:t>uilding</w:t>
      </w:r>
      <w:r w:rsidR="0049637E">
        <w:rPr>
          <w:rFonts w:eastAsiaTheme="minorHAnsi"/>
          <w:lang w:eastAsia="en-US"/>
        </w:rPr>
        <w:t>.</w:t>
      </w:r>
    </w:p>
    <w:p w14:paraId="1C540E9F" w14:textId="77777777" w:rsidR="00C34ADE" w:rsidRPr="00262F3A" w:rsidRDefault="00C34ADE" w:rsidP="00ED1EB5">
      <w:pPr>
        <w:ind w:left="1012"/>
        <w:rPr>
          <w:rFonts w:eastAsiaTheme="minorHAnsi"/>
          <w:lang w:eastAsia="en-US"/>
        </w:rPr>
      </w:pPr>
      <w:r w:rsidRPr="00262F3A">
        <w:rPr>
          <w:rFonts w:eastAsiaTheme="minorHAnsi"/>
          <w:lang w:eastAsia="en-US"/>
        </w:rPr>
        <w:t xml:space="preserve">The Agency will continue to work with the IAC to progress the implementation of the advice. </w:t>
      </w:r>
    </w:p>
    <w:p w14:paraId="5FC1B703" w14:textId="1F6017BB" w:rsidR="00C34ADE" w:rsidRPr="00262F3A" w:rsidRDefault="00ED1EB5" w:rsidP="006D2911">
      <w:pPr>
        <w:pStyle w:val="ListParagraph"/>
        <w:numPr>
          <w:ilvl w:val="0"/>
          <w:numId w:val="4"/>
        </w:numPr>
        <w:rPr>
          <w:rFonts w:eastAsia="Times New Roman"/>
          <w:lang w:eastAsia="en-AU"/>
        </w:rPr>
      </w:pPr>
      <w:r>
        <w:rPr>
          <w:rFonts w:eastAsia="Times New Roman"/>
          <w:lang w:eastAsia="en-AU"/>
        </w:rPr>
        <w:t>t</w:t>
      </w:r>
      <w:r w:rsidR="00C34ADE" w:rsidRPr="00262F3A">
        <w:rPr>
          <w:rFonts w:eastAsia="Times New Roman"/>
          <w:lang w:eastAsia="en-AU"/>
        </w:rPr>
        <w:t xml:space="preserve">he resumption of the IAC’s Intellectual Disability, Self-Management and Contemporary and Innovative Approaches Reference Groups meetings, providing key advice to the Agency </w:t>
      </w:r>
      <w:r w:rsidR="0049637E">
        <w:rPr>
          <w:rFonts w:eastAsia="Times New Roman"/>
          <w:lang w:eastAsia="en-AU"/>
        </w:rPr>
        <w:t xml:space="preserve">in </w:t>
      </w:r>
      <w:r w:rsidR="00C34ADE" w:rsidRPr="00262F3A">
        <w:rPr>
          <w:rFonts w:eastAsia="Times New Roman"/>
          <w:lang w:eastAsia="en-AU"/>
        </w:rPr>
        <w:t xml:space="preserve">each area of expertise, including </w:t>
      </w:r>
      <w:r w:rsidR="00257F1F">
        <w:rPr>
          <w:rFonts w:eastAsia="Times New Roman"/>
          <w:lang w:eastAsia="en-AU"/>
        </w:rPr>
        <w:t>on</w:t>
      </w:r>
      <w:r w:rsidR="00257F1F" w:rsidRPr="00262F3A">
        <w:rPr>
          <w:rFonts w:eastAsia="Times New Roman"/>
          <w:lang w:eastAsia="en-AU"/>
        </w:rPr>
        <w:t xml:space="preserve"> </w:t>
      </w:r>
      <w:r w:rsidR="00C34ADE" w:rsidRPr="00262F3A">
        <w:rPr>
          <w:rFonts w:eastAsia="Times New Roman"/>
          <w:lang w:eastAsia="en-AU"/>
        </w:rPr>
        <w:t xml:space="preserve">the topics of improving participant’s voice, home and living supports and plan support flexibility. </w:t>
      </w:r>
    </w:p>
    <w:p w14:paraId="2596D259" w14:textId="77777777" w:rsidR="00C34ADE" w:rsidRPr="00262F3A" w:rsidRDefault="00C34ADE" w:rsidP="00561B3B">
      <w:pPr>
        <w:rPr>
          <w:rFonts w:eastAsiaTheme="minorHAnsi"/>
          <w:lang w:eastAsia="en-US"/>
        </w:rPr>
      </w:pPr>
      <w:r w:rsidRPr="00262F3A">
        <w:rPr>
          <w:rFonts w:eastAsiaTheme="minorHAnsi"/>
          <w:lang w:eastAsia="en-US"/>
        </w:rPr>
        <w:t>Membership</w:t>
      </w:r>
      <w:r w:rsidRPr="00262F3A">
        <w:rPr>
          <w:rStyle w:val="FootnoteReference"/>
          <w:rFonts w:eastAsiaTheme="minorHAnsi"/>
          <w:lang w:eastAsia="en-US"/>
        </w:rPr>
        <w:footnoteReference w:id="27"/>
      </w:r>
      <w:r w:rsidRPr="00262F3A">
        <w:rPr>
          <w:rFonts w:eastAsiaTheme="minorHAnsi"/>
          <w:lang w:eastAsia="en-US"/>
        </w:rPr>
        <w:t xml:space="preserve"> of the IAC at 30 June 2020 consisted of:</w:t>
      </w:r>
    </w:p>
    <w:p w14:paraId="26105529"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 John Walsh AM (Acting Principal Member from 9 April 2019)</w:t>
      </w:r>
    </w:p>
    <w:p w14:paraId="5B9FBB8B"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Kerry Allan-Zinner </w:t>
      </w:r>
    </w:p>
    <w:p w14:paraId="19EA9F70"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 Kevin Cocks AM</w:t>
      </w:r>
    </w:p>
    <w:p w14:paraId="58F33A4B"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Jennifer Cullen</w:t>
      </w:r>
    </w:p>
    <w:p w14:paraId="06102857"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Mrs Judy Huett</w:t>
      </w:r>
    </w:p>
    <w:p w14:paraId="34E843F5"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Professor Anne Kavanagh</w:t>
      </w:r>
    </w:p>
    <w:p w14:paraId="4D83EA3D"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Sylvana Mahmic</w:t>
      </w:r>
    </w:p>
    <w:p w14:paraId="58BE1700"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 James Manders</w:t>
      </w:r>
    </w:p>
    <w:p w14:paraId="0F8549F9"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lastRenderedPageBreak/>
        <w:t>Ms Janet Meagher AM</w:t>
      </w:r>
    </w:p>
    <w:p w14:paraId="07738950"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Leah van Poppel</w:t>
      </w:r>
    </w:p>
    <w:p w14:paraId="766769D9"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Liz Reid</w:t>
      </w:r>
    </w:p>
    <w:p w14:paraId="785494FA" w14:textId="621C0DC0"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Sue Salthouse</w:t>
      </w:r>
      <w:r w:rsidR="00ED1EB5">
        <w:rPr>
          <w:rFonts w:eastAsia="Times New Roman"/>
          <w:lang w:eastAsia="en-AU"/>
        </w:rPr>
        <w:t>.</w:t>
      </w:r>
    </w:p>
    <w:p w14:paraId="53E8AE38" w14:textId="6F9BFCCE" w:rsidR="004A7372" w:rsidRPr="00262F3A" w:rsidRDefault="004A7372" w:rsidP="00561B3B">
      <w:pPr>
        <w:rPr>
          <w:rFonts w:eastAsiaTheme="minorHAnsi"/>
          <w:lang w:eastAsia="en-US"/>
        </w:rPr>
      </w:pPr>
      <w:r w:rsidRPr="00262F3A">
        <w:rPr>
          <w:rFonts w:eastAsiaTheme="minorHAnsi"/>
          <w:lang w:eastAsia="en-US"/>
        </w:rPr>
        <w:t>Ms Sue Salthouse worked in the area of social justice and human rights from 1996, up until her passing in July 2020. A highly</w:t>
      </w:r>
      <w:r w:rsidR="00ED1EB5">
        <w:rPr>
          <w:rFonts w:eastAsiaTheme="minorHAnsi"/>
          <w:lang w:eastAsia="en-US"/>
        </w:rPr>
        <w:t xml:space="preserve"> </w:t>
      </w:r>
      <w:r w:rsidRPr="00262F3A">
        <w:rPr>
          <w:rFonts w:eastAsiaTheme="minorHAnsi"/>
          <w:lang w:eastAsia="en-US"/>
        </w:rPr>
        <w:t>respected, passionate advocate for people with disability, she was committed to educating the community about the impact disability has on people’s lives and contributed to the design, delivery and improvement of the NDIS. She made major contributions to both the Agency and the IAC</w:t>
      </w:r>
      <w:r w:rsidR="009262BD">
        <w:rPr>
          <w:rFonts w:eastAsiaTheme="minorHAnsi"/>
          <w:lang w:eastAsia="en-US"/>
        </w:rPr>
        <w:t>.</w:t>
      </w:r>
    </w:p>
    <w:p w14:paraId="5FE4316E" w14:textId="465899B6" w:rsidR="00C34ADE" w:rsidRPr="00262F3A" w:rsidRDefault="00C34ADE" w:rsidP="00561B3B">
      <w:pPr>
        <w:rPr>
          <w:rFonts w:eastAsiaTheme="minorHAnsi"/>
          <w:lang w:eastAsia="en-US"/>
        </w:rPr>
      </w:pPr>
      <w:r w:rsidRPr="00262F3A">
        <w:rPr>
          <w:rFonts w:eastAsiaTheme="minorHAnsi"/>
          <w:lang w:eastAsia="en-US"/>
        </w:rPr>
        <w:t>The IAC was supported during the year by five advisers, engaged to provide advice from the perspective of key national peak bodies. They are:</w:t>
      </w:r>
    </w:p>
    <w:p w14:paraId="5049377B"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 David Moody, National Disability Services</w:t>
      </w:r>
    </w:p>
    <w:p w14:paraId="23E24074"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Ara Cresswell, Carers Australia</w:t>
      </w:r>
    </w:p>
    <w:p w14:paraId="39CF62A8"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Mr Ross Joyce, Australian Federation of Disability Organisations</w:t>
      </w:r>
    </w:p>
    <w:p w14:paraId="64088991"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Dr Ben Gauntlett, Disability Discrimination Commissioner</w:t>
      </w:r>
    </w:p>
    <w:p w14:paraId="369264E8" w14:textId="77777777" w:rsidR="00C34ADE" w:rsidRPr="00262F3A" w:rsidRDefault="00C34ADE" w:rsidP="006D2911">
      <w:pPr>
        <w:pStyle w:val="ListParagraph"/>
        <w:numPr>
          <w:ilvl w:val="0"/>
          <w:numId w:val="4"/>
        </w:numPr>
        <w:rPr>
          <w:rFonts w:eastAsia="Times New Roman"/>
          <w:lang w:eastAsia="en-AU"/>
        </w:rPr>
      </w:pPr>
      <w:r w:rsidRPr="00262F3A">
        <w:rPr>
          <w:rFonts w:eastAsia="Times New Roman"/>
          <w:lang w:eastAsia="en-AU"/>
        </w:rPr>
        <w:t>Ms Jane Flanagan, Disabled People’s Organisations Australia.</w:t>
      </w:r>
    </w:p>
    <w:p w14:paraId="2935DAF8" w14:textId="7EDEDA1A" w:rsidR="00C34ADE" w:rsidRPr="00262F3A" w:rsidRDefault="00C34ADE" w:rsidP="00561B3B">
      <w:r w:rsidRPr="00262F3A">
        <w:rPr>
          <w:rFonts w:eastAsiaTheme="minorHAnsi"/>
          <w:lang w:eastAsia="en-US"/>
        </w:rPr>
        <w:t>Minister for the NDIS, the Hon Stuart Robert</w:t>
      </w:r>
      <w:r w:rsidR="00ED1EB5">
        <w:rPr>
          <w:rFonts w:eastAsiaTheme="minorHAnsi"/>
          <w:lang w:eastAsia="en-US"/>
        </w:rPr>
        <w:t xml:space="preserve"> MP</w:t>
      </w:r>
      <w:r w:rsidRPr="00262F3A">
        <w:rPr>
          <w:rFonts w:eastAsiaTheme="minorHAnsi"/>
          <w:lang w:eastAsia="en-US"/>
        </w:rPr>
        <w:t xml:space="preserve">, announced the new and returning members of the </w:t>
      </w:r>
      <w:r w:rsidR="00ED1EB5">
        <w:rPr>
          <w:rFonts w:eastAsiaTheme="minorHAnsi"/>
          <w:lang w:eastAsia="en-US"/>
        </w:rPr>
        <w:t>IAC</w:t>
      </w:r>
      <w:r w:rsidRPr="00262F3A">
        <w:rPr>
          <w:rFonts w:eastAsiaTheme="minorHAnsi"/>
          <w:lang w:eastAsia="en-US"/>
        </w:rPr>
        <w:t xml:space="preserve"> from 1 July 2020</w:t>
      </w:r>
      <w:r w:rsidR="00920540" w:rsidRPr="00262F3A">
        <w:rPr>
          <w:rFonts w:eastAsiaTheme="minorHAnsi"/>
          <w:lang w:eastAsia="en-US"/>
        </w:rPr>
        <w:t>:</w:t>
      </w:r>
      <w:r w:rsidRPr="00262F3A">
        <w:t xml:space="preserve"> Robyn Kruk AO (Principal Member), Tricia Malowney OAM, Sam Paior, Mark Tonga, Sharon Boyce, Sylvana Mahmic, Liz Reid AM, Kerry Allan-Zinner, Judy Huett, Jennifer Cullen, Leah van Poppel and James Manders. The IAC is supported by Dr Ben Gauntlett, Disability Discrimination Commissioner, in the role of Expert Adviser.</w:t>
      </w:r>
    </w:p>
    <w:p w14:paraId="121E28E6" w14:textId="77777777" w:rsidR="00C34ADE" w:rsidRPr="00262F3A" w:rsidRDefault="00C34ADE" w:rsidP="00C34ADE">
      <w:pPr>
        <w:pStyle w:val="Default"/>
      </w:pPr>
      <w:r w:rsidRPr="00262F3A">
        <w:rPr>
          <w:noProof/>
          <w:lang w:eastAsia="en-AU"/>
        </w:rPr>
        <w:drawing>
          <wp:inline distT="0" distB="0" distL="0" distR="0" wp14:anchorId="0229A5B7" wp14:editId="772C02C1">
            <wp:extent cx="5731510" cy="4303395"/>
            <wp:effectExtent l="0" t="0" r="2540" b="1905"/>
            <wp:docPr id="2" name="Picture 2" descr="A group photo of the Independent Advisory Council. In the back row from left to right: Janet Meagher, Sylvana Mahmic, Belinda Epstein-Frisch, Therese Sands, Ross Joyce, Judy Huett, Ara Cresswell, James Manders, Kerry Allan-Zinner, Anne Kavanagh, Jennifer Cullen. Front row from left to right: Ben Gauntlett, John Walsh, Liz Reid, Kevin C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4303395"/>
                    </a:xfrm>
                    <a:prstGeom prst="rect">
                      <a:avLst/>
                    </a:prstGeom>
                  </pic:spPr>
                </pic:pic>
              </a:graphicData>
            </a:graphic>
          </wp:inline>
        </w:drawing>
      </w:r>
    </w:p>
    <w:p w14:paraId="2A13BA00" w14:textId="4A433FCD" w:rsidR="00EC35FC" w:rsidRPr="00262F3A" w:rsidRDefault="00EC35FC" w:rsidP="008F00D1">
      <w:pPr>
        <w:pStyle w:val="Heading2"/>
      </w:pPr>
      <w:bookmarkStart w:id="146" w:name="_Toc51067988"/>
      <w:r w:rsidRPr="00262F3A">
        <w:lastRenderedPageBreak/>
        <w:t xml:space="preserve">The </w:t>
      </w:r>
      <w:r w:rsidR="004A7372" w:rsidRPr="00262F3A">
        <w:t xml:space="preserve">Chief </w:t>
      </w:r>
      <w:r w:rsidRPr="00262F3A">
        <w:t>Executive</w:t>
      </w:r>
      <w:r w:rsidR="004A7372" w:rsidRPr="00262F3A">
        <w:t xml:space="preserve"> Officer and Executive Team</w:t>
      </w:r>
      <w:bookmarkEnd w:id="146"/>
    </w:p>
    <w:p w14:paraId="51D35F8D" w14:textId="77777777" w:rsidR="00832B78" w:rsidRPr="00262F3A" w:rsidRDefault="00832B78" w:rsidP="00561B3B">
      <w:r w:rsidRPr="00262F3A">
        <w:t>The Chief Executive Officer</w:t>
      </w:r>
      <w:r w:rsidR="006C20C6" w:rsidRPr="00262F3A">
        <w:t xml:space="preserve"> (CEO)</w:t>
      </w:r>
      <w:r w:rsidRPr="00262F3A">
        <w:t xml:space="preserve"> is responsible for the day-to-day administration of the Agency under the Act. Supported by the Executive Leadership Team (ELT), the CEO executes the Board-approved strategic objectives and policies, in line with the agreed risk appetite.</w:t>
      </w:r>
    </w:p>
    <w:p w14:paraId="35057DFD" w14:textId="77777777" w:rsidR="00EC35FC" w:rsidRPr="00262F3A" w:rsidRDefault="00832B78" w:rsidP="00561B3B">
      <w:r w:rsidRPr="00262F3A">
        <w:t xml:space="preserve">Mr Martin Hoffman was appointed </w:t>
      </w:r>
      <w:r w:rsidR="006C20C6" w:rsidRPr="00262F3A">
        <w:t>CEO</w:t>
      </w:r>
      <w:r w:rsidRPr="00262F3A">
        <w:t xml:space="preserve"> of the </w:t>
      </w:r>
      <w:r w:rsidR="000B619D" w:rsidRPr="00262F3A">
        <w:t>Agency</w:t>
      </w:r>
      <w:r w:rsidRPr="00262F3A">
        <w:t xml:space="preserve"> from 4 November 2019. Before this, Ms Vicki Rundle PSM acted in the position from 30 April 2019. </w:t>
      </w:r>
    </w:p>
    <w:p w14:paraId="2EBF1D9D" w14:textId="77777777" w:rsidR="006C20C6" w:rsidRPr="00262F3A" w:rsidRDefault="006C20C6" w:rsidP="008F00D1">
      <w:pPr>
        <w:pStyle w:val="Heading3"/>
      </w:pPr>
      <w:bookmarkStart w:id="147" w:name="_Toc51067989"/>
      <w:r w:rsidRPr="00262F3A">
        <w:t>The Executive Leadership Team</w:t>
      </w:r>
      <w:bookmarkEnd w:id="147"/>
    </w:p>
    <w:tbl>
      <w:tblPr>
        <w:tblStyle w:val="TableGrid"/>
        <w:tblW w:w="0" w:type="auto"/>
        <w:tblInd w:w="562" w:type="dxa"/>
        <w:tblLook w:val="04A0" w:firstRow="1" w:lastRow="0" w:firstColumn="1" w:lastColumn="0" w:noHBand="0" w:noVBand="1"/>
        <w:tblDescription w:val="Table of NDIA executive leadership team"/>
      </w:tblPr>
      <w:tblGrid>
        <w:gridCol w:w="4565"/>
        <w:gridCol w:w="4898"/>
      </w:tblGrid>
      <w:tr w:rsidR="00B24196" w:rsidRPr="00262F3A" w14:paraId="4DA8E1B6" w14:textId="77777777" w:rsidTr="00D97797">
        <w:trPr>
          <w:tblHeader/>
        </w:trPr>
        <w:tc>
          <w:tcPr>
            <w:tcW w:w="9463" w:type="dxa"/>
            <w:gridSpan w:val="2"/>
            <w:shd w:val="clear" w:color="auto" w:fill="auto"/>
          </w:tcPr>
          <w:p w14:paraId="74DFED8B" w14:textId="77777777" w:rsidR="00B24196" w:rsidRPr="00262F3A" w:rsidRDefault="00B24196" w:rsidP="008F00D1">
            <w:pPr>
              <w:pStyle w:val="Heading4"/>
              <w:outlineLvl w:val="3"/>
              <w:rPr>
                <w:rFonts w:ascii="&amp;quot" w:hAnsi="&amp;quot"/>
                <w:noProof/>
                <w:color w:val="444444"/>
                <w:sz w:val="23"/>
                <w:szCs w:val="23"/>
                <w:lang w:eastAsia="en-AU"/>
              </w:rPr>
            </w:pPr>
            <w:r w:rsidRPr="00262F3A">
              <w:t>CEO</w:t>
            </w:r>
          </w:p>
        </w:tc>
      </w:tr>
      <w:tr w:rsidR="006C20C6" w:rsidRPr="00262F3A" w14:paraId="014B018C" w14:textId="77777777" w:rsidTr="00AC60F9">
        <w:tc>
          <w:tcPr>
            <w:tcW w:w="4634" w:type="dxa"/>
            <w:shd w:val="clear" w:color="auto" w:fill="auto"/>
          </w:tcPr>
          <w:p w14:paraId="62E7D277" w14:textId="4BA73CBC" w:rsidR="006C20C6" w:rsidRPr="00262F3A" w:rsidRDefault="006C20C6" w:rsidP="00AC60F9">
            <w:pPr>
              <w:pStyle w:val="Tableformat"/>
            </w:pPr>
            <w:r w:rsidRPr="00262F3A">
              <w:t xml:space="preserve">Martin Hoffman commenced as CEO on 4 November 2019. He has over ten years of senior public sector experience, including as a Deputy Secretary in the Commonwealth </w:t>
            </w:r>
            <w:r w:rsidR="00ED1EB5">
              <w:t xml:space="preserve">government </w:t>
            </w:r>
            <w:r w:rsidRPr="00262F3A">
              <w:t xml:space="preserve">and </w:t>
            </w:r>
            <w:r w:rsidR="00ED1EB5">
              <w:t>Secretary in the NSW government</w:t>
            </w:r>
            <w:r w:rsidRPr="00262F3A">
              <w:t>, following a CEO-level private sector career primarily in digital technology and media. He holds an MBA</w:t>
            </w:r>
            <w:r w:rsidR="00ED1EB5">
              <w:t xml:space="preserve"> </w:t>
            </w:r>
            <w:r w:rsidRPr="00262F3A">
              <w:t>(Hons), Bachelor of Applied Finance and Bachelor of Economics degrees, and is a Fellow of the Institute of Public Administration Australia. Mr Hoffman was awarded the James Wolfensohn Public Service Scholarship to study at the Harvard Kennedy School in 2013.</w:t>
            </w:r>
          </w:p>
        </w:tc>
        <w:tc>
          <w:tcPr>
            <w:tcW w:w="4829" w:type="dxa"/>
          </w:tcPr>
          <w:p w14:paraId="728206C7" w14:textId="77777777" w:rsidR="006C20C6" w:rsidRPr="00262F3A" w:rsidRDefault="006C20C6" w:rsidP="00561B3B">
            <w:pPr>
              <w:rPr>
                <w:lang w:eastAsia="en-US"/>
              </w:rPr>
            </w:pPr>
            <w:r w:rsidRPr="00262F3A">
              <w:rPr>
                <w:noProof/>
                <w:lang w:eastAsia="en-AU"/>
              </w:rPr>
              <w:drawing>
                <wp:inline distT="0" distB="0" distL="0" distR="0" wp14:anchorId="77BA7181" wp14:editId="384523C3">
                  <wp:extent cx="2372580" cy="1898374"/>
                  <wp:effectExtent l="0" t="0" r="8890" b="6985"/>
                  <wp:docPr id="230" name="Picture 230" descr="A photo of National Disability Insurance Agency Chief Executive Officer, Mr Martin Hoffman, who is smiling and facing the camera with his arms folded. Mr Hoffman is wearing a navy suit jacket, red tie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artin Hoffman photo in front of Geelong National Offi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84545" cy="1907948"/>
                          </a:xfrm>
                          <a:prstGeom prst="rect">
                            <a:avLst/>
                          </a:prstGeom>
                          <a:noFill/>
                          <a:ln>
                            <a:noFill/>
                          </a:ln>
                        </pic:spPr>
                      </pic:pic>
                    </a:graphicData>
                  </a:graphic>
                </wp:inline>
              </w:drawing>
            </w:r>
          </w:p>
        </w:tc>
      </w:tr>
      <w:tr w:rsidR="006C20C6" w:rsidRPr="00262F3A" w14:paraId="1AB35DEF" w14:textId="77777777" w:rsidTr="00AC60F9">
        <w:tc>
          <w:tcPr>
            <w:tcW w:w="9463" w:type="dxa"/>
            <w:gridSpan w:val="2"/>
            <w:shd w:val="clear" w:color="auto" w:fill="auto"/>
          </w:tcPr>
          <w:p w14:paraId="35871813" w14:textId="77777777" w:rsidR="006C20C6" w:rsidRPr="00262F3A" w:rsidRDefault="006C20C6" w:rsidP="008F00D1">
            <w:pPr>
              <w:pStyle w:val="Heading4"/>
              <w:outlineLvl w:val="3"/>
              <w:rPr>
                <w:rFonts w:ascii="&amp;quot" w:hAnsi="&amp;quot"/>
                <w:noProof/>
                <w:color w:val="444444"/>
                <w:sz w:val="23"/>
                <w:szCs w:val="23"/>
              </w:rPr>
            </w:pPr>
            <w:r w:rsidRPr="00262F3A">
              <w:t>Executive Leadership Team</w:t>
            </w:r>
          </w:p>
        </w:tc>
      </w:tr>
      <w:tr w:rsidR="006C20C6" w:rsidRPr="00262F3A" w14:paraId="2EAFD8B0" w14:textId="77777777" w:rsidTr="00AC60F9">
        <w:tc>
          <w:tcPr>
            <w:tcW w:w="4634" w:type="dxa"/>
            <w:shd w:val="clear" w:color="auto" w:fill="auto"/>
          </w:tcPr>
          <w:p w14:paraId="6E274E46" w14:textId="77777777" w:rsidR="006C20C6" w:rsidRPr="00262F3A" w:rsidRDefault="006C20C6" w:rsidP="00AC60F9">
            <w:pPr>
              <w:pStyle w:val="Tableformat"/>
            </w:pPr>
            <w:r w:rsidRPr="00262F3A">
              <w:t>Mr Hamish Aikman, Chief People Officer</w:t>
            </w:r>
          </w:p>
          <w:p w14:paraId="74F2B2F6" w14:textId="43F2AA41" w:rsidR="006C20C6" w:rsidRPr="00262F3A" w:rsidRDefault="00E361C5" w:rsidP="00ED1EB5">
            <w:pPr>
              <w:pStyle w:val="Tableformat"/>
              <w:rPr>
                <w:rFonts w:eastAsiaTheme="minorHAnsi"/>
                <w:color w:val="1F497D"/>
                <w:lang w:eastAsia="en-US"/>
              </w:rPr>
            </w:pPr>
            <w:r w:rsidRPr="00262F3A">
              <w:t xml:space="preserve">Hamish </w:t>
            </w:r>
            <w:r w:rsidR="006C20C6" w:rsidRPr="00262F3A">
              <w:t xml:space="preserve">Aikman joined the </w:t>
            </w:r>
            <w:r w:rsidR="000B619D" w:rsidRPr="00262F3A">
              <w:t>Agency</w:t>
            </w:r>
            <w:r w:rsidR="006C20C6" w:rsidRPr="00262F3A">
              <w:t xml:space="preserve"> in April 2018. Prior to joining the Agency, </w:t>
            </w:r>
            <w:r w:rsidRPr="00262F3A">
              <w:t xml:space="preserve">he </w:t>
            </w:r>
            <w:r w:rsidR="006C20C6" w:rsidRPr="00262F3A">
              <w:t xml:space="preserve">held senior executive level </w:t>
            </w:r>
            <w:r w:rsidR="00ED1EB5">
              <w:t>h</w:t>
            </w:r>
            <w:r w:rsidR="006C20C6" w:rsidRPr="00262F3A">
              <w:t xml:space="preserve">uman </w:t>
            </w:r>
            <w:r w:rsidR="00ED1EB5">
              <w:t>r</w:t>
            </w:r>
            <w:r w:rsidR="006C20C6" w:rsidRPr="00262F3A">
              <w:t xml:space="preserve">esources roles with Coles Supermarkets and led the People Culture function at Kmart Australia, under the ownership of Wesfarmers Ltd.  Prior to his ten years in retail, </w:t>
            </w:r>
            <w:r w:rsidRPr="00262F3A">
              <w:t>he</w:t>
            </w:r>
            <w:r w:rsidR="006C20C6" w:rsidRPr="00262F3A">
              <w:t xml:space="preserve"> held key operations roles in supply chain management and previously with Ernst &amp; Young.</w:t>
            </w:r>
          </w:p>
        </w:tc>
        <w:tc>
          <w:tcPr>
            <w:tcW w:w="4829" w:type="dxa"/>
          </w:tcPr>
          <w:p w14:paraId="1DC877FD" w14:textId="77777777" w:rsidR="006C20C6" w:rsidRPr="00262F3A" w:rsidRDefault="006C20C6" w:rsidP="00561B3B">
            <w:pPr>
              <w:rPr>
                <w:rFonts w:ascii="&amp;quot" w:hAnsi="&amp;quot"/>
                <w:noProof/>
                <w:color w:val="444444"/>
                <w:sz w:val="23"/>
                <w:szCs w:val="23"/>
              </w:rPr>
            </w:pPr>
            <w:r w:rsidRPr="00262F3A">
              <w:rPr>
                <w:noProof/>
                <w:lang w:eastAsia="en-AU"/>
              </w:rPr>
              <w:drawing>
                <wp:inline distT="0" distB="0" distL="0" distR="0" wp14:anchorId="5875774B" wp14:editId="2D6E620C">
                  <wp:extent cx="2508885" cy="2007235"/>
                  <wp:effectExtent l="0" t="0" r="5715" b="0"/>
                  <wp:docPr id="10" name="Picture 10" descr="A photo of Mr Aikman, Chief People Officer. He is wearing a grey suit with a striped blue tie, and is standing in an office building. He is smiling and facing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ish Aikman profile pict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08885" cy="2007235"/>
                          </a:xfrm>
                          <a:prstGeom prst="rect">
                            <a:avLst/>
                          </a:prstGeom>
                          <a:noFill/>
                          <a:ln>
                            <a:noFill/>
                          </a:ln>
                        </pic:spPr>
                      </pic:pic>
                    </a:graphicData>
                  </a:graphic>
                </wp:inline>
              </w:drawing>
            </w:r>
          </w:p>
        </w:tc>
      </w:tr>
      <w:tr w:rsidR="006C20C6" w:rsidRPr="00262F3A" w14:paraId="1E572A00" w14:textId="77777777" w:rsidTr="00AC60F9">
        <w:tc>
          <w:tcPr>
            <w:tcW w:w="4634" w:type="dxa"/>
            <w:shd w:val="clear" w:color="auto" w:fill="auto"/>
          </w:tcPr>
          <w:p w14:paraId="2B189F1F" w14:textId="77777777" w:rsidR="006C20C6" w:rsidRPr="00262F3A" w:rsidRDefault="006C20C6" w:rsidP="00AC60F9">
            <w:pPr>
              <w:pStyle w:val="Tableformat"/>
            </w:pPr>
            <w:r w:rsidRPr="00262F3A">
              <w:t>Mr Oliver Bladek, Deputy CEO Design, Digital &amp; Strategy</w:t>
            </w:r>
          </w:p>
          <w:p w14:paraId="6A9D312A" w14:textId="70F9D034" w:rsidR="006C20C6" w:rsidRPr="00262F3A" w:rsidRDefault="00E361C5" w:rsidP="00ED1EB5">
            <w:pPr>
              <w:pStyle w:val="Tableformat"/>
            </w:pPr>
            <w:r w:rsidRPr="00262F3A">
              <w:t>Oliver</w:t>
            </w:r>
            <w:r w:rsidR="006C20C6" w:rsidRPr="00262F3A">
              <w:t xml:space="preserve"> Bladek joined the </w:t>
            </w:r>
            <w:r w:rsidR="000B619D" w:rsidRPr="00262F3A">
              <w:t>Agency</w:t>
            </w:r>
            <w:r w:rsidR="006C20C6" w:rsidRPr="00262F3A">
              <w:t xml:space="preserve"> in October 2019 and leads the Agency's work in designing and delivering improvements to participant experience, increasing the use of technology in how the Agency services participants, and leading the Agency's strategy, priorities and research work. Prior to joining the Agency, </w:t>
            </w:r>
            <w:r w:rsidRPr="00262F3A">
              <w:t xml:space="preserve">he </w:t>
            </w:r>
            <w:r w:rsidR="006C20C6" w:rsidRPr="00262F3A">
              <w:t xml:space="preserve">supported Westpac in their agile transformation and spent 15 years with McKinsey &amp; Company, serving global clients on strategic, cultural and transformation topics. He also led the </w:t>
            </w:r>
            <w:r w:rsidR="00ED1EB5">
              <w:t>f</w:t>
            </w:r>
            <w:r w:rsidR="006C20C6" w:rsidRPr="00262F3A">
              <w:t xml:space="preserve">irm's </w:t>
            </w:r>
            <w:r w:rsidR="006C20C6" w:rsidRPr="00262F3A">
              <w:lastRenderedPageBreak/>
              <w:t>organisation practice in Australia and New Zealand.</w:t>
            </w:r>
          </w:p>
        </w:tc>
        <w:tc>
          <w:tcPr>
            <w:tcW w:w="4829" w:type="dxa"/>
          </w:tcPr>
          <w:p w14:paraId="2B740E59" w14:textId="77777777" w:rsidR="006C20C6" w:rsidRPr="00262F3A" w:rsidRDefault="006C20C6" w:rsidP="00561B3B">
            <w:pPr>
              <w:rPr>
                <w:rFonts w:cs="FS Me Pro Light"/>
                <w:noProof/>
                <w:color w:val="000000"/>
                <w:lang w:eastAsia="en-AU"/>
              </w:rPr>
            </w:pPr>
            <w:r w:rsidRPr="00262F3A">
              <w:rPr>
                <w:rFonts w:eastAsia="Times New Roman"/>
                <w:noProof/>
                <w:lang w:eastAsia="en-AU"/>
              </w:rPr>
              <w:lastRenderedPageBreak/>
              <w:drawing>
                <wp:inline distT="0" distB="0" distL="0" distR="0" wp14:anchorId="7E4FF88E" wp14:editId="5CFF6615">
                  <wp:extent cx="2528570" cy="2023110"/>
                  <wp:effectExtent l="0" t="0" r="5080" b="0"/>
                  <wp:docPr id="16" name="Picture 16" descr="A photo of Oliver Bladek, Deputy CEO, Design, Digital &amp; Strategy. He is smiling and facing the camera. Mr Bladek is wearing a white shirt and navy suit 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iver Bladek profile pict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28570" cy="2023110"/>
                          </a:xfrm>
                          <a:prstGeom prst="rect">
                            <a:avLst/>
                          </a:prstGeom>
                          <a:noFill/>
                          <a:ln>
                            <a:noFill/>
                          </a:ln>
                        </pic:spPr>
                      </pic:pic>
                    </a:graphicData>
                  </a:graphic>
                </wp:inline>
              </w:drawing>
            </w:r>
          </w:p>
        </w:tc>
      </w:tr>
      <w:tr w:rsidR="006C20C6" w:rsidRPr="00262F3A" w14:paraId="4213F9E1" w14:textId="77777777" w:rsidTr="00415969">
        <w:tc>
          <w:tcPr>
            <w:tcW w:w="4634" w:type="dxa"/>
            <w:shd w:val="clear" w:color="auto" w:fill="auto"/>
          </w:tcPr>
          <w:p w14:paraId="10F30849" w14:textId="77777777" w:rsidR="006C20C6" w:rsidRPr="00262F3A" w:rsidRDefault="006C20C6" w:rsidP="00AC60F9">
            <w:pPr>
              <w:pStyle w:val="Tableformat"/>
            </w:pPr>
            <w:r w:rsidRPr="00262F3A">
              <w:t>Mr Jeremy Dean, Deputy CEO Participant Experience Delivery</w:t>
            </w:r>
          </w:p>
          <w:p w14:paraId="56919A88" w14:textId="47E088D4" w:rsidR="006C20C6" w:rsidRPr="00262F3A" w:rsidRDefault="00E361C5" w:rsidP="00ED1EB5">
            <w:pPr>
              <w:pStyle w:val="Tableformat"/>
            </w:pPr>
            <w:r w:rsidRPr="00262F3A">
              <w:t>Jeremy</w:t>
            </w:r>
            <w:r w:rsidR="006C20C6" w:rsidRPr="00262F3A">
              <w:t xml:space="preserve"> Dean joined the </w:t>
            </w:r>
            <w:r w:rsidR="000B619D" w:rsidRPr="00262F3A">
              <w:t>Agency</w:t>
            </w:r>
            <w:r w:rsidR="006C20C6" w:rsidRPr="00262F3A">
              <w:t xml:space="preserve"> in December 2019 and is accountable for the end-to-end delivery and improvement of all </w:t>
            </w:r>
            <w:r w:rsidR="00ED1EB5">
              <w:t xml:space="preserve">the </w:t>
            </w:r>
            <w:r w:rsidR="000B619D" w:rsidRPr="00262F3A">
              <w:t>Agency</w:t>
            </w:r>
            <w:r w:rsidR="006C20C6" w:rsidRPr="00262F3A">
              <w:t xml:space="preserve">'s planning and service experiences for </w:t>
            </w:r>
            <w:r w:rsidR="00ED1EB5">
              <w:t>p</w:t>
            </w:r>
            <w:r w:rsidR="006C20C6" w:rsidRPr="00262F3A">
              <w:t xml:space="preserve">articipants. His remit encompasses the operational arms of the </w:t>
            </w:r>
            <w:r w:rsidR="000B619D" w:rsidRPr="00262F3A">
              <w:t>Agency</w:t>
            </w:r>
            <w:r w:rsidR="006C20C6" w:rsidRPr="00262F3A">
              <w:t xml:space="preserve">, including Local Area Coordinators and Early Childhood Early Intervention partners. </w:t>
            </w:r>
            <w:r w:rsidRPr="00262F3A">
              <w:t>He</w:t>
            </w:r>
            <w:r w:rsidR="006C20C6" w:rsidRPr="00262F3A">
              <w:t xml:space="preserve"> was previously Chief Operating Officer for ANZ Banking Group's Australian business and has held a number of national sales and service and operational leadership positions over 30+ years in the </w:t>
            </w:r>
            <w:r w:rsidR="00ED1EB5">
              <w:t>f</w:t>
            </w:r>
            <w:r w:rsidR="006C20C6" w:rsidRPr="00262F3A">
              <w:t xml:space="preserve">inancial </w:t>
            </w:r>
            <w:r w:rsidR="00ED1EB5">
              <w:t>s</w:t>
            </w:r>
            <w:r w:rsidR="006C20C6" w:rsidRPr="00262F3A">
              <w:t>ervices industry in Australia and New Zealand.</w:t>
            </w:r>
          </w:p>
        </w:tc>
        <w:tc>
          <w:tcPr>
            <w:tcW w:w="4829" w:type="dxa"/>
            <w:vAlign w:val="center"/>
          </w:tcPr>
          <w:p w14:paraId="2AE22E39" w14:textId="77777777" w:rsidR="006C20C6" w:rsidRPr="00262F3A" w:rsidRDefault="006C20C6" w:rsidP="00415969">
            <w:pPr>
              <w:jc w:val="center"/>
              <w:rPr>
                <w:rFonts w:cs="FS Me Pro Light"/>
                <w:noProof/>
                <w:color w:val="000000"/>
                <w:lang w:eastAsia="en-AU"/>
              </w:rPr>
            </w:pPr>
            <w:r w:rsidRPr="00262F3A">
              <w:rPr>
                <w:rFonts w:eastAsia="Times New Roman"/>
                <w:noProof/>
                <w:lang w:eastAsia="en-AU"/>
              </w:rPr>
              <w:drawing>
                <wp:inline distT="0" distB="0" distL="0" distR="0" wp14:anchorId="07E8FE80" wp14:editId="10782881">
                  <wp:extent cx="2479040" cy="1983105"/>
                  <wp:effectExtent l="0" t="0" r="0" b="0"/>
                  <wp:docPr id="17" name="Picture 17" descr="A photo of Jeremy Dean, Deputy CEO, Participant Experience Delivery. Jeremy is smiling and facing the camera. Mr Dean is wearing a white shirt and a re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remy Dean profile pict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79040" cy="1983105"/>
                          </a:xfrm>
                          <a:prstGeom prst="rect">
                            <a:avLst/>
                          </a:prstGeom>
                          <a:noFill/>
                          <a:ln>
                            <a:noFill/>
                          </a:ln>
                        </pic:spPr>
                      </pic:pic>
                    </a:graphicData>
                  </a:graphic>
                </wp:inline>
              </w:drawing>
            </w:r>
          </w:p>
        </w:tc>
      </w:tr>
      <w:tr w:rsidR="006C20C6" w:rsidRPr="00262F3A" w14:paraId="16FD821E" w14:textId="77777777" w:rsidTr="00AC60F9">
        <w:tc>
          <w:tcPr>
            <w:tcW w:w="4634" w:type="dxa"/>
            <w:shd w:val="clear" w:color="auto" w:fill="auto"/>
          </w:tcPr>
          <w:p w14:paraId="1365F6EC" w14:textId="77777777" w:rsidR="006C20C6" w:rsidRPr="00262F3A" w:rsidRDefault="006C20C6" w:rsidP="00AC60F9">
            <w:pPr>
              <w:pStyle w:val="Tableformat"/>
              <w:rPr>
                <w:rFonts w:eastAsia="Times New Roman"/>
                <w:lang w:eastAsia="en-AU"/>
              </w:rPr>
            </w:pPr>
            <w:r w:rsidRPr="00262F3A">
              <w:rPr>
                <w:rFonts w:eastAsia="Times New Roman"/>
                <w:lang w:eastAsia="en-AU"/>
              </w:rPr>
              <w:t>Mr Ian Frew, Chief Information Officer</w:t>
            </w:r>
          </w:p>
          <w:p w14:paraId="49BE6877" w14:textId="7901EC64" w:rsidR="006C20C6" w:rsidRPr="00262F3A" w:rsidRDefault="00E361C5" w:rsidP="00ED1EB5">
            <w:pPr>
              <w:pStyle w:val="Tableformat"/>
              <w:rPr>
                <w:rFonts w:eastAsia="Times New Roman"/>
                <w:lang w:eastAsia="en-AU"/>
              </w:rPr>
            </w:pPr>
            <w:r w:rsidRPr="00262F3A">
              <w:rPr>
                <w:rFonts w:eastAsia="Times New Roman"/>
                <w:lang w:eastAsia="en-AU"/>
              </w:rPr>
              <w:t>Ian</w:t>
            </w:r>
            <w:r w:rsidR="006C20C6" w:rsidRPr="00262F3A">
              <w:rPr>
                <w:rFonts w:eastAsia="Times New Roman"/>
                <w:lang w:eastAsia="en-AU"/>
              </w:rPr>
              <w:t xml:space="preserve"> Frew joined the </w:t>
            </w:r>
            <w:r w:rsidR="000B619D" w:rsidRPr="00262F3A">
              <w:rPr>
                <w:rFonts w:eastAsia="Times New Roman"/>
                <w:lang w:eastAsia="en-AU"/>
              </w:rPr>
              <w:t>Agency</w:t>
            </w:r>
            <w:r w:rsidR="006C20C6" w:rsidRPr="00262F3A">
              <w:rPr>
                <w:rFonts w:eastAsia="Times New Roman"/>
                <w:lang w:eastAsia="en-AU"/>
              </w:rPr>
              <w:t xml:space="preserve"> in early January 2018 after a 16-year career in General Insurance working for Suncorp, Allianz and IAG.  While at IAG </w:t>
            </w:r>
            <w:r w:rsidRPr="00262F3A">
              <w:rPr>
                <w:rFonts w:eastAsia="Times New Roman"/>
                <w:lang w:eastAsia="en-AU"/>
              </w:rPr>
              <w:t xml:space="preserve">he </w:t>
            </w:r>
            <w:r w:rsidR="006C20C6" w:rsidRPr="00262F3A">
              <w:rPr>
                <w:rFonts w:eastAsia="Times New Roman"/>
                <w:lang w:eastAsia="en-AU"/>
              </w:rPr>
              <w:t xml:space="preserve">was the Chief Information Officer for CGU Insurance and at both IAG and Allianz, </w:t>
            </w:r>
            <w:r w:rsidRPr="00262F3A">
              <w:rPr>
                <w:rFonts w:eastAsia="Times New Roman"/>
                <w:lang w:eastAsia="en-AU"/>
              </w:rPr>
              <w:t xml:space="preserve">he </w:t>
            </w:r>
            <w:r w:rsidR="006C20C6" w:rsidRPr="00262F3A">
              <w:rPr>
                <w:rFonts w:eastAsia="Times New Roman"/>
                <w:lang w:eastAsia="en-AU"/>
              </w:rPr>
              <w:t xml:space="preserve">had deep involvement in workers compensation across Australia.  </w:t>
            </w:r>
            <w:r w:rsidRPr="00262F3A">
              <w:rPr>
                <w:rFonts w:eastAsia="Times New Roman"/>
                <w:lang w:eastAsia="en-AU"/>
              </w:rPr>
              <w:t xml:space="preserve">He </w:t>
            </w:r>
            <w:r w:rsidR="006C20C6" w:rsidRPr="00262F3A">
              <w:rPr>
                <w:rFonts w:eastAsia="Times New Roman"/>
                <w:lang w:eastAsia="en-AU"/>
              </w:rPr>
              <w:t xml:space="preserve">is a qualified </w:t>
            </w:r>
            <w:r w:rsidR="00ED1EB5">
              <w:rPr>
                <w:rFonts w:eastAsia="Times New Roman"/>
                <w:lang w:eastAsia="en-AU"/>
              </w:rPr>
              <w:t>c</w:t>
            </w:r>
            <w:r w:rsidR="006C20C6" w:rsidRPr="00262F3A">
              <w:rPr>
                <w:rFonts w:eastAsia="Times New Roman"/>
                <w:lang w:eastAsia="en-AU"/>
              </w:rPr>
              <w:t xml:space="preserve">hemical </w:t>
            </w:r>
            <w:r w:rsidR="00ED1EB5">
              <w:rPr>
                <w:rFonts w:eastAsia="Times New Roman"/>
                <w:lang w:eastAsia="en-AU"/>
              </w:rPr>
              <w:t>e</w:t>
            </w:r>
            <w:r w:rsidR="006C20C6" w:rsidRPr="00262F3A">
              <w:rPr>
                <w:rFonts w:eastAsia="Times New Roman"/>
                <w:lang w:eastAsia="en-AU"/>
              </w:rPr>
              <w:t>ngineer, spending the first half of his career in global industrial automation roles, where he worked in a variety of industries from refining and manufacturing through to building automation.</w:t>
            </w:r>
          </w:p>
        </w:tc>
        <w:tc>
          <w:tcPr>
            <w:tcW w:w="4829" w:type="dxa"/>
          </w:tcPr>
          <w:p w14:paraId="28BA87EE" w14:textId="77777777" w:rsidR="006C20C6" w:rsidRPr="00262F3A" w:rsidRDefault="006C20C6" w:rsidP="00561B3B">
            <w:pPr>
              <w:rPr>
                <w:rFonts w:eastAsia="Times New Roman"/>
                <w:noProof/>
                <w:lang w:eastAsia="en-AU"/>
              </w:rPr>
            </w:pPr>
            <w:r w:rsidRPr="00262F3A">
              <w:rPr>
                <w:rFonts w:eastAsia="Times New Roman"/>
                <w:noProof/>
                <w:lang w:eastAsia="en-AU"/>
              </w:rPr>
              <w:drawing>
                <wp:inline distT="0" distB="0" distL="0" distR="0" wp14:anchorId="3E93C816" wp14:editId="466FC105">
                  <wp:extent cx="2558415" cy="2047240"/>
                  <wp:effectExtent l="0" t="0" r="0" b="0"/>
                  <wp:docPr id="18" name="Picture 18" descr="A photo of Ian Frew, Chief Information Officer. He is wearing a navy blue suit with a red tie, and is standing in an office building. Mr Frew is smiling and facing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an Frew profile pict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58415" cy="2047240"/>
                          </a:xfrm>
                          <a:prstGeom prst="rect">
                            <a:avLst/>
                          </a:prstGeom>
                          <a:noFill/>
                          <a:ln>
                            <a:noFill/>
                          </a:ln>
                        </pic:spPr>
                      </pic:pic>
                    </a:graphicData>
                  </a:graphic>
                </wp:inline>
              </w:drawing>
            </w:r>
          </w:p>
        </w:tc>
      </w:tr>
      <w:tr w:rsidR="006C20C6" w:rsidRPr="00262F3A" w14:paraId="238A369F" w14:textId="77777777" w:rsidTr="00AC60F9">
        <w:tc>
          <w:tcPr>
            <w:tcW w:w="4634" w:type="dxa"/>
            <w:shd w:val="clear" w:color="auto" w:fill="auto"/>
          </w:tcPr>
          <w:p w14:paraId="16756569" w14:textId="77777777" w:rsidR="006C20C6" w:rsidRPr="00262F3A" w:rsidRDefault="006C20C6" w:rsidP="00AC60F9">
            <w:pPr>
              <w:pStyle w:val="Tableformat"/>
            </w:pPr>
            <w:r w:rsidRPr="00262F3A">
              <w:t>Ms Sarah Johnson, Scheme Actuary</w:t>
            </w:r>
          </w:p>
          <w:p w14:paraId="30C01C93" w14:textId="0CE8D942" w:rsidR="006C20C6" w:rsidRPr="00262F3A" w:rsidRDefault="00E361C5" w:rsidP="00ED1EB5">
            <w:pPr>
              <w:pStyle w:val="Tableformat"/>
            </w:pPr>
            <w:r w:rsidRPr="00262F3A">
              <w:t>Sarah</w:t>
            </w:r>
            <w:r w:rsidR="006C20C6" w:rsidRPr="00262F3A">
              <w:t xml:space="preserve"> Johnson joined the </w:t>
            </w:r>
            <w:r w:rsidR="000B619D" w:rsidRPr="00262F3A">
              <w:t>Agency</w:t>
            </w:r>
            <w:r w:rsidR="006C20C6" w:rsidRPr="00262F3A">
              <w:t xml:space="preserve"> as Scheme Actuary in 2013. Prior to joining the Agency, she was a Director at PricewaterhouseCoopers.  </w:t>
            </w:r>
            <w:r w:rsidRPr="00262F3A">
              <w:t xml:space="preserve">She </w:t>
            </w:r>
            <w:r w:rsidR="006C20C6" w:rsidRPr="00262F3A">
              <w:t xml:space="preserve">has worked within the disability sector and broader health and human services sector for the last </w:t>
            </w:r>
            <w:r w:rsidR="00ED1EB5">
              <w:t>15</w:t>
            </w:r>
            <w:r w:rsidR="006C20C6" w:rsidRPr="00262F3A">
              <w:t xml:space="preserve"> years. </w:t>
            </w:r>
            <w:r w:rsidRPr="00262F3A">
              <w:t xml:space="preserve">She </w:t>
            </w:r>
            <w:r w:rsidR="006C20C6" w:rsidRPr="00262F3A">
              <w:t xml:space="preserve">assisted the Productivity Commission on the Disability Care and Support Inquiry. </w:t>
            </w:r>
            <w:r w:rsidRPr="00262F3A">
              <w:t xml:space="preserve">She </w:t>
            </w:r>
            <w:r w:rsidR="006C20C6" w:rsidRPr="00262F3A">
              <w:t xml:space="preserve">has also undertaken extensive actuarial work in accident compensation, housing, child protection, health and aged care. In 2016, </w:t>
            </w:r>
            <w:r w:rsidRPr="00262F3A">
              <w:t xml:space="preserve">she </w:t>
            </w:r>
            <w:r w:rsidR="006C20C6" w:rsidRPr="00262F3A">
              <w:t>was awarded Actuary of the Year by the Actuaries Institute.</w:t>
            </w:r>
          </w:p>
        </w:tc>
        <w:tc>
          <w:tcPr>
            <w:tcW w:w="4829" w:type="dxa"/>
          </w:tcPr>
          <w:p w14:paraId="55150C6B" w14:textId="77777777" w:rsidR="006C20C6" w:rsidRPr="00262F3A" w:rsidRDefault="006C20C6" w:rsidP="00561B3B">
            <w:pPr>
              <w:rPr>
                <w:rFonts w:eastAsia="Times New Roman"/>
                <w:noProof/>
                <w:lang w:eastAsia="en-AU"/>
              </w:rPr>
            </w:pPr>
            <w:r w:rsidRPr="00262F3A">
              <w:rPr>
                <w:rFonts w:eastAsia="Times New Roman"/>
                <w:noProof/>
                <w:lang w:eastAsia="en-AU"/>
              </w:rPr>
              <w:drawing>
                <wp:inline distT="0" distB="0" distL="0" distR="0" wp14:anchorId="785C34F9" wp14:editId="04692D78">
                  <wp:extent cx="2533650" cy="2027555"/>
                  <wp:effectExtent l="0" t="0" r="0" b="0"/>
                  <wp:docPr id="9" name="Picture 9" descr="A photo of Sarah Johnson. Sarah is wearing a blue dress and jacket. She is standing in an office building, smiling and facing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rah Johnson profile pict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33650" cy="2027555"/>
                          </a:xfrm>
                          <a:prstGeom prst="rect">
                            <a:avLst/>
                          </a:prstGeom>
                          <a:noFill/>
                          <a:ln>
                            <a:noFill/>
                          </a:ln>
                        </pic:spPr>
                      </pic:pic>
                    </a:graphicData>
                  </a:graphic>
                </wp:inline>
              </w:drawing>
            </w:r>
          </w:p>
        </w:tc>
      </w:tr>
      <w:tr w:rsidR="006C20C6" w:rsidRPr="00262F3A" w14:paraId="3951DF6F" w14:textId="77777777" w:rsidTr="00AC60F9">
        <w:tc>
          <w:tcPr>
            <w:tcW w:w="4634" w:type="dxa"/>
          </w:tcPr>
          <w:p w14:paraId="085E2BC3" w14:textId="77777777" w:rsidR="006C20C6" w:rsidRPr="00262F3A" w:rsidRDefault="006C20C6" w:rsidP="00AC60F9">
            <w:pPr>
              <w:pStyle w:val="Tableformat"/>
              <w:rPr>
                <w:rFonts w:eastAsia="Times New Roman"/>
                <w:lang w:eastAsia="en-AU"/>
              </w:rPr>
            </w:pPr>
            <w:r w:rsidRPr="00262F3A">
              <w:rPr>
                <w:rFonts w:eastAsia="Times New Roman"/>
                <w:lang w:eastAsia="en-AU"/>
              </w:rPr>
              <w:lastRenderedPageBreak/>
              <w:t>Mr Victor Walter, Deputy CEO Corporate Services and Chief Financial Officer</w:t>
            </w:r>
          </w:p>
          <w:p w14:paraId="1FC17B95" w14:textId="77777777" w:rsidR="006C20C6" w:rsidRPr="00262F3A" w:rsidRDefault="00E361C5" w:rsidP="00AC60F9">
            <w:pPr>
              <w:pStyle w:val="Tableformat"/>
              <w:rPr>
                <w:rFonts w:eastAsia="Times New Roman"/>
                <w:lang w:eastAsia="en-AU"/>
              </w:rPr>
            </w:pPr>
            <w:r w:rsidRPr="00262F3A">
              <w:rPr>
                <w:rFonts w:eastAsia="Times New Roman"/>
                <w:lang w:eastAsia="en-AU"/>
              </w:rPr>
              <w:t>Victor</w:t>
            </w:r>
            <w:r w:rsidR="006C20C6" w:rsidRPr="00262F3A">
              <w:rPr>
                <w:rFonts w:eastAsia="Times New Roman"/>
                <w:lang w:eastAsia="en-AU"/>
              </w:rPr>
              <w:t xml:space="preserve"> Walter joined the </w:t>
            </w:r>
            <w:r w:rsidR="000B619D" w:rsidRPr="00262F3A">
              <w:rPr>
                <w:rFonts w:eastAsia="Times New Roman"/>
                <w:lang w:eastAsia="en-AU"/>
              </w:rPr>
              <w:t>Agency</w:t>
            </w:r>
            <w:r w:rsidR="006C20C6" w:rsidRPr="00262F3A">
              <w:rPr>
                <w:rFonts w:eastAsia="Times New Roman"/>
                <w:lang w:eastAsia="en-AU"/>
              </w:rPr>
              <w:t xml:space="preserve"> in March 2018.  Mr Walter was previously the Group Finance Chief Operating Officer and Chief Financial Officer for Australia and New Zealand for the QBE Insurance Group. He was previously the Chief Financial Officer of the Metropolitan Ambulance Service. </w:t>
            </w:r>
            <w:r w:rsidRPr="00262F3A">
              <w:rPr>
                <w:rFonts w:eastAsia="Times New Roman"/>
                <w:lang w:eastAsia="en-AU"/>
              </w:rPr>
              <w:t xml:space="preserve">He </w:t>
            </w:r>
            <w:r w:rsidR="006C20C6" w:rsidRPr="00262F3A">
              <w:rPr>
                <w:rFonts w:eastAsia="Times New Roman"/>
                <w:lang w:eastAsia="en-AU"/>
              </w:rPr>
              <w:t>is an experienced Chief Finance Officer with more than 20 years in the financial services industry. He has successfully implemented a number of finance transformation and large technology projects to deliver efficient systems, processes and controls.</w:t>
            </w:r>
          </w:p>
        </w:tc>
        <w:tc>
          <w:tcPr>
            <w:tcW w:w="4829" w:type="dxa"/>
          </w:tcPr>
          <w:p w14:paraId="5CAECF41" w14:textId="77777777" w:rsidR="006C20C6" w:rsidRPr="00262F3A" w:rsidRDefault="006C20C6" w:rsidP="00561B3B">
            <w:pPr>
              <w:rPr>
                <w:rFonts w:eastAsia="Times New Roman"/>
                <w:noProof/>
                <w:lang w:eastAsia="en-AU"/>
              </w:rPr>
            </w:pPr>
            <w:r w:rsidRPr="00262F3A">
              <w:rPr>
                <w:rFonts w:eastAsia="Times New Roman"/>
                <w:noProof/>
                <w:lang w:eastAsia="en-AU"/>
              </w:rPr>
              <w:drawing>
                <wp:inline distT="0" distB="0" distL="0" distR="0" wp14:anchorId="72C5546B" wp14:editId="17447E9D">
                  <wp:extent cx="2546487" cy="2037522"/>
                  <wp:effectExtent l="0" t="0" r="6350" b="1270"/>
                  <wp:docPr id="26" name="Picture 26" descr="A photo of Deputy Chief Executive Officer, Victor Walter. He is wearing a grey suit with a blue tie, and is standing in an office building. Victor is smiling and facing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ctor Walter profile pict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46487" cy="2037522"/>
                          </a:xfrm>
                          <a:prstGeom prst="rect">
                            <a:avLst/>
                          </a:prstGeom>
                          <a:noFill/>
                          <a:ln>
                            <a:noFill/>
                          </a:ln>
                        </pic:spPr>
                      </pic:pic>
                    </a:graphicData>
                  </a:graphic>
                </wp:inline>
              </w:drawing>
            </w:r>
          </w:p>
        </w:tc>
      </w:tr>
      <w:tr w:rsidR="00B24196" w:rsidRPr="00262F3A" w14:paraId="764438F8" w14:textId="77777777" w:rsidTr="00AC60F9">
        <w:tc>
          <w:tcPr>
            <w:tcW w:w="4634" w:type="dxa"/>
          </w:tcPr>
          <w:p w14:paraId="14F5719B" w14:textId="77777777" w:rsidR="00B24196" w:rsidRPr="00262F3A" w:rsidRDefault="00B24196" w:rsidP="00AC60F9">
            <w:pPr>
              <w:pStyle w:val="Tableformat"/>
              <w:rPr>
                <w:rFonts w:eastAsia="Times New Roman"/>
                <w:lang w:eastAsia="en-AU"/>
              </w:rPr>
            </w:pPr>
            <w:r w:rsidRPr="00262F3A">
              <w:rPr>
                <w:rFonts w:eastAsia="Times New Roman"/>
                <w:lang w:eastAsia="en-AU"/>
              </w:rPr>
              <w:t>Ms Vicki Rundle, Deputy CEO Markets, Government &amp; Engagement</w:t>
            </w:r>
          </w:p>
          <w:p w14:paraId="2713F757" w14:textId="77777777" w:rsidR="00B24196" w:rsidRPr="00262F3A" w:rsidRDefault="00E361C5" w:rsidP="00AC60F9">
            <w:pPr>
              <w:pStyle w:val="Tableformat"/>
              <w:rPr>
                <w:rFonts w:eastAsia="Times New Roman"/>
                <w:lang w:eastAsia="en-AU"/>
              </w:rPr>
            </w:pPr>
            <w:r w:rsidRPr="00262F3A">
              <w:rPr>
                <w:rFonts w:eastAsia="Times New Roman"/>
                <w:lang w:eastAsia="en-AU"/>
              </w:rPr>
              <w:t xml:space="preserve">Vicki </w:t>
            </w:r>
            <w:r w:rsidR="00B24196" w:rsidRPr="00262F3A">
              <w:rPr>
                <w:rFonts w:eastAsia="Times New Roman"/>
                <w:lang w:eastAsia="en-AU"/>
              </w:rPr>
              <w:t xml:space="preserve">Rundle was the Deputy CEO Markets, Government and Engagement with the </w:t>
            </w:r>
            <w:r w:rsidR="000B619D" w:rsidRPr="00262F3A">
              <w:rPr>
                <w:rFonts w:eastAsia="Times New Roman"/>
                <w:lang w:eastAsia="en-AU"/>
              </w:rPr>
              <w:t>Agency</w:t>
            </w:r>
            <w:r w:rsidR="00B24196" w:rsidRPr="00262F3A">
              <w:rPr>
                <w:rFonts w:eastAsia="Times New Roman"/>
                <w:lang w:eastAsia="en-AU"/>
              </w:rPr>
              <w:t xml:space="preserve"> throughout 2019–20 until 5 June 2020.</w:t>
            </w:r>
          </w:p>
          <w:p w14:paraId="440488A4" w14:textId="1B6336ED" w:rsidR="00B24196" w:rsidRPr="00262F3A" w:rsidRDefault="00E361C5" w:rsidP="00AC60F9">
            <w:pPr>
              <w:pStyle w:val="Tableformat"/>
              <w:rPr>
                <w:rFonts w:eastAsia="Times New Roman"/>
                <w:lang w:eastAsia="en-AU"/>
              </w:rPr>
            </w:pPr>
            <w:r w:rsidRPr="00262F3A">
              <w:rPr>
                <w:rFonts w:eastAsia="Times New Roman"/>
                <w:lang w:eastAsia="en-AU"/>
              </w:rPr>
              <w:t xml:space="preserve">She </w:t>
            </w:r>
            <w:r w:rsidR="00ED1EB5">
              <w:rPr>
                <w:rFonts w:eastAsia="Times New Roman"/>
                <w:lang w:eastAsia="en-AU"/>
              </w:rPr>
              <w:t>has worked in Commonwealth and s</w:t>
            </w:r>
            <w:r w:rsidR="00B24196" w:rsidRPr="00262F3A">
              <w:rPr>
                <w:rFonts w:eastAsia="Times New Roman"/>
                <w:lang w:eastAsia="en-AU"/>
              </w:rPr>
              <w:t xml:space="preserve">tate </w:t>
            </w:r>
            <w:r w:rsidR="00ED1EB5">
              <w:rPr>
                <w:rFonts w:eastAsia="Times New Roman"/>
                <w:lang w:eastAsia="en-AU"/>
              </w:rPr>
              <w:t>g</w:t>
            </w:r>
            <w:r w:rsidR="00B24196" w:rsidRPr="00262F3A">
              <w:rPr>
                <w:rFonts w:eastAsia="Times New Roman"/>
                <w:lang w:eastAsia="en-AU"/>
              </w:rPr>
              <w:t>overnment across a range of health and human services areas in her career, primarily in social policy, service delivery reform and in corporate enabling roles.</w:t>
            </w:r>
          </w:p>
          <w:p w14:paraId="7CFAD2B7" w14:textId="2C3A7443" w:rsidR="00B24196" w:rsidRPr="00262F3A" w:rsidRDefault="00E361C5" w:rsidP="00257F1F">
            <w:pPr>
              <w:pStyle w:val="Tableformat"/>
              <w:rPr>
                <w:rFonts w:eastAsia="Times New Roman"/>
                <w:lang w:eastAsia="en-AU"/>
              </w:rPr>
            </w:pPr>
            <w:r w:rsidRPr="00262F3A">
              <w:t xml:space="preserve">She </w:t>
            </w:r>
            <w:r w:rsidR="00B24196" w:rsidRPr="00262F3A">
              <w:t>left the Agency on 5 June 2020 following her appointment as Deputy Secretary with the Department of Veterans</w:t>
            </w:r>
            <w:r w:rsidR="00257F1F">
              <w:t>’</w:t>
            </w:r>
            <w:r w:rsidR="00B24196" w:rsidRPr="00262F3A">
              <w:t xml:space="preserve"> Affairs.</w:t>
            </w:r>
          </w:p>
        </w:tc>
        <w:tc>
          <w:tcPr>
            <w:tcW w:w="4829" w:type="dxa"/>
          </w:tcPr>
          <w:p w14:paraId="3D72C033" w14:textId="77777777" w:rsidR="00B24196" w:rsidRPr="00262F3A" w:rsidRDefault="00B24196" w:rsidP="00561B3B">
            <w:pPr>
              <w:rPr>
                <w:rFonts w:eastAsia="Times New Roman"/>
                <w:noProof/>
                <w:lang w:eastAsia="en-AU"/>
              </w:rPr>
            </w:pPr>
            <w:r w:rsidRPr="00262F3A">
              <w:rPr>
                <w:rFonts w:eastAsia="Times New Roman"/>
                <w:noProof/>
                <w:lang w:eastAsia="en-AU"/>
              </w:rPr>
              <w:drawing>
                <wp:inline distT="0" distB="0" distL="0" distR="0" wp14:anchorId="7C26BB77" wp14:editId="51C5B1D0">
                  <wp:extent cx="2505671" cy="2007704"/>
                  <wp:effectExtent l="0" t="0" r="9525" b="0"/>
                  <wp:docPr id="286" name="Picture 286" descr="A photo of Vicki Rundle, Deputy CEO, Markets, Government &amp; Engagement). Vicki is smiling and facing the camera. She is wearing a black long-sleeved top, with a silver necklace and red pend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05671" cy="2007704"/>
                          </a:xfrm>
                          <a:prstGeom prst="rect">
                            <a:avLst/>
                          </a:prstGeom>
                          <a:noFill/>
                        </pic:spPr>
                      </pic:pic>
                    </a:graphicData>
                  </a:graphic>
                </wp:inline>
              </w:drawing>
            </w:r>
          </w:p>
        </w:tc>
      </w:tr>
      <w:tr w:rsidR="006C20C6" w:rsidRPr="00262F3A" w14:paraId="641648E9" w14:textId="77777777" w:rsidTr="00AC60F9">
        <w:tc>
          <w:tcPr>
            <w:tcW w:w="4634" w:type="dxa"/>
          </w:tcPr>
          <w:p w14:paraId="324A7722" w14:textId="77777777" w:rsidR="006C20C6" w:rsidRPr="00262F3A" w:rsidRDefault="006C20C6" w:rsidP="00AC60F9">
            <w:pPr>
              <w:pStyle w:val="Tableformat"/>
              <w:rPr>
                <w:rFonts w:eastAsia="Times New Roman"/>
                <w:lang w:eastAsia="en-AU"/>
              </w:rPr>
            </w:pPr>
            <w:r w:rsidRPr="00262F3A">
              <w:rPr>
                <w:rFonts w:eastAsia="Times New Roman"/>
                <w:lang w:eastAsia="en-AU"/>
              </w:rPr>
              <w:t>Ms Melissa Woodburn, Chief Risk Officer</w:t>
            </w:r>
          </w:p>
          <w:p w14:paraId="6DC922B3" w14:textId="77777777" w:rsidR="006C20C6" w:rsidRPr="00262F3A" w:rsidRDefault="00E361C5" w:rsidP="00AC60F9">
            <w:pPr>
              <w:pStyle w:val="Tableformat"/>
              <w:rPr>
                <w:rFonts w:eastAsia="Times New Roman"/>
                <w:lang w:eastAsia="en-AU"/>
              </w:rPr>
            </w:pPr>
            <w:r w:rsidRPr="00262F3A">
              <w:rPr>
                <w:rFonts w:eastAsia="Times New Roman"/>
                <w:lang w:eastAsia="en-AU"/>
              </w:rPr>
              <w:t>Melissa</w:t>
            </w:r>
            <w:r w:rsidR="006C20C6" w:rsidRPr="00262F3A">
              <w:rPr>
                <w:rFonts w:eastAsia="Times New Roman"/>
                <w:lang w:eastAsia="en-AU"/>
              </w:rPr>
              <w:t xml:space="preserve"> Woodburn joined the </w:t>
            </w:r>
            <w:r w:rsidR="000B619D" w:rsidRPr="00262F3A">
              <w:rPr>
                <w:rFonts w:eastAsia="Times New Roman"/>
                <w:lang w:eastAsia="en-AU"/>
              </w:rPr>
              <w:t>Agency</w:t>
            </w:r>
            <w:r w:rsidR="006C20C6" w:rsidRPr="00262F3A">
              <w:rPr>
                <w:rFonts w:eastAsia="Times New Roman"/>
                <w:lang w:eastAsia="en-AU"/>
              </w:rPr>
              <w:t xml:space="preserve"> in July 2018 as the General Manager of Finance and Corporate Services. She took up the role of Chief Risk Officer in March 2020.  Prior to this, </w:t>
            </w:r>
            <w:r w:rsidRPr="00262F3A">
              <w:rPr>
                <w:rFonts w:eastAsia="Times New Roman"/>
                <w:lang w:eastAsia="en-AU"/>
              </w:rPr>
              <w:t xml:space="preserve">she </w:t>
            </w:r>
            <w:r w:rsidR="006C20C6" w:rsidRPr="00262F3A">
              <w:rPr>
                <w:rFonts w:eastAsia="Times New Roman"/>
                <w:lang w:eastAsia="en-AU"/>
              </w:rPr>
              <w:t xml:space="preserve">held senior leadership positions at large professional services firms. </w:t>
            </w:r>
          </w:p>
          <w:p w14:paraId="58451494" w14:textId="6F1D7EA9" w:rsidR="006C20C6" w:rsidRPr="00262F3A" w:rsidRDefault="00E361C5" w:rsidP="00ED1EB5">
            <w:pPr>
              <w:pStyle w:val="Tableformat"/>
              <w:rPr>
                <w:rFonts w:eastAsia="Times New Roman"/>
                <w:lang w:eastAsia="en-AU"/>
              </w:rPr>
            </w:pPr>
            <w:r w:rsidRPr="00262F3A">
              <w:rPr>
                <w:rFonts w:eastAsia="Times New Roman"/>
                <w:lang w:eastAsia="en-AU"/>
              </w:rPr>
              <w:t xml:space="preserve">She </w:t>
            </w:r>
            <w:r w:rsidR="006C20C6" w:rsidRPr="00262F3A">
              <w:rPr>
                <w:rFonts w:eastAsia="Times New Roman"/>
                <w:lang w:eastAsia="en-AU"/>
              </w:rPr>
              <w:t xml:space="preserve">is a highly experienced </w:t>
            </w:r>
            <w:r w:rsidR="00ED1EB5">
              <w:rPr>
                <w:rFonts w:eastAsia="Times New Roman"/>
                <w:lang w:eastAsia="en-AU"/>
              </w:rPr>
              <w:t>c</w:t>
            </w:r>
            <w:r w:rsidR="006C20C6" w:rsidRPr="00262F3A">
              <w:rPr>
                <w:rFonts w:eastAsia="Times New Roman"/>
                <w:lang w:eastAsia="en-AU"/>
              </w:rPr>
              <w:t xml:space="preserve">hartered </w:t>
            </w:r>
            <w:r w:rsidR="00ED1EB5">
              <w:rPr>
                <w:rFonts w:eastAsia="Times New Roman"/>
                <w:lang w:eastAsia="en-AU"/>
              </w:rPr>
              <w:t>a</w:t>
            </w:r>
            <w:r w:rsidR="006C20C6" w:rsidRPr="00262F3A">
              <w:rPr>
                <w:rFonts w:eastAsia="Times New Roman"/>
                <w:lang w:eastAsia="en-AU"/>
              </w:rPr>
              <w:t xml:space="preserve">ccountant with over 16 years' experience with Commonwealth </w:t>
            </w:r>
            <w:r w:rsidR="00ED1EB5">
              <w:rPr>
                <w:rFonts w:eastAsia="Times New Roman"/>
                <w:lang w:eastAsia="en-AU"/>
              </w:rPr>
              <w:t>g</w:t>
            </w:r>
            <w:r w:rsidR="006C20C6" w:rsidRPr="00262F3A">
              <w:rPr>
                <w:rFonts w:eastAsia="Times New Roman"/>
                <w:lang w:eastAsia="en-AU"/>
              </w:rPr>
              <w:t xml:space="preserve">overnment. </w:t>
            </w:r>
            <w:r w:rsidRPr="00262F3A">
              <w:rPr>
                <w:rFonts w:eastAsia="Times New Roman"/>
                <w:lang w:eastAsia="en-AU"/>
              </w:rPr>
              <w:t xml:space="preserve">She </w:t>
            </w:r>
            <w:r w:rsidR="006C20C6" w:rsidRPr="00262F3A">
              <w:rPr>
                <w:rFonts w:eastAsia="Times New Roman"/>
                <w:lang w:eastAsia="en-AU"/>
              </w:rPr>
              <w:t xml:space="preserve">has extensive experience in financial management, performance improvement and organisational and public sector reform. </w:t>
            </w:r>
          </w:p>
        </w:tc>
        <w:tc>
          <w:tcPr>
            <w:tcW w:w="4829" w:type="dxa"/>
          </w:tcPr>
          <w:p w14:paraId="6D334CCD" w14:textId="77777777" w:rsidR="006C20C6" w:rsidRPr="00262F3A" w:rsidRDefault="006C20C6" w:rsidP="00561B3B">
            <w:pPr>
              <w:rPr>
                <w:rFonts w:eastAsia="Times New Roman"/>
                <w:noProof/>
                <w:lang w:eastAsia="en-AU"/>
              </w:rPr>
            </w:pPr>
            <w:r w:rsidRPr="00262F3A">
              <w:rPr>
                <w:rFonts w:eastAsia="Times New Roman"/>
                <w:noProof/>
                <w:lang w:eastAsia="en-AU"/>
              </w:rPr>
              <w:drawing>
                <wp:inline distT="0" distB="0" distL="0" distR="0" wp14:anchorId="25717766" wp14:editId="0CFE4ACA">
                  <wp:extent cx="2515870" cy="2013585"/>
                  <wp:effectExtent l="0" t="0" r="0" b="5715"/>
                  <wp:docPr id="229" name="Picture 229" descr="A photo of Melissa Woodburn, Chief Risk Officer, who is smiling and facing the camera. Melissa is wearing a black suit jacket with a white top and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l.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15870" cy="2013585"/>
                          </a:xfrm>
                          <a:prstGeom prst="rect">
                            <a:avLst/>
                          </a:prstGeom>
                          <a:noFill/>
                          <a:ln>
                            <a:noFill/>
                          </a:ln>
                        </pic:spPr>
                      </pic:pic>
                    </a:graphicData>
                  </a:graphic>
                </wp:inline>
              </w:drawing>
            </w:r>
          </w:p>
        </w:tc>
      </w:tr>
    </w:tbl>
    <w:p w14:paraId="45F7F6F9" w14:textId="77777777" w:rsidR="006C20C6" w:rsidRPr="00262F3A" w:rsidRDefault="006C20C6" w:rsidP="008F00D1">
      <w:pPr>
        <w:pStyle w:val="Heading3"/>
      </w:pPr>
      <w:bookmarkStart w:id="148" w:name="_Toc51067990"/>
      <w:r w:rsidRPr="00262F3A">
        <w:t xml:space="preserve">Organisation </w:t>
      </w:r>
      <w:r w:rsidR="002C054D" w:rsidRPr="00262F3A">
        <w:t>s</w:t>
      </w:r>
      <w:r w:rsidRPr="00262F3A">
        <w:t>tructure</w:t>
      </w:r>
      <w:bookmarkEnd w:id="148"/>
    </w:p>
    <w:p w14:paraId="54CA909D" w14:textId="7A9128BC" w:rsidR="007876B8" w:rsidRPr="00262F3A" w:rsidRDefault="007876B8" w:rsidP="00561B3B">
      <w:pPr>
        <w:rPr>
          <w:lang w:eastAsia="en-AU"/>
        </w:rPr>
      </w:pPr>
      <w:r w:rsidRPr="00262F3A">
        <w:rPr>
          <w:rFonts w:eastAsiaTheme="minorHAnsi"/>
          <w:lang w:eastAsia="en-US"/>
        </w:rPr>
        <w:t xml:space="preserve">On 2 March 2020, the </w:t>
      </w:r>
      <w:r w:rsidR="003F6311" w:rsidRPr="00262F3A">
        <w:rPr>
          <w:rFonts w:eastAsiaTheme="minorHAnsi"/>
          <w:lang w:eastAsia="en-US"/>
        </w:rPr>
        <w:t>CEO</w:t>
      </w:r>
      <w:r w:rsidRPr="00262F3A">
        <w:rPr>
          <w:rFonts w:eastAsiaTheme="minorHAnsi"/>
          <w:lang w:eastAsia="en-US"/>
        </w:rPr>
        <w:t xml:space="preserve"> announced a new organisational structure which had been developed in consultation with the Board. The new structure reduced internal complexity and allows the Agency to deliver</w:t>
      </w:r>
      <w:r w:rsidR="00ED1EB5">
        <w:rPr>
          <w:rFonts w:eastAsiaTheme="minorHAnsi"/>
          <w:lang w:eastAsia="en-US"/>
        </w:rPr>
        <w:t xml:space="preserve"> </w:t>
      </w:r>
      <w:r w:rsidRPr="00262F3A">
        <w:rPr>
          <w:rFonts w:eastAsiaTheme="minorHAnsi"/>
          <w:lang w:eastAsia="en-US"/>
        </w:rPr>
        <w:t xml:space="preserve">improved service for participants. </w:t>
      </w:r>
      <w:r w:rsidRPr="00262F3A">
        <w:rPr>
          <w:lang w:eastAsia="en-AU"/>
        </w:rPr>
        <w:t xml:space="preserve">As at 30 June 2020 there were four groups, three divisions and the Scheme Actuary represented on the ELT. </w:t>
      </w:r>
    </w:p>
    <w:p w14:paraId="388C280B" w14:textId="77777777" w:rsidR="00415969" w:rsidRPr="00262F3A" w:rsidRDefault="00415969">
      <w:pPr>
        <w:spacing w:before="0" w:after="160" w:line="259" w:lineRule="auto"/>
        <w:ind w:left="0"/>
        <w:rPr>
          <w:rFonts w:eastAsiaTheme="minorHAnsi"/>
          <w:b/>
          <w:lang w:eastAsia="en-US"/>
        </w:rPr>
      </w:pPr>
      <w:r w:rsidRPr="00262F3A">
        <w:rPr>
          <w:rFonts w:eastAsiaTheme="minorHAnsi"/>
          <w:b/>
          <w:lang w:eastAsia="en-US"/>
        </w:rPr>
        <w:br w:type="page"/>
      </w:r>
    </w:p>
    <w:p w14:paraId="7A1AAEEC" w14:textId="7A50A2AB" w:rsidR="006F759C" w:rsidRPr="00262F3A" w:rsidRDefault="006F759C" w:rsidP="00901595">
      <w:pPr>
        <w:keepNext/>
        <w:rPr>
          <w:rFonts w:eastAsia="Times New Roman"/>
          <w:lang w:eastAsia="en-AU"/>
        </w:rPr>
      </w:pPr>
      <w:r w:rsidRPr="00262F3A">
        <w:rPr>
          <w:rFonts w:eastAsiaTheme="minorHAnsi"/>
          <w:b/>
          <w:lang w:eastAsia="en-US"/>
        </w:rPr>
        <w:lastRenderedPageBreak/>
        <w:t xml:space="preserve">Figure </w:t>
      </w:r>
      <w:r w:rsidR="005D5BCA" w:rsidRPr="00262F3A">
        <w:rPr>
          <w:rFonts w:eastAsiaTheme="minorHAnsi"/>
          <w:b/>
          <w:lang w:eastAsia="en-US"/>
        </w:rPr>
        <w:t>4.4.2A</w:t>
      </w:r>
      <w:r w:rsidRPr="00262F3A">
        <w:rPr>
          <w:rFonts w:eastAsiaTheme="minorHAnsi"/>
          <w:lang w:eastAsia="en-US"/>
        </w:rPr>
        <w:t xml:space="preserve">: Agency </w:t>
      </w:r>
      <w:r w:rsidR="00ED1EB5">
        <w:rPr>
          <w:rFonts w:eastAsiaTheme="minorHAnsi"/>
          <w:lang w:eastAsia="en-US"/>
        </w:rPr>
        <w:t>o</w:t>
      </w:r>
      <w:r w:rsidRPr="00262F3A">
        <w:rPr>
          <w:rFonts w:eastAsiaTheme="minorHAnsi"/>
          <w:lang w:eastAsia="en-US"/>
        </w:rPr>
        <w:t>rganisational structure as at 30 June 2020</w:t>
      </w:r>
      <w:r w:rsidRPr="00262F3A">
        <w:rPr>
          <w:rFonts w:asciiTheme="minorHAnsi" w:eastAsiaTheme="minorHAnsi" w:hAnsiTheme="minorHAnsi"/>
          <w:lang w:eastAsia="en-US"/>
        </w:rPr>
        <w:t xml:space="preserve"> </w:t>
      </w:r>
    </w:p>
    <w:tbl>
      <w:tblPr>
        <w:tblStyle w:val="TableGrid1"/>
        <w:tblW w:w="0" w:type="auto"/>
        <w:tblInd w:w="-142" w:type="dxa"/>
        <w:tblLayout w:type="fixed"/>
        <w:tblLook w:val="04A0" w:firstRow="1" w:lastRow="0" w:firstColumn="1" w:lastColumn="0" w:noHBand="0" w:noVBand="1"/>
        <w:tblDescription w:val="This diagram shows the Agency organisational structure as at 30 June 2020. It shows the Chief Executive Officer (CEO) at the top of the organisational hierarchy (represented by a purple square, centred, on the left hand side) and, reporting to the CEO (shown on the right hand side of that), are the four groups and four divisions. The groups listed are: Participant Experience Delivery; Design, Digital and Strategy; Markets, Government and Engagement; and the Corporate Services and Chief Financial Officer (CFO). The divisions listed are: Chief Risk Officer, which reports to the Corporate Services and CFO; People and Culture; Chief information Officer; and Office of the Scheme Actuary.&#10;"/>
      </w:tblPr>
      <w:tblGrid>
        <w:gridCol w:w="748"/>
        <w:gridCol w:w="387"/>
        <w:gridCol w:w="283"/>
        <w:gridCol w:w="425"/>
        <w:gridCol w:w="426"/>
        <w:gridCol w:w="283"/>
        <w:gridCol w:w="567"/>
        <w:gridCol w:w="567"/>
        <w:gridCol w:w="284"/>
        <w:gridCol w:w="567"/>
        <w:gridCol w:w="708"/>
        <w:gridCol w:w="284"/>
        <w:gridCol w:w="567"/>
        <w:gridCol w:w="283"/>
        <w:gridCol w:w="284"/>
        <w:gridCol w:w="425"/>
        <w:gridCol w:w="425"/>
        <w:gridCol w:w="284"/>
        <w:gridCol w:w="425"/>
        <w:gridCol w:w="709"/>
        <w:gridCol w:w="283"/>
        <w:gridCol w:w="426"/>
        <w:gridCol w:w="425"/>
      </w:tblGrid>
      <w:tr w:rsidR="00473F0E" w:rsidRPr="00262F3A" w14:paraId="2FB51A62" w14:textId="77777777" w:rsidTr="00D97797">
        <w:trPr>
          <w:cantSplit/>
          <w:trHeight w:val="434"/>
          <w:tblHeader/>
        </w:trPr>
        <w:tc>
          <w:tcPr>
            <w:tcW w:w="748" w:type="dxa"/>
            <w:vMerge w:val="restart"/>
            <w:tcBorders>
              <w:top w:val="nil"/>
              <w:left w:val="nil"/>
              <w:right w:val="nil"/>
            </w:tcBorders>
          </w:tcPr>
          <w:p w14:paraId="6CB59668" w14:textId="77777777" w:rsidR="00473F0E" w:rsidRPr="00262F3A" w:rsidRDefault="00473F0E" w:rsidP="00473F0E">
            <w:pPr>
              <w:ind w:left="0"/>
              <w:rPr>
                <w:rFonts w:eastAsiaTheme="minorHAnsi"/>
                <w:sz w:val="16"/>
                <w:szCs w:val="16"/>
                <w:lang w:eastAsia="en-US"/>
              </w:rPr>
            </w:pPr>
          </w:p>
        </w:tc>
        <w:tc>
          <w:tcPr>
            <w:tcW w:w="3789" w:type="dxa"/>
            <w:gridSpan w:val="9"/>
            <w:vMerge w:val="restart"/>
            <w:tcBorders>
              <w:top w:val="nil"/>
              <w:left w:val="nil"/>
            </w:tcBorders>
          </w:tcPr>
          <w:p w14:paraId="0D580B98" w14:textId="77777777" w:rsidR="00473F0E" w:rsidRPr="00262F3A" w:rsidRDefault="00473F0E" w:rsidP="00473F0E">
            <w:pPr>
              <w:ind w:left="0"/>
              <w:rPr>
                <w:rFonts w:eastAsiaTheme="minorHAnsi"/>
                <w:sz w:val="16"/>
                <w:szCs w:val="16"/>
                <w:lang w:eastAsia="en-US"/>
              </w:rPr>
            </w:pPr>
          </w:p>
        </w:tc>
        <w:tc>
          <w:tcPr>
            <w:tcW w:w="1559" w:type="dxa"/>
            <w:gridSpan w:val="3"/>
            <w:tcBorders>
              <w:bottom w:val="single" w:sz="4" w:space="0" w:color="auto"/>
            </w:tcBorders>
            <w:vAlign w:val="center"/>
          </w:tcPr>
          <w:p w14:paraId="05C18AC8" w14:textId="77777777"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CEO</w:t>
            </w:r>
          </w:p>
        </w:tc>
        <w:tc>
          <w:tcPr>
            <w:tcW w:w="3544" w:type="dxa"/>
            <w:gridSpan w:val="9"/>
            <w:vMerge w:val="restart"/>
            <w:tcBorders>
              <w:top w:val="nil"/>
              <w:right w:val="nil"/>
            </w:tcBorders>
          </w:tcPr>
          <w:p w14:paraId="6CF5D5D9" w14:textId="77777777" w:rsidR="00473F0E" w:rsidRPr="00262F3A" w:rsidRDefault="00473F0E" w:rsidP="00473F0E">
            <w:pPr>
              <w:ind w:left="0"/>
              <w:rPr>
                <w:rFonts w:eastAsiaTheme="minorHAnsi"/>
                <w:sz w:val="16"/>
                <w:szCs w:val="16"/>
                <w:lang w:eastAsia="en-US"/>
              </w:rPr>
            </w:pPr>
          </w:p>
        </w:tc>
        <w:tc>
          <w:tcPr>
            <w:tcW w:w="425" w:type="dxa"/>
            <w:vMerge w:val="restart"/>
            <w:tcBorders>
              <w:top w:val="nil"/>
              <w:left w:val="nil"/>
              <w:bottom w:val="nil"/>
              <w:right w:val="nil"/>
            </w:tcBorders>
          </w:tcPr>
          <w:p w14:paraId="2E19D2B4" w14:textId="77777777" w:rsidR="00473F0E" w:rsidRPr="00262F3A" w:rsidRDefault="00473F0E" w:rsidP="00473F0E">
            <w:pPr>
              <w:ind w:left="0"/>
              <w:rPr>
                <w:rFonts w:eastAsiaTheme="minorHAnsi"/>
                <w:sz w:val="16"/>
                <w:szCs w:val="16"/>
                <w:lang w:eastAsia="en-US"/>
              </w:rPr>
            </w:pPr>
          </w:p>
        </w:tc>
      </w:tr>
      <w:tr w:rsidR="00473F0E" w:rsidRPr="00262F3A" w14:paraId="7054D25C" w14:textId="77777777" w:rsidTr="008A01ED">
        <w:trPr>
          <w:cantSplit/>
        </w:trPr>
        <w:tc>
          <w:tcPr>
            <w:tcW w:w="748" w:type="dxa"/>
            <w:vMerge/>
            <w:tcBorders>
              <w:left w:val="nil"/>
              <w:bottom w:val="nil"/>
              <w:right w:val="nil"/>
            </w:tcBorders>
          </w:tcPr>
          <w:p w14:paraId="51C1F705" w14:textId="77777777" w:rsidR="00473F0E" w:rsidRPr="00262F3A" w:rsidRDefault="00473F0E" w:rsidP="00473F0E">
            <w:pPr>
              <w:ind w:left="0"/>
              <w:rPr>
                <w:rFonts w:eastAsiaTheme="minorHAnsi"/>
                <w:sz w:val="16"/>
                <w:szCs w:val="16"/>
                <w:lang w:eastAsia="en-US"/>
              </w:rPr>
            </w:pPr>
          </w:p>
        </w:tc>
        <w:tc>
          <w:tcPr>
            <w:tcW w:w="3789" w:type="dxa"/>
            <w:gridSpan w:val="9"/>
            <w:vMerge/>
            <w:tcBorders>
              <w:left w:val="nil"/>
              <w:right w:val="nil"/>
            </w:tcBorders>
          </w:tcPr>
          <w:p w14:paraId="192E575B" w14:textId="77777777" w:rsidR="00473F0E" w:rsidRPr="00262F3A" w:rsidRDefault="00473F0E" w:rsidP="00473F0E">
            <w:pPr>
              <w:ind w:left="0"/>
              <w:rPr>
                <w:rFonts w:eastAsiaTheme="minorHAnsi"/>
                <w:sz w:val="16"/>
                <w:szCs w:val="16"/>
                <w:lang w:eastAsia="en-US"/>
              </w:rPr>
            </w:pPr>
          </w:p>
        </w:tc>
        <w:tc>
          <w:tcPr>
            <w:tcW w:w="708" w:type="dxa"/>
            <w:tcBorders>
              <w:left w:val="nil"/>
            </w:tcBorders>
          </w:tcPr>
          <w:p w14:paraId="21D9FE0D" w14:textId="77777777" w:rsidR="00473F0E" w:rsidRPr="00262F3A" w:rsidRDefault="00473F0E" w:rsidP="00473F0E">
            <w:pPr>
              <w:ind w:left="0"/>
              <w:rPr>
                <w:rFonts w:eastAsiaTheme="minorHAnsi"/>
                <w:sz w:val="16"/>
                <w:szCs w:val="16"/>
                <w:lang w:eastAsia="en-US"/>
              </w:rPr>
            </w:pPr>
          </w:p>
        </w:tc>
        <w:tc>
          <w:tcPr>
            <w:tcW w:w="284" w:type="dxa"/>
            <w:tcBorders>
              <w:bottom w:val="single" w:sz="4" w:space="0" w:color="auto"/>
              <w:right w:val="nil"/>
            </w:tcBorders>
          </w:tcPr>
          <w:p w14:paraId="42F3F0D8" w14:textId="77777777" w:rsidR="00473F0E" w:rsidRPr="00262F3A" w:rsidRDefault="00473F0E" w:rsidP="00473F0E">
            <w:pPr>
              <w:ind w:left="0"/>
              <w:rPr>
                <w:rFonts w:eastAsiaTheme="minorHAnsi"/>
                <w:sz w:val="16"/>
                <w:szCs w:val="16"/>
                <w:lang w:eastAsia="en-US"/>
              </w:rPr>
            </w:pPr>
          </w:p>
        </w:tc>
        <w:tc>
          <w:tcPr>
            <w:tcW w:w="567" w:type="dxa"/>
            <w:tcBorders>
              <w:left w:val="nil"/>
              <w:right w:val="nil"/>
            </w:tcBorders>
          </w:tcPr>
          <w:p w14:paraId="236B6A2F" w14:textId="77777777" w:rsidR="00473F0E" w:rsidRPr="00262F3A" w:rsidRDefault="00473F0E" w:rsidP="00473F0E">
            <w:pPr>
              <w:ind w:left="0"/>
              <w:rPr>
                <w:rFonts w:eastAsiaTheme="minorHAnsi"/>
                <w:sz w:val="16"/>
                <w:szCs w:val="16"/>
                <w:lang w:eastAsia="en-US"/>
              </w:rPr>
            </w:pPr>
          </w:p>
        </w:tc>
        <w:tc>
          <w:tcPr>
            <w:tcW w:w="3544" w:type="dxa"/>
            <w:gridSpan w:val="9"/>
            <w:vMerge/>
            <w:tcBorders>
              <w:left w:val="nil"/>
              <w:right w:val="nil"/>
            </w:tcBorders>
          </w:tcPr>
          <w:p w14:paraId="6AD54D23" w14:textId="77777777" w:rsidR="00473F0E" w:rsidRPr="00262F3A" w:rsidRDefault="00473F0E" w:rsidP="00473F0E">
            <w:pPr>
              <w:ind w:left="0"/>
              <w:rPr>
                <w:rFonts w:eastAsiaTheme="minorHAnsi"/>
                <w:sz w:val="16"/>
                <w:szCs w:val="16"/>
                <w:lang w:eastAsia="en-US"/>
              </w:rPr>
            </w:pPr>
          </w:p>
        </w:tc>
        <w:tc>
          <w:tcPr>
            <w:tcW w:w="425" w:type="dxa"/>
            <w:vMerge/>
            <w:tcBorders>
              <w:left w:val="nil"/>
              <w:bottom w:val="nil"/>
              <w:right w:val="nil"/>
            </w:tcBorders>
          </w:tcPr>
          <w:p w14:paraId="13FD1D2C" w14:textId="77777777" w:rsidR="00473F0E" w:rsidRPr="00262F3A" w:rsidRDefault="00473F0E" w:rsidP="00473F0E">
            <w:pPr>
              <w:ind w:left="0"/>
              <w:rPr>
                <w:rFonts w:eastAsiaTheme="minorHAnsi"/>
                <w:sz w:val="16"/>
                <w:szCs w:val="16"/>
                <w:lang w:eastAsia="en-US"/>
              </w:rPr>
            </w:pPr>
          </w:p>
        </w:tc>
      </w:tr>
      <w:tr w:rsidR="00473F0E" w:rsidRPr="00262F3A" w14:paraId="56ECD094" w14:textId="77777777" w:rsidTr="008A01ED">
        <w:trPr>
          <w:cantSplit/>
        </w:trPr>
        <w:tc>
          <w:tcPr>
            <w:tcW w:w="748" w:type="dxa"/>
            <w:tcBorders>
              <w:top w:val="nil"/>
              <w:left w:val="nil"/>
            </w:tcBorders>
          </w:tcPr>
          <w:p w14:paraId="0117082A" w14:textId="77777777" w:rsidR="00473F0E" w:rsidRPr="00262F3A" w:rsidRDefault="00473F0E" w:rsidP="00473F0E">
            <w:pPr>
              <w:ind w:left="0"/>
              <w:rPr>
                <w:rFonts w:eastAsiaTheme="minorHAnsi"/>
                <w:sz w:val="16"/>
                <w:szCs w:val="16"/>
                <w:lang w:eastAsia="en-US"/>
              </w:rPr>
            </w:pPr>
          </w:p>
        </w:tc>
        <w:tc>
          <w:tcPr>
            <w:tcW w:w="387" w:type="dxa"/>
            <w:tcBorders>
              <w:right w:val="nil"/>
            </w:tcBorders>
          </w:tcPr>
          <w:p w14:paraId="6BA0E6BB" w14:textId="77777777" w:rsidR="00473F0E" w:rsidRPr="00262F3A" w:rsidRDefault="00473F0E" w:rsidP="00473F0E">
            <w:pPr>
              <w:ind w:left="0"/>
              <w:rPr>
                <w:rFonts w:eastAsiaTheme="minorHAnsi"/>
                <w:sz w:val="16"/>
                <w:szCs w:val="16"/>
                <w:lang w:eastAsia="en-US"/>
              </w:rPr>
            </w:pPr>
          </w:p>
        </w:tc>
        <w:tc>
          <w:tcPr>
            <w:tcW w:w="283" w:type="dxa"/>
            <w:tcBorders>
              <w:left w:val="nil"/>
              <w:bottom w:val="nil"/>
              <w:right w:val="nil"/>
            </w:tcBorders>
          </w:tcPr>
          <w:p w14:paraId="16C08BF9" w14:textId="77777777" w:rsidR="00473F0E" w:rsidRPr="00262F3A" w:rsidRDefault="00473F0E" w:rsidP="00473F0E">
            <w:pPr>
              <w:ind w:left="0"/>
              <w:rPr>
                <w:rFonts w:eastAsiaTheme="minorHAnsi"/>
                <w:sz w:val="16"/>
                <w:szCs w:val="16"/>
                <w:lang w:eastAsia="en-US"/>
              </w:rPr>
            </w:pPr>
          </w:p>
        </w:tc>
        <w:tc>
          <w:tcPr>
            <w:tcW w:w="425" w:type="dxa"/>
            <w:tcBorders>
              <w:left w:val="nil"/>
            </w:tcBorders>
          </w:tcPr>
          <w:p w14:paraId="73C68E05" w14:textId="77777777" w:rsidR="00473F0E" w:rsidRPr="00262F3A" w:rsidRDefault="00473F0E" w:rsidP="00473F0E">
            <w:pPr>
              <w:ind w:left="0"/>
              <w:rPr>
                <w:rFonts w:eastAsiaTheme="minorHAnsi"/>
                <w:sz w:val="16"/>
                <w:szCs w:val="16"/>
                <w:lang w:eastAsia="en-US"/>
              </w:rPr>
            </w:pPr>
          </w:p>
        </w:tc>
        <w:tc>
          <w:tcPr>
            <w:tcW w:w="426" w:type="dxa"/>
            <w:tcBorders>
              <w:bottom w:val="nil"/>
              <w:right w:val="nil"/>
            </w:tcBorders>
          </w:tcPr>
          <w:p w14:paraId="2343495C" w14:textId="77777777" w:rsidR="00473F0E" w:rsidRPr="00262F3A" w:rsidRDefault="00473F0E" w:rsidP="00473F0E">
            <w:pPr>
              <w:ind w:left="0"/>
              <w:rPr>
                <w:rFonts w:eastAsiaTheme="minorHAnsi"/>
                <w:sz w:val="16"/>
                <w:szCs w:val="16"/>
                <w:lang w:eastAsia="en-US"/>
              </w:rPr>
            </w:pPr>
          </w:p>
        </w:tc>
        <w:tc>
          <w:tcPr>
            <w:tcW w:w="283" w:type="dxa"/>
            <w:tcBorders>
              <w:left w:val="nil"/>
              <w:bottom w:val="nil"/>
              <w:right w:val="nil"/>
            </w:tcBorders>
          </w:tcPr>
          <w:p w14:paraId="6762057E" w14:textId="77777777" w:rsidR="00473F0E" w:rsidRPr="00262F3A" w:rsidRDefault="00473F0E" w:rsidP="00473F0E">
            <w:pPr>
              <w:ind w:left="0"/>
              <w:rPr>
                <w:rFonts w:eastAsiaTheme="minorHAnsi"/>
                <w:sz w:val="16"/>
                <w:szCs w:val="16"/>
                <w:lang w:eastAsia="en-US"/>
              </w:rPr>
            </w:pPr>
          </w:p>
        </w:tc>
        <w:tc>
          <w:tcPr>
            <w:tcW w:w="567" w:type="dxa"/>
            <w:tcBorders>
              <w:left w:val="nil"/>
            </w:tcBorders>
          </w:tcPr>
          <w:p w14:paraId="3679A005" w14:textId="77777777" w:rsidR="00473F0E" w:rsidRPr="00262F3A" w:rsidRDefault="00473F0E" w:rsidP="00473F0E">
            <w:pPr>
              <w:ind w:left="0"/>
              <w:rPr>
                <w:rFonts w:eastAsiaTheme="minorHAnsi"/>
                <w:sz w:val="16"/>
                <w:szCs w:val="16"/>
                <w:lang w:eastAsia="en-US"/>
              </w:rPr>
            </w:pPr>
          </w:p>
        </w:tc>
        <w:tc>
          <w:tcPr>
            <w:tcW w:w="567" w:type="dxa"/>
            <w:tcBorders>
              <w:bottom w:val="nil"/>
              <w:right w:val="nil"/>
            </w:tcBorders>
          </w:tcPr>
          <w:p w14:paraId="72FCB335" w14:textId="77777777" w:rsidR="00473F0E" w:rsidRPr="00262F3A" w:rsidRDefault="00473F0E" w:rsidP="00473F0E">
            <w:pPr>
              <w:ind w:left="0"/>
              <w:rPr>
                <w:rFonts w:eastAsiaTheme="minorHAnsi"/>
                <w:sz w:val="16"/>
                <w:szCs w:val="16"/>
                <w:lang w:eastAsia="en-US"/>
              </w:rPr>
            </w:pPr>
          </w:p>
        </w:tc>
        <w:tc>
          <w:tcPr>
            <w:tcW w:w="284" w:type="dxa"/>
            <w:tcBorders>
              <w:left w:val="nil"/>
              <w:bottom w:val="nil"/>
              <w:right w:val="nil"/>
            </w:tcBorders>
          </w:tcPr>
          <w:p w14:paraId="6373FED3" w14:textId="77777777" w:rsidR="00473F0E" w:rsidRPr="00262F3A" w:rsidRDefault="00473F0E" w:rsidP="00473F0E">
            <w:pPr>
              <w:ind w:left="0"/>
              <w:rPr>
                <w:rFonts w:eastAsiaTheme="minorHAnsi"/>
                <w:sz w:val="16"/>
                <w:szCs w:val="16"/>
                <w:lang w:eastAsia="en-US"/>
              </w:rPr>
            </w:pPr>
          </w:p>
        </w:tc>
        <w:tc>
          <w:tcPr>
            <w:tcW w:w="567" w:type="dxa"/>
            <w:tcBorders>
              <w:left w:val="nil"/>
            </w:tcBorders>
          </w:tcPr>
          <w:p w14:paraId="7403C72E" w14:textId="77777777" w:rsidR="00473F0E" w:rsidRPr="00262F3A" w:rsidRDefault="00473F0E" w:rsidP="00473F0E">
            <w:pPr>
              <w:ind w:left="0"/>
              <w:rPr>
                <w:rFonts w:eastAsiaTheme="minorHAnsi"/>
                <w:sz w:val="16"/>
                <w:szCs w:val="16"/>
                <w:lang w:eastAsia="en-US"/>
              </w:rPr>
            </w:pPr>
          </w:p>
        </w:tc>
        <w:tc>
          <w:tcPr>
            <w:tcW w:w="708" w:type="dxa"/>
            <w:tcBorders>
              <w:right w:val="nil"/>
            </w:tcBorders>
          </w:tcPr>
          <w:p w14:paraId="4FFD2A71" w14:textId="77777777" w:rsidR="00473F0E" w:rsidRPr="00262F3A" w:rsidRDefault="00473F0E" w:rsidP="00473F0E">
            <w:pPr>
              <w:ind w:left="0"/>
              <w:rPr>
                <w:rFonts w:eastAsiaTheme="minorHAnsi"/>
                <w:sz w:val="16"/>
                <w:szCs w:val="16"/>
                <w:lang w:eastAsia="en-US"/>
              </w:rPr>
            </w:pPr>
          </w:p>
        </w:tc>
        <w:tc>
          <w:tcPr>
            <w:tcW w:w="284" w:type="dxa"/>
            <w:tcBorders>
              <w:left w:val="nil"/>
              <w:bottom w:val="nil"/>
              <w:right w:val="nil"/>
            </w:tcBorders>
          </w:tcPr>
          <w:p w14:paraId="3E521F45" w14:textId="77777777" w:rsidR="00473F0E" w:rsidRPr="00262F3A" w:rsidRDefault="00473F0E" w:rsidP="00473F0E">
            <w:pPr>
              <w:ind w:left="0"/>
              <w:rPr>
                <w:rFonts w:eastAsiaTheme="minorHAnsi"/>
                <w:sz w:val="16"/>
                <w:szCs w:val="16"/>
                <w:lang w:eastAsia="en-US"/>
              </w:rPr>
            </w:pPr>
          </w:p>
        </w:tc>
        <w:tc>
          <w:tcPr>
            <w:tcW w:w="567" w:type="dxa"/>
            <w:tcBorders>
              <w:left w:val="nil"/>
              <w:right w:val="nil"/>
            </w:tcBorders>
          </w:tcPr>
          <w:p w14:paraId="6F867B52" w14:textId="77777777" w:rsidR="00473F0E" w:rsidRPr="00262F3A" w:rsidRDefault="00473F0E" w:rsidP="00473F0E">
            <w:pPr>
              <w:ind w:left="0"/>
              <w:rPr>
                <w:rFonts w:eastAsiaTheme="minorHAnsi"/>
                <w:sz w:val="16"/>
                <w:szCs w:val="16"/>
                <w:lang w:eastAsia="en-US"/>
              </w:rPr>
            </w:pPr>
          </w:p>
        </w:tc>
        <w:tc>
          <w:tcPr>
            <w:tcW w:w="283" w:type="dxa"/>
            <w:tcBorders>
              <w:left w:val="nil"/>
              <w:right w:val="nil"/>
            </w:tcBorders>
          </w:tcPr>
          <w:p w14:paraId="1535F027" w14:textId="77777777" w:rsidR="00473F0E" w:rsidRPr="00262F3A" w:rsidRDefault="00473F0E" w:rsidP="00473F0E">
            <w:pPr>
              <w:ind w:left="0"/>
              <w:rPr>
                <w:rFonts w:eastAsiaTheme="minorHAnsi"/>
                <w:sz w:val="16"/>
                <w:szCs w:val="16"/>
                <w:lang w:eastAsia="en-US"/>
              </w:rPr>
            </w:pPr>
          </w:p>
        </w:tc>
        <w:tc>
          <w:tcPr>
            <w:tcW w:w="284" w:type="dxa"/>
            <w:tcBorders>
              <w:left w:val="nil"/>
              <w:bottom w:val="nil"/>
              <w:right w:val="nil"/>
            </w:tcBorders>
          </w:tcPr>
          <w:p w14:paraId="514AC948" w14:textId="77777777" w:rsidR="00473F0E" w:rsidRPr="00262F3A" w:rsidRDefault="00473F0E" w:rsidP="00473F0E">
            <w:pPr>
              <w:ind w:left="0"/>
              <w:rPr>
                <w:rFonts w:eastAsiaTheme="minorHAnsi"/>
                <w:sz w:val="16"/>
                <w:szCs w:val="16"/>
                <w:lang w:eastAsia="en-US"/>
              </w:rPr>
            </w:pPr>
          </w:p>
        </w:tc>
        <w:tc>
          <w:tcPr>
            <w:tcW w:w="425" w:type="dxa"/>
            <w:tcBorders>
              <w:left w:val="nil"/>
            </w:tcBorders>
          </w:tcPr>
          <w:p w14:paraId="3D18A314" w14:textId="77777777" w:rsidR="00473F0E" w:rsidRPr="00262F3A" w:rsidRDefault="00473F0E" w:rsidP="00473F0E">
            <w:pPr>
              <w:ind w:left="0"/>
              <w:rPr>
                <w:rFonts w:eastAsiaTheme="minorHAnsi"/>
                <w:sz w:val="16"/>
                <w:szCs w:val="16"/>
                <w:lang w:eastAsia="en-US"/>
              </w:rPr>
            </w:pPr>
          </w:p>
        </w:tc>
        <w:tc>
          <w:tcPr>
            <w:tcW w:w="425" w:type="dxa"/>
            <w:tcBorders>
              <w:right w:val="nil"/>
            </w:tcBorders>
          </w:tcPr>
          <w:p w14:paraId="7534FA86" w14:textId="77777777" w:rsidR="00473F0E" w:rsidRPr="00262F3A" w:rsidRDefault="00473F0E" w:rsidP="00473F0E">
            <w:pPr>
              <w:ind w:left="0"/>
              <w:rPr>
                <w:rFonts w:eastAsiaTheme="minorHAnsi"/>
                <w:sz w:val="16"/>
                <w:szCs w:val="16"/>
                <w:lang w:eastAsia="en-US"/>
              </w:rPr>
            </w:pPr>
          </w:p>
        </w:tc>
        <w:tc>
          <w:tcPr>
            <w:tcW w:w="284" w:type="dxa"/>
            <w:tcBorders>
              <w:left w:val="nil"/>
              <w:bottom w:val="nil"/>
              <w:right w:val="nil"/>
            </w:tcBorders>
          </w:tcPr>
          <w:p w14:paraId="0C7BD2BB" w14:textId="77777777" w:rsidR="00473F0E" w:rsidRPr="00262F3A" w:rsidRDefault="00473F0E" w:rsidP="00473F0E">
            <w:pPr>
              <w:ind w:left="0"/>
              <w:rPr>
                <w:rFonts w:eastAsiaTheme="minorHAnsi"/>
                <w:sz w:val="16"/>
                <w:szCs w:val="16"/>
                <w:lang w:eastAsia="en-US"/>
              </w:rPr>
            </w:pPr>
          </w:p>
        </w:tc>
        <w:tc>
          <w:tcPr>
            <w:tcW w:w="425" w:type="dxa"/>
            <w:tcBorders>
              <w:left w:val="nil"/>
            </w:tcBorders>
          </w:tcPr>
          <w:p w14:paraId="055000B7" w14:textId="77777777" w:rsidR="00473F0E" w:rsidRPr="00262F3A" w:rsidRDefault="00473F0E" w:rsidP="00473F0E">
            <w:pPr>
              <w:ind w:left="0"/>
              <w:rPr>
                <w:rFonts w:eastAsiaTheme="minorHAnsi"/>
                <w:sz w:val="16"/>
                <w:szCs w:val="16"/>
                <w:lang w:eastAsia="en-US"/>
              </w:rPr>
            </w:pPr>
          </w:p>
        </w:tc>
        <w:tc>
          <w:tcPr>
            <w:tcW w:w="709" w:type="dxa"/>
            <w:tcBorders>
              <w:right w:val="nil"/>
            </w:tcBorders>
          </w:tcPr>
          <w:p w14:paraId="69382978" w14:textId="77777777" w:rsidR="00473F0E" w:rsidRPr="00262F3A" w:rsidRDefault="00473F0E" w:rsidP="00473F0E">
            <w:pPr>
              <w:ind w:left="0"/>
              <w:rPr>
                <w:rFonts w:eastAsiaTheme="minorHAnsi"/>
                <w:sz w:val="16"/>
                <w:szCs w:val="16"/>
                <w:lang w:eastAsia="en-US"/>
              </w:rPr>
            </w:pPr>
          </w:p>
        </w:tc>
        <w:tc>
          <w:tcPr>
            <w:tcW w:w="283" w:type="dxa"/>
            <w:tcBorders>
              <w:left w:val="nil"/>
              <w:bottom w:val="nil"/>
              <w:right w:val="nil"/>
            </w:tcBorders>
          </w:tcPr>
          <w:p w14:paraId="2A9BDB41" w14:textId="77777777" w:rsidR="00473F0E" w:rsidRPr="00262F3A" w:rsidRDefault="00473F0E" w:rsidP="00473F0E">
            <w:pPr>
              <w:ind w:left="0"/>
              <w:rPr>
                <w:rFonts w:eastAsiaTheme="minorHAnsi"/>
                <w:sz w:val="16"/>
                <w:szCs w:val="16"/>
                <w:lang w:eastAsia="en-US"/>
              </w:rPr>
            </w:pPr>
          </w:p>
        </w:tc>
        <w:tc>
          <w:tcPr>
            <w:tcW w:w="426" w:type="dxa"/>
            <w:tcBorders>
              <w:left w:val="nil"/>
            </w:tcBorders>
          </w:tcPr>
          <w:p w14:paraId="38370D5A" w14:textId="77777777" w:rsidR="00473F0E" w:rsidRPr="00262F3A" w:rsidRDefault="00473F0E" w:rsidP="00473F0E">
            <w:pPr>
              <w:ind w:left="0"/>
              <w:rPr>
                <w:rFonts w:eastAsiaTheme="minorHAnsi"/>
                <w:sz w:val="16"/>
                <w:szCs w:val="16"/>
                <w:lang w:eastAsia="en-US"/>
              </w:rPr>
            </w:pPr>
          </w:p>
        </w:tc>
        <w:tc>
          <w:tcPr>
            <w:tcW w:w="425" w:type="dxa"/>
            <w:tcBorders>
              <w:top w:val="nil"/>
              <w:right w:val="nil"/>
            </w:tcBorders>
          </w:tcPr>
          <w:p w14:paraId="33080D23" w14:textId="77777777" w:rsidR="00473F0E" w:rsidRPr="00262F3A" w:rsidRDefault="00473F0E" w:rsidP="00473F0E">
            <w:pPr>
              <w:ind w:left="0"/>
              <w:rPr>
                <w:rFonts w:eastAsiaTheme="minorHAnsi"/>
                <w:sz w:val="16"/>
                <w:szCs w:val="16"/>
                <w:lang w:eastAsia="en-US"/>
              </w:rPr>
            </w:pPr>
          </w:p>
        </w:tc>
      </w:tr>
      <w:tr w:rsidR="00473F0E" w:rsidRPr="00262F3A" w14:paraId="40B477B2" w14:textId="77777777" w:rsidTr="008A01ED">
        <w:trPr>
          <w:cantSplit/>
          <w:trHeight w:val="483"/>
        </w:trPr>
        <w:tc>
          <w:tcPr>
            <w:tcW w:w="1135" w:type="dxa"/>
            <w:gridSpan w:val="2"/>
            <w:vMerge w:val="restart"/>
            <w:tcBorders>
              <w:top w:val="nil"/>
            </w:tcBorders>
            <w:vAlign w:val="center"/>
          </w:tcPr>
          <w:p w14:paraId="560AA7F0" w14:textId="77777777"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DCEO</w:t>
            </w:r>
          </w:p>
          <w:p w14:paraId="71D98AC9" w14:textId="78440E2C"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Participant Experience Delivery</w:t>
            </w:r>
            <w:r w:rsidR="009F3F44" w:rsidRPr="00262F3A">
              <w:rPr>
                <w:rFonts w:eastAsiaTheme="minorHAnsi"/>
                <w:sz w:val="16"/>
                <w:szCs w:val="16"/>
                <w:lang w:eastAsia="en-US"/>
              </w:rPr>
              <w:t xml:space="preserve"> Group</w:t>
            </w:r>
          </w:p>
        </w:tc>
        <w:tc>
          <w:tcPr>
            <w:tcW w:w="283" w:type="dxa"/>
            <w:tcBorders>
              <w:top w:val="nil"/>
              <w:bottom w:val="nil"/>
            </w:tcBorders>
            <w:vAlign w:val="center"/>
          </w:tcPr>
          <w:p w14:paraId="41AE30BD" w14:textId="77777777" w:rsidR="00473F0E" w:rsidRPr="00262F3A" w:rsidRDefault="00473F0E" w:rsidP="00473F0E">
            <w:pPr>
              <w:ind w:left="0"/>
              <w:jc w:val="center"/>
              <w:rPr>
                <w:rFonts w:eastAsiaTheme="minorHAnsi"/>
                <w:sz w:val="16"/>
                <w:szCs w:val="16"/>
                <w:lang w:eastAsia="en-US"/>
              </w:rPr>
            </w:pPr>
          </w:p>
        </w:tc>
        <w:tc>
          <w:tcPr>
            <w:tcW w:w="851" w:type="dxa"/>
            <w:gridSpan w:val="2"/>
            <w:vMerge w:val="restart"/>
            <w:tcBorders>
              <w:top w:val="single" w:sz="4" w:space="0" w:color="auto"/>
              <w:right w:val="single" w:sz="4" w:space="0" w:color="auto"/>
            </w:tcBorders>
            <w:vAlign w:val="center"/>
          </w:tcPr>
          <w:p w14:paraId="529095E8" w14:textId="77777777"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DCEO</w:t>
            </w:r>
          </w:p>
          <w:p w14:paraId="0FD3B78E" w14:textId="473B348E"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Design, Digital and Strategy</w:t>
            </w:r>
            <w:r w:rsidR="009F3F44" w:rsidRPr="00262F3A">
              <w:rPr>
                <w:rFonts w:eastAsiaTheme="minorHAnsi"/>
                <w:sz w:val="16"/>
                <w:szCs w:val="16"/>
                <w:lang w:eastAsia="en-US"/>
              </w:rPr>
              <w:t xml:space="preserve"> Group</w:t>
            </w:r>
          </w:p>
        </w:tc>
        <w:tc>
          <w:tcPr>
            <w:tcW w:w="283" w:type="dxa"/>
            <w:tcBorders>
              <w:top w:val="nil"/>
              <w:left w:val="single" w:sz="4" w:space="0" w:color="auto"/>
              <w:bottom w:val="nil"/>
            </w:tcBorders>
            <w:vAlign w:val="center"/>
          </w:tcPr>
          <w:p w14:paraId="483586FF" w14:textId="77777777" w:rsidR="00473F0E" w:rsidRPr="00262F3A" w:rsidRDefault="00473F0E" w:rsidP="00473F0E">
            <w:pPr>
              <w:ind w:left="0"/>
              <w:jc w:val="center"/>
              <w:rPr>
                <w:rFonts w:eastAsiaTheme="minorHAnsi"/>
                <w:sz w:val="16"/>
                <w:szCs w:val="16"/>
                <w:lang w:eastAsia="en-US"/>
              </w:rPr>
            </w:pPr>
          </w:p>
        </w:tc>
        <w:tc>
          <w:tcPr>
            <w:tcW w:w="1134" w:type="dxa"/>
            <w:gridSpan w:val="2"/>
            <w:vMerge w:val="restart"/>
            <w:tcBorders>
              <w:top w:val="single" w:sz="4" w:space="0" w:color="auto"/>
            </w:tcBorders>
            <w:vAlign w:val="center"/>
          </w:tcPr>
          <w:p w14:paraId="4888B842" w14:textId="77777777"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DCEO</w:t>
            </w:r>
          </w:p>
          <w:p w14:paraId="40118ABA" w14:textId="3F71524A"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 xml:space="preserve">Markets, </w:t>
            </w:r>
            <w:r w:rsidR="009F3F44" w:rsidRPr="00262F3A">
              <w:rPr>
                <w:rFonts w:eastAsiaTheme="minorHAnsi"/>
                <w:sz w:val="16"/>
                <w:szCs w:val="16"/>
                <w:lang w:eastAsia="en-US"/>
              </w:rPr>
              <w:t>Government</w:t>
            </w:r>
            <w:r w:rsidRPr="00262F3A">
              <w:rPr>
                <w:rFonts w:eastAsiaTheme="minorHAnsi"/>
                <w:sz w:val="16"/>
                <w:szCs w:val="16"/>
                <w:lang w:eastAsia="en-US"/>
              </w:rPr>
              <w:t xml:space="preserve"> and Engagement</w:t>
            </w:r>
            <w:r w:rsidR="009F3F44" w:rsidRPr="00262F3A">
              <w:rPr>
                <w:rFonts w:eastAsiaTheme="minorHAnsi"/>
                <w:sz w:val="16"/>
                <w:szCs w:val="16"/>
                <w:lang w:eastAsia="en-US"/>
              </w:rPr>
              <w:t xml:space="preserve"> Group</w:t>
            </w:r>
          </w:p>
        </w:tc>
        <w:tc>
          <w:tcPr>
            <w:tcW w:w="284" w:type="dxa"/>
            <w:tcBorders>
              <w:top w:val="nil"/>
              <w:bottom w:val="nil"/>
            </w:tcBorders>
            <w:vAlign w:val="center"/>
          </w:tcPr>
          <w:p w14:paraId="7C03D7BC" w14:textId="77777777" w:rsidR="00473F0E" w:rsidRPr="00262F3A" w:rsidRDefault="00473F0E" w:rsidP="00473F0E">
            <w:pPr>
              <w:ind w:left="0"/>
              <w:jc w:val="center"/>
              <w:rPr>
                <w:rFonts w:eastAsiaTheme="minorHAnsi"/>
                <w:sz w:val="16"/>
                <w:szCs w:val="16"/>
                <w:lang w:eastAsia="en-US"/>
              </w:rPr>
            </w:pPr>
          </w:p>
        </w:tc>
        <w:tc>
          <w:tcPr>
            <w:tcW w:w="1275" w:type="dxa"/>
            <w:gridSpan w:val="2"/>
            <w:vMerge w:val="restart"/>
            <w:tcBorders>
              <w:top w:val="nil"/>
            </w:tcBorders>
            <w:vAlign w:val="center"/>
          </w:tcPr>
          <w:p w14:paraId="3A784327" w14:textId="77777777"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DCEO</w:t>
            </w:r>
          </w:p>
          <w:p w14:paraId="32B512C0" w14:textId="32FE7FA6" w:rsidR="00473F0E" w:rsidRPr="00262F3A" w:rsidRDefault="00473F0E" w:rsidP="00473F0E">
            <w:pPr>
              <w:ind w:left="0"/>
              <w:jc w:val="center"/>
              <w:rPr>
                <w:rFonts w:eastAsiaTheme="minorHAnsi"/>
                <w:sz w:val="16"/>
                <w:szCs w:val="16"/>
                <w:lang w:eastAsia="en-US"/>
              </w:rPr>
            </w:pPr>
            <w:r w:rsidRPr="00262F3A">
              <w:rPr>
                <w:rFonts w:eastAsiaTheme="minorHAnsi"/>
                <w:sz w:val="16"/>
                <w:szCs w:val="16"/>
                <w:lang w:eastAsia="en-US"/>
              </w:rPr>
              <w:t>Corporate Services and Chief Financial Officer</w:t>
            </w:r>
            <w:r w:rsidR="009F3F44" w:rsidRPr="00262F3A">
              <w:rPr>
                <w:rFonts w:eastAsiaTheme="minorHAnsi"/>
                <w:sz w:val="16"/>
                <w:szCs w:val="16"/>
                <w:lang w:eastAsia="en-US"/>
              </w:rPr>
              <w:t xml:space="preserve"> Group</w:t>
            </w:r>
          </w:p>
        </w:tc>
        <w:tc>
          <w:tcPr>
            <w:tcW w:w="284" w:type="dxa"/>
            <w:tcBorders>
              <w:top w:val="nil"/>
              <w:bottom w:val="single" w:sz="4" w:space="0" w:color="auto"/>
            </w:tcBorders>
            <w:vAlign w:val="center"/>
          </w:tcPr>
          <w:p w14:paraId="679D1295" w14:textId="77777777" w:rsidR="00473F0E" w:rsidRPr="00262F3A" w:rsidRDefault="00473F0E" w:rsidP="00473F0E">
            <w:pPr>
              <w:ind w:left="0"/>
              <w:jc w:val="center"/>
              <w:rPr>
                <w:rFonts w:eastAsiaTheme="minorHAnsi"/>
                <w:sz w:val="16"/>
                <w:szCs w:val="16"/>
                <w:lang w:eastAsia="en-US"/>
              </w:rPr>
            </w:pPr>
          </w:p>
        </w:tc>
        <w:tc>
          <w:tcPr>
            <w:tcW w:w="850" w:type="dxa"/>
            <w:gridSpan w:val="2"/>
            <w:vMerge w:val="restart"/>
            <w:tcBorders>
              <w:top w:val="nil"/>
            </w:tcBorders>
            <w:vAlign w:val="center"/>
          </w:tcPr>
          <w:p w14:paraId="0FDEDF3C" w14:textId="4978E890" w:rsidR="009F3F44" w:rsidRPr="00262F3A" w:rsidRDefault="00473F0E" w:rsidP="009F3F44">
            <w:pPr>
              <w:ind w:left="0"/>
              <w:jc w:val="center"/>
              <w:rPr>
                <w:rFonts w:eastAsiaTheme="minorHAnsi"/>
                <w:sz w:val="16"/>
                <w:szCs w:val="16"/>
                <w:lang w:eastAsia="en-US"/>
              </w:rPr>
            </w:pPr>
            <w:r w:rsidRPr="00262F3A">
              <w:rPr>
                <w:rFonts w:eastAsiaTheme="minorHAnsi"/>
                <w:sz w:val="16"/>
                <w:szCs w:val="16"/>
                <w:lang w:eastAsia="en-US"/>
              </w:rPr>
              <w:t>Chief Risk Officer</w:t>
            </w:r>
            <w:r w:rsidR="009F3F44" w:rsidRPr="00262F3A">
              <w:rPr>
                <w:rFonts w:eastAsiaTheme="minorHAnsi"/>
                <w:sz w:val="16"/>
                <w:szCs w:val="16"/>
                <w:lang w:eastAsia="en-US"/>
              </w:rPr>
              <w:t xml:space="preserve"> Division</w:t>
            </w:r>
          </w:p>
        </w:tc>
        <w:tc>
          <w:tcPr>
            <w:tcW w:w="284" w:type="dxa"/>
            <w:tcBorders>
              <w:top w:val="nil"/>
              <w:bottom w:val="nil"/>
            </w:tcBorders>
            <w:vAlign w:val="center"/>
          </w:tcPr>
          <w:p w14:paraId="7426B2FF" w14:textId="77777777" w:rsidR="00473F0E" w:rsidRPr="00262F3A" w:rsidRDefault="00473F0E" w:rsidP="00473F0E">
            <w:pPr>
              <w:ind w:left="0"/>
              <w:jc w:val="center"/>
              <w:rPr>
                <w:rFonts w:eastAsiaTheme="minorHAnsi"/>
                <w:sz w:val="16"/>
                <w:szCs w:val="16"/>
                <w:lang w:eastAsia="en-US"/>
              </w:rPr>
            </w:pPr>
          </w:p>
        </w:tc>
        <w:tc>
          <w:tcPr>
            <w:tcW w:w="850" w:type="dxa"/>
            <w:gridSpan w:val="2"/>
            <w:vMerge w:val="restart"/>
            <w:tcBorders>
              <w:top w:val="nil"/>
            </w:tcBorders>
            <w:vAlign w:val="center"/>
          </w:tcPr>
          <w:p w14:paraId="0BADD54E" w14:textId="70CEEBC6" w:rsidR="00473F0E" w:rsidRPr="00262F3A" w:rsidRDefault="00473F0E" w:rsidP="009F3F44">
            <w:pPr>
              <w:ind w:left="0"/>
              <w:jc w:val="center"/>
              <w:rPr>
                <w:rFonts w:eastAsiaTheme="minorHAnsi"/>
                <w:sz w:val="16"/>
                <w:szCs w:val="16"/>
                <w:lang w:eastAsia="en-US"/>
              </w:rPr>
            </w:pPr>
            <w:r w:rsidRPr="00262F3A">
              <w:rPr>
                <w:rFonts w:eastAsiaTheme="minorHAnsi"/>
                <w:sz w:val="16"/>
                <w:szCs w:val="16"/>
                <w:lang w:eastAsia="en-US"/>
              </w:rPr>
              <w:t xml:space="preserve">People </w:t>
            </w:r>
            <w:r w:rsidR="009F3F44" w:rsidRPr="00262F3A">
              <w:rPr>
                <w:rFonts w:eastAsiaTheme="minorHAnsi"/>
                <w:sz w:val="16"/>
                <w:szCs w:val="16"/>
                <w:lang w:eastAsia="en-US"/>
              </w:rPr>
              <w:t>and Culture Division</w:t>
            </w:r>
          </w:p>
        </w:tc>
        <w:tc>
          <w:tcPr>
            <w:tcW w:w="284" w:type="dxa"/>
            <w:tcBorders>
              <w:top w:val="nil"/>
              <w:bottom w:val="nil"/>
            </w:tcBorders>
            <w:vAlign w:val="center"/>
          </w:tcPr>
          <w:p w14:paraId="26DCBDC5" w14:textId="77777777" w:rsidR="00473F0E" w:rsidRPr="00262F3A" w:rsidRDefault="00473F0E" w:rsidP="00473F0E">
            <w:pPr>
              <w:ind w:left="0"/>
              <w:jc w:val="center"/>
              <w:rPr>
                <w:rFonts w:eastAsiaTheme="minorHAnsi"/>
                <w:sz w:val="16"/>
                <w:szCs w:val="16"/>
                <w:lang w:eastAsia="en-US"/>
              </w:rPr>
            </w:pPr>
          </w:p>
        </w:tc>
        <w:tc>
          <w:tcPr>
            <w:tcW w:w="1134" w:type="dxa"/>
            <w:gridSpan w:val="2"/>
            <w:vMerge w:val="restart"/>
            <w:vAlign w:val="center"/>
          </w:tcPr>
          <w:p w14:paraId="7D68FD63" w14:textId="21C755C3" w:rsidR="009F3F44" w:rsidRPr="00262F3A" w:rsidRDefault="00473F0E" w:rsidP="009F3F44">
            <w:pPr>
              <w:ind w:left="0"/>
              <w:jc w:val="center"/>
              <w:rPr>
                <w:rFonts w:eastAsiaTheme="minorHAnsi"/>
                <w:sz w:val="16"/>
                <w:szCs w:val="16"/>
                <w:lang w:eastAsia="en-US"/>
              </w:rPr>
            </w:pPr>
            <w:r w:rsidRPr="00262F3A">
              <w:rPr>
                <w:rFonts w:eastAsiaTheme="minorHAnsi"/>
                <w:sz w:val="16"/>
                <w:szCs w:val="16"/>
                <w:lang w:eastAsia="en-US"/>
              </w:rPr>
              <w:t>Chief Information Officer</w:t>
            </w:r>
            <w:r w:rsidR="009F3F44" w:rsidRPr="00262F3A">
              <w:rPr>
                <w:rFonts w:eastAsiaTheme="minorHAnsi"/>
                <w:sz w:val="16"/>
                <w:szCs w:val="16"/>
                <w:lang w:eastAsia="en-US"/>
              </w:rPr>
              <w:t xml:space="preserve"> Division</w:t>
            </w:r>
          </w:p>
        </w:tc>
        <w:tc>
          <w:tcPr>
            <w:tcW w:w="283" w:type="dxa"/>
            <w:tcBorders>
              <w:top w:val="nil"/>
              <w:bottom w:val="nil"/>
            </w:tcBorders>
            <w:vAlign w:val="center"/>
          </w:tcPr>
          <w:p w14:paraId="3FCDC277" w14:textId="77777777" w:rsidR="00473F0E" w:rsidRPr="00262F3A" w:rsidRDefault="00473F0E" w:rsidP="00473F0E">
            <w:pPr>
              <w:ind w:left="0"/>
              <w:jc w:val="center"/>
              <w:rPr>
                <w:rFonts w:eastAsiaTheme="minorHAnsi"/>
                <w:sz w:val="16"/>
                <w:szCs w:val="16"/>
                <w:lang w:eastAsia="en-US"/>
              </w:rPr>
            </w:pPr>
          </w:p>
        </w:tc>
        <w:tc>
          <w:tcPr>
            <w:tcW w:w="851" w:type="dxa"/>
            <w:gridSpan w:val="2"/>
            <w:vMerge w:val="restart"/>
            <w:vAlign w:val="center"/>
          </w:tcPr>
          <w:p w14:paraId="53AA20AD" w14:textId="55EDC9F4" w:rsidR="00473F0E" w:rsidRPr="00262F3A" w:rsidRDefault="009F3F44" w:rsidP="00473F0E">
            <w:pPr>
              <w:ind w:left="0"/>
              <w:jc w:val="center"/>
              <w:rPr>
                <w:rFonts w:eastAsiaTheme="minorHAnsi"/>
                <w:sz w:val="16"/>
                <w:szCs w:val="16"/>
                <w:lang w:eastAsia="en-US"/>
              </w:rPr>
            </w:pPr>
            <w:r w:rsidRPr="00262F3A">
              <w:rPr>
                <w:rFonts w:eastAsiaTheme="minorHAnsi"/>
                <w:sz w:val="16"/>
                <w:szCs w:val="16"/>
                <w:lang w:eastAsia="en-US"/>
              </w:rPr>
              <w:t xml:space="preserve">Office of </w:t>
            </w:r>
            <w:r w:rsidR="00473F0E" w:rsidRPr="00262F3A">
              <w:rPr>
                <w:rFonts w:eastAsiaTheme="minorHAnsi"/>
                <w:sz w:val="16"/>
                <w:szCs w:val="16"/>
                <w:lang w:eastAsia="en-US"/>
              </w:rPr>
              <w:t>Scheme Actuary</w:t>
            </w:r>
          </w:p>
        </w:tc>
      </w:tr>
      <w:tr w:rsidR="00473F0E" w:rsidRPr="00262F3A" w14:paraId="7D1AC7E0" w14:textId="77777777" w:rsidTr="008A01ED">
        <w:trPr>
          <w:cantSplit/>
        </w:trPr>
        <w:tc>
          <w:tcPr>
            <w:tcW w:w="1135" w:type="dxa"/>
            <w:gridSpan w:val="2"/>
            <w:vMerge/>
          </w:tcPr>
          <w:p w14:paraId="6660C240" w14:textId="77777777" w:rsidR="00473F0E" w:rsidRPr="00262F3A" w:rsidRDefault="00473F0E" w:rsidP="00473F0E">
            <w:pPr>
              <w:ind w:left="0"/>
              <w:rPr>
                <w:rFonts w:eastAsiaTheme="minorHAnsi"/>
                <w:sz w:val="16"/>
                <w:szCs w:val="16"/>
                <w:lang w:eastAsia="en-US"/>
              </w:rPr>
            </w:pPr>
          </w:p>
        </w:tc>
        <w:tc>
          <w:tcPr>
            <w:tcW w:w="283" w:type="dxa"/>
            <w:tcBorders>
              <w:top w:val="nil"/>
              <w:bottom w:val="nil"/>
            </w:tcBorders>
          </w:tcPr>
          <w:p w14:paraId="2909023E" w14:textId="77777777" w:rsidR="00473F0E" w:rsidRPr="00262F3A" w:rsidRDefault="00473F0E" w:rsidP="00473F0E">
            <w:pPr>
              <w:ind w:left="0"/>
              <w:rPr>
                <w:rFonts w:eastAsiaTheme="minorHAnsi"/>
                <w:sz w:val="16"/>
                <w:szCs w:val="16"/>
                <w:lang w:eastAsia="en-US"/>
              </w:rPr>
            </w:pPr>
          </w:p>
        </w:tc>
        <w:tc>
          <w:tcPr>
            <w:tcW w:w="851" w:type="dxa"/>
            <w:gridSpan w:val="2"/>
            <w:vMerge/>
          </w:tcPr>
          <w:p w14:paraId="59A7DB10" w14:textId="77777777" w:rsidR="00473F0E" w:rsidRPr="00262F3A" w:rsidRDefault="00473F0E" w:rsidP="00473F0E">
            <w:pPr>
              <w:ind w:left="0"/>
              <w:rPr>
                <w:rFonts w:eastAsiaTheme="minorHAnsi"/>
                <w:sz w:val="16"/>
                <w:szCs w:val="16"/>
                <w:lang w:eastAsia="en-US"/>
              </w:rPr>
            </w:pPr>
          </w:p>
        </w:tc>
        <w:tc>
          <w:tcPr>
            <w:tcW w:w="283" w:type="dxa"/>
            <w:tcBorders>
              <w:top w:val="nil"/>
              <w:bottom w:val="nil"/>
            </w:tcBorders>
          </w:tcPr>
          <w:p w14:paraId="178BED26" w14:textId="77777777" w:rsidR="00473F0E" w:rsidRPr="00262F3A" w:rsidRDefault="00473F0E" w:rsidP="00473F0E">
            <w:pPr>
              <w:ind w:left="0"/>
              <w:rPr>
                <w:rFonts w:eastAsiaTheme="minorHAnsi"/>
                <w:sz w:val="16"/>
                <w:szCs w:val="16"/>
                <w:lang w:eastAsia="en-US"/>
              </w:rPr>
            </w:pPr>
          </w:p>
        </w:tc>
        <w:tc>
          <w:tcPr>
            <w:tcW w:w="1134" w:type="dxa"/>
            <w:gridSpan w:val="2"/>
            <w:vMerge/>
          </w:tcPr>
          <w:p w14:paraId="6E1599B4" w14:textId="77777777" w:rsidR="00473F0E" w:rsidRPr="00262F3A" w:rsidRDefault="00473F0E" w:rsidP="00473F0E">
            <w:pPr>
              <w:ind w:left="0"/>
              <w:rPr>
                <w:rFonts w:eastAsiaTheme="minorHAnsi"/>
                <w:sz w:val="16"/>
                <w:szCs w:val="16"/>
                <w:lang w:eastAsia="en-US"/>
              </w:rPr>
            </w:pPr>
          </w:p>
        </w:tc>
        <w:tc>
          <w:tcPr>
            <w:tcW w:w="284" w:type="dxa"/>
            <w:tcBorders>
              <w:top w:val="nil"/>
              <w:bottom w:val="nil"/>
            </w:tcBorders>
          </w:tcPr>
          <w:p w14:paraId="4DB6727F" w14:textId="77777777" w:rsidR="00473F0E" w:rsidRPr="00262F3A" w:rsidRDefault="00473F0E" w:rsidP="00473F0E">
            <w:pPr>
              <w:ind w:left="0"/>
              <w:rPr>
                <w:rFonts w:eastAsiaTheme="minorHAnsi"/>
                <w:sz w:val="16"/>
                <w:szCs w:val="16"/>
                <w:lang w:eastAsia="en-US"/>
              </w:rPr>
            </w:pPr>
          </w:p>
        </w:tc>
        <w:tc>
          <w:tcPr>
            <w:tcW w:w="1275" w:type="dxa"/>
            <w:gridSpan w:val="2"/>
            <w:vMerge/>
          </w:tcPr>
          <w:p w14:paraId="6B533F63" w14:textId="77777777" w:rsidR="00473F0E" w:rsidRPr="00262F3A" w:rsidRDefault="00473F0E" w:rsidP="00473F0E">
            <w:pPr>
              <w:ind w:left="0"/>
              <w:rPr>
                <w:rFonts w:eastAsiaTheme="minorHAnsi"/>
                <w:sz w:val="16"/>
                <w:szCs w:val="16"/>
                <w:lang w:eastAsia="en-US"/>
              </w:rPr>
            </w:pPr>
          </w:p>
        </w:tc>
        <w:tc>
          <w:tcPr>
            <w:tcW w:w="284" w:type="dxa"/>
            <w:tcBorders>
              <w:bottom w:val="nil"/>
            </w:tcBorders>
          </w:tcPr>
          <w:p w14:paraId="73B39D37" w14:textId="77777777" w:rsidR="00473F0E" w:rsidRPr="00262F3A" w:rsidRDefault="00473F0E" w:rsidP="00473F0E">
            <w:pPr>
              <w:ind w:left="0"/>
              <w:rPr>
                <w:rFonts w:eastAsiaTheme="minorHAnsi"/>
                <w:sz w:val="16"/>
                <w:szCs w:val="16"/>
                <w:lang w:eastAsia="en-US"/>
              </w:rPr>
            </w:pPr>
          </w:p>
        </w:tc>
        <w:tc>
          <w:tcPr>
            <w:tcW w:w="850" w:type="dxa"/>
            <w:gridSpan w:val="2"/>
            <w:vMerge/>
          </w:tcPr>
          <w:p w14:paraId="4CA348AE" w14:textId="77777777" w:rsidR="00473F0E" w:rsidRPr="00262F3A" w:rsidRDefault="00473F0E" w:rsidP="00473F0E">
            <w:pPr>
              <w:ind w:left="0"/>
              <w:rPr>
                <w:rFonts w:eastAsiaTheme="minorHAnsi"/>
                <w:sz w:val="16"/>
                <w:szCs w:val="16"/>
                <w:lang w:eastAsia="en-US"/>
              </w:rPr>
            </w:pPr>
          </w:p>
        </w:tc>
        <w:tc>
          <w:tcPr>
            <w:tcW w:w="284" w:type="dxa"/>
            <w:tcBorders>
              <w:top w:val="nil"/>
              <w:bottom w:val="nil"/>
            </w:tcBorders>
          </w:tcPr>
          <w:p w14:paraId="2F28253C" w14:textId="77777777" w:rsidR="00473F0E" w:rsidRPr="00262F3A" w:rsidRDefault="00473F0E" w:rsidP="00473F0E">
            <w:pPr>
              <w:ind w:left="0"/>
              <w:rPr>
                <w:rFonts w:eastAsiaTheme="minorHAnsi"/>
                <w:sz w:val="16"/>
                <w:szCs w:val="16"/>
                <w:lang w:eastAsia="en-US"/>
              </w:rPr>
            </w:pPr>
          </w:p>
        </w:tc>
        <w:tc>
          <w:tcPr>
            <w:tcW w:w="850" w:type="dxa"/>
            <w:gridSpan w:val="2"/>
            <w:vMerge/>
          </w:tcPr>
          <w:p w14:paraId="32294976" w14:textId="77777777" w:rsidR="00473F0E" w:rsidRPr="00262F3A" w:rsidRDefault="00473F0E" w:rsidP="00473F0E">
            <w:pPr>
              <w:ind w:left="0"/>
              <w:rPr>
                <w:rFonts w:eastAsiaTheme="minorHAnsi"/>
                <w:sz w:val="16"/>
                <w:szCs w:val="16"/>
                <w:lang w:eastAsia="en-US"/>
              </w:rPr>
            </w:pPr>
          </w:p>
        </w:tc>
        <w:tc>
          <w:tcPr>
            <w:tcW w:w="284" w:type="dxa"/>
            <w:tcBorders>
              <w:top w:val="nil"/>
              <w:bottom w:val="nil"/>
            </w:tcBorders>
          </w:tcPr>
          <w:p w14:paraId="74F40576" w14:textId="77777777" w:rsidR="00473F0E" w:rsidRPr="00262F3A" w:rsidRDefault="00473F0E" w:rsidP="00473F0E">
            <w:pPr>
              <w:ind w:left="0"/>
              <w:rPr>
                <w:rFonts w:eastAsiaTheme="minorHAnsi"/>
                <w:sz w:val="16"/>
                <w:szCs w:val="16"/>
                <w:lang w:eastAsia="en-US"/>
              </w:rPr>
            </w:pPr>
          </w:p>
        </w:tc>
        <w:tc>
          <w:tcPr>
            <w:tcW w:w="1134" w:type="dxa"/>
            <w:gridSpan w:val="2"/>
            <w:vMerge/>
          </w:tcPr>
          <w:p w14:paraId="508278A7" w14:textId="77777777" w:rsidR="00473F0E" w:rsidRPr="00262F3A" w:rsidRDefault="00473F0E" w:rsidP="00473F0E">
            <w:pPr>
              <w:ind w:left="0"/>
              <w:rPr>
                <w:rFonts w:eastAsiaTheme="minorHAnsi"/>
                <w:sz w:val="16"/>
                <w:szCs w:val="16"/>
                <w:lang w:eastAsia="en-US"/>
              </w:rPr>
            </w:pPr>
          </w:p>
        </w:tc>
        <w:tc>
          <w:tcPr>
            <w:tcW w:w="283" w:type="dxa"/>
            <w:tcBorders>
              <w:top w:val="nil"/>
              <w:bottom w:val="nil"/>
            </w:tcBorders>
          </w:tcPr>
          <w:p w14:paraId="385B7104" w14:textId="77777777" w:rsidR="00473F0E" w:rsidRPr="00262F3A" w:rsidRDefault="00473F0E" w:rsidP="00473F0E">
            <w:pPr>
              <w:ind w:left="0"/>
              <w:rPr>
                <w:rFonts w:eastAsiaTheme="minorHAnsi"/>
                <w:sz w:val="16"/>
                <w:szCs w:val="16"/>
                <w:lang w:eastAsia="en-US"/>
              </w:rPr>
            </w:pPr>
          </w:p>
        </w:tc>
        <w:tc>
          <w:tcPr>
            <w:tcW w:w="851" w:type="dxa"/>
            <w:gridSpan w:val="2"/>
            <w:vMerge/>
          </w:tcPr>
          <w:p w14:paraId="270B71D5" w14:textId="77777777" w:rsidR="00473F0E" w:rsidRPr="00262F3A" w:rsidRDefault="00473F0E" w:rsidP="00473F0E">
            <w:pPr>
              <w:ind w:left="0"/>
              <w:rPr>
                <w:rFonts w:eastAsiaTheme="minorHAnsi"/>
                <w:sz w:val="16"/>
                <w:szCs w:val="16"/>
                <w:lang w:eastAsia="en-US"/>
              </w:rPr>
            </w:pPr>
          </w:p>
        </w:tc>
      </w:tr>
    </w:tbl>
    <w:p w14:paraId="5AE9DDEE" w14:textId="77777777" w:rsidR="006F759C" w:rsidRPr="00262F3A" w:rsidRDefault="000E319A" w:rsidP="00561B3B">
      <w:pPr>
        <w:rPr>
          <w:lang w:eastAsia="en-AU"/>
        </w:rPr>
      </w:pPr>
      <w:r w:rsidRPr="00262F3A">
        <w:rPr>
          <w:lang w:eastAsia="en-AU"/>
        </w:rPr>
        <w:t>A</w:t>
      </w:r>
      <w:r w:rsidR="006F759C" w:rsidRPr="00262F3A">
        <w:rPr>
          <w:lang w:eastAsia="en-AU"/>
        </w:rPr>
        <w:t xml:space="preserve">reas of responsibility </w:t>
      </w:r>
      <w:r w:rsidRPr="00262F3A">
        <w:rPr>
          <w:lang w:eastAsia="en-AU"/>
        </w:rPr>
        <w:t>are structured as follows:</w:t>
      </w:r>
    </w:p>
    <w:p w14:paraId="58F3DAB6" w14:textId="3CA30474" w:rsidR="007876B8" w:rsidRPr="00262F3A" w:rsidRDefault="007876B8" w:rsidP="008F00D1">
      <w:pPr>
        <w:pStyle w:val="Heading4"/>
      </w:pPr>
      <w:r w:rsidRPr="00262F3A">
        <w:t>Participant Experience Delivery</w:t>
      </w:r>
      <w:r w:rsidR="009F3F44" w:rsidRPr="00262F3A">
        <w:t xml:space="preserve"> Group</w:t>
      </w:r>
    </w:p>
    <w:p w14:paraId="1E1A5D7F" w14:textId="598AFDD6" w:rsidR="00463F33" w:rsidRPr="00262F3A" w:rsidRDefault="00463F33" w:rsidP="00463F33">
      <w:pPr>
        <w:rPr>
          <w:lang w:eastAsia="en-US"/>
        </w:rPr>
      </w:pPr>
      <w:r w:rsidRPr="00262F3A">
        <w:rPr>
          <w:lang w:eastAsia="en-US"/>
        </w:rPr>
        <w:t xml:space="preserve">The Participant Experience Delivery (PED) </w:t>
      </w:r>
      <w:r w:rsidR="004E440A">
        <w:rPr>
          <w:lang w:eastAsia="en-US"/>
        </w:rPr>
        <w:t>G</w:t>
      </w:r>
      <w:r w:rsidRPr="00262F3A">
        <w:rPr>
          <w:lang w:eastAsia="en-US"/>
        </w:rPr>
        <w:t>roup is responsible for all aspects of engagement with participants</w:t>
      </w:r>
      <w:r w:rsidR="004E440A">
        <w:rPr>
          <w:lang w:eastAsia="en-US"/>
        </w:rPr>
        <w:t xml:space="preserve"> and</w:t>
      </w:r>
      <w:r w:rsidRPr="00262F3A">
        <w:rPr>
          <w:lang w:eastAsia="en-US"/>
        </w:rPr>
        <w:t xml:space="preserve"> their carers/families, including Scheme access, planning, reviews and complaints. The </w:t>
      </w:r>
      <w:r w:rsidR="004E440A">
        <w:rPr>
          <w:lang w:eastAsia="en-US"/>
        </w:rPr>
        <w:t>g</w:t>
      </w:r>
      <w:r w:rsidRPr="00262F3A">
        <w:rPr>
          <w:lang w:eastAsia="en-US"/>
        </w:rPr>
        <w:t xml:space="preserve">roup also includes the </w:t>
      </w:r>
      <w:r w:rsidR="0050536B">
        <w:rPr>
          <w:lang w:eastAsia="en-US"/>
        </w:rPr>
        <w:t>PiTC</w:t>
      </w:r>
      <w:r w:rsidRPr="00262F3A">
        <w:rPr>
          <w:lang w:eastAsia="en-US"/>
        </w:rPr>
        <w:t xml:space="preserve"> network and the </w:t>
      </w:r>
      <w:r w:rsidR="004E440A">
        <w:rPr>
          <w:lang w:eastAsia="en-US"/>
        </w:rPr>
        <w:t>NCC. It is made up of four d</w:t>
      </w:r>
      <w:r w:rsidRPr="00262F3A">
        <w:rPr>
          <w:lang w:eastAsia="en-US"/>
        </w:rPr>
        <w:t>ivisions:</w:t>
      </w:r>
    </w:p>
    <w:p w14:paraId="7481A1C2" w14:textId="77777777" w:rsidR="00463F33" w:rsidRPr="00262F3A" w:rsidRDefault="00463F33" w:rsidP="006D2911">
      <w:pPr>
        <w:pStyle w:val="ListParagraph"/>
        <w:numPr>
          <w:ilvl w:val="0"/>
          <w:numId w:val="21"/>
        </w:numPr>
        <w:rPr>
          <w:lang w:eastAsia="en-US"/>
        </w:rPr>
      </w:pPr>
      <w:r w:rsidRPr="00262F3A">
        <w:rPr>
          <w:b/>
          <w:lang w:eastAsia="en-US"/>
        </w:rPr>
        <w:t>National Delivery Division</w:t>
      </w:r>
      <w:r w:rsidRPr="00262F3A">
        <w:rPr>
          <w:lang w:eastAsia="en-US"/>
        </w:rPr>
        <w:t xml:space="preserve"> is responsible for engagement with participants, including Scheme access, planning and the Complex Support Needs Team.  The Division operationalises the end-to-end strategy and controls for access and planning and continuous improvement across the Agency.</w:t>
      </w:r>
    </w:p>
    <w:p w14:paraId="2C277A67" w14:textId="77777777" w:rsidR="00463F33" w:rsidRPr="00262F3A" w:rsidRDefault="00463F33" w:rsidP="006D2911">
      <w:pPr>
        <w:pStyle w:val="ListParagraph"/>
        <w:numPr>
          <w:ilvl w:val="0"/>
          <w:numId w:val="21"/>
        </w:numPr>
        <w:rPr>
          <w:lang w:eastAsia="en-US"/>
        </w:rPr>
      </w:pPr>
      <w:r w:rsidRPr="00262F3A">
        <w:rPr>
          <w:b/>
          <w:lang w:eastAsia="en-US"/>
        </w:rPr>
        <w:t>Operations and Support Division</w:t>
      </w:r>
      <w:r w:rsidRPr="00262F3A">
        <w:rPr>
          <w:lang w:eastAsia="en-US"/>
        </w:rPr>
        <w:t xml:space="preserve"> is responsible for providing systemic resolutions to complex National Delivery issues through leading root cause analysis and driving operational change.  It develops and delivers significant technical, clinical and operational advice that informs, supports and improves the outcomes of the PED Group.  Operations and Support assists PED teams with compliance of the NDIA policies, procedures, quality and risk management controls and delivers services and projects.</w:t>
      </w:r>
    </w:p>
    <w:p w14:paraId="018F7CB1" w14:textId="19203C98" w:rsidR="00463F33" w:rsidRPr="00262F3A" w:rsidRDefault="00463F33" w:rsidP="006D2911">
      <w:pPr>
        <w:pStyle w:val="ListParagraph"/>
        <w:numPr>
          <w:ilvl w:val="0"/>
          <w:numId w:val="21"/>
        </w:numPr>
        <w:rPr>
          <w:lang w:eastAsia="en-US"/>
        </w:rPr>
      </w:pPr>
      <w:r w:rsidRPr="00262F3A">
        <w:rPr>
          <w:b/>
          <w:lang w:eastAsia="en-US"/>
        </w:rPr>
        <w:t>Reviews and Complaints Division</w:t>
      </w:r>
      <w:r w:rsidRPr="00262F3A">
        <w:rPr>
          <w:lang w:eastAsia="en-US"/>
        </w:rPr>
        <w:t xml:space="preserve"> creates a positive participant experience by delivering on requests for action made through </w:t>
      </w:r>
      <w:r w:rsidR="004E440A">
        <w:rPr>
          <w:lang w:eastAsia="en-US"/>
        </w:rPr>
        <w:t>p</w:t>
      </w:r>
      <w:r w:rsidRPr="00262F3A">
        <w:rPr>
          <w:lang w:eastAsia="en-US"/>
        </w:rPr>
        <w:t xml:space="preserve">articipants’ complaints, escalations, </w:t>
      </w:r>
      <w:r w:rsidR="004E440A">
        <w:rPr>
          <w:lang w:eastAsia="en-US"/>
        </w:rPr>
        <w:t>p</w:t>
      </w:r>
      <w:r w:rsidRPr="00262F3A">
        <w:rPr>
          <w:lang w:eastAsia="en-US"/>
        </w:rPr>
        <w:t>articipant critical incidents or reviews. It makes decisions on reviews requested by participants and responds to queries from Members and Senators.  The Division also manages Administrative Appeals Tribunal (AAT) applications.</w:t>
      </w:r>
    </w:p>
    <w:p w14:paraId="78AF3969" w14:textId="5764DA14" w:rsidR="000E319A" w:rsidRPr="00262F3A" w:rsidRDefault="00463F33" w:rsidP="006D2911">
      <w:pPr>
        <w:pStyle w:val="ListParagraph"/>
        <w:numPr>
          <w:ilvl w:val="0"/>
          <w:numId w:val="21"/>
        </w:numPr>
        <w:rPr>
          <w:lang w:eastAsia="en-US"/>
        </w:rPr>
      </w:pPr>
      <w:r w:rsidRPr="00262F3A">
        <w:rPr>
          <w:b/>
          <w:lang w:eastAsia="en-US"/>
        </w:rPr>
        <w:t>Partner and Contact Centre Division</w:t>
      </w:r>
      <w:r w:rsidRPr="00262F3A">
        <w:rPr>
          <w:lang w:eastAsia="en-US"/>
        </w:rPr>
        <w:t xml:space="preserve"> is responsible for the NDIA’s </w:t>
      </w:r>
      <w:r w:rsidR="0050536B">
        <w:rPr>
          <w:lang w:eastAsia="en-US"/>
        </w:rPr>
        <w:t>PITCPiTC</w:t>
      </w:r>
      <w:r w:rsidR="00102514">
        <w:rPr>
          <w:lang w:eastAsia="en-US"/>
        </w:rPr>
        <w:t xml:space="preserve"> </w:t>
      </w:r>
      <w:r w:rsidR="004E440A">
        <w:rPr>
          <w:lang w:eastAsia="en-US"/>
        </w:rPr>
        <w:t>network</w:t>
      </w:r>
      <w:r w:rsidRPr="00262F3A">
        <w:rPr>
          <w:lang w:eastAsia="en-US"/>
        </w:rPr>
        <w:t xml:space="preserve"> and the</w:t>
      </w:r>
      <w:r w:rsidR="004E440A">
        <w:rPr>
          <w:lang w:eastAsia="en-US"/>
        </w:rPr>
        <w:t xml:space="preserve"> NCC</w:t>
      </w:r>
      <w:r w:rsidRPr="00262F3A">
        <w:rPr>
          <w:lang w:eastAsia="en-US"/>
        </w:rPr>
        <w:t xml:space="preserve">, including strategic planning and sourcing, and contract and performance management. The Division maintains quality standards to ensure the highest performing </w:t>
      </w:r>
      <w:r w:rsidR="004E440A">
        <w:rPr>
          <w:lang w:eastAsia="en-US"/>
        </w:rPr>
        <w:t>p</w:t>
      </w:r>
      <w:r w:rsidRPr="00262F3A">
        <w:rPr>
          <w:lang w:eastAsia="en-US"/>
        </w:rPr>
        <w:t xml:space="preserve">artner </w:t>
      </w:r>
      <w:r w:rsidR="004E440A">
        <w:rPr>
          <w:lang w:eastAsia="en-US"/>
        </w:rPr>
        <w:t>a</w:t>
      </w:r>
      <w:r w:rsidRPr="00262F3A">
        <w:rPr>
          <w:lang w:eastAsia="en-US"/>
        </w:rPr>
        <w:t xml:space="preserve">nd </w:t>
      </w:r>
      <w:r w:rsidR="004E440A">
        <w:rPr>
          <w:lang w:eastAsia="en-US"/>
        </w:rPr>
        <w:t>c</w:t>
      </w:r>
      <w:r w:rsidRPr="00262F3A">
        <w:rPr>
          <w:lang w:eastAsia="en-US"/>
        </w:rPr>
        <w:t xml:space="preserve">ontact </w:t>
      </w:r>
      <w:r w:rsidR="004E440A">
        <w:rPr>
          <w:lang w:eastAsia="en-US"/>
        </w:rPr>
        <w:t>c</w:t>
      </w:r>
      <w:r w:rsidRPr="00262F3A">
        <w:rPr>
          <w:lang w:eastAsia="en-US"/>
        </w:rPr>
        <w:t>entre network.</w:t>
      </w:r>
    </w:p>
    <w:p w14:paraId="753A6A4D" w14:textId="39A42EEA" w:rsidR="007876B8" w:rsidRPr="00262F3A" w:rsidRDefault="007876B8" w:rsidP="008F00D1">
      <w:pPr>
        <w:pStyle w:val="Heading4"/>
      </w:pPr>
      <w:r w:rsidRPr="00262F3A">
        <w:t>Design, Digital and Strategy</w:t>
      </w:r>
      <w:r w:rsidR="009F3F44" w:rsidRPr="00262F3A">
        <w:t xml:space="preserve"> Group</w:t>
      </w:r>
    </w:p>
    <w:p w14:paraId="5D0D0CC6" w14:textId="23BD8315" w:rsidR="00957D69" w:rsidRPr="00262F3A" w:rsidRDefault="00957D69" w:rsidP="00957D69">
      <w:r w:rsidRPr="00262F3A">
        <w:t xml:space="preserve">The Design, Digital and Strategy </w:t>
      </w:r>
      <w:r w:rsidR="004E440A">
        <w:t>G</w:t>
      </w:r>
      <w:r w:rsidRPr="00262F3A">
        <w:t xml:space="preserve">roup brings expertise, technology, structure and pace to design and improve how the Agency serves and empowers participants.  It is made up of five </w:t>
      </w:r>
      <w:r w:rsidR="002D21D4">
        <w:t>divisions</w:t>
      </w:r>
      <w:r w:rsidRPr="00262F3A">
        <w:t>:</w:t>
      </w:r>
    </w:p>
    <w:p w14:paraId="58AFEB0F" w14:textId="363E7EF0" w:rsidR="00957D69" w:rsidRPr="00262F3A" w:rsidRDefault="00957D69" w:rsidP="006D2911">
      <w:pPr>
        <w:pStyle w:val="ListParagraph"/>
        <w:numPr>
          <w:ilvl w:val="0"/>
          <w:numId w:val="13"/>
        </w:numPr>
      </w:pPr>
      <w:r w:rsidRPr="00262F3A">
        <w:rPr>
          <w:b/>
        </w:rPr>
        <w:t>Participant Advocacy</w:t>
      </w:r>
      <w:r w:rsidRPr="00262F3A">
        <w:t xml:space="preserve"> amplifies the participant's voice inside the Agency by using their feedback to increase participant satisfaction outcomes.</w:t>
      </w:r>
    </w:p>
    <w:p w14:paraId="6FD98433" w14:textId="180E25D2" w:rsidR="00957D69" w:rsidRPr="00262F3A" w:rsidRDefault="00957D69" w:rsidP="006D2911">
      <w:pPr>
        <w:pStyle w:val="ListParagraph"/>
        <w:numPr>
          <w:ilvl w:val="0"/>
          <w:numId w:val="13"/>
        </w:numPr>
      </w:pPr>
      <w:r w:rsidRPr="00262F3A">
        <w:rPr>
          <w:b/>
        </w:rPr>
        <w:t>Participant Experience Design</w:t>
      </w:r>
      <w:r w:rsidRPr="00262F3A">
        <w:t xml:space="preserve"> designs and delivers large</w:t>
      </w:r>
      <w:r w:rsidR="004E440A">
        <w:t>-</w:t>
      </w:r>
      <w:r w:rsidRPr="00262F3A">
        <w:t>scale improvements and enhancements to improve the participant experience and support how the Agency's front</w:t>
      </w:r>
      <w:r w:rsidR="004E440A">
        <w:t>-</w:t>
      </w:r>
      <w:r w:rsidRPr="00262F3A">
        <w:t>line staff operates.</w:t>
      </w:r>
    </w:p>
    <w:p w14:paraId="06B18BFF" w14:textId="691B6B6B" w:rsidR="00957D69" w:rsidRPr="00262F3A" w:rsidRDefault="00957D69" w:rsidP="006D2911">
      <w:pPr>
        <w:pStyle w:val="ListParagraph"/>
        <w:numPr>
          <w:ilvl w:val="0"/>
          <w:numId w:val="13"/>
        </w:numPr>
      </w:pPr>
      <w:r w:rsidRPr="00262F3A">
        <w:rPr>
          <w:b/>
        </w:rPr>
        <w:t>Strategy and Priorities</w:t>
      </w:r>
      <w:r w:rsidRPr="00262F3A">
        <w:t xml:space="preserve"> plans, leads, supports and delivers highly complex and significant outcomes, projects and work programs that have strategic and operational impact to the Agency.</w:t>
      </w:r>
    </w:p>
    <w:p w14:paraId="645465AA" w14:textId="0C1F4BAE" w:rsidR="00957D69" w:rsidRPr="00262F3A" w:rsidRDefault="00957D69" w:rsidP="006D2911">
      <w:pPr>
        <w:pStyle w:val="ListParagraph"/>
        <w:numPr>
          <w:ilvl w:val="0"/>
          <w:numId w:val="13"/>
        </w:numPr>
      </w:pPr>
      <w:r w:rsidRPr="00262F3A">
        <w:rPr>
          <w:b/>
        </w:rPr>
        <w:lastRenderedPageBreak/>
        <w:t>Advice, Research and Evaluation</w:t>
      </w:r>
      <w:r w:rsidRPr="00262F3A">
        <w:t xml:space="preserve"> provides thought leadership, content expertise and advice and research effort towards the management of key strategic issues in improving the effectiveness of the NDIS.</w:t>
      </w:r>
    </w:p>
    <w:p w14:paraId="14CD1529" w14:textId="1189E058" w:rsidR="007876B8" w:rsidRPr="00262F3A" w:rsidRDefault="00957D69" w:rsidP="006D2911">
      <w:pPr>
        <w:pStyle w:val="ListParagraph"/>
        <w:numPr>
          <w:ilvl w:val="0"/>
          <w:numId w:val="13"/>
        </w:numPr>
      </w:pPr>
      <w:r w:rsidRPr="00262F3A">
        <w:rPr>
          <w:b/>
        </w:rPr>
        <w:t>Digital</w:t>
      </w:r>
      <w:r w:rsidRPr="00262F3A">
        <w:t xml:space="preserve"> shapes how the Agency uses technology to simplify and strengthen our front-line work in order to continuously improve effectiveness, outcomes and satisfaction.</w:t>
      </w:r>
    </w:p>
    <w:p w14:paraId="1AB176AD" w14:textId="5496231D" w:rsidR="007876B8" w:rsidRPr="00262F3A" w:rsidRDefault="007876B8" w:rsidP="008F00D1">
      <w:pPr>
        <w:pStyle w:val="Heading4"/>
      </w:pPr>
      <w:r w:rsidRPr="00262F3A">
        <w:t>Markets, Government and Engagement</w:t>
      </w:r>
      <w:r w:rsidR="009F3F44" w:rsidRPr="00262F3A">
        <w:t xml:space="preserve"> Group</w:t>
      </w:r>
    </w:p>
    <w:p w14:paraId="22544723" w14:textId="7BA4A23B" w:rsidR="009442B2" w:rsidRPr="00262F3A" w:rsidRDefault="009442B2" w:rsidP="009442B2">
      <w:r w:rsidRPr="00262F3A">
        <w:t>The Mark</w:t>
      </w:r>
      <w:r w:rsidR="004E440A">
        <w:t>ets, Government and Engagement G</w:t>
      </w:r>
      <w:r w:rsidRPr="00262F3A">
        <w:t>roup is responsible for ensuring engagement and communications with stakeholders is genuine, two-way and effective in building and maintaining a positive reputation. It is made up of three divisions:</w:t>
      </w:r>
    </w:p>
    <w:p w14:paraId="1639C5BC" w14:textId="662DD950" w:rsidR="009442B2" w:rsidRPr="004E440A" w:rsidRDefault="009442B2" w:rsidP="004E440A">
      <w:pPr>
        <w:pStyle w:val="ListParagraph"/>
        <w:numPr>
          <w:ilvl w:val="0"/>
          <w:numId w:val="13"/>
        </w:numPr>
      </w:pPr>
      <w:r w:rsidRPr="004E440A">
        <w:rPr>
          <w:b/>
        </w:rPr>
        <w:t>Provider and Markets</w:t>
      </w:r>
      <w:r w:rsidRPr="004E440A">
        <w:t xml:space="preserve"> </w:t>
      </w:r>
      <w:r w:rsidR="004E440A" w:rsidRPr="004E440A">
        <w:t>is</w:t>
      </w:r>
      <w:r w:rsidRPr="004E440A">
        <w:t xml:space="preserve"> responsible for developing and implementing a comprehensive strategic and tactical plan for the stewardship of a market of NDIS providers. </w:t>
      </w:r>
    </w:p>
    <w:p w14:paraId="416383BB" w14:textId="530F1884" w:rsidR="009442B2" w:rsidRPr="004E440A" w:rsidRDefault="009442B2" w:rsidP="004E440A">
      <w:pPr>
        <w:pStyle w:val="ListParagraph"/>
        <w:numPr>
          <w:ilvl w:val="0"/>
          <w:numId w:val="13"/>
        </w:numPr>
      </w:pPr>
      <w:r w:rsidRPr="004E440A">
        <w:rPr>
          <w:b/>
        </w:rPr>
        <w:t>Government and ILC</w:t>
      </w:r>
      <w:r w:rsidRPr="004E440A">
        <w:t xml:space="preserve"> manages and coordinates the Agency’s work and relationships with state, territory and federal governments. This includes governance committees and policy where other government mainstream services intersect with the ILC program. The ILC program </w:t>
      </w:r>
      <w:r w:rsidR="008E0F15">
        <w:t xml:space="preserve">will be </w:t>
      </w:r>
      <w:r w:rsidRPr="004E440A">
        <w:t>transitioned to the Department of Social Services</w:t>
      </w:r>
      <w:r w:rsidR="008E0F15">
        <w:t xml:space="preserve"> in 2020-21</w:t>
      </w:r>
      <w:r w:rsidRPr="004E440A">
        <w:t>.</w:t>
      </w:r>
    </w:p>
    <w:p w14:paraId="252287D7" w14:textId="052C6556" w:rsidR="007876B8" w:rsidRPr="004E440A" w:rsidRDefault="009442B2" w:rsidP="004E440A">
      <w:pPr>
        <w:pStyle w:val="ListParagraph"/>
        <w:numPr>
          <w:ilvl w:val="0"/>
          <w:numId w:val="13"/>
        </w:numPr>
      </w:pPr>
      <w:r w:rsidRPr="004E440A">
        <w:rPr>
          <w:b/>
        </w:rPr>
        <w:t>Communications and Engagement</w:t>
      </w:r>
      <w:r w:rsidRPr="004E440A">
        <w:t xml:space="preserve"> supports the internal, external and media-based stra</w:t>
      </w:r>
      <w:r w:rsidR="004E440A">
        <w:t>tegic communication of the NDIA and</w:t>
      </w:r>
      <w:r w:rsidRPr="004E440A">
        <w:t xml:space="preserve"> engagement with participants, the sector and the wider community to support the delivery of the NDIS. The Division is also responsible for coordination, support and advisory services for ministerial offices and parliamentary protocols; and management and decision making for all </w:t>
      </w:r>
      <w:r w:rsidR="004E440A">
        <w:t>f</w:t>
      </w:r>
      <w:r w:rsidRPr="004E440A">
        <w:t xml:space="preserve">reedom of </w:t>
      </w:r>
      <w:r w:rsidR="004E440A">
        <w:t>i</w:t>
      </w:r>
      <w:r w:rsidRPr="004E440A">
        <w:t>nformation (FOI) requests</w:t>
      </w:r>
      <w:r w:rsidR="008F00D1" w:rsidRPr="004E440A">
        <w:t>.</w:t>
      </w:r>
    </w:p>
    <w:p w14:paraId="38C21767" w14:textId="0E15E88C" w:rsidR="007876B8" w:rsidRPr="00262F3A" w:rsidRDefault="007876B8" w:rsidP="008F00D1">
      <w:pPr>
        <w:pStyle w:val="Heading4"/>
      </w:pPr>
      <w:r w:rsidRPr="00262F3A">
        <w:t xml:space="preserve">Corporate </w:t>
      </w:r>
      <w:r w:rsidR="00D74F3A" w:rsidRPr="00262F3A">
        <w:t>Services</w:t>
      </w:r>
      <w:r w:rsidR="009F3F44" w:rsidRPr="00262F3A">
        <w:t xml:space="preserve"> and Chief Financial Officer Group</w:t>
      </w:r>
    </w:p>
    <w:p w14:paraId="09088B29" w14:textId="3E653C62" w:rsidR="00D74F3A" w:rsidRPr="00262F3A" w:rsidRDefault="0084647F" w:rsidP="00D74F3A">
      <w:pPr>
        <w:spacing w:after="240"/>
      </w:pPr>
      <w:r w:rsidRPr="00262F3A">
        <w:t>The Corporate Services</w:t>
      </w:r>
      <w:r w:rsidR="00DB0D55" w:rsidRPr="00262F3A">
        <w:t xml:space="preserve"> and Chief Financial Officer</w:t>
      </w:r>
      <w:r w:rsidRPr="00262F3A">
        <w:t xml:space="preserve"> </w:t>
      </w:r>
      <w:r w:rsidR="004E440A">
        <w:t>G</w:t>
      </w:r>
      <w:r w:rsidR="00D74F3A" w:rsidRPr="00262F3A">
        <w:t xml:space="preserve">roup is responsible for the management of the Agency’s corporate functions (excluding People and Culture and </w:t>
      </w:r>
      <w:r w:rsidR="00DB0D55" w:rsidRPr="00262F3A">
        <w:t>ICT</w:t>
      </w:r>
      <w:r w:rsidR="00D74F3A" w:rsidRPr="00262F3A">
        <w:t>). This ensures products and services are available to the Agency in a timely, efficient and effective manner. They are accountable for:</w:t>
      </w:r>
    </w:p>
    <w:p w14:paraId="27CF54F9" w14:textId="70CA047D" w:rsidR="00D74F3A" w:rsidRPr="00262F3A" w:rsidRDefault="00D74F3A" w:rsidP="006D2911">
      <w:pPr>
        <w:pStyle w:val="ListParagraph"/>
        <w:numPr>
          <w:ilvl w:val="0"/>
          <w:numId w:val="13"/>
        </w:numPr>
      </w:pPr>
      <w:r w:rsidRPr="00262F3A">
        <w:rPr>
          <w:b/>
        </w:rPr>
        <w:t>Finance</w:t>
      </w:r>
      <w:r w:rsidR="004E440A">
        <w:t>,</w:t>
      </w:r>
      <w:r w:rsidRPr="00262F3A">
        <w:t xml:space="preserve"> including financial controls, budgets and forecasts, reporting and funds management.</w:t>
      </w:r>
    </w:p>
    <w:p w14:paraId="57FBAD52" w14:textId="406B0EBA" w:rsidR="00D74F3A" w:rsidRPr="00262F3A" w:rsidRDefault="00D74F3A" w:rsidP="006D2911">
      <w:pPr>
        <w:pStyle w:val="ListParagraph"/>
        <w:numPr>
          <w:ilvl w:val="0"/>
          <w:numId w:val="13"/>
        </w:numPr>
      </w:pPr>
      <w:r w:rsidRPr="00262F3A">
        <w:rPr>
          <w:b/>
        </w:rPr>
        <w:t>Procurement</w:t>
      </w:r>
      <w:r w:rsidR="004E440A">
        <w:t>,</w:t>
      </w:r>
      <w:r w:rsidRPr="00262F3A">
        <w:t xml:space="preserve"> including managing the procurement process to ensure compliance with relevant legislation and ensuring value for money and ongoing contract management.</w:t>
      </w:r>
    </w:p>
    <w:p w14:paraId="6D350CF6" w14:textId="48646605" w:rsidR="00D74F3A" w:rsidRPr="00262F3A" w:rsidRDefault="00D74F3A" w:rsidP="006D2911">
      <w:pPr>
        <w:pStyle w:val="ListParagraph"/>
        <w:numPr>
          <w:ilvl w:val="0"/>
          <w:numId w:val="13"/>
        </w:numPr>
      </w:pPr>
      <w:r w:rsidRPr="00262F3A">
        <w:rPr>
          <w:b/>
        </w:rPr>
        <w:t>Property</w:t>
      </w:r>
      <w:r w:rsidR="004E440A">
        <w:t>,</w:t>
      </w:r>
      <w:r w:rsidRPr="00262F3A">
        <w:t xml:space="preserve"> including the provision of suitable accommodation in relevant locations that is secure, safe and meets minimum disability access requirements and the ongoing management of property leases.</w:t>
      </w:r>
    </w:p>
    <w:p w14:paraId="273F21F8" w14:textId="17858DE9" w:rsidR="00D74F3A" w:rsidRPr="00262F3A" w:rsidRDefault="00D74F3A" w:rsidP="006D2911">
      <w:pPr>
        <w:pStyle w:val="ListParagraph"/>
        <w:numPr>
          <w:ilvl w:val="0"/>
          <w:numId w:val="13"/>
        </w:numPr>
      </w:pPr>
      <w:r w:rsidRPr="00262F3A">
        <w:rPr>
          <w:b/>
        </w:rPr>
        <w:t>Records</w:t>
      </w:r>
      <w:r w:rsidRPr="00262F3A">
        <w:t xml:space="preserve"> </w:t>
      </w:r>
      <w:r w:rsidRPr="00262F3A">
        <w:rPr>
          <w:b/>
        </w:rPr>
        <w:t>management</w:t>
      </w:r>
      <w:r w:rsidR="004E440A">
        <w:t>,</w:t>
      </w:r>
      <w:r w:rsidRPr="00262F3A">
        <w:t xml:space="preserve"> including the maintenance of Agency records as required by legislation.</w:t>
      </w:r>
    </w:p>
    <w:p w14:paraId="3C06F073" w14:textId="555F53CF" w:rsidR="00D74F3A" w:rsidRPr="00262F3A" w:rsidRDefault="00D74F3A" w:rsidP="006D2911">
      <w:pPr>
        <w:pStyle w:val="ListParagraph"/>
        <w:numPr>
          <w:ilvl w:val="0"/>
          <w:numId w:val="13"/>
        </w:numPr>
      </w:pPr>
      <w:r w:rsidRPr="00262F3A">
        <w:rPr>
          <w:b/>
        </w:rPr>
        <w:t>Legal services</w:t>
      </w:r>
      <w:r w:rsidR="004E440A">
        <w:t>,</w:t>
      </w:r>
      <w:r w:rsidRPr="00262F3A">
        <w:t xml:space="preserve"> including the provision of legal advice across a wide range of legal matters including the operation of the NDIS Act.</w:t>
      </w:r>
    </w:p>
    <w:p w14:paraId="71433EF2" w14:textId="0DBFB874" w:rsidR="00D74F3A" w:rsidRPr="00262F3A" w:rsidRDefault="00D74F3A" w:rsidP="006D2911">
      <w:pPr>
        <w:pStyle w:val="ListParagraph"/>
        <w:numPr>
          <w:ilvl w:val="0"/>
          <w:numId w:val="13"/>
        </w:numPr>
      </w:pPr>
      <w:r w:rsidRPr="00262F3A">
        <w:rPr>
          <w:b/>
        </w:rPr>
        <w:t>Compensation and recoveries</w:t>
      </w:r>
      <w:r w:rsidR="004E440A">
        <w:t>,</w:t>
      </w:r>
      <w:r w:rsidRPr="00262F3A">
        <w:t xml:space="preserve"> including the implementation of compensation recovery requirements of the NDIS Act and the recovery of all Agency debts.</w:t>
      </w:r>
    </w:p>
    <w:p w14:paraId="66E67DCE" w14:textId="4622C95E" w:rsidR="000B58FC" w:rsidRPr="00262F3A" w:rsidRDefault="000B58FC" w:rsidP="008F00D1">
      <w:pPr>
        <w:pStyle w:val="Heading4"/>
      </w:pPr>
      <w:r w:rsidRPr="00262F3A">
        <w:t>Chief Risk Officer</w:t>
      </w:r>
      <w:r w:rsidR="009F3F44" w:rsidRPr="00262F3A">
        <w:t xml:space="preserve"> Division</w:t>
      </w:r>
    </w:p>
    <w:p w14:paraId="33753E4C" w14:textId="579C4A82" w:rsidR="000B58FC" w:rsidRPr="00262F3A" w:rsidRDefault="000B58FC" w:rsidP="000B58FC">
      <w:r w:rsidRPr="00262F3A">
        <w:t>The C</w:t>
      </w:r>
      <w:r w:rsidR="00DB0D55" w:rsidRPr="00262F3A">
        <w:t xml:space="preserve">hief </w:t>
      </w:r>
      <w:r w:rsidRPr="00262F3A">
        <w:t>R</w:t>
      </w:r>
      <w:r w:rsidR="00DB0D55" w:rsidRPr="00262F3A">
        <w:t xml:space="preserve">isk Officer </w:t>
      </w:r>
      <w:r w:rsidR="004E440A">
        <w:t>D</w:t>
      </w:r>
      <w:r w:rsidRPr="00262F3A">
        <w:t>ivision is made up of three branches that enable the execution of operational and strategic objectives through activation of best practice risk and governance principles, proactive fraud and compliance monitoring and specialist risk advisory services.</w:t>
      </w:r>
    </w:p>
    <w:p w14:paraId="33E3CA1E" w14:textId="7934356A" w:rsidR="000B58FC" w:rsidRPr="00262F3A" w:rsidRDefault="000B58FC" w:rsidP="00AF2A24">
      <w:pPr>
        <w:pStyle w:val="ListParagraph"/>
        <w:numPr>
          <w:ilvl w:val="0"/>
          <w:numId w:val="41"/>
        </w:numPr>
      </w:pPr>
      <w:r w:rsidRPr="004E440A">
        <w:rPr>
          <w:b/>
        </w:rPr>
        <w:t>Scheme Integrity</w:t>
      </w:r>
      <w:r w:rsidRPr="00262F3A">
        <w:t xml:space="preserve"> prevents, detects and responds to serious non-compliance, including fraud, against the Agency and/or the Scheme.</w:t>
      </w:r>
    </w:p>
    <w:p w14:paraId="44CDB8F0" w14:textId="45A91746" w:rsidR="000B58FC" w:rsidRPr="00262F3A" w:rsidRDefault="000B58FC" w:rsidP="00AF2A24">
      <w:pPr>
        <w:pStyle w:val="ListParagraph"/>
        <w:numPr>
          <w:ilvl w:val="0"/>
          <w:numId w:val="41"/>
        </w:numPr>
      </w:pPr>
      <w:r w:rsidRPr="004E440A">
        <w:rPr>
          <w:b/>
        </w:rPr>
        <w:t>Risk</w:t>
      </w:r>
      <w:r w:rsidRPr="00262F3A">
        <w:t xml:space="preserve"> supports the Agency to identify and manage its risks, including maintaining the risk management framework, building internal risk management capability, analysing and reporting prevailing and emerging risks, and providing oversight of material risk exposures.</w:t>
      </w:r>
    </w:p>
    <w:p w14:paraId="233CB970" w14:textId="7057F913" w:rsidR="000B58FC" w:rsidRPr="00262F3A" w:rsidRDefault="000B58FC" w:rsidP="00AF2A24">
      <w:pPr>
        <w:pStyle w:val="ListParagraph"/>
        <w:numPr>
          <w:ilvl w:val="0"/>
          <w:numId w:val="41"/>
        </w:numPr>
      </w:pPr>
      <w:r w:rsidRPr="004E440A">
        <w:rPr>
          <w:b/>
        </w:rPr>
        <w:lastRenderedPageBreak/>
        <w:t>Internal Audit</w:t>
      </w:r>
      <w:r w:rsidRPr="00262F3A">
        <w:t xml:space="preserve"> provides functionally independent and objective assurance and advisory advice that assi</w:t>
      </w:r>
      <w:r w:rsidR="00DB0D55" w:rsidRPr="00262F3A">
        <w:t>sts the Board Audit Committee</w:t>
      </w:r>
      <w:r w:rsidRPr="00262F3A">
        <w:t xml:space="preserve"> in discharging its duties and responsibilities to the Board.</w:t>
      </w:r>
    </w:p>
    <w:p w14:paraId="6BA2C6E4" w14:textId="480678D0" w:rsidR="007876B8" w:rsidRPr="00262F3A" w:rsidRDefault="009F3F44" w:rsidP="008F00D1">
      <w:pPr>
        <w:pStyle w:val="Heading4"/>
      </w:pPr>
      <w:r w:rsidRPr="00262F3A">
        <w:t>People and Culture Division</w:t>
      </w:r>
    </w:p>
    <w:p w14:paraId="7DD6E020" w14:textId="6FC29F6C" w:rsidR="004526C8" w:rsidRPr="00262F3A" w:rsidRDefault="00DB0D55" w:rsidP="004526C8">
      <w:pPr>
        <w:rPr>
          <w:rFonts w:eastAsia="Times New Roman"/>
          <w:lang w:eastAsia="en-AU"/>
        </w:rPr>
      </w:pPr>
      <w:r w:rsidRPr="00262F3A">
        <w:rPr>
          <w:rFonts w:eastAsia="Times New Roman"/>
          <w:lang w:eastAsia="en-AU"/>
        </w:rPr>
        <w:t>The People and Culture d</w:t>
      </w:r>
      <w:r w:rsidR="004526C8" w:rsidRPr="00262F3A">
        <w:rPr>
          <w:rFonts w:eastAsia="Times New Roman"/>
          <w:lang w:eastAsia="en-AU"/>
        </w:rPr>
        <w:t xml:space="preserve">ivision provides advice and support to staff and managers, throughout the employee lifecycle, and supports the Agency to provide a safe workplace for staff to build capability and foster a positive and inclusive culture to deliver the NDIS. It </w:t>
      </w:r>
      <w:r w:rsidR="00257F1F">
        <w:rPr>
          <w:rFonts w:eastAsia="Times New Roman"/>
          <w:lang w:eastAsia="en-AU"/>
        </w:rPr>
        <w:t>comprises</w:t>
      </w:r>
      <w:r w:rsidR="004526C8" w:rsidRPr="00262F3A">
        <w:rPr>
          <w:rFonts w:eastAsia="Times New Roman"/>
          <w:lang w:eastAsia="en-AU"/>
        </w:rPr>
        <w:t xml:space="preserve"> two </w:t>
      </w:r>
      <w:r w:rsidR="004E440A">
        <w:rPr>
          <w:rFonts w:eastAsia="Times New Roman"/>
          <w:lang w:eastAsia="en-AU"/>
        </w:rPr>
        <w:t>b</w:t>
      </w:r>
      <w:r w:rsidR="004526C8" w:rsidRPr="00262F3A">
        <w:rPr>
          <w:rFonts w:eastAsia="Times New Roman"/>
          <w:lang w:eastAsia="en-AU"/>
        </w:rPr>
        <w:t>ranches and three core teams:</w:t>
      </w:r>
    </w:p>
    <w:p w14:paraId="259ED88E" w14:textId="69546180" w:rsidR="004526C8" w:rsidRPr="004E440A" w:rsidRDefault="004526C8" w:rsidP="00AF2A24">
      <w:pPr>
        <w:pStyle w:val="ListParagraph"/>
        <w:numPr>
          <w:ilvl w:val="0"/>
          <w:numId w:val="42"/>
        </w:numPr>
        <w:rPr>
          <w:rFonts w:eastAsia="Times New Roman"/>
          <w:lang w:eastAsia="en-AU"/>
        </w:rPr>
      </w:pPr>
      <w:r w:rsidRPr="004E440A">
        <w:rPr>
          <w:rFonts w:eastAsia="Times New Roman"/>
          <w:b/>
          <w:lang w:eastAsia="en-AU"/>
        </w:rPr>
        <w:t>Workforce and Capability Branch</w:t>
      </w:r>
      <w:r w:rsidRPr="004E440A">
        <w:rPr>
          <w:rFonts w:eastAsia="Times New Roman"/>
          <w:lang w:eastAsia="en-AU"/>
        </w:rPr>
        <w:t xml:space="preserve"> determines Agency resource requirements, sources the right people and provides performance solutions to enable an inclusive, capable, and engaged workforce to deliver the NDIS. </w:t>
      </w:r>
    </w:p>
    <w:p w14:paraId="59E68A5D" w14:textId="7BFCDF03" w:rsidR="004526C8" w:rsidRPr="004E440A" w:rsidRDefault="004526C8" w:rsidP="00AF2A24">
      <w:pPr>
        <w:pStyle w:val="ListParagraph"/>
        <w:numPr>
          <w:ilvl w:val="0"/>
          <w:numId w:val="42"/>
        </w:numPr>
        <w:rPr>
          <w:rFonts w:eastAsia="Times New Roman"/>
          <w:lang w:eastAsia="en-AU"/>
        </w:rPr>
      </w:pPr>
      <w:r w:rsidRPr="004E440A">
        <w:rPr>
          <w:rFonts w:eastAsia="Times New Roman"/>
          <w:b/>
          <w:lang w:eastAsia="en-AU"/>
        </w:rPr>
        <w:t>Human Resource (HR) Advisory Services Branch</w:t>
      </w:r>
      <w:r w:rsidRPr="004E440A">
        <w:rPr>
          <w:rFonts w:eastAsia="Times New Roman"/>
          <w:lang w:eastAsia="en-AU"/>
        </w:rPr>
        <w:t xml:space="preserve"> provides accurate advice and guidance on the application of the NDIA Enterprise Agreement and employment conditions, develops HR capability in leaders and ensures the Agency aligns with best practice HR </w:t>
      </w:r>
      <w:r w:rsidR="004E440A">
        <w:rPr>
          <w:rFonts w:eastAsia="Times New Roman"/>
          <w:lang w:eastAsia="en-AU"/>
        </w:rPr>
        <w:t>m</w:t>
      </w:r>
      <w:r w:rsidRPr="004E440A">
        <w:rPr>
          <w:rFonts w:eastAsia="Times New Roman"/>
          <w:lang w:eastAsia="en-AU"/>
        </w:rPr>
        <w:t>anagement.</w:t>
      </w:r>
    </w:p>
    <w:p w14:paraId="7C56F643" w14:textId="0DE29319" w:rsidR="004526C8" w:rsidRPr="004E440A" w:rsidRDefault="004526C8" w:rsidP="00AF2A24">
      <w:pPr>
        <w:pStyle w:val="ListParagraph"/>
        <w:numPr>
          <w:ilvl w:val="0"/>
          <w:numId w:val="42"/>
        </w:numPr>
        <w:rPr>
          <w:rFonts w:eastAsia="Times New Roman"/>
          <w:lang w:eastAsia="en-AU"/>
        </w:rPr>
      </w:pPr>
      <w:r w:rsidRPr="004E440A">
        <w:rPr>
          <w:rFonts w:eastAsia="Times New Roman"/>
          <w:b/>
          <w:lang w:eastAsia="en-AU"/>
        </w:rPr>
        <w:t>NDIA Design/SES Unit</w:t>
      </w:r>
      <w:r w:rsidRPr="004E440A">
        <w:rPr>
          <w:rFonts w:eastAsia="Times New Roman"/>
          <w:lang w:eastAsia="en-AU"/>
        </w:rPr>
        <w:t xml:space="preserve"> focuses on shaping the future capability and design of the Agency to ensure its people and functions are aligned to support participant service delivery. This team also supports the Agency’s </w:t>
      </w:r>
      <w:r w:rsidR="004E440A">
        <w:rPr>
          <w:rFonts w:eastAsia="Times New Roman"/>
          <w:lang w:eastAsia="en-AU"/>
        </w:rPr>
        <w:t>s</w:t>
      </w:r>
      <w:r w:rsidRPr="004E440A">
        <w:rPr>
          <w:rFonts w:eastAsia="Times New Roman"/>
          <w:lang w:eastAsia="en-AU"/>
        </w:rPr>
        <w:t xml:space="preserve">enior </w:t>
      </w:r>
      <w:r w:rsidR="004E440A">
        <w:rPr>
          <w:rFonts w:eastAsia="Times New Roman"/>
          <w:lang w:eastAsia="en-AU"/>
        </w:rPr>
        <w:t>e</w:t>
      </w:r>
      <w:r w:rsidRPr="004E440A">
        <w:rPr>
          <w:rFonts w:eastAsia="Times New Roman"/>
          <w:lang w:eastAsia="en-AU"/>
        </w:rPr>
        <w:t>xecutive cohort and support staff throughout their employee lifecycle.</w:t>
      </w:r>
    </w:p>
    <w:p w14:paraId="2F32586F" w14:textId="77DF1419" w:rsidR="004526C8" w:rsidRPr="004E440A" w:rsidRDefault="004526C8" w:rsidP="00AF2A24">
      <w:pPr>
        <w:pStyle w:val="ListParagraph"/>
        <w:numPr>
          <w:ilvl w:val="0"/>
          <w:numId w:val="42"/>
        </w:numPr>
        <w:rPr>
          <w:rFonts w:eastAsia="Times New Roman"/>
          <w:lang w:eastAsia="en-AU"/>
        </w:rPr>
      </w:pPr>
      <w:r w:rsidRPr="004E440A">
        <w:rPr>
          <w:rFonts w:eastAsia="Times New Roman"/>
          <w:b/>
          <w:lang w:eastAsia="en-AU"/>
        </w:rPr>
        <w:t xml:space="preserve">Workplace Support and Disability Engagement </w:t>
      </w:r>
      <w:r w:rsidR="004E440A">
        <w:rPr>
          <w:rFonts w:eastAsia="Times New Roman"/>
          <w:b/>
          <w:lang w:eastAsia="en-AU"/>
        </w:rPr>
        <w:t>T</w:t>
      </w:r>
      <w:r w:rsidRPr="004E440A">
        <w:rPr>
          <w:rFonts w:eastAsia="Times New Roman"/>
          <w:b/>
          <w:lang w:eastAsia="en-AU"/>
        </w:rPr>
        <w:t>eam</w:t>
      </w:r>
      <w:r w:rsidRPr="004E440A">
        <w:rPr>
          <w:rFonts w:eastAsia="Times New Roman"/>
          <w:lang w:eastAsia="en-AU"/>
        </w:rPr>
        <w:t xml:space="preserve"> provides staff and managers with the supports required to fully participate in and contribute to the workplace and create an accessible and inclusive environment for everyone.</w:t>
      </w:r>
    </w:p>
    <w:p w14:paraId="5EB5046C" w14:textId="392378D7" w:rsidR="007876B8" w:rsidRPr="004E440A" w:rsidRDefault="004526C8" w:rsidP="00AF2A24">
      <w:pPr>
        <w:pStyle w:val="ListParagraph"/>
        <w:numPr>
          <w:ilvl w:val="0"/>
          <w:numId w:val="42"/>
        </w:numPr>
        <w:rPr>
          <w:rFonts w:eastAsia="Times New Roman"/>
          <w:lang w:eastAsia="en-AU"/>
        </w:rPr>
      </w:pPr>
      <w:r w:rsidRPr="004E440A">
        <w:rPr>
          <w:rFonts w:eastAsia="Times New Roman"/>
          <w:b/>
          <w:lang w:eastAsia="en-AU"/>
        </w:rPr>
        <w:t xml:space="preserve">The Work Health Safety (WHS) and Wellbeing </w:t>
      </w:r>
      <w:r w:rsidR="004E440A">
        <w:rPr>
          <w:rFonts w:eastAsia="Times New Roman"/>
          <w:b/>
          <w:lang w:eastAsia="en-AU"/>
        </w:rPr>
        <w:t>T</w:t>
      </w:r>
      <w:r w:rsidRPr="004E440A">
        <w:rPr>
          <w:rFonts w:eastAsia="Times New Roman"/>
          <w:b/>
          <w:lang w:eastAsia="en-AU"/>
        </w:rPr>
        <w:t>eam</w:t>
      </w:r>
      <w:r w:rsidRPr="004E440A">
        <w:rPr>
          <w:rFonts w:eastAsia="Times New Roman"/>
          <w:lang w:eastAsia="en-AU"/>
        </w:rPr>
        <w:t xml:space="preserve"> supports the Agency to provide a positive and safe workplace for its people, where WHS risks are minimised and health and wellbeing is optimised, through a robust WHS Management System and wellbeing action plan.</w:t>
      </w:r>
    </w:p>
    <w:p w14:paraId="61779D24" w14:textId="04F93FEE" w:rsidR="007876B8" w:rsidRPr="00262F3A" w:rsidRDefault="007876B8" w:rsidP="008F00D1">
      <w:pPr>
        <w:pStyle w:val="Heading4"/>
      </w:pPr>
      <w:r w:rsidRPr="00262F3A">
        <w:t>Chief Information Officer</w:t>
      </w:r>
      <w:r w:rsidR="009F3F44" w:rsidRPr="00262F3A">
        <w:t xml:space="preserve"> Division</w:t>
      </w:r>
    </w:p>
    <w:p w14:paraId="44D45C39" w14:textId="46BE4F06" w:rsidR="00462BF1" w:rsidRPr="00262F3A" w:rsidRDefault="00462BF1" w:rsidP="00462BF1">
      <w:pPr>
        <w:rPr>
          <w:rFonts w:eastAsiaTheme="minorHAnsi"/>
          <w:shd w:val="clear" w:color="auto" w:fill="FFFFFF"/>
          <w:lang w:eastAsia="en-US"/>
        </w:rPr>
      </w:pPr>
      <w:r w:rsidRPr="00262F3A">
        <w:rPr>
          <w:shd w:val="clear" w:color="auto" w:fill="FFFFFF"/>
        </w:rPr>
        <w:t xml:space="preserve">The Chief Information Officer </w:t>
      </w:r>
      <w:r w:rsidR="004E440A">
        <w:rPr>
          <w:shd w:val="clear" w:color="auto" w:fill="FFFFFF"/>
        </w:rPr>
        <w:t>Division</w:t>
      </w:r>
      <w:r w:rsidRPr="00262F3A">
        <w:rPr>
          <w:shd w:val="clear" w:color="auto" w:fill="FFFFFF"/>
        </w:rPr>
        <w:t xml:space="preserve"> is primarily responsible for the management of technology-related solutions, as well as the Agency’s protective and cyber security planning and risk management. It comprises three branches:</w:t>
      </w:r>
    </w:p>
    <w:p w14:paraId="21E2D0FF" w14:textId="6BB1DA3A" w:rsidR="00462BF1" w:rsidRPr="00262F3A" w:rsidRDefault="00462BF1" w:rsidP="006D2911">
      <w:pPr>
        <w:pStyle w:val="ListParagraph"/>
        <w:numPr>
          <w:ilvl w:val="0"/>
          <w:numId w:val="13"/>
        </w:numPr>
      </w:pPr>
      <w:r w:rsidRPr="00262F3A">
        <w:rPr>
          <w:b/>
          <w:bCs/>
        </w:rPr>
        <w:t>ICT Strategic Projects</w:t>
      </w:r>
      <w:r w:rsidRPr="00262F3A">
        <w:rPr>
          <w:bCs/>
        </w:rPr>
        <w:t xml:space="preserve"> </w:t>
      </w:r>
      <w:r w:rsidR="00DB0D55" w:rsidRPr="00262F3A">
        <w:rPr>
          <w:bCs/>
        </w:rPr>
        <w:t>f</w:t>
      </w:r>
      <w:r w:rsidRPr="00262F3A">
        <w:t xml:space="preserve">acilitates the delivery of ICT projects across the Agency. This includes technology strategy development, research and analysis of technology options, </w:t>
      </w:r>
      <w:r w:rsidR="004E440A">
        <w:t xml:space="preserve">and </w:t>
      </w:r>
      <w:r w:rsidRPr="00262F3A">
        <w:t>development of and advice on delivery of the technical solutions to meet business requirements</w:t>
      </w:r>
    </w:p>
    <w:p w14:paraId="15789BC2" w14:textId="590A09DC" w:rsidR="00462BF1" w:rsidRPr="00262F3A" w:rsidRDefault="00462BF1" w:rsidP="006D2911">
      <w:pPr>
        <w:pStyle w:val="ListParagraph"/>
        <w:numPr>
          <w:ilvl w:val="0"/>
          <w:numId w:val="13"/>
        </w:numPr>
      </w:pPr>
      <w:r w:rsidRPr="00262F3A">
        <w:rPr>
          <w:b/>
          <w:bCs/>
        </w:rPr>
        <w:t>ICT Services</w:t>
      </w:r>
      <w:r w:rsidRPr="00262F3A">
        <w:rPr>
          <w:bCs/>
        </w:rPr>
        <w:t> </w:t>
      </w:r>
      <w:r w:rsidR="00DB0D55" w:rsidRPr="00262F3A">
        <w:rPr>
          <w:bCs/>
        </w:rPr>
        <w:t>m</w:t>
      </w:r>
      <w:r w:rsidRPr="00262F3A">
        <w:t xml:space="preserve">anages the provision of ICT </w:t>
      </w:r>
      <w:r w:rsidR="00DB0D55" w:rsidRPr="00262F3A">
        <w:t>s</w:t>
      </w:r>
      <w:r w:rsidRPr="00262F3A">
        <w:t xml:space="preserve">ervices and ICT support to meet the needs of the Agency. </w:t>
      </w:r>
    </w:p>
    <w:p w14:paraId="4EFC2224" w14:textId="1D3D9476" w:rsidR="00462BF1" w:rsidRPr="00262F3A" w:rsidRDefault="00462BF1" w:rsidP="006D2911">
      <w:pPr>
        <w:pStyle w:val="ListParagraph"/>
        <w:numPr>
          <w:ilvl w:val="0"/>
          <w:numId w:val="13"/>
        </w:numPr>
      </w:pPr>
      <w:r w:rsidRPr="00262F3A">
        <w:rPr>
          <w:b/>
          <w:bCs/>
        </w:rPr>
        <w:t>Protective and Cyber Security</w:t>
      </w:r>
      <w:r w:rsidRPr="00262F3A">
        <w:rPr>
          <w:bCs/>
        </w:rPr>
        <w:t xml:space="preserve"> </w:t>
      </w:r>
      <w:r w:rsidR="004E440A">
        <w:t>provides strategic, A</w:t>
      </w:r>
      <w:r w:rsidRPr="00262F3A">
        <w:t xml:space="preserve">gency-wide oversight of protective security across security governance, information security, personnel security and physical security. This includes offering pragmatic, risk based advice on the secure and </w:t>
      </w:r>
      <w:r w:rsidR="00BE1555" w:rsidRPr="00262F3A">
        <w:t>reliable operation of information technology systems.</w:t>
      </w:r>
    </w:p>
    <w:p w14:paraId="39B68F8D" w14:textId="5F0715A0" w:rsidR="007876B8" w:rsidRPr="00262F3A" w:rsidRDefault="009F3F44" w:rsidP="008F00D1">
      <w:pPr>
        <w:pStyle w:val="Heading4"/>
      </w:pPr>
      <w:r w:rsidRPr="00262F3A">
        <w:t xml:space="preserve">Office of </w:t>
      </w:r>
      <w:r w:rsidR="007876B8" w:rsidRPr="00262F3A">
        <w:t>Scheme Actuary</w:t>
      </w:r>
    </w:p>
    <w:p w14:paraId="2BADF136" w14:textId="0D27F591" w:rsidR="006D2911" w:rsidRPr="00262F3A" w:rsidRDefault="006D2911" w:rsidP="006D2911">
      <w:pPr>
        <w:rPr>
          <w:rFonts w:eastAsia="Times New Roman"/>
          <w:lang w:eastAsia="en-AU"/>
        </w:rPr>
      </w:pPr>
      <w:r w:rsidRPr="00262F3A">
        <w:rPr>
          <w:rFonts w:eastAsia="Times New Roman"/>
          <w:lang w:eastAsia="en-AU"/>
        </w:rPr>
        <w:t xml:space="preserve">The </w:t>
      </w:r>
      <w:r w:rsidR="00DB0D55" w:rsidRPr="00262F3A">
        <w:rPr>
          <w:rFonts w:eastAsia="Times New Roman"/>
          <w:lang w:eastAsia="en-AU"/>
        </w:rPr>
        <w:t xml:space="preserve">Office of </w:t>
      </w:r>
      <w:r w:rsidRPr="00262F3A">
        <w:rPr>
          <w:rFonts w:eastAsia="Times New Roman"/>
          <w:lang w:eastAsia="en-AU"/>
        </w:rPr>
        <w:t xml:space="preserve">Scheme Actuary manages NDIA data services, business intelligence and analytics, </w:t>
      </w:r>
      <w:r w:rsidR="004E440A">
        <w:rPr>
          <w:rFonts w:eastAsia="Times New Roman"/>
          <w:lang w:eastAsia="en-AU"/>
        </w:rPr>
        <w:t>S</w:t>
      </w:r>
      <w:r w:rsidRPr="00262F3A">
        <w:rPr>
          <w:rFonts w:eastAsia="Times New Roman"/>
          <w:lang w:eastAsia="en-AU"/>
        </w:rPr>
        <w:t>cheme monitoring and analysis of outcomes for participants, their families and carers. The group comprises three branches:</w:t>
      </w:r>
    </w:p>
    <w:p w14:paraId="4B0B680D" w14:textId="5B8353A2" w:rsidR="006D2911" w:rsidRPr="00262F3A" w:rsidRDefault="006D2911" w:rsidP="006D2911">
      <w:pPr>
        <w:pStyle w:val="ListParagraph"/>
        <w:numPr>
          <w:ilvl w:val="0"/>
          <w:numId w:val="22"/>
        </w:numPr>
        <w:rPr>
          <w:rFonts w:eastAsia="Times New Roman"/>
          <w:lang w:eastAsia="en-AU"/>
        </w:rPr>
      </w:pPr>
      <w:r w:rsidRPr="00262F3A">
        <w:rPr>
          <w:rFonts w:eastAsia="Times New Roman"/>
          <w:b/>
          <w:lang w:eastAsia="en-AU"/>
        </w:rPr>
        <w:t>Data and Insurance</w:t>
      </w:r>
      <w:r w:rsidRPr="00262F3A">
        <w:rPr>
          <w:rFonts w:eastAsia="Times New Roman"/>
          <w:lang w:eastAsia="en-AU"/>
        </w:rPr>
        <w:t xml:space="preserve"> provides data services, including the delivery of the NDIA’s reporting platforms, and translates insights into measurable business performance improvements. </w:t>
      </w:r>
    </w:p>
    <w:p w14:paraId="0FA3A6D9" w14:textId="699CA499" w:rsidR="006D2911" w:rsidRPr="00262F3A" w:rsidRDefault="006D2911" w:rsidP="006D2911">
      <w:pPr>
        <w:pStyle w:val="ListParagraph"/>
        <w:numPr>
          <w:ilvl w:val="0"/>
          <w:numId w:val="22"/>
        </w:numPr>
        <w:rPr>
          <w:rFonts w:eastAsia="Times New Roman"/>
          <w:lang w:eastAsia="en-AU"/>
        </w:rPr>
      </w:pPr>
      <w:r w:rsidRPr="00262F3A">
        <w:rPr>
          <w:rFonts w:eastAsia="Times New Roman"/>
          <w:b/>
          <w:lang w:eastAsia="en-AU"/>
        </w:rPr>
        <w:t>Financial Sustainability</w:t>
      </w:r>
      <w:r w:rsidRPr="00262F3A">
        <w:rPr>
          <w:rFonts w:eastAsia="Times New Roman"/>
          <w:lang w:eastAsia="en-AU"/>
        </w:rPr>
        <w:t xml:space="preserve"> projects the future cost of the Scheme, identifies key financial risks and their impacts and makes recommendations to manage and address these risks. This team also monitors outcomes for participants and their families/carers.</w:t>
      </w:r>
    </w:p>
    <w:p w14:paraId="14448A6F" w14:textId="51A1BA4E" w:rsidR="006D2911" w:rsidRPr="00262F3A" w:rsidRDefault="006D2911" w:rsidP="006D2911">
      <w:pPr>
        <w:pStyle w:val="ListParagraph"/>
        <w:numPr>
          <w:ilvl w:val="0"/>
          <w:numId w:val="22"/>
        </w:numPr>
      </w:pPr>
      <w:r w:rsidRPr="00262F3A">
        <w:rPr>
          <w:rFonts w:eastAsia="Times New Roman"/>
          <w:b/>
          <w:lang w:eastAsia="en-AU"/>
        </w:rPr>
        <w:lastRenderedPageBreak/>
        <w:t>Actuarial Monitoring</w:t>
      </w:r>
      <w:r w:rsidRPr="00262F3A">
        <w:rPr>
          <w:rFonts w:eastAsia="Times New Roman"/>
          <w:lang w:eastAsia="en-AU"/>
        </w:rPr>
        <w:t xml:space="preserve"> </w:t>
      </w:r>
      <w:r w:rsidR="00C5363A">
        <w:rPr>
          <w:rFonts w:eastAsia="Times New Roman"/>
          <w:lang w:eastAsia="en-AU"/>
        </w:rPr>
        <w:t xml:space="preserve">provides </w:t>
      </w:r>
      <w:r w:rsidRPr="00262F3A">
        <w:rPr>
          <w:rFonts w:eastAsia="Times New Roman"/>
          <w:lang w:eastAsia="en-AU"/>
        </w:rPr>
        <w:t xml:space="preserve">detailed monitoring of </w:t>
      </w:r>
      <w:r w:rsidR="00C5363A">
        <w:rPr>
          <w:rFonts w:eastAsia="Times New Roman"/>
          <w:lang w:eastAsia="en-AU"/>
        </w:rPr>
        <w:t>S</w:t>
      </w:r>
      <w:r w:rsidRPr="00262F3A">
        <w:rPr>
          <w:rFonts w:eastAsia="Times New Roman"/>
          <w:lang w:eastAsia="en-AU"/>
        </w:rPr>
        <w:t>cheme performance including quarterly actuarial reports, quarterly reports to the Disability Ministers, and deep dive reports for the data and insights website</w:t>
      </w:r>
      <w:r w:rsidRPr="00262F3A">
        <w:t xml:space="preserve">. </w:t>
      </w:r>
    </w:p>
    <w:p w14:paraId="0F475AA1" w14:textId="6C8B9B15" w:rsidR="00034EE3" w:rsidRPr="00262F3A" w:rsidRDefault="00034EE3" w:rsidP="008F00D1">
      <w:pPr>
        <w:pStyle w:val="Heading2"/>
      </w:pPr>
      <w:bookmarkStart w:id="149" w:name="_Toc51067991"/>
      <w:r w:rsidRPr="00262F3A">
        <w:t xml:space="preserve">Partners in the </w:t>
      </w:r>
      <w:r w:rsidR="00C5363A">
        <w:t>c</w:t>
      </w:r>
      <w:r w:rsidRPr="00262F3A">
        <w:t>ommunity</w:t>
      </w:r>
      <w:bookmarkEnd w:id="149"/>
      <w:r w:rsidRPr="00262F3A">
        <w:t xml:space="preserve"> </w:t>
      </w:r>
    </w:p>
    <w:p w14:paraId="3F6C82F8" w14:textId="186AD3CB" w:rsidR="00034EE3" w:rsidRPr="00262F3A" w:rsidRDefault="00034EE3" w:rsidP="00034EE3">
      <w:pPr>
        <w:pStyle w:val="NormalWeb"/>
        <w:spacing w:before="0" w:beforeAutospacing="0" w:after="120" w:afterAutospacing="0"/>
        <w:rPr>
          <w:rFonts w:ascii="Arial" w:hAnsi="Arial" w:cs="Arial"/>
          <w:sz w:val="22"/>
        </w:rPr>
      </w:pPr>
      <w:r w:rsidRPr="00262F3A">
        <w:rPr>
          <w:rFonts w:ascii="Arial" w:hAnsi="Arial" w:cs="Arial"/>
          <w:sz w:val="22"/>
        </w:rPr>
        <w:t xml:space="preserve">Our </w:t>
      </w:r>
      <w:r w:rsidR="0050536B">
        <w:rPr>
          <w:rFonts w:ascii="Arial" w:hAnsi="Arial" w:cs="Arial"/>
          <w:sz w:val="22"/>
        </w:rPr>
        <w:t>PiTC</w:t>
      </w:r>
      <w:r w:rsidR="00DB0D55" w:rsidRPr="00262F3A">
        <w:rPr>
          <w:rFonts w:ascii="Arial" w:hAnsi="Arial" w:cs="Arial"/>
          <w:sz w:val="22"/>
        </w:rPr>
        <w:t xml:space="preserve"> </w:t>
      </w:r>
      <w:r w:rsidRPr="00262F3A">
        <w:rPr>
          <w:rFonts w:ascii="Arial" w:hAnsi="Arial" w:cs="Arial"/>
          <w:sz w:val="22"/>
        </w:rPr>
        <w:t xml:space="preserve">are experienced and qualified organisations with strong local knowledge and understanding of the needs of people with disability. They work with the Agency to deliver </w:t>
      </w:r>
      <w:r w:rsidR="002D21D4">
        <w:rPr>
          <w:rFonts w:ascii="Arial" w:hAnsi="Arial" w:cs="Arial"/>
          <w:sz w:val="22"/>
        </w:rPr>
        <w:t xml:space="preserve">LAC </w:t>
      </w:r>
      <w:r w:rsidRPr="00262F3A">
        <w:rPr>
          <w:rFonts w:ascii="Arial" w:hAnsi="Arial" w:cs="Arial"/>
          <w:sz w:val="22"/>
        </w:rPr>
        <w:t xml:space="preserve">and Early Childhood Early Intervention </w:t>
      </w:r>
      <w:r w:rsidR="002D21D4">
        <w:rPr>
          <w:rFonts w:ascii="Arial" w:hAnsi="Arial" w:cs="Arial"/>
          <w:sz w:val="22"/>
        </w:rPr>
        <w:t xml:space="preserve">(ECEI) </w:t>
      </w:r>
      <w:r w:rsidRPr="00262F3A">
        <w:rPr>
          <w:rFonts w:ascii="Arial" w:hAnsi="Arial" w:cs="Arial"/>
          <w:sz w:val="22"/>
        </w:rPr>
        <w:t xml:space="preserve">services to Australians with disability. They are often the first points of contact for participants, making them the face of the Scheme in many communities. The program currently has 27 partner organisations operating in all Australian states and territories, having reached full national coverage in mid-2019. As part of the program, the Agency works with suitably experienced and qualified partner organisations to deliver </w:t>
      </w:r>
      <w:r w:rsidR="002D21D4">
        <w:rPr>
          <w:rFonts w:ascii="Arial" w:hAnsi="Arial" w:cs="Arial"/>
          <w:sz w:val="22"/>
        </w:rPr>
        <w:t>LAC</w:t>
      </w:r>
      <w:r w:rsidRPr="00262F3A">
        <w:rPr>
          <w:rFonts w:ascii="Arial" w:hAnsi="Arial" w:cs="Arial"/>
          <w:sz w:val="22"/>
        </w:rPr>
        <w:t xml:space="preserve"> and </w:t>
      </w:r>
      <w:r w:rsidR="002D21D4">
        <w:rPr>
          <w:rFonts w:ascii="Arial" w:hAnsi="Arial" w:cs="Arial"/>
          <w:sz w:val="22"/>
        </w:rPr>
        <w:t xml:space="preserve">ECEI </w:t>
      </w:r>
      <w:r w:rsidRPr="00262F3A">
        <w:rPr>
          <w:rFonts w:ascii="Arial" w:hAnsi="Arial" w:cs="Arial"/>
          <w:sz w:val="22"/>
        </w:rPr>
        <w:t xml:space="preserve">services to Australians with disability. </w:t>
      </w:r>
    </w:p>
    <w:p w14:paraId="40E92B93" w14:textId="5C6FD726" w:rsidR="00034EE3" w:rsidRPr="00262F3A" w:rsidRDefault="002D21D4" w:rsidP="00034EE3">
      <w:pPr>
        <w:pStyle w:val="NormalWeb"/>
        <w:spacing w:before="0" w:beforeAutospacing="0" w:after="120" w:afterAutospacing="0"/>
        <w:rPr>
          <w:rFonts w:ascii="Arial" w:hAnsi="Arial" w:cs="Arial"/>
          <w:sz w:val="22"/>
        </w:rPr>
      </w:pPr>
      <w:r>
        <w:rPr>
          <w:rFonts w:ascii="Arial" w:hAnsi="Arial" w:cs="Arial"/>
          <w:sz w:val="22"/>
        </w:rPr>
        <w:t xml:space="preserve">LAC </w:t>
      </w:r>
      <w:r w:rsidR="00034EE3" w:rsidRPr="00262F3A">
        <w:rPr>
          <w:rFonts w:ascii="Arial" w:hAnsi="Arial" w:cs="Arial"/>
          <w:sz w:val="22"/>
        </w:rPr>
        <w:t>partners help eligible participants navigate the Scheme and connect with community and other government services. They also provide support in planning and pre-planning activities and work with communities to improve accessibility and inclusion of people with disability.</w:t>
      </w:r>
    </w:p>
    <w:p w14:paraId="0761CBDB" w14:textId="499DA7EB" w:rsidR="00034EE3" w:rsidRPr="00262F3A" w:rsidRDefault="002D21D4" w:rsidP="00034EE3">
      <w:pPr>
        <w:ind w:left="720"/>
      </w:pPr>
      <w:r>
        <w:t xml:space="preserve">ECEI </w:t>
      </w:r>
      <w:r w:rsidR="00034EE3" w:rsidRPr="00262F3A">
        <w:t>Partners support children aged 0 to 6 years with a developmental delay or disability (and their families/carers) to develop the skills they need to participate in daily activities and achieve the best possible outcomes throughout their life.</w:t>
      </w:r>
    </w:p>
    <w:p w14:paraId="247F6F43" w14:textId="77777777" w:rsidR="00CA5A2B" w:rsidRPr="00262F3A" w:rsidRDefault="00CA5A2B" w:rsidP="00866585">
      <w:pPr>
        <w:pStyle w:val="Heading2"/>
      </w:pPr>
      <w:bookmarkStart w:id="150" w:name="_Toc51067992"/>
      <w:r w:rsidRPr="00262F3A">
        <w:t>Workforce management</w:t>
      </w:r>
      <w:bookmarkEnd w:id="150"/>
    </w:p>
    <w:p w14:paraId="47DC13E3" w14:textId="77777777" w:rsidR="00726F4B" w:rsidRPr="00262F3A" w:rsidRDefault="00726F4B" w:rsidP="005D7395">
      <w:r w:rsidRPr="00262F3A">
        <w:t xml:space="preserve">To deliver the Scheme, the Agency needs a capable and committed workforce that is reflective of the broader Australian society. The type of skills mix that the Agency seeks changes to support an evolving operational environment. It is critical that we attract top talent and retain the required workforce. </w:t>
      </w:r>
    </w:p>
    <w:p w14:paraId="60F3CE4B" w14:textId="554BD967" w:rsidR="00726F4B" w:rsidRPr="00262F3A" w:rsidRDefault="00726F4B" w:rsidP="005D7395">
      <w:r w:rsidRPr="00262F3A">
        <w:t xml:space="preserve">As at 30 June 2020, the Agency workforce comprised 4,396 </w:t>
      </w:r>
      <w:r w:rsidR="00983163">
        <w:t>APS</w:t>
      </w:r>
      <w:r w:rsidRPr="00262F3A">
        <w:t xml:space="preserve"> employees, 1,742 labour hire contractors and secondees, 4,917 </w:t>
      </w:r>
      <w:r w:rsidR="0050536B">
        <w:t>PiTC</w:t>
      </w:r>
      <w:r w:rsidRPr="00262F3A">
        <w:t xml:space="preserve"> and 495 </w:t>
      </w:r>
      <w:r w:rsidR="00C5363A">
        <w:t>NCC p</w:t>
      </w:r>
      <w:r w:rsidRPr="00262F3A">
        <w:t>artners.</w:t>
      </w:r>
    </w:p>
    <w:p w14:paraId="043E037E" w14:textId="77777777" w:rsidR="00726F4B" w:rsidRPr="00262F3A" w:rsidRDefault="00726F4B" w:rsidP="008F00D1">
      <w:pPr>
        <w:pStyle w:val="Heading4"/>
      </w:pPr>
      <w:r w:rsidRPr="00262F3A">
        <w:t>People Strategy</w:t>
      </w:r>
    </w:p>
    <w:p w14:paraId="5A18AFFF" w14:textId="079C28A4" w:rsidR="00726F4B" w:rsidRPr="00262F3A" w:rsidRDefault="00726F4B" w:rsidP="00561B3B">
      <w:r w:rsidRPr="00262F3A">
        <w:t xml:space="preserve">The Agency’s first People Strategy was developed in 2017 to guide us and our </w:t>
      </w:r>
      <w:r w:rsidR="0050536B">
        <w:t>PiTC</w:t>
      </w:r>
      <w:r w:rsidRPr="00262F3A">
        <w:t xml:space="preserve"> through the early years of the Scheme transition. During this time, the size and composition of the Agency workforce has grown and changed. In 2020, we refreshed our People Strategy as the organisation moves through transition.</w:t>
      </w:r>
    </w:p>
    <w:p w14:paraId="1D8C3398" w14:textId="0CD2D2BE" w:rsidR="002274AF" w:rsidRPr="00262F3A" w:rsidRDefault="002274AF" w:rsidP="002274AF">
      <w:r w:rsidRPr="00262F3A">
        <w:t xml:space="preserve">To deliver the Scheme, the Agency needs a capable and committed workforce that is reflective of the broader Australian society.  The mix of skills needed by the Agency continues to evolve, reflecting the needs of participants, carers and their families. It is critical the Agency attracts talented, knowledgeable and experienced staff as well as </w:t>
      </w:r>
      <w:r w:rsidR="005378D5" w:rsidRPr="00262F3A">
        <w:t xml:space="preserve">providing </w:t>
      </w:r>
      <w:r w:rsidRPr="00262F3A">
        <w:t>ongoing investment in building capability and training delivery. In particular, the Agency continues to expand and strengthen its focus on disability and cohort awareness to improve the quality of experience for participants.</w:t>
      </w:r>
    </w:p>
    <w:p w14:paraId="00249E76" w14:textId="3E82B845" w:rsidR="00726F4B" w:rsidRPr="00262F3A" w:rsidRDefault="00726F4B" w:rsidP="00561B3B">
      <w:r w:rsidRPr="00262F3A">
        <w:t xml:space="preserve">The People Strategy 2022 has four key pillars built on the foundation of a solid </w:t>
      </w:r>
      <w:r w:rsidR="00830AEB">
        <w:t>p</w:t>
      </w:r>
      <w:r w:rsidR="00830AEB" w:rsidRPr="00262F3A">
        <w:t xml:space="preserve">eople </w:t>
      </w:r>
      <w:r w:rsidR="00830AEB">
        <w:t>i</w:t>
      </w:r>
      <w:r w:rsidR="00830AEB" w:rsidRPr="00262F3A">
        <w:t>nfrastructure</w:t>
      </w:r>
      <w:r w:rsidRPr="00262F3A">
        <w:t>. The four pillars are:</w:t>
      </w:r>
    </w:p>
    <w:p w14:paraId="17DFB9A9" w14:textId="2226ADD3" w:rsidR="00726F4B" w:rsidRPr="00262F3A" w:rsidRDefault="00DB0D55" w:rsidP="006D2911">
      <w:pPr>
        <w:pStyle w:val="ListParagraph"/>
        <w:numPr>
          <w:ilvl w:val="0"/>
          <w:numId w:val="9"/>
        </w:numPr>
      </w:pPr>
      <w:r w:rsidRPr="00262F3A">
        <w:t>Workforce - e</w:t>
      </w:r>
      <w:r w:rsidR="00726F4B" w:rsidRPr="00262F3A">
        <w:t xml:space="preserve">stablish an Agency workforce that reflects the community it serves with the capability and capacity to deliver the NDIS </w:t>
      </w:r>
    </w:p>
    <w:p w14:paraId="7CE242FD" w14:textId="04FB2AE7" w:rsidR="00726F4B" w:rsidRPr="00262F3A" w:rsidRDefault="00DB0D55" w:rsidP="006D2911">
      <w:pPr>
        <w:pStyle w:val="ListParagraph"/>
        <w:numPr>
          <w:ilvl w:val="0"/>
          <w:numId w:val="9"/>
        </w:numPr>
      </w:pPr>
      <w:r w:rsidRPr="00262F3A">
        <w:t>Capability - s</w:t>
      </w:r>
      <w:r w:rsidR="00726F4B" w:rsidRPr="00262F3A">
        <w:t>upport the Agency workforce to deliver consistent and positive participant experience performance</w:t>
      </w:r>
    </w:p>
    <w:p w14:paraId="0F30CDC5" w14:textId="13E958C5" w:rsidR="00726F4B" w:rsidRPr="00262F3A" w:rsidRDefault="00726F4B" w:rsidP="006D2911">
      <w:pPr>
        <w:pStyle w:val="ListParagraph"/>
        <w:numPr>
          <w:ilvl w:val="0"/>
          <w:numId w:val="9"/>
        </w:numPr>
      </w:pPr>
      <w:r w:rsidRPr="00262F3A">
        <w:t>Performance</w:t>
      </w:r>
      <w:r w:rsidR="00DB0D55" w:rsidRPr="00262F3A">
        <w:t xml:space="preserve"> - p</w:t>
      </w:r>
      <w:r w:rsidRPr="00262F3A">
        <w:t>rovide clarity of performance expectations and reward for outcomes</w:t>
      </w:r>
    </w:p>
    <w:p w14:paraId="5E52ACCC" w14:textId="4B19C8DA" w:rsidR="00726F4B" w:rsidRPr="00262F3A" w:rsidRDefault="00DB0D55" w:rsidP="006D2911">
      <w:pPr>
        <w:pStyle w:val="ListParagraph"/>
        <w:numPr>
          <w:ilvl w:val="0"/>
          <w:numId w:val="9"/>
        </w:numPr>
      </w:pPr>
      <w:r w:rsidRPr="00262F3A">
        <w:t>Engagement - b</w:t>
      </w:r>
      <w:r w:rsidR="00726F4B" w:rsidRPr="00262F3A">
        <w:t xml:space="preserve">uild and embed a culture that cares about safety and staff wellbeing and drives for high performance. </w:t>
      </w:r>
    </w:p>
    <w:p w14:paraId="24BBEAB9" w14:textId="77777777" w:rsidR="00726F4B" w:rsidRPr="00262F3A" w:rsidRDefault="00726F4B" w:rsidP="008F00D1">
      <w:pPr>
        <w:pStyle w:val="Heading4"/>
      </w:pPr>
      <w:r w:rsidRPr="00262F3A">
        <w:lastRenderedPageBreak/>
        <w:t>Disability and diversity employment</w:t>
      </w:r>
    </w:p>
    <w:p w14:paraId="5828822A" w14:textId="2AAC3859" w:rsidR="00726F4B" w:rsidRPr="00262F3A" w:rsidRDefault="00726F4B" w:rsidP="00561B3B">
      <w:r w:rsidRPr="00262F3A">
        <w:t>In its second year of operation, the Agency’s Employee with Disability Network continued to play a key role in achieving our goal of being an employer of choice for people with disability and a leader for access and inclusion. The lived experiences of nearly 200 network members enable them to provide advice and guidance across the Agency’s operations. This includes internal operational policies and program</w:t>
      </w:r>
      <w:r w:rsidR="00F21FDC">
        <w:t>s</w:t>
      </w:r>
      <w:r w:rsidRPr="00262F3A">
        <w:t xml:space="preserve"> around recruitment, retention and support of workers with disability. The Employee with Disability Network is committed to working in partnership with the Agency to support workers with disability to achieve their career goals and aspirations by ensuring they can effectively and efficiently use their skills and experience to contribute to the Agency’s business outcomes.</w:t>
      </w:r>
    </w:p>
    <w:p w14:paraId="25165FA0" w14:textId="19C11AE5" w:rsidR="00726F4B" w:rsidRPr="00262F3A" w:rsidRDefault="00726F4B" w:rsidP="00561B3B">
      <w:r w:rsidRPr="00262F3A">
        <w:t>In early 2020, the Agency established the Workplace Support and Disability Engagement Team, comprising a range of specialist disability support officers who oversee the implementation of workplace adjustments. During the unprecedented COVID-19 pandemic, the team played a crucial role in ensuring workers with disability, many</w:t>
      </w:r>
      <w:r w:rsidR="00F21FDC">
        <w:t xml:space="preserve"> of</w:t>
      </w:r>
      <w:r w:rsidRPr="00262F3A">
        <w:t xml:space="preserve"> whom had to transition to home-based work environments, had all their workplace adjustments and other additional support needs met. </w:t>
      </w:r>
    </w:p>
    <w:p w14:paraId="665F32D9" w14:textId="77777777" w:rsidR="00726F4B" w:rsidRPr="00262F3A" w:rsidRDefault="00726F4B" w:rsidP="00561B3B">
      <w:r w:rsidRPr="00262F3A">
        <w:t xml:space="preserve">The Agency continues to work with the Australian Network on Disability to ensure it is a Disability Confident Recruiter with training available for hiring managers. </w:t>
      </w:r>
    </w:p>
    <w:p w14:paraId="6D2E91BC" w14:textId="7AEAC403" w:rsidR="00726F4B" w:rsidRPr="00262F3A" w:rsidRDefault="00726F4B" w:rsidP="00561B3B">
      <w:r w:rsidRPr="00262F3A">
        <w:t xml:space="preserve">The Agency’s graduate program, designed to build our future leadership capacity, has a strong focus on recruiting people with disability. In the 2020 intake, </w:t>
      </w:r>
      <w:r w:rsidR="00BF5C8E" w:rsidRPr="00262F3A">
        <w:t>60</w:t>
      </w:r>
      <w:r w:rsidRPr="00262F3A">
        <w:t xml:space="preserve"> per cent of the graduates shared that they live with disability. </w:t>
      </w:r>
    </w:p>
    <w:p w14:paraId="2E99D082" w14:textId="77777777" w:rsidR="00726F4B" w:rsidRPr="00262F3A" w:rsidRDefault="00726F4B" w:rsidP="00561B3B">
      <w:r w:rsidRPr="00262F3A">
        <w:t>Since its establishment in 2016, the Aboriginal and Torres Strait Islander Employee Network has continued to provide a forum for Aboriginal and Torres Strait Islander employees to connect with each other on a national basis. The Agency continues to deliver on the actions outlined in its second Reconciliation Action Plan, launched in May 2019. The Agency’s Innovate Reconciliation Action Plan outlines the Agency’s ongoing commitment to develop respectful and inclusive relationships with Aboriginal and Torres Strait Islander peoples and communities. The Agency has also continued to deliver on actions outlined in the Aboriginal and Torres Strait Islander Employment Strategy 2018–20. Key achievements delivered so far include the launch of Aboriginal and Torres Strait Islander cultural awareness training for all employees, the establishment of our Aboriginal and Torres Strait Islander Buddy Program, and continued participation in the Indigenous Apprenticeships Program and the Indigenous Australian Government Development Program.</w:t>
      </w:r>
    </w:p>
    <w:p w14:paraId="5DE0E4C4" w14:textId="05791693" w:rsidR="00726F4B" w:rsidRPr="00262F3A" w:rsidRDefault="00726F4B" w:rsidP="00561B3B">
      <w:r w:rsidRPr="00262F3A">
        <w:t xml:space="preserve">The Agency is focused on supporting its workforce who identify as part of the LGBTIQA+ community. An LGBTIQA+ Inclusion Plan Working Group has formed to develop the Agency’s first LGBTIQA+ Inclusion Plan, which will outline how the Agency will attract, support and retain LGBTIQA+ people. This plan will be delivered in 2021. Early achievements in its development and design include the establishment of an LGBTIQA+ Employee Network and the appointment of a </w:t>
      </w:r>
      <w:r w:rsidR="00F21FDC">
        <w:t>Senior Executive Service (</w:t>
      </w:r>
      <w:r w:rsidRPr="00262F3A">
        <w:t>SES</w:t>
      </w:r>
      <w:r w:rsidR="00F21FDC">
        <w:t>)</w:t>
      </w:r>
      <w:r w:rsidRPr="00262F3A">
        <w:t xml:space="preserve"> LGBTIQA+ Champion. The Agency holds membership with the national not-for-profit organisation Pride in Diversity. </w:t>
      </w:r>
    </w:p>
    <w:p w14:paraId="17B50F5E" w14:textId="77777777" w:rsidR="00726F4B" w:rsidRPr="00262F3A" w:rsidRDefault="00726F4B" w:rsidP="008F00D1">
      <w:pPr>
        <w:pStyle w:val="Heading4"/>
      </w:pPr>
      <w:r w:rsidRPr="00262F3A">
        <w:t>Performance management</w:t>
      </w:r>
    </w:p>
    <w:p w14:paraId="181B4CA9" w14:textId="087B8826" w:rsidR="00726F4B" w:rsidRPr="00262F3A" w:rsidRDefault="00726F4B" w:rsidP="00561B3B">
      <w:r w:rsidRPr="00262F3A">
        <w:t xml:space="preserve">In 2019–20 the Agency introduced a refreshed Performance Framework for SES. This new framework will assist the Agency to move to a performance process that cascades the </w:t>
      </w:r>
      <w:r w:rsidR="00095152" w:rsidRPr="00262F3A">
        <w:t>Agency</w:t>
      </w:r>
      <w:r w:rsidRPr="00262F3A">
        <w:t xml:space="preserve"> Corporate Plan aspirations and goals to every level of the Agency. The move from 100 Day Plans to an annual performance cycle and annual goal setting provides strategic goal alignment, and focuses performance planning and assessment </w:t>
      </w:r>
      <w:r w:rsidR="00F21FDC">
        <w:t>on</w:t>
      </w:r>
      <w:r w:rsidRPr="00262F3A">
        <w:t xml:space="preserve"> achieving corporate strategic outcomes. </w:t>
      </w:r>
    </w:p>
    <w:p w14:paraId="6A58BC1E" w14:textId="01B91050" w:rsidR="00726F4B" w:rsidRPr="00262F3A" w:rsidRDefault="00726F4B" w:rsidP="00561B3B">
      <w:r w:rsidRPr="00262F3A">
        <w:t>The new annual performance cycle includes mid-year and annual reviews and two informal check-ins. Mid-year and annual review ratings are based on ‘What’ and ‘How’</w:t>
      </w:r>
      <w:r w:rsidR="00F21FDC">
        <w:t>,</w:t>
      </w:r>
      <w:r w:rsidRPr="00262F3A">
        <w:t xml:space="preserve"> measures that align the Agency’s values and behaviours with performance. Regular check-ins and reviews facilitate ongoing quality conversations throughout th</w:t>
      </w:r>
      <w:r w:rsidR="00F21FDC">
        <w:t>e performance cycle that allow</w:t>
      </w:r>
      <w:r w:rsidRPr="00262F3A">
        <w:t xml:space="preserve"> managers to check</w:t>
      </w:r>
      <w:r w:rsidR="00F21FDC">
        <w:t xml:space="preserve"> </w:t>
      </w:r>
      <w:r w:rsidRPr="00262F3A">
        <w:t xml:space="preserve">in on progress and whether goals and expectations need to be realigned to address </w:t>
      </w:r>
      <w:r w:rsidRPr="00262F3A">
        <w:lastRenderedPageBreak/>
        <w:t>changes in priorities. This change will be introduced to the broader Agency in the 2020–21 financial year.</w:t>
      </w:r>
    </w:p>
    <w:p w14:paraId="6935CB19" w14:textId="77777777" w:rsidR="00726F4B" w:rsidRPr="00262F3A" w:rsidRDefault="00726F4B" w:rsidP="008F00D1">
      <w:pPr>
        <w:pStyle w:val="Heading4"/>
      </w:pPr>
      <w:r w:rsidRPr="00262F3A">
        <w:t>Ethics policies</w:t>
      </w:r>
    </w:p>
    <w:p w14:paraId="4FBD761E" w14:textId="77777777" w:rsidR="00726F4B" w:rsidRPr="00262F3A" w:rsidRDefault="00726F4B" w:rsidP="00561B3B">
      <w:r w:rsidRPr="00262F3A">
        <w:t xml:space="preserve">The Agency promotes ethical standards and behaviours relating to its workplaces and employment. All Agency staff are required to comply with the APS Values and Code of Conduct as set out in section 13 of the </w:t>
      </w:r>
      <w:r w:rsidRPr="00262F3A">
        <w:rPr>
          <w:i/>
        </w:rPr>
        <w:t>Public Service Act 1999</w:t>
      </w:r>
      <w:r w:rsidRPr="00262F3A">
        <w:t>. Possible breaches of the Code of Conduct are taken seriously, and action is taken when breaches occur.</w:t>
      </w:r>
    </w:p>
    <w:p w14:paraId="3269364A" w14:textId="164D4367" w:rsidR="00726F4B" w:rsidRPr="00262F3A" w:rsidRDefault="00726F4B" w:rsidP="00561B3B">
      <w:r w:rsidRPr="00262F3A">
        <w:t>The Agency has in place compulsory training programs, staff policies, and guidelines to help staff to understand their obligations and to support good workplace behaviour. Managers and staff have access to a network of officers trained to provide information and support to staff who have concerns about workplace behaviours</w:t>
      </w:r>
      <w:r w:rsidR="00F21FDC">
        <w:t>,</w:t>
      </w:r>
      <w:r w:rsidRPr="00262F3A">
        <w:t xml:space="preserve"> including bullying, harassment and discrimination. These officers receive a fortnightly allowance to undertake this role, as set out in the </w:t>
      </w:r>
      <w:r w:rsidR="00095152" w:rsidRPr="00262F3A">
        <w:t>Agency</w:t>
      </w:r>
      <w:r w:rsidRPr="00262F3A">
        <w:t xml:space="preserve"> Enterprise Agreement 2016–2019 and 2020–2023.</w:t>
      </w:r>
    </w:p>
    <w:p w14:paraId="0954831D" w14:textId="77777777" w:rsidR="00726F4B" w:rsidRPr="00262F3A" w:rsidRDefault="00726F4B" w:rsidP="00561B3B">
      <w:r w:rsidRPr="00262F3A">
        <w:t xml:space="preserve">Material published on the Agency’s (internal) intranet includes information on the APS Values, the APS Employment Principles, the APS Code of Conduct and the Ethics Advisory Service, which is available to all APS employees who wish to discuss or seek advice on ethical issues that occur in the workplace. </w:t>
      </w:r>
    </w:p>
    <w:p w14:paraId="0A3694EE" w14:textId="77777777" w:rsidR="004F2101" w:rsidRPr="00262F3A" w:rsidRDefault="004F2101" w:rsidP="00866585">
      <w:pPr>
        <w:pStyle w:val="Heading2"/>
      </w:pPr>
      <w:bookmarkStart w:id="151" w:name="_Toc51067993"/>
      <w:r w:rsidRPr="00262F3A">
        <w:t xml:space="preserve">Staff </w:t>
      </w:r>
      <w:r w:rsidR="002C054D" w:rsidRPr="00262F3A">
        <w:t>e</w:t>
      </w:r>
      <w:r w:rsidRPr="00262F3A">
        <w:t>ngagement</w:t>
      </w:r>
      <w:bookmarkEnd w:id="151"/>
    </w:p>
    <w:p w14:paraId="6D0F3D43" w14:textId="32E03F76" w:rsidR="004F0890" w:rsidRPr="00262F3A" w:rsidRDefault="004F0890" w:rsidP="004F0890">
      <w:pPr>
        <w:rPr>
          <w:rFonts w:ascii="Calibri" w:eastAsiaTheme="minorHAnsi" w:hAnsi="Calibri" w:cs="Calibri"/>
          <w:lang w:eastAsia="en-US"/>
        </w:rPr>
      </w:pPr>
      <w:r w:rsidRPr="00262F3A">
        <w:t>The NDIA continues to build and embed a values</w:t>
      </w:r>
      <w:r w:rsidR="00F21FDC">
        <w:t>-</w:t>
      </w:r>
      <w:r w:rsidRPr="00262F3A">
        <w:t xml:space="preserve">based culture that always puts participants at the heart of everything we do. The Agency seeks to deliver quality participant outcomes, through a safe and inclusive working environment which values the skill, commitment and wellbeing of our people.  </w:t>
      </w:r>
    </w:p>
    <w:p w14:paraId="639AFDC8" w14:textId="024DF504" w:rsidR="0020404F" w:rsidRPr="00262F3A" w:rsidRDefault="004F0890" w:rsidP="004F0890">
      <w:r w:rsidRPr="00262F3A">
        <w:t>We have an engaged workforce which in turn drives high performance. We conducted our own engagement survey given the COVID</w:t>
      </w:r>
      <w:r w:rsidR="00F21FDC">
        <w:t>-</w:t>
      </w:r>
      <w:r w:rsidRPr="00262F3A">
        <w:t>19-driven deferral of the full APS Census. The survey was available to all Agency workers from 18</w:t>
      </w:r>
      <w:r w:rsidR="00F21FDC">
        <w:t xml:space="preserve"> to </w:t>
      </w:r>
      <w:r w:rsidRPr="00262F3A">
        <w:t>29 May 2020.  The results indicate a continued strengthening of workforce engagement, with a response rate of 88</w:t>
      </w:r>
      <w:r w:rsidR="00F21FDC">
        <w:t xml:space="preserve"> per cent</w:t>
      </w:r>
      <w:r w:rsidRPr="00262F3A">
        <w:t xml:space="preserve"> and an Engagement Index</w:t>
      </w:r>
      <w:r w:rsidR="00F21FDC">
        <w:rPr>
          <w:rStyle w:val="FootnoteReference"/>
        </w:rPr>
        <w:footnoteReference w:id="28"/>
      </w:r>
      <w:r w:rsidRPr="00262F3A">
        <w:t xml:space="preserve"> score of 80 (an increase of 4 points in comparison to the 2019 APS Employee Census). This improvement reflects our team’s attachment to the Agency, and a strong sense of purpose and commitment to the work that they do</w:t>
      </w:r>
      <w:r w:rsidR="0020404F" w:rsidRPr="00262F3A">
        <w:t>.</w:t>
      </w:r>
    </w:p>
    <w:p w14:paraId="7057537A" w14:textId="77777777" w:rsidR="00EC35FC" w:rsidRPr="00262F3A" w:rsidRDefault="002C054D" w:rsidP="008F00D1">
      <w:pPr>
        <w:pStyle w:val="Heading2"/>
      </w:pPr>
      <w:bookmarkStart w:id="152" w:name="_Toc51067994"/>
      <w:r w:rsidRPr="00262F3A">
        <w:t>Risk m</w:t>
      </w:r>
      <w:r w:rsidR="00EC35FC" w:rsidRPr="00262F3A">
        <w:t>anagement</w:t>
      </w:r>
      <w:bookmarkEnd w:id="152"/>
    </w:p>
    <w:p w14:paraId="612A5239" w14:textId="77777777" w:rsidR="003715A4" w:rsidRPr="00262F3A" w:rsidRDefault="003715A4" w:rsidP="005D7395">
      <w:r w:rsidRPr="00262F3A">
        <w:t xml:space="preserve">The Agency has a structured approach to identifying, managing, escalating and communicating key risks early. This is critical to the effective and efficient delivery of the Scheme. The Agency is committed to ensuring that participant supports, provider services and other critical business functions are maintained or quickly restored in the event of a significant outage, incident or crisis. The proactive use of risk management within the Agency has allowed us to support effective business planning and operations with an evidence-based approach within the appetite and tolerances set by the Board. </w:t>
      </w:r>
    </w:p>
    <w:p w14:paraId="2FA14BEB" w14:textId="76B454FC" w:rsidR="003715A4" w:rsidRPr="00262F3A" w:rsidRDefault="003715A4" w:rsidP="005D7395">
      <w:r w:rsidRPr="00262F3A">
        <w:t xml:space="preserve">The </w:t>
      </w:r>
      <w:r w:rsidR="00F21FDC">
        <w:t>Chief Risk Officer (</w:t>
      </w:r>
      <w:r w:rsidR="000A04E3" w:rsidRPr="00262F3A">
        <w:t>CRO</w:t>
      </w:r>
      <w:r w:rsidR="00F21FDC">
        <w:t>)</w:t>
      </w:r>
      <w:r w:rsidRPr="00262F3A">
        <w:t xml:space="preserve"> assists the Board and the ELT by providing objective risk reviews, oversight, monitoring and reporting. </w:t>
      </w:r>
    </w:p>
    <w:p w14:paraId="59EA4FD6" w14:textId="069FFE35" w:rsidR="003715A4" w:rsidRPr="00262F3A" w:rsidRDefault="003715A4" w:rsidP="005D7395">
      <w:r w:rsidRPr="00262F3A">
        <w:lastRenderedPageBreak/>
        <w:t xml:space="preserve">On an annual basis, the Board determines the strategic risks for the Agency, which are directly aligned to the Corporate Plan. The Board determined 11 strategic risks for 2019–20 in the areas of participant experience and outcomes, provider market growth and quality, stakeholder expectations, </w:t>
      </w:r>
      <w:r w:rsidR="00F21FDC">
        <w:t>S</w:t>
      </w:r>
      <w:r w:rsidRPr="00262F3A">
        <w:t xml:space="preserve">cheme sustainability and Agency operational stability. The strategic risks are monitored against key indicators and performance </w:t>
      </w:r>
      <w:r w:rsidR="00F21FDC">
        <w:t xml:space="preserve">is </w:t>
      </w:r>
      <w:r w:rsidRPr="00262F3A">
        <w:t xml:space="preserve">reported to the Board on a quarterly basis. The strategic risks are complemented by operational risks and controls which are owned and managed at group level. </w:t>
      </w:r>
    </w:p>
    <w:p w14:paraId="0D0599F0" w14:textId="77777777" w:rsidR="003715A4" w:rsidRPr="00262F3A" w:rsidRDefault="003715A4" w:rsidP="005D7395">
      <w:r w:rsidRPr="00262F3A">
        <w:t>In 2019–20, the Agency established and tested a robust Business Continuity Management Framework (most recently during the Victorian and New South Wales bushfire emergency and the COVID-19 pandemic) to ensure the rapid resumption of participant and provider services and critical business activities in emergency situations.</w:t>
      </w:r>
    </w:p>
    <w:p w14:paraId="2AEF53D2" w14:textId="1358A801" w:rsidR="003715A4" w:rsidRPr="00262F3A" w:rsidRDefault="003715A4" w:rsidP="005D7395">
      <w:r w:rsidRPr="00262F3A">
        <w:t xml:space="preserve">In 2019–20 an Agency-wide review of the prevailing operating risks </w:t>
      </w:r>
      <w:r w:rsidR="00F21FDC">
        <w:t xml:space="preserve">was </w:t>
      </w:r>
      <w:r w:rsidRPr="00262F3A">
        <w:t xml:space="preserve">undertaken to validate the accuracy and robustness of the Agency risk and control framework. This resulted in the removal of risk, controls and treatment duplication by 40 to 60 per cent. A system-based quarterly risk review process is planned for all critical and high risks in line with the Agency’s risk governance requirements, including strategic and regulatory risk mapping. </w:t>
      </w:r>
    </w:p>
    <w:p w14:paraId="3A6F6BA4" w14:textId="2B7FA144" w:rsidR="003715A4" w:rsidRPr="00262F3A" w:rsidRDefault="003715A4" w:rsidP="005D7395">
      <w:r w:rsidRPr="00262F3A">
        <w:t>In 2019–20 the Agency launched its Integrated Risk Management System</w:t>
      </w:r>
      <w:r w:rsidR="00F21FDC">
        <w:t xml:space="preserve"> - </w:t>
      </w:r>
      <w:r w:rsidRPr="00262F3A">
        <w:t>a central repository for capturing and managing strategic and operational risks, regulatory obligations, audit recommendations, incidents and business continuity plans. The system will give accountable executives enhanced awareness of risks and controls. Linkages will provide a holistic view of the Agency risk profile, which w</w:t>
      </w:r>
      <w:r w:rsidR="00F21FDC">
        <w:t>ill enhance risk-based decision-</w:t>
      </w:r>
      <w:r w:rsidRPr="00262F3A">
        <w:t>making.</w:t>
      </w:r>
    </w:p>
    <w:p w14:paraId="5F814FF0" w14:textId="77777777" w:rsidR="003715A4" w:rsidRPr="00262F3A" w:rsidRDefault="003715A4" w:rsidP="005D7395">
      <w:r w:rsidRPr="00262F3A">
        <w:t xml:space="preserve">The Agency’s Risk in Change guide has been integrated into the Agency Change Management Framework. This will facilitate a structured approach to identifying and mitigating risks associated with strategic projects and significant operational change. </w:t>
      </w:r>
    </w:p>
    <w:p w14:paraId="7EE49076" w14:textId="7690B027" w:rsidR="003715A4" w:rsidRPr="00262F3A" w:rsidRDefault="003715A4" w:rsidP="005D7395">
      <w:r w:rsidRPr="00262F3A">
        <w:t>In October 2019 the Agency commenced a 12</w:t>
      </w:r>
      <w:r w:rsidR="00F21FDC">
        <w:t xml:space="preserve"> </w:t>
      </w:r>
      <w:r w:rsidRPr="00262F3A">
        <w:t xml:space="preserve">month Regulatory Assurance Program to deliver risk-based assurance coverage over a number of key regulatory obligations to ensure the Agency’s control environment is effective. Two reviews were completed in 2019–20, on the NDIS Act; and on privacy and freedom of information requirements. </w:t>
      </w:r>
    </w:p>
    <w:p w14:paraId="2186FCC0" w14:textId="57B1A604" w:rsidR="003715A4" w:rsidRPr="00262F3A" w:rsidRDefault="003715A4" w:rsidP="005D7395">
      <w:r w:rsidRPr="00262F3A">
        <w:t>In February 2020 the Agency implemented the SpeakUp platform to raise risk awareness and sustain a strong risk culture across the Agency. Since its launch, the number of incidents and potential process improvements identi</w:t>
      </w:r>
      <w:r w:rsidR="00F21FDC">
        <w:t xml:space="preserve">fied and reported has increased - </w:t>
      </w:r>
      <w:r w:rsidRPr="00262F3A">
        <w:t>this has enabled us to respond promptly and take remedial action. </w:t>
      </w:r>
    </w:p>
    <w:p w14:paraId="529B0B38" w14:textId="77777777" w:rsidR="003715A4" w:rsidRPr="00262F3A" w:rsidRDefault="003715A4" w:rsidP="008F00D1">
      <w:pPr>
        <w:pStyle w:val="Heading3"/>
      </w:pPr>
      <w:bookmarkStart w:id="153" w:name="_Toc51067995"/>
      <w:r w:rsidRPr="00262F3A">
        <w:t>Scheme integrity</w:t>
      </w:r>
      <w:bookmarkEnd w:id="153"/>
      <w:r w:rsidRPr="00262F3A">
        <w:t xml:space="preserve"> </w:t>
      </w:r>
    </w:p>
    <w:p w14:paraId="210A4966" w14:textId="77777777" w:rsidR="003715A4" w:rsidRPr="00262F3A" w:rsidRDefault="003715A4" w:rsidP="008F00D1">
      <w:pPr>
        <w:pStyle w:val="Heading4"/>
      </w:pPr>
      <w:r w:rsidRPr="00262F3A">
        <w:t>Internal</w:t>
      </w:r>
    </w:p>
    <w:p w14:paraId="22AE90AB" w14:textId="77777777" w:rsidR="003715A4" w:rsidRPr="00262F3A" w:rsidRDefault="003715A4" w:rsidP="005D7395">
      <w:r w:rsidRPr="00262F3A">
        <w:t xml:space="preserve">The Internal Fraud function is responsible for meeting obligations under the Commonwealth Fraud Control Framework 2017. </w:t>
      </w:r>
    </w:p>
    <w:p w14:paraId="1DF0B5F5" w14:textId="77777777" w:rsidR="003715A4" w:rsidRPr="00262F3A" w:rsidRDefault="003715A4" w:rsidP="005D7395">
      <w:r w:rsidRPr="00262F3A">
        <w:t xml:space="preserve">During 2019–20 the Internal Fraud function has enhanced the Agency’s effectiveness in dealing with reports of suspected fraud from the public, staff members or other stakeholders. The Agency continued to develop the internal fraud control process, capabilities and targeted detection profiles to manage fraud risks and reports of suspected fraud. The function has improved workflows and efficiencies in detecting, preventing, investigating and responding to internal fraud matters. </w:t>
      </w:r>
    </w:p>
    <w:p w14:paraId="36813692" w14:textId="77777777" w:rsidR="003715A4" w:rsidRPr="00262F3A" w:rsidRDefault="003715A4" w:rsidP="005D7395">
      <w:r w:rsidRPr="00262F3A">
        <w:t>The Agency uses specific measures for countering the risk of corruption, including where staff members are targeted by external parties and staff members engage in fraudulent behaviours in order to gain a benefit or cause a loss during or through their employment with the Agency. In 2020–21 the Agency will develop the Staff Integrity Framework, which will enhance our</w:t>
      </w:r>
      <w:r w:rsidRPr="00262F3A" w:rsidDel="00474B04">
        <w:t xml:space="preserve"> </w:t>
      </w:r>
      <w:r w:rsidRPr="00262F3A">
        <w:t xml:space="preserve">ability to manage internal fraud risk. </w:t>
      </w:r>
    </w:p>
    <w:p w14:paraId="16174C38" w14:textId="77777777" w:rsidR="003715A4" w:rsidRPr="00262F3A" w:rsidRDefault="003715A4" w:rsidP="005D7395">
      <w:r w:rsidRPr="00262F3A">
        <w:t>Internal fraud practices ensure that our stakeholder sector remains connected and our approach to fraud, corruption and staff integrity is consistent and aligned.</w:t>
      </w:r>
    </w:p>
    <w:p w14:paraId="16D3B745" w14:textId="77777777" w:rsidR="003715A4" w:rsidRPr="00262F3A" w:rsidRDefault="003715A4" w:rsidP="008F00D1">
      <w:pPr>
        <w:pStyle w:val="Heading4"/>
      </w:pPr>
      <w:r w:rsidRPr="00262F3A">
        <w:lastRenderedPageBreak/>
        <w:t xml:space="preserve">External </w:t>
      </w:r>
    </w:p>
    <w:p w14:paraId="532A8B03" w14:textId="798270D2" w:rsidR="003715A4" w:rsidRPr="00262F3A" w:rsidRDefault="003715A4" w:rsidP="005D7395">
      <w:r w:rsidRPr="00262F3A">
        <w:t>The Agency maintains a zero</w:t>
      </w:r>
      <w:r w:rsidR="00F21FDC">
        <w:t>-</w:t>
      </w:r>
      <w:r w:rsidRPr="00262F3A">
        <w:t>tolerance approach to fraud and invests heavily in the prevention and detection of fraud. Prevention initiatives include education and awareness raising for internal and external stakeholders. This includes raising awareness of scams, which tend to increase in number during times of crisis.</w:t>
      </w:r>
    </w:p>
    <w:p w14:paraId="2223CDBB" w14:textId="77777777" w:rsidR="003715A4" w:rsidRPr="00262F3A" w:rsidRDefault="003715A4" w:rsidP="005D7395">
      <w:r w:rsidRPr="00262F3A">
        <w:t>In 2019–20 the Agency fully implemented its Fraud and Compliance Roadmap, completing a detailed two-year capability-building plan and embedding a more mature capability to support the Agency and the accountable authority to meet its obligations to government.</w:t>
      </w:r>
    </w:p>
    <w:p w14:paraId="52983807" w14:textId="77777777" w:rsidR="003715A4" w:rsidRPr="00262F3A" w:rsidRDefault="003715A4" w:rsidP="005D7395">
      <w:r w:rsidRPr="00262F3A">
        <w:t xml:space="preserve">The Agency also refreshed its Fraud and Corruption Control Plan, strengthening governance and responsibilities and presenting a view of the Agency’s fraud and corruption risks to the ELT and the Board. The Fraud and Corruption Control Plan aligns with the Commonwealth Fraud Control Framework 2017. </w:t>
      </w:r>
    </w:p>
    <w:p w14:paraId="34AA4E1E" w14:textId="77777777" w:rsidR="003715A4" w:rsidRPr="00262F3A" w:rsidRDefault="003715A4" w:rsidP="005D7395">
      <w:r w:rsidRPr="00262F3A">
        <w:t>In 2019–20 the Agency moved to a rolling program of risk assessment activities to continue to strengthen the fraud and corruption control environment and to further embed fraud risk management in the Agency’s core business. The program prioritises higher risk areas and allows for inclusion of new or emerging risks. Re-prioritisation exercises were conducted to incorporate risks arising from the bushfire crisis and COVID-19 pandemic measures.</w:t>
      </w:r>
    </w:p>
    <w:p w14:paraId="0483AC1E" w14:textId="77777777" w:rsidR="003715A4" w:rsidRPr="00262F3A" w:rsidRDefault="003715A4" w:rsidP="005D7395">
      <w:r w:rsidRPr="00262F3A">
        <w:t xml:space="preserve">The Agency’s fraud and corruption risk register has been improved and feedback and insights from the Australian National Audit Office’s 2019 performance audit on the NDIS Fraud Control Program have been acted upon. </w:t>
      </w:r>
    </w:p>
    <w:p w14:paraId="4A6EBEDC" w14:textId="77777777" w:rsidR="003715A4" w:rsidRPr="00262F3A" w:rsidRDefault="003715A4" w:rsidP="005D7395">
      <w:r w:rsidRPr="00262F3A">
        <w:t xml:space="preserve">The Agency has recruited and embedded permanent employees who specialise in fraud and corruption control. These experts continue to work with risk and control owners across the business to identify control vulnerabilities, assess control effectiveness and introduce additional mitigating treatments. </w:t>
      </w:r>
    </w:p>
    <w:p w14:paraId="159CCE19" w14:textId="309E295C" w:rsidR="003715A4" w:rsidRPr="00262F3A" w:rsidRDefault="003715A4" w:rsidP="005D7395">
      <w:r w:rsidRPr="00262F3A">
        <w:t>The Agency continues to prioritise the effective handling of reports of suspected fraud from the public or other stakeholders. The Agency’s appropriate assessment, investigation and response to allegations of suspected fraud is a key element in maintaining the confidence of stakeholders</w:t>
      </w:r>
      <w:r w:rsidR="00F21FDC">
        <w:t>,</w:t>
      </w:r>
      <w:r w:rsidRPr="00262F3A">
        <w:t xml:space="preserve"> including governments and the Australian community. </w:t>
      </w:r>
    </w:p>
    <w:p w14:paraId="3B9B5632" w14:textId="77777777" w:rsidR="003715A4" w:rsidRPr="00262F3A" w:rsidRDefault="003715A4" w:rsidP="005D7395">
      <w:r w:rsidRPr="00262F3A">
        <w:t xml:space="preserve">In 2019–20 the Agency introduced a scams helpline to support participants and other stakeholders who have had their personal information compromised through a scam. The Agency has continued to invest in data analytics and data matching, infrastructure and data and intelligence analysts. More advanced analytics and machine learning has been piloted to complement these current capabilities. These advanced methods and tools will draw upon industry best practice to further extend the Agency’s fraud detection capability and continue to develop our analytics maturity. </w:t>
      </w:r>
    </w:p>
    <w:p w14:paraId="51469015" w14:textId="77777777" w:rsidR="003715A4" w:rsidRPr="00262F3A" w:rsidRDefault="003715A4" w:rsidP="005D7395">
      <w:r w:rsidRPr="00262F3A">
        <w:t>In 2019–20, the Scheme Integrity Branch conducted a range of compliance activities, including targeted and proactive engagement, and desk-based reviews, to treat payment risks through opportunistic and non-compliant behaviour from providers, plan management agencies, and participants identified through tip-offs and a diverse range of fraud detection profiles.</w:t>
      </w:r>
    </w:p>
    <w:p w14:paraId="1B126041" w14:textId="0CCFD6A0" w:rsidR="003715A4" w:rsidRPr="00262F3A" w:rsidRDefault="003715A4" w:rsidP="005D7395">
      <w:r w:rsidRPr="00262F3A">
        <w:t>The Scheme Integrity Branch has used targeted activities to engage with over 1,800 providers, plan management agencies and participants to re</w:t>
      </w:r>
      <w:r w:rsidR="00293A85">
        <w:t>inforce</w:t>
      </w:r>
      <w:r w:rsidRPr="00262F3A">
        <w:t xml:space="preserve"> their obligations and responsibilities when claiming payments arising from participant plans. </w:t>
      </w:r>
    </w:p>
    <w:p w14:paraId="2B03634C" w14:textId="1C6970B3" w:rsidR="003715A4" w:rsidRPr="00262F3A" w:rsidRDefault="003715A4" w:rsidP="005D7395">
      <w:r w:rsidRPr="00262F3A">
        <w:t xml:space="preserve">In 2019–20 the Agency received more than 5,000 tip-offs through the fraud reporting hotline and email. In response to increasing numbers of fraud tip-offs, the Scheme Integrity Branch commenced a Community Engagement Program pilot. The program is designed to increase the awareness of participants, providers and </w:t>
      </w:r>
      <w:r w:rsidR="00830AEB">
        <w:t>NDIA</w:t>
      </w:r>
      <w:r w:rsidR="00830AEB" w:rsidRPr="00262F3A">
        <w:t xml:space="preserve"> </w:t>
      </w:r>
      <w:r w:rsidR="0050536B">
        <w:t>PITC</w:t>
      </w:r>
      <w:r w:rsidR="00F21FDC">
        <w:t>s</w:t>
      </w:r>
      <w:r w:rsidRPr="00262F3A">
        <w:t xml:space="preserve"> of their rights, responsibilities and obligations based on analysis of fraud tip-offs.</w:t>
      </w:r>
    </w:p>
    <w:p w14:paraId="3C05319A" w14:textId="77777777" w:rsidR="003715A4" w:rsidRPr="00262F3A" w:rsidRDefault="003715A4" w:rsidP="005D7395">
      <w:r w:rsidRPr="00262F3A">
        <w:t xml:space="preserve">The pilot began in outback Queensland, where there had been more than 20 tip-offs about one Scheme provider. The Agency, together with the NDIS Quality and Safeguards Commission, visited the provider, discussed the allegations and reinforced standards and expectations with </w:t>
      </w:r>
      <w:r w:rsidRPr="00262F3A">
        <w:lastRenderedPageBreak/>
        <w:t>the provider to ensure participants received the best possible supports. The pilot is assisted by local Agency service delivery staff, who ensure that any emerging issues are identified and addressed.</w:t>
      </w:r>
    </w:p>
    <w:p w14:paraId="2E4CB65D" w14:textId="2FB820FC" w:rsidR="003715A4" w:rsidRPr="00262F3A" w:rsidRDefault="003715A4" w:rsidP="005D7395">
      <w:r w:rsidRPr="00262F3A">
        <w:t xml:space="preserve">The NDIS Fraud Taskforce, initially established for two years from July 2018, has assisted the Agency to develop effective detection and response to fraud against the Scheme. The prevention and detection capabilities have now been developed into the standing structure of the Agency’s Scheme Integrity Branch. The investigation function has also matured, with successful investigations completed or currently before the courts and identified risks and business improvement opportunities fed back into the Agency. In June 2020 the Minister for the </w:t>
      </w:r>
      <w:r w:rsidR="00830AEB">
        <w:t>NDIS</w:t>
      </w:r>
      <w:r w:rsidRPr="00262F3A">
        <w:t>, the Hon Stuart Robert MP, approved the extension of the taskforce to 30 June 2021, allowing the joint activity of the Agency, the Australian Federal Police and Services Australia to continue focusing on serious and organised fraud affecting the Scheme.</w:t>
      </w:r>
    </w:p>
    <w:p w14:paraId="4FFCEA52" w14:textId="77777777" w:rsidR="003715A4" w:rsidRPr="00262F3A" w:rsidRDefault="003715A4" w:rsidP="008F00D1">
      <w:pPr>
        <w:pStyle w:val="Heading4"/>
      </w:pPr>
      <w:r w:rsidRPr="00262F3A">
        <w:t>Case study: NDIS Fraud Taskforce inquiry leads to imprisonment and forfeiture of proceeds of crime</w:t>
      </w:r>
    </w:p>
    <w:p w14:paraId="34B63224" w14:textId="77777777" w:rsidR="003715A4" w:rsidRPr="00262F3A" w:rsidRDefault="003715A4" w:rsidP="005D7395">
      <w:r w:rsidRPr="00262F3A">
        <w:t xml:space="preserve">In June and July 2018, the Agency received complaints from a range of sources about the activities and claiming behaviour of Melbourne service provider Langmann Care Pty Ltd. The NDIS Fraud Taskforce, supported by the Agency’s Fraud Intelligence Section, investigated the allegations and gathered evidence that the owner of this company, Mohamed Omar, had claimed $483,000 of Scheme funding for services to participants that had never been delivered. Omar was subsequently arrested and charged with a range of Commonwealth fraud offences. </w:t>
      </w:r>
    </w:p>
    <w:p w14:paraId="4CAE6D90" w14:textId="14153BD3" w:rsidR="003715A4" w:rsidRPr="00262F3A" w:rsidRDefault="003715A4" w:rsidP="005D7395">
      <w:r w:rsidRPr="00262F3A">
        <w:t xml:space="preserve">Omar’s fraud involved NDIS plans of 230 participants. In some cases, the wellbeing of these participants and their families </w:t>
      </w:r>
      <w:r w:rsidR="00257F1F">
        <w:t>was</w:t>
      </w:r>
      <w:r w:rsidR="00257F1F" w:rsidRPr="00262F3A">
        <w:t xml:space="preserve"> </w:t>
      </w:r>
      <w:r w:rsidRPr="00262F3A">
        <w:t xml:space="preserve">detrimentally affected. Victim impact statements presented during court proceedings showed the dramatic personal impact the offending had on some of our community’s most vulnerable people. </w:t>
      </w:r>
    </w:p>
    <w:p w14:paraId="5AAE0906" w14:textId="77777777" w:rsidR="003715A4" w:rsidRPr="00262F3A" w:rsidRDefault="003715A4" w:rsidP="005D7395">
      <w:r w:rsidRPr="00262F3A">
        <w:t>Omar eventually pleaded guilty to the charges. On 11 July 2019 he was sentenced to four years of imprisonment. Also, as a result of the taskforce inquiry, high-end motor vehicles, luxury items and cash were seized from Omar and forfeited as proceeds of crime.</w:t>
      </w:r>
    </w:p>
    <w:p w14:paraId="619D119B" w14:textId="77777777" w:rsidR="003715A4" w:rsidRPr="00262F3A" w:rsidRDefault="003715A4" w:rsidP="005D7395">
      <w:r w:rsidRPr="00262F3A">
        <w:t>As at the end of 2019–20, the NDIS Fraud Taskforce has five further criminal prosecutions before the courts and a range of other complex and serious investigations are on foot.</w:t>
      </w:r>
    </w:p>
    <w:p w14:paraId="61B94CC3" w14:textId="77777777" w:rsidR="003715A4" w:rsidRPr="00262F3A" w:rsidRDefault="003715A4" w:rsidP="00561B3B">
      <w:pPr>
        <w:rPr>
          <w:rFonts w:eastAsia="Georgia"/>
          <w:color w:val="6A2875"/>
          <w:sz w:val="28"/>
          <w:szCs w:val="28"/>
        </w:rPr>
      </w:pPr>
      <w:r w:rsidRPr="00262F3A">
        <w:rPr>
          <w:noProof/>
          <w:lang w:eastAsia="en-AU"/>
        </w:rPr>
        <w:drawing>
          <wp:inline distT="0" distB="0" distL="0" distR="0" wp14:anchorId="007FAF09" wp14:editId="4F3B90D7">
            <wp:extent cx="5064582" cy="2847975"/>
            <wp:effectExtent l="0" t="0" r="3175" b="0"/>
            <wp:docPr id="7" name="Picture 7" descr="A photo of Mohamed Omar being escorted by the police. The man escorting Omar is wearing a black suit. A uniform police officer is following behind them wearing a police 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b463\AppData\Local\Microsoft\Windows\INetCache\Content.Word\AFP20181016OpNDIS00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94631" cy="2864872"/>
                    </a:xfrm>
                    <a:prstGeom prst="rect">
                      <a:avLst/>
                    </a:prstGeom>
                    <a:noFill/>
                    <a:ln>
                      <a:noFill/>
                    </a:ln>
                  </pic:spPr>
                </pic:pic>
              </a:graphicData>
            </a:graphic>
          </wp:inline>
        </w:drawing>
      </w:r>
    </w:p>
    <w:p w14:paraId="1CC2AC6F" w14:textId="6EA71816" w:rsidR="003715A4" w:rsidRPr="00262F3A" w:rsidRDefault="003715A4" w:rsidP="005D7395">
      <w:r w:rsidRPr="00262F3A">
        <w:t>The Agency acknowledges that</w:t>
      </w:r>
      <w:r w:rsidR="00F21FDC">
        <w:t>,</w:t>
      </w:r>
      <w:r w:rsidRPr="00262F3A">
        <w:t xml:space="preserve"> in relation to fraud and corruption control, prevention is key. The strongest defence is a sound system of internal controls. The Agency has put in place a number of elements that will bolster effective fraud and corruption prevention</w:t>
      </w:r>
      <w:r w:rsidR="00F21FDC">
        <w:t xml:space="preserve"> - </w:t>
      </w:r>
      <w:r w:rsidRPr="00262F3A">
        <w:t xml:space="preserve">for example, a leadership commitment to effective risk management and an ethical culture, supported by appropriate levels of awareness about fraud-related issues among staff, including contractors </w:t>
      </w:r>
      <w:r w:rsidRPr="00262F3A">
        <w:lastRenderedPageBreak/>
        <w:t xml:space="preserve">and partners. The Agency also has adequate on-boarding and off-boarding processes; clear standards of conduct; and skilled and qualified fraud control, fraud intelligence and fraud investigations personnel. </w:t>
      </w:r>
    </w:p>
    <w:p w14:paraId="735DDEC2" w14:textId="77777777" w:rsidR="003715A4" w:rsidRPr="00262F3A" w:rsidRDefault="003715A4" w:rsidP="008F00D1">
      <w:pPr>
        <w:pStyle w:val="Heading3"/>
      </w:pPr>
      <w:bookmarkStart w:id="154" w:name="_Toc51067996"/>
      <w:r w:rsidRPr="00262F3A">
        <w:t>Internal audit</w:t>
      </w:r>
      <w:bookmarkEnd w:id="154"/>
      <w:r w:rsidRPr="00262F3A">
        <w:t xml:space="preserve"> </w:t>
      </w:r>
    </w:p>
    <w:p w14:paraId="7337C0C5" w14:textId="77777777" w:rsidR="003715A4" w:rsidRPr="00262F3A" w:rsidRDefault="003715A4" w:rsidP="005D7395">
      <w:r w:rsidRPr="00262F3A">
        <w:t>The Internal Audit function works with the Risk Branch to successfully implement effective risk management and control. It operates as the ‘third line of defence’ within the Agency. Internal Audit provides independent assurance to management and the Board through the Audit Committee and also works with management to improve the risk and control environment, acting as a trusted adviser. It works with stakeholders to ensure they understand the Agency’s strategic direction and risk profile to deliver a fully aligned, risk-focused plan incorporating both assurance and advisory engagements. Through our stakeholder engagement, findings are raised with an understanding of the operating environment and relevant insights are communicated.</w:t>
      </w:r>
    </w:p>
    <w:p w14:paraId="3CEB2EFE" w14:textId="174AF6BC" w:rsidR="003715A4" w:rsidRPr="00262F3A" w:rsidRDefault="003715A4" w:rsidP="005D7395">
      <w:r w:rsidRPr="00262F3A">
        <w:t>In 2019–20, the Internal Audit function delivered an approved internal audit plan to the Board Audit Committee. This plan is constantly updated</w:t>
      </w:r>
      <w:r w:rsidR="00F21FDC">
        <w:t xml:space="preserve"> - </w:t>
      </w:r>
      <w:r w:rsidRPr="00262F3A">
        <w:t xml:space="preserve">a formal review is performed every six months to ensure that it remains relevant and is focused on the key risks facing the Agency. The results of all audits were reported to the Board Audit Committee, and progress on action plans to manage issues was monitored through an online tracking system. The status of these actions was reported to both the ELT and the Board through the Audit Committee. </w:t>
      </w:r>
    </w:p>
    <w:p w14:paraId="25768FA1" w14:textId="77777777" w:rsidR="003715A4" w:rsidRPr="00262F3A" w:rsidRDefault="003715A4" w:rsidP="005D7395">
      <w:r w:rsidRPr="00262F3A">
        <w:t>In addition to raising formal issues, the Internal Audit function also provides an Awareness and Action Rating for each assurance engagement. This rating focuses on the risk management culture of the areas audited. The results are included as part of the report delivered to the ELT and the Board Audit Committee. This method of reporting assists in further maturing the level of risk management culture across the Agency.</w:t>
      </w:r>
    </w:p>
    <w:p w14:paraId="5070E6A8" w14:textId="77777777" w:rsidR="003715A4" w:rsidRPr="00262F3A" w:rsidRDefault="003715A4" w:rsidP="008F00D1">
      <w:pPr>
        <w:pStyle w:val="Heading3"/>
      </w:pPr>
      <w:bookmarkStart w:id="155" w:name="_Toc51067997"/>
      <w:r w:rsidRPr="00262F3A">
        <w:t>External audit</w:t>
      </w:r>
      <w:bookmarkEnd w:id="155"/>
      <w:r w:rsidRPr="00262F3A">
        <w:t xml:space="preserve"> </w:t>
      </w:r>
    </w:p>
    <w:p w14:paraId="164DACB3" w14:textId="0DA4DB5B" w:rsidR="003715A4" w:rsidRPr="00262F3A" w:rsidRDefault="003715A4" w:rsidP="005D7395">
      <w:r w:rsidRPr="00262F3A">
        <w:t xml:space="preserve">The Agency maintains a close working relationship with the Australian National Audit Office (ANAO), which provides both external auditing services on the annual financial statements and performance audit services. Details of performance audits delivered during the year that have an impact on the Agency are provided in Appendix </w:t>
      </w:r>
      <w:r w:rsidR="00FB75C2" w:rsidRPr="00262F3A">
        <w:t>5.8</w:t>
      </w:r>
      <w:r w:rsidRPr="00262F3A">
        <w:t xml:space="preserve">. The ANAO’s audit report on the annual financial statements is included in </w:t>
      </w:r>
      <w:r w:rsidR="00935C53" w:rsidRPr="0042283E">
        <w:t>3.</w:t>
      </w:r>
      <w:r w:rsidR="00F7505B">
        <w:t>1</w:t>
      </w:r>
      <w:r w:rsidRPr="00262F3A">
        <w:t>.</w:t>
      </w:r>
    </w:p>
    <w:p w14:paraId="3CE7178F" w14:textId="77777777" w:rsidR="003715A4" w:rsidRPr="00262F3A" w:rsidRDefault="003715A4" w:rsidP="005D7395">
      <w:r w:rsidRPr="00262F3A">
        <w:t>All management actions taken to address recommendations raised by the ANAO are closely tracked, with regular reporting on their status to both the ELT and the Board.</w:t>
      </w:r>
    </w:p>
    <w:p w14:paraId="087F9C33" w14:textId="0DFCD50A" w:rsidR="003715A4" w:rsidRPr="00262F3A" w:rsidRDefault="003715A4" w:rsidP="005D7395">
      <w:r w:rsidRPr="00262F3A">
        <w:t>The Auditor-General tabled the ANAO performance audit report on the NDIS Fraud Control Program on 25 June 2019. The ANAO concluded that the Agency is compliant with the requirements of the Commonwealth Fraud Rule and with b</w:t>
      </w:r>
      <w:r w:rsidR="00AE6AE5">
        <w:t>est-</w:t>
      </w:r>
      <w:r w:rsidRPr="00262F3A">
        <w:t xml:space="preserve">practice directions from the Australian Government Investigations Standards. The audit recognised the Agency’s ongoing investment to improve the response to fraud and non-compliance. </w:t>
      </w:r>
    </w:p>
    <w:p w14:paraId="2297FC70" w14:textId="77777777" w:rsidR="003715A4" w:rsidRPr="00262F3A" w:rsidRDefault="003715A4" w:rsidP="005D7395">
      <w:r w:rsidRPr="00262F3A">
        <w:t>The ANAO made six recommendations, all of which the Agency agreed to. All recommendations have been actioned and closed.</w:t>
      </w:r>
    </w:p>
    <w:p w14:paraId="3A1BA7B4" w14:textId="77777777" w:rsidR="0046429C" w:rsidRPr="00262F3A" w:rsidRDefault="0046429C" w:rsidP="00D7752C">
      <w:pPr>
        <w:ind w:left="0"/>
        <w:rPr>
          <w:lang w:eastAsia="en-US"/>
        </w:rPr>
      </w:pPr>
    </w:p>
    <w:p w14:paraId="51FD7324" w14:textId="77777777" w:rsidR="00EC35FC" w:rsidRPr="00262F3A" w:rsidRDefault="00EC35FC" w:rsidP="00561B3B">
      <w:pPr>
        <w:pStyle w:val="Heading1"/>
      </w:pPr>
      <w:bookmarkStart w:id="156" w:name="_Toc51067998"/>
      <w:r w:rsidRPr="00262F3A">
        <w:lastRenderedPageBreak/>
        <w:t>Appendices</w:t>
      </w:r>
      <w:bookmarkEnd w:id="156"/>
    </w:p>
    <w:p w14:paraId="03370240" w14:textId="77777777" w:rsidR="001D739F" w:rsidRPr="00262F3A" w:rsidRDefault="001D739F" w:rsidP="008F00D1">
      <w:pPr>
        <w:pStyle w:val="Heading2"/>
      </w:pPr>
      <w:bookmarkStart w:id="157" w:name="_Toc23603194"/>
      <w:bookmarkStart w:id="158" w:name="_Toc51067999"/>
      <w:r w:rsidRPr="00262F3A">
        <w:t>Enabling legislation</w:t>
      </w:r>
      <w:bookmarkEnd w:id="157"/>
      <w:bookmarkEnd w:id="158"/>
      <w:r w:rsidRPr="00262F3A">
        <w:t xml:space="preserve"> </w:t>
      </w:r>
    </w:p>
    <w:p w14:paraId="705E0061" w14:textId="55300304" w:rsidR="001D739F" w:rsidRPr="00262F3A" w:rsidRDefault="001D739F" w:rsidP="00561B3B">
      <w:r w:rsidRPr="00262F3A">
        <w:t xml:space="preserve">The National Disability Insurance Agency (the Agency) is established under the </w:t>
      </w:r>
      <w:r w:rsidRPr="00AE6AE5">
        <w:rPr>
          <w:i/>
        </w:rPr>
        <w:t>National Disability Insurance Scheme Act 2013</w:t>
      </w:r>
      <w:r w:rsidRPr="00262F3A">
        <w:t xml:space="preserve"> (NDIS Act) to deliver the National Disability Insurance Scheme (NDIS or the Scheme). It is a corporate Commonwealth entity under the </w:t>
      </w:r>
      <w:r w:rsidRPr="00AE6AE5">
        <w:rPr>
          <w:i/>
        </w:rPr>
        <w:t>Public Governance, Performance and Accountability Act 2013</w:t>
      </w:r>
      <w:r w:rsidRPr="00262F3A">
        <w:t xml:space="preserve"> (PGPA Act). </w:t>
      </w:r>
    </w:p>
    <w:p w14:paraId="61416CBE" w14:textId="77777777" w:rsidR="001D739F" w:rsidRPr="00262F3A" w:rsidRDefault="001D739F" w:rsidP="00561B3B">
      <w:r w:rsidRPr="00262F3A">
        <w:t xml:space="preserve">The functions and powers of the </w:t>
      </w:r>
      <w:r w:rsidR="000B619D" w:rsidRPr="00262F3A">
        <w:t>Agency</w:t>
      </w:r>
      <w:r w:rsidRPr="00262F3A">
        <w:t xml:space="preserve"> are prescribed by the NDIS Act. They include:</w:t>
      </w:r>
    </w:p>
    <w:p w14:paraId="25F5AE56" w14:textId="77777777" w:rsidR="001D739F" w:rsidRPr="00262F3A" w:rsidRDefault="001D739F" w:rsidP="006D2911">
      <w:pPr>
        <w:pStyle w:val="ListParagraph"/>
        <w:numPr>
          <w:ilvl w:val="0"/>
          <w:numId w:val="5"/>
        </w:numPr>
      </w:pPr>
      <w:r w:rsidRPr="00262F3A">
        <w:t>delivering the NDIS</w:t>
      </w:r>
    </w:p>
    <w:p w14:paraId="5D2DCFA4" w14:textId="77777777" w:rsidR="001D739F" w:rsidRPr="00262F3A" w:rsidRDefault="001D739F" w:rsidP="006D2911">
      <w:pPr>
        <w:pStyle w:val="ListParagraph"/>
        <w:numPr>
          <w:ilvl w:val="0"/>
          <w:numId w:val="5"/>
        </w:numPr>
      </w:pPr>
      <w:r w:rsidRPr="00262F3A">
        <w:t>managing, advising on and reporting on the financial sustainability of the Scheme</w:t>
      </w:r>
    </w:p>
    <w:p w14:paraId="41839B79" w14:textId="77777777" w:rsidR="001D739F" w:rsidRPr="00262F3A" w:rsidRDefault="001D739F" w:rsidP="006D2911">
      <w:pPr>
        <w:pStyle w:val="ListParagraph"/>
        <w:numPr>
          <w:ilvl w:val="0"/>
          <w:numId w:val="5"/>
        </w:numPr>
      </w:pPr>
      <w:r w:rsidRPr="00262F3A">
        <w:t>developing and enhancing the disability sector</w:t>
      </w:r>
    </w:p>
    <w:p w14:paraId="70F04313" w14:textId="77777777" w:rsidR="001D739F" w:rsidRPr="00262F3A" w:rsidRDefault="001D739F" w:rsidP="006D2911">
      <w:pPr>
        <w:pStyle w:val="ListParagraph"/>
        <w:numPr>
          <w:ilvl w:val="0"/>
          <w:numId w:val="5"/>
        </w:numPr>
      </w:pPr>
      <w:r w:rsidRPr="00262F3A">
        <w:t>building community awareness of disabilities and the social contributors to disabilities</w:t>
      </w:r>
    </w:p>
    <w:p w14:paraId="4C4A331A" w14:textId="77777777" w:rsidR="001D739F" w:rsidRPr="00262F3A" w:rsidRDefault="001D739F" w:rsidP="006D2911">
      <w:pPr>
        <w:pStyle w:val="ListParagraph"/>
        <w:numPr>
          <w:ilvl w:val="0"/>
          <w:numId w:val="5"/>
        </w:numPr>
      </w:pPr>
      <w:r w:rsidRPr="00262F3A">
        <w:t>collecting, analysing and exchanging data about disabilities and supports</w:t>
      </w:r>
    </w:p>
    <w:p w14:paraId="55974862" w14:textId="51764E7F" w:rsidR="001D739F" w:rsidRPr="00262F3A" w:rsidRDefault="001D739F" w:rsidP="006D2911">
      <w:pPr>
        <w:pStyle w:val="ListParagraph"/>
        <w:numPr>
          <w:ilvl w:val="0"/>
          <w:numId w:val="5"/>
        </w:numPr>
      </w:pPr>
      <w:r w:rsidRPr="00262F3A">
        <w:t>undertaking research relating to disabilities and supports</w:t>
      </w:r>
      <w:r w:rsidR="00AE6AE5">
        <w:t>.</w:t>
      </w:r>
    </w:p>
    <w:p w14:paraId="27C0AC92" w14:textId="77777777" w:rsidR="001D739F" w:rsidRPr="00262F3A" w:rsidRDefault="001D739F" w:rsidP="00561B3B">
      <w:r w:rsidRPr="00262F3A">
        <w:t>The NDIS Act (in conjunction with other laws) gives effect to Australia’s obligations under the United Nations Convention on the Rights of Persons with Disabilities, and its objectives include:</w:t>
      </w:r>
    </w:p>
    <w:p w14:paraId="25A93621" w14:textId="77777777" w:rsidR="001D739F" w:rsidRPr="00262F3A" w:rsidRDefault="001D739F" w:rsidP="006D2911">
      <w:pPr>
        <w:pStyle w:val="ListParagraph"/>
        <w:numPr>
          <w:ilvl w:val="0"/>
          <w:numId w:val="6"/>
        </w:numPr>
      </w:pPr>
      <w:r w:rsidRPr="00262F3A">
        <w:t>supporting people with disability to pursue their goals and maximise their independence and social and economic participation</w:t>
      </w:r>
    </w:p>
    <w:p w14:paraId="678E68B4" w14:textId="77777777" w:rsidR="001D739F" w:rsidRPr="00262F3A" w:rsidRDefault="001D739F" w:rsidP="006D2911">
      <w:pPr>
        <w:pStyle w:val="ListParagraph"/>
        <w:numPr>
          <w:ilvl w:val="0"/>
          <w:numId w:val="6"/>
        </w:numPr>
      </w:pPr>
      <w:r w:rsidRPr="00262F3A">
        <w:t>developing the capacity of people with disability to participate in the community and in employment</w:t>
      </w:r>
    </w:p>
    <w:p w14:paraId="5D539DA0" w14:textId="77777777" w:rsidR="001D739F" w:rsidRPr="00262F3A" w:rsidRDefault="001D739F" w:rsidP="006D2911">
      <w:pPr>
        <w:pStyle w:val="ListParagraph"/>
        <w:numPr>
          <w:ilvl w:val="0"/>
          <w:numId w:val="6"/>
        </w:numPr>
      </w:pPr>
      <w:r w:rsidRPr="00262F3A">
        <w:t>providing reasonable and necessary supports, including early intervention supports, for participants</w:t>
      </w:r>
    </w:p>
    <w:p w14:paraId="6BD2F3F7" w14:textId="77777777" w:rsidR="001D739F" w:rsidRPr="00262F3A" w:rsidRDefault="001D739F" w:rsidP="006D2911">
      <w:pPr>
        <w:pStyle w:val="ListParagraph"/>
        <w:numPr>
          <w:ilvl w:val="0"/>
          <w:numId w:val="6"/>
        </w:numPr>
      </w:pPr>
      <w:r w:rsidRPr="00262F3A">
        <w:t>supporting people with disability to exercise choice and control in pursuit of their goals and in the planning and delivery of their supports</w:t>
      </w:r>
    </w:p>
    <w:p w14:paraId="16E639B4" w14:textId="269AB3DC" w:rsidR="001D739F" w:rsidRPr="00262F3A" w:rsidRDefault="001D739F" w:rsidP="006D2911">
      <w:pPr>
        <w:pStyle w:val="ListParagraph"/>
        <w:numPr>
          <w:ilvl w:val="0"/>
          <w:numId w:val="6"/>
        </w:numPr>
      </w:pPr>
      <w:r w:rsidRPr="00262F3A">
        <w:t xml:space="preserve">building a sustainable Scheme that is based on insurance principles </w:t>
      </w:r>
    </w:p>
    <w:p w14:paraId="19406252" w14:textId="77777777" w:rsidR="001D739F" w:rsidRPr="00262F3A" w:rsidRDefault="001D739F" w:rsidP="006D2911">
      <w:pPr>
        <w:pStyle w:val="ListParagraph"/>
        <w:numPr>
          <w:ilvl w:val="0"/>
          <w:numId w:val="6"/>
        </w:numPr>
      </w:pPr>
      <w:r w:rsidRPr="00262F3A">
        <w:t>raising community awareness about the social and economic participation of people with disability and acting to increase their inclusion in the mainstream of Australian society.</w:t>
      </w:r>
    </w:p>
    <w:p w14:paraId="5608928B" w14:textId="77777777" w:rsidR="001D739F" w:rsidRPr="00262F3A" w:rsidRDefault="001D739F" w:rsidP="00561B3B">
      <w:r w:rsidRPr="00262F3A">
        <w:t xml:space="preserve">The </w:t>
      </w:r>
      <w:r w:rsidR="000B619D" w:rsidRPr="00262F3A">
        <w:t>Agency</w:t>
      </w:r>
      <w:r w:rsidRPr="00262F3A">
        <w:t xml:space="preserve"> is overseen by a Board, and is accountable as a corporate Commonwealth entity under the PGPA Act. </w:t>
      </w:r>
    </w:p>
    <w:p w14:paraId="21EAC586" w14:textId="77777777" w:rsidR="001D739F" w:rsidRPr="00262F3A" w:rsidRDefault="001D739F" w:rsidP="00561B3B">
      <w:r w:rsidRPr="00262F3A">
        <w:t xml:space="preserve">The Board is responsible for ensuring the proper, efficient and effective performance of the </w:t>
      </w:r>
      <w:r w:rsidR="000B619D" w:rsidRPr="00262F3A">
        <w:t>Agency</w:t>
      </w:r>
      <w:r w:rsidRPr="00262F3A">
        <w:t xml:space="preserve"> functions, and for determining the objectives, strategies and policies to be followed by the </w:t>
      </w:r>
      <w:r w:rsidR="000B619D" w:rsidRPr="00262F3A">
        <w:t>Agency</w:t>
      </w:r>
      <w:r w:rsidRPr="00262F3A">
        <w:t>.</w:t>
      </w:r>
    </w:p>
    <w:p w14:paraId="46A87627" w14:textId="77777777" w:rsidR="001D739F" w:rsidRPr="00262F3A" w:rsidRDefault="001D739F" w:rsidP="008F00D1">
      <w:pPr>
        <w:pStyle w:val="Heading2"/>
      </w:pPr>
      <w:bookmarkStart w:id="159" w:name="_Toc51068000"/>
      <w:r w:rsidRPr="00262F3A">
        <w:t xml:space="preserve">Audit Committee </w:t>
      </w:r>
      <w:r w:rsidR="00E10CED" w:rsidRPr="00262F3A">
        <w:t>Charter</w:t>
      </w:r>
      <w:bookmarkEnd w:id="159"/>
    </w:p>
    <w:p w14:paraId="47C99327" w14:textId="40E411F1" w:rsidR="001D739F" w:rsidRPr="00262F3A" w:rsidRDefault="001D739F" w:rsidP="00561B3B">
      <w:r w:rsidRPr="00262F3A">
        <w:t>The Agency</w:t>
      </w:r>
      <w:r w:rsidR="00AE6AE5">
        <w:t>’s</w:t>
      </w:r>
      <w:r w:rsidRPr="00262F3A">
        <w:t xml:space="preserve"> Board has established the Audit Committee to assist the Board </w:t>
      </w:r>
      <w:r w:rsidR="00AE6AE5">
        <w:t>to oversee</w:t>
      </w:r>
      <w:r w:rsidRPr="00262F3A">
        <w:t xml:space="preserve"> its responsibilities and legislative obligations as the Agency’s Accountable Authority under: </w:t>
      </w:r>
    </w:p>
    <w:p w14:paraId="1B1F28F8" w14:textId="07D81AE3" w:rsidR="001D739F" w:rsidRPr="00262F3A" w:rsidRDefault="00AE6AE5" w:rsidP="006D2911">
      <w:pPr>
        <w:pStyle w:val="ListParagraph"/>
        <w:numPr>
          <w:ilvl w:val="0"/>
          <w:numId w:val="7"/>
        </w:numPr>
      </w:pPr>
      <w:r>
        <w:t>s</w:t>
      </w:r>
      <w:r w:rsidR="001D739F" w:rsidRPr="00262F3A">
        <w:t xml:space="preserve">ection 45 of the </w:t>
      </w:r>
      <w:r>
        <w:t>PGPA Act</w:t>
      </w:r>
    </w:p>
    <w:p w14:paraId="157377DB" w14:textId="6310A368" w:rsidR="001D739F" w:rsidRPr="00262F3A" w:rsidRDefault="00AE6AE5" w:rsidP="006D2911">
      <w:pPr>
        <w:pStyle w:val="ListParagraph"/>
        <w:numPr>
          <w:ilvl w:val="0"/>
          <w:numId w:val="7"/>
        </w:numPr>
      </w:pPr>
      <w:r>
        <w:t>s</w:t>
      </w:r>
      <w:r w:rsidR="001D739F" w:rsidRPr="00262F3A">
        <w:t>ection 17 of the Public Governance, Performance and Accountabil</w:t>
      </w:r>
      <w:r>
        <w:t>ity Rule 2014 (PGPA Rule)</w:t>
      </w:r>
    </w:p>
    <w:p w14:paraId="09C9C429" w14:textId="27BF2DC0" w:rsidR="001D739F" w:rsidRPr="00262F3A" w:rsidRDefault="00AE6AE5" w:rsidP="006D2911">
      <w:pPr>
        <w:pStyle w:val="ListParagraph"/>
        <w:numPr>
          <w:ilvl w:val="0"/>
          <w:numId w:val="7"/>
        </w:numPr>
      </w:pPr>
      <w:r>
        <w:t xml:space="preserve">the NDIS </w:t>
      </w:r>
      <w:r w:rsidR="001D739F" w:rsidRPr="00262F3A">
        <w:t>Act.</w:t>
      </w:r>
    </w:p>
    <w:p w14:paraId="1C7703D5" w14:textId="77777777" w:rsidR="001D739F" w:rsidRPr="00262F3A" w:rsidRDefault="001D739F" w:rsidP="00561B3B">
      <w:r w:rsidRPr="00262F3A">
        <w:t xml:space="preserve">The Charter details the Committee’s purpose, to oversee the appropriateness of the Agency’s: </w:t>
      </w:r>
    </w:p>
    <w:p w14:paraId="1CDAB8EE" w14:textId="77777777" w:rsidR="001D739F" w:rsidRPr="00262F3A" w:rsidRDefault="001D739F" w:rsidP="006D2911">
      <w:pPr>
        <w:pStyle w:val="ListParagraph"/>
        <w:numPr>
          <w:ilvl w:val="0"/>
          <w:numId w:val="8"/>
        </w:numPr>
      </w:pPr>
      <w:r w:rsidRPr="00262F3A">
        <w:t xml:space="preserve">management of the internal and external audit processes </w:t>
      </w:r>
    </w:p>
    <w:p w14:paraId="0DF53EEE" w14:textId="77777777" w:rsidR="001D739F" w:rsidRPr="00262F3A" w:rsidRDefault="001D739F" w:rsidP="006D2911">
      <w:pPr>
        <w:pStyle w:val="ListParagraph"/>
        <w:numPr>
          <w:ilvl w:val="0"/>
          <w:numId w:val="8"/>
        </w:numPr>
      </w:pPr>
      <w:r w:rsidRPr="00262F3A">
        <w:t xml:space="preserve">financial reporting processes </w:t>
      </w:r>
    </w:p>
    <w:p w14:paraId="147BFA58" w14:textId="77777777" w:rsidR="001D739F" w:rsidRPr="00262F3A" w:rsidRDefault="001D739F" w:rsidP="006D2911">
      <w:pPr>
        <w:pStyle w:val="ListParagraph"/>
        <w:numPr>
          <w:ilvl w:val="0"/>
          <w:numId w:val="8"/>
        </w:numPr>
      </w:pPr>
      <w:r w:rsidRPr="00262F3A">
        <w:t xml:space="preserve">performance reporting processes </w:t>
      </w:r>
    </w:p>
    <w:p w14:paraId="733FB930" w14:textId="77777777" w:rsidR="001D739F" w:rsidRPr="00262F3A" w:rsidRDefault="001D739F" w:rsidP="006D2911">
      <w:pPr>
        <w:pStyle w:val="ListParagraph"/>
        <w:numPr>
          <w:ilvl w:val="0"/>
          <w:numId w:val="8"/>
        </w:numPr>
      </w:pPr>
      <w:r w:rsidRPr="00262F3A">
        <w:t xml:space="preserve">system of risk oversight and management </w:t>
      </w:r>
    </w:p>
    <w:p w14:paraId="6EB0619E" w14:textId="36A37CBA" w:rsidR="001D739F" w:rsidRPr="00262F3A" w:rsidRDefault="00AE6AE5" w:rsidP="006D2911">
      <w:pPr>
        <w:pStyle w:val="ListParagraph"/>
        <w:numPr>
          <w:ilvl w:val="0"/>
          <w:numId w:val="8"/>
        </w:numPr>
      </w:pPr>
      <w:r>
        <w:t>system of internal control</w:t>
      </w:r>
      <w:r w:rsidR="001D739F" w:rsidRPr="00262F3A">
        <w:t xml:space="preserve"> </w:t>
      </w:r>
    </w:p>
    <w:p w14:paraId="7F9DDBE9" w14:textId="77777777" w:rsidR="001D739F" w:rsidRPr="00262F3A" w:rsidRDefault="001D739F" w:rsidP="006D2911">
      <w:pPr>
        <w:pStyle w:val="ListParagraph"/>
        <w:numPr>
          <w:ilvl w:val="0"/>
          <w:numId w:val="8"/>
        </w:numPr>
      </w:pPr>
      <w:r w:rsidRPr="00262F3A">
        <w:t>process for monitoring compliance with laws and regulations and the Code of Conduct.</w:t>
      </w:r>
    </w:p>
    <w:p w14:paraId="660A810A" w14:textId="77777777" w:rsidR="001D739F" w:rsidRPr="00262F3A" w:rsidRDefault="001D739F" w:rsidP="00561B3B">
      <w:r w:rsidRPr="00262F3A">
        <w:lastRenderedPageBreak/>
        <w:t xml:space="preserve">The Audit Committee Charter is available to view at </w:t>
      </w:r>
      <w:hyperlink r:id="rId84" w:history="1">
        <w:r w:rsidRPr="00262F3A">
          <w:t>https://www.ndis.gov.au/media/2466/download</w:t>
        </w:r>
      </w:hyperlink>
    </w:p>
    <w:p w14:paraId="3C053F2A" w14:textId="596788A7" w:rsidR="00447D4F" w:rsidRPr="00262F3A" w:rsidRDefault="001D739F" w:rsidP="008F00D1">
      <w:pPr>
        <w:pStyle w:val="Heading2"/>
      </w:pPr>
      <w:bookmarkStart w:id="160" w:name="_Toc23603202"/>
      <w:bookmarkStart w:id="161" w:name="_Toc51068001"/>
      <w:r w:rsidRPr="00262F3A">
        <w:t xml:space="preserve">Work </w:t>
      </w:r>
      <w:r w:rsidR="00AE6AE5">
        <w:t>h</w:t>
      </w:r>
      <w:r w:rsidRPr="00262F3A">
        <w:t xml:space="preserve">ealth and </w:t>
      </w:r>
      <w:r w:rsidR="00AE6AE5">
        <w:t>s</w:t>
      </w:r>
      <w:r w:rsidRPr="00262F3A">
        <w:t>afety</w:t>
      </w:r>
      <w:bookmarkEnd w:id="160"/>
      <w:bookmarkEnd w:id="161"/>
      <w:r w:rsidRPr="00262F3A">
        <w:t xml:space="preserve"> </w:t>
      </w:r>
    </w:p>
    <w:p w14:paraId="305502A1" w14:textId="30D98492" w:rsidR="001D739F" w:rsidRPr="00262F3A" w:rsidRDefault="001D739F" w:rsidP="00561B3B">
      <w:r w:rsidRPr="00262F3A">
        <w:t xml:space="preserve">The </w:t>
      </w:r>
      <w:r w:rsidR="000B619D" w:rsidRPr="00262F3A">
        <w:t>Agency</w:t>
      </w:r>
      <w:r w:rsidRPr="00262F3A">
        <w:t xml:space="preserve"> acknowledges its responsibilities under the </w:t>
      </w:r>
      <w:r w:rsidRPr="00AE6AE5">
        <w:rPr>
          <w:i/>
        </w:rPr>
        <w:t>Work Health and Safety Act 2011</w:t>
      </w:r>
      <w:r w:rsidRPr="00262F3A">
        <w:t xml:space="preserve"> (WHS Act), the </w:t>
      </w:r>
      <w:r w:rsidRPr="00AE6AE5">
        <w:rPr>
          <w:i/>
        </w:rPr>
        <w:t>Safety, Rehabilitation and Compensation Act 1988</w:t>
      </w:r>
      <w:r w:rsidRPr="00262F3A">
        <w:t xml:space="preserve"> and anti-discrimination legislation. The </w:t>
      </w:r>
      <w:r w:rsidR="000B619D" w:rsidRPr="00262F3A">
        <w:t>Agency</w:t>
      </w:r>
      <w:r w:rsidRPr="00262F3A">
        <w:t xml:space="preserve"> takes all reasonably practicable measures to protect the health, safety and welfare of its workers while at work, including providing a safe work environment. The </w:t>
      </w:r>
      <w:r w:rsidR="000B619D" w:rsidRPr="00262F3A">
        <w:t>Agency</w:t>
      </w:r>
      <w:r w:rsidRPr="00262F3A">
        <w:t xml:space="preserve"> Work Health and Safety Policy, and Health and Safety Management Arrangements 202</w:t>
      </w:r>
      <w:r w:rsidR="00AE6AE5">
        <w:t>0</w:t>
      </w:r>
      <w:r w:rsidRPr="00262F3A">
        <w:t xml:space="preserve"> - 2022 promote consultation, prevention and early intervention, and are aligned with a steadfast commitment to safeguard and value </w:t>
      </w:r>
      <w:r w:rsidR="000B619D" w:rsidRPr="00262F3A">
        <w:t>Agency</w:t>
      </w:r>
      <w:r w:rsidRPr="00262F3A">
        <w:t xml:space="preserve"> employees. In 2019–20, the </w:t>
      </w:r>
      <w:r w:rsidR="000B619D" w:rsidRPr="00262F3A">
        <w:t>Agency</w:t>
      </w:r>
      <w:r w:rsidRPr="00262F3A">
        <w:t xml:space="preserve"> reported seven incidents to Comcare pursuant to section 38 of the WHS Act. Three incidents were later deemed not notifiable by Comcare, and each incident was closed by Comcare without further action being required of the </w:t>
      </w:r>
      <w:r w:rsidR="000B619D" w:rsidRPr="00262F3A">
        <w:t>Agency</w:t>
      </w:r>
      <w:r w:rsidRPr="00262F3A">
        <w:t>.</w:t>
      </w:r>
    </w:p>
    <w:p w14:paraId="4852A232" w14:textId="77777777" w:rsidR="001D739F" w:rsidRPr="00262F3A" w:rsidRDefault="001D739F" w:rsidP="00901595">
      <w:pPr>
        <w:keepNext/>
      </w:pPr>
      <w:r w:rsidRPr="00262F3A">
        <w:rPr>
          <w:b/>
        </w:rPr>
        <w:t>Table</w:t>
      </w:r>
      <w:r w:rsidR="005D5BCA" w:rsidRPr="00262F3A">
        <w:rPr>
          <w:b/>
        </w:rPr>
        <w:t xml:space="preserve"> 5.3A</w:t>
      </w:r>
      <w:r w:rsidRPr="00262F3A">
        <w:rPr>
          <w:b/>
        </w:rPr>
        <w:t xml:space="preserve">: </w:t>
      </w:r>
      <w:r w:rsidRPr="00262F3A">
        <w:t xml:space="preserve">Summary of incidents pursuant to section 38 of the WHS Act, 2019–20 </w:t>
      </w:r>
    </w:p>
    <w:tbl>
      <w:tblPr>
        <w:tblW w:w="0" w:type="auto"/>
        <w:tblInd w:w="630" w:type="dxa"/>
        <w:tblCellMar>
          <w:left w:w="0" w:type="dxa"/>
          <w:right w:w="0" w:type="dxa"/>
        </w:tblCellMar>
        <w:tblLook w:val="04A0" w:firstRow="1" w:lastRow="0" w:firstColumn="1" w:lastColumn="0" w:noHBand="0" w:noVBand="1"/>
      </w:tblPr>
      <w:tblGrid>
        <w:gridCol w:w="7700"/>
        <w:gridCol w:w="976"/>
      </w:tblGrid>
      <w:tr w:rsidR="001D739F" w:rsidRPr="00262F3A" w14:paraId="4FC4902C" w14:textId="77777777" w:rsidTr="003866CE">
        <w:trPr>
          <w:tblHeader/>
        </w:trPr>
        <w:tc>
          <w:tcPr>
            <w:tcW w:w="7700" w:type="dxa"/>
            <w:tcBorders>
              <w:top w:val="single" w:sz="8" w:space="0" w:color="A3A3A3"/>
              <w:left w:val="single" w:sz="8" w:space="0" w:color="A3A3A3"/>
              <w:bottom w:val="single" w:sz="8" w:space="0" w:color="A3A3A3"/>
              <w:right w:val="single" w:sz="8" w:space="0" w:color="A3A3A3"/>
            </w:tcBorders>
            <w:shd w:val="clear" w:color="auto" w:fill="7030A0"/>
            <w:tcMar>
              <w:top w:w="80" w:type="dxa"/>
              <w:left w:w="80" w:type="dxa"/>
              <w:bottom w:w="80" w:type="dxa"/>
              <w:right w:w="80" w:type="dxa"/>
            </w:tcMar>
            <w:hideMark/>
          </w:tcPr>
          <w:p w14:paraId="25252B7C" w14:textId="77777777" w:rsidR="001D739F" w:rsidRPr="00262F3A" w:rsidRDefault="001D739F" w:rsidP="00AC60F9">
            <w:pPr>
              <w:pStyle w:val="Tableformat"/>
              <w:rPr>
                <w:color w:val="FFFFFF" w:themeColor="background1"/>
              </w:rPr>
            </w:pPr>
            <w:r w:rsidRPr="00262F3A">
              <w:rPr>
                <w:color w:val="FFFFFF" w:themeColor="background1"/>
              </w:rPr>
              <w:t>Action</w:t>
            </w:r>
          </w:p>
        </w:tc>
        <w:tc>
          <w:tcPr>
            <w:tcW w:w="976" w:type="dxa"/>
            <w:tcBorders>
              <w:top w:val="single" w:sz="8" w:space="0" w:color="A3A3A3"/>
              <w:left w:val="nil"/>
              <w:bottom w:val="single" w:sz="8" w:space="0" w:color="A3A3A3"/>
              <w:right w:val="single" w:sz="8" w:space="0" w:color="A3A3A3"/>
            </w:tcBorders>
            <w:shd w:val="clear" w:color="auto" w:fill="7030A0"/>
            <w:tcMar>
              <w:top w:w="80" w:type="dxa"/>
              <w:left w:w="80" w:type="dxa"/>
              <w:bottom w:w="80" w:type="dxa"/>
              <w:right w:w="80" w:type="dxa"/>
            </w:tcMar>
            <w:hideMark/>
          </w:tcPr>
          <w:p w14:paraId="1E020D4A" w14:textId="77777777" w:rsidR="001D739F" w:rsidRPr="00262F3A" w:rsidRDefault="001D739F" w:rsidP="00AC60F9">
            <w:pPr>
              <w:pStyle w:val="Tableformat"/>
              <w:rPr>
                <w:color w:val="FFFFFF" w:themeColor="background1"/>
              </w:rPr>
            </w:pPr>
            <w:r w:rsidRPr="00262F3A">
              <w:rPr>
                <w:color w:val="FFFFFF" w:themeColor="background1"/>
              </w:rPr>
              <w:t>Number</w:t>
            </w:r>
          </w:p>
        </w:tc>
      </w:tr>
      <w:tr w:rsidR="001D739F" w:rsidRPr="00262F3A" w14:paraId="34713F12"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42DBBBFB" w14:textId="77777777" w:rsidR="001D739F" w:rsidRPr="00262F3A" w:rsidRDefault="001D739F" w:rsidP="00AC60F9">
            <w:pPr>
              <w:pStyle w:val="Tableformat"/>
            </w:pPr>
            <w:r w:rsidRPr="00262F3A">
              <w:t>Death of a person that required notice to Comcare under s 35</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02C7576A" w14:textId="77777777" w:rsidR="001D739F" w:rsidRPr="00262F3A" w:rsidRDefault="001D739F" w:rsidP="00AC60F9">
            <w:pPr>
              <w:pStyle w:val="Tableformat"/>
            </w:pPr>
            <w:r w:rsidRPr="00262F3A">
              <w:t>0 </w:t>
            </w:r>
          </w:p>
        </w:tc>
      </w:tr>
      <w:tr w:rsidR="001D739F" w:rsidRPr="00262F3A" w14:paraId="69D96EF0"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78D6CE8" w14:textId="77777777" w:rsidR="001D739F" w:rsidRPr="00262F3A" w:rsidRDefault="001D739F" w:rsidP="00AC60F9">
            <w:pPr>
              <w:pStyle w:val="Tableformat"/>
            </w:pPr>
            <w:r w:rsidRPr="00262F3A">
              <w:t>Serious injury or illness of a person that required notification to Comcare under s 35</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0797E92F" w14:textId="77777777" w:rsidR="001D739F" w:rsidRPr="00262F3A" w:rsidRDefault="001D739F" w:rsidP="00AC60F9">
            <w:pPr>
              <w:pStyle w:val="Tableformat"/>
            </w:pPr>
            <w:r w:rsidRPr="00262F3A">
              <w:t>6 </w:t>
            </w:r>
          </w:p>
        </w:tc>
      </w:tr>
      <w:tr w:rsidR="001D739F" w:rsidRPr="00262F3A" w14:paraId="5BB8F42C"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5581D63C" w14:textId="77777777" w:rsidR="001D739F" w:rsidRPr="00262F3A" w:rsidRDefault="001D739F" w:rsidP="00AC60F9">
            <w:pPr>
              <w:pStyle w:val="Tableformat"/>
            </w:pPr>
            <w:r w:rsidRPr="00262F3A">
              <w:t>Dangerous incident that required notification to Comcare under s 35</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7104AEF6" w14:textId="77777777" w:rsidR="001D739F" w:rsidRPr="00262F3A" w:rsidRDefault="001D739F" w:rsidP="00AC60F9">
            <w:pPr>
              <w:pStyle w:val="Tableformat"/>
            </w:pPr>
            <w:r w:rsidRPr="00262F3A">
              <w:t>1 </w:t>
            </w:r>
          </w:p>
        </w:tc>
      </w:tr>
      <w:tr w:rsidR="001D739F" w:rsidRPr="00262F3A" w14:paraId="4B83687E"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617C2FE6" w14:textId="77777777" w:rsidR="001D739F" w:rsidRPr="00262F3A" w:rsidRDefault="001D739F" w:rsidP="00AC60F9">
            <w:pPr>
              <w:pStyle w:val="Tableformat"/>
            </w:pPr>
            <w:r w:rsidRPr="00262F3A">
              <w:t>Investigation conducted under Part 10</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74466451" w14:textId="77777777" w:rsidR="001D739F" w:rsidRPr="00262F3A" w:rsidRDefault="001D739F" w:rsidP="00AC60F9">
            <w:pPr>
              <w:pStyle w:val="Tableformat"/>
            </w:pPr>
            <w:r w:rsidRPr="00262F3A">
              <w:t>0 </w:t>
            </w:r>
          </w:p>
        </w:tc>
      </w:tr>
      <w:tr w:rsidR="001D739F" w:rsidRPr="00262F3A" w14:paraId="7EF67AAC"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0B4C875D" w14:textId="77777777" w:rsidR="001D739F" w:rsidRPr="00262F3A" w:rsidRDefault="001D739F" w:rsidP="00AC60F9">
            <w:pPr>
              <w:pStyle w:val="Tableformat"/>
            </w:pPr>
            <w:r w:rsidRPr="00262F3A">
              <w:t xml:space="preserve">Notice given to </w:t>
            </w:r>
            <w:r w:rsidR="000B619D" w:rsidRPr="00262F3A">
              <w:t>Agency</w:t>
            </w:r>
            <w:r w:rsidRPr="00262F3A">
              <w:t xml:space="preserve"> under s 90 (provisional improvement notice)</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11F1A93E" w14:textId="77777777" w:rsidR="001D739F" w:rsidRPr="00262F3A" w:rsidRDefault="001D739F" w:rsidP="00AC60F9">
            <w:pPr>
              <w:pStyle w:val="Tableformat"/>
            </w:pPr>
            <w:r w:rsidRPr="00262F3A">
              <w:t>0 </w:t>
            </w:r>
          </w:p>
        </w:tc>
      </w:tr>
      <w:tr w:rsidR="001D739F" w:rsidRPr="00262F3A" w14:paraId="798DEA6A"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50CD1FCE" w14:textId="77777777" w:rsidR="001D739F" w:rsidRPr="00262F3A" w:rsidRDefault="001D739F" w:rsidP="00AC60F9">
            <w:pPr>
              <w:pStyle w:val="Tableformat"/>
            </w:pPr>
            <w:r w:rsidRPr="00262F3A">
              <w:t xml:space="preserve">Notice given to </w:t>
            </w:r>
            <w:r w:rsidR="000B619D" w:rsidRPr="00262F3A">
              <w:t>Agency</w:t>
            </w:r>
            <w:r w:rsidRPr="00262F3A">
              <w:t xml:space="preserve"> under s 191 (improvement notice)</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6849FD79" w14:textId="77777777" w:rsidR="001D739F" w:rsidRPr="00262F3A" w:rsidRDefault="001D739F" w:rsidP="00AC60F9">
            <w:pPr>
              <w:pStyle w:val="Tableformat"/>
            </w:pPr>
            <w:r w:rsidRPr="00262F3A">
              <w:t>0 </w:t>
            </w:r>
          </w:p>
        </w:tc>
      </w:tr>
      <w:tr w:rsidR="001D739F" w:rsidRPr="00262F3A" w14:paraId="2C3472AA"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5466CE15" w14:textId="77777777" w:rsidR="001D739F" w:rsidRPr="00262F3A" w:rsidRDefault="001D739F" w:rsidP="00AC60F9">
            <w:pPr>
              <w:pStyle w:val="Tableformat"/>
            </w:pPr>
            <w:r w:rsidRPr="00262F3A">
              <w:t xml:space="preserve">Notice given to </w:t>
            </w:r>
            <w:r w:rsidR="000B619D" w:rsidRPr="00262F3A">
              <w:t>Agency</w:t>
            </w:r>
            <w:r w:rsidRPr="00262F3A">
              <w:t xml:space="preserve"> under s 195 (prohibition notices)</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06FCD2ED" w14:textId="77777777" w:rsidR="001D739F" w:rsidRPr="00262F3A" w:rsidRDefault="001D739F" w:rsidP="00AC60F9">
            <w:pPr>
              <w:pStyle w:val="Tableformat"/>
            </w:pPr>
            <w:r w:rsidRPr="00262F3A">
              <w:t>0 </w:t>
            </w:r>
          </w:p>
        </w:tc>
      </w:tr>
      <w:tr w:rsidR="001D739F" w:rsidRPr="00262F3A" w14:paraId="58454345" w14:textId="77777777" w:rsidTr="009B15EC">
        <w:tc>
          <w:tcPr>
            <w:tcW w:w="770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31FAFCF" w14:textId="77777777" w:rsidR="001D739F" w:rsidRPr="00262F3A" w:rsidRDefault="001D739F" w:rsidP="00AC60F9">
            <w:pPr>
              <w:pStyle w:val="Tableformat"/>
            </w:pPr>
            <w:r w:rsidRPr="00262F3A">
              <w:t xml:space="preserve">Directions given to </w:t>
            </w:r>
            <w:r w:rsidR="000B619D" w:rsidRPr="00262F3A">
              <w:t>Agency</w:t>
            </w:r>
            <w:r w:rsidRPr="00262F3A">
              <w:t xml:space="preserve"> under s 198 (non-disturbance) </w:t>
            </w:r>
          </w:p>
        </w:tc>
        <w:tc>
          <w:tcPr>
            <w:tcW w:w="976" w:type="dxa"/>
            <w:tcBorders>
              <w:top w:val="nil"/>
              <w:left w:val="nil"/>
              <w:bottom w:val="single" w:sz="8" w:space="0" w:color="A3A3A3"/>
              <w:right w:val="single" w:sz="8" w:space="0" w:color="A3A3A3"/>
            </w:tcBorders>
            <w:tcMar>
              <w:top w:w="80" w:type="dxa"/>
              <w:left w:w="80" w:type="dxa"/>
              <w:bottom w:w="80" w:type="dxa"/>
              <w:right w:w="80" w:type="dxa"/>
            </w:tcMar>
            <w:hideMark/>
          </w:tcPr>
          <w:p w14:paraId="21A8800D" w14:textId="77777777" w:rsidR="001D739F" w:rsidRPr="00262F3A" w:rsidRDefault="001D739F" w:rsidP="00AC60F9">
            <w:pPr>
              <w:pStyle w:val="Tableformat"/>
            </w:pPr>
            <w:r w:rsidRPr="00262F3A">
              <w:t>0 </w:t>
            </w:r>
          </w:p>
        </w:tc>
      </w:tr>
    </w:tbl>
    <w:p w14:paraId="74329205" w14:textId="77777777" w:rsidR="001D739F" w:rsidRPr="00262F3A" w:rsidRDefault="001D739F" w:rsidP="008F00D1">
      <w:pPr>
        <w:pStyle w:val="Heading2"/>
      </w:pPr>
      <w:bookmarkStart w:id="162" w:name="_Toc51068002"/>
      <w:r w:rsidRPr="00262F3A">
        <w:t>Workforce statistics</w:t>
      </w:r>
      <w:bookmarkEnd w:id="162"/>
      <w:r w:rsidRPr="00262F3A">
        <w:t xml:space="preserve"> </w:t>
      </w:r>
    </w:p>
    <w:p w14:paraId="5318AF7E" w14:textId="77777777" w:rsidR="001D739F" w:rsidRPr="00262F3A" w:rsidRDefault="005D5BCA" w:rsidP="00901595">
      <w:pPr>
        <w:keepNext/>
      </w:pPr>
      <w:r w:rsidRPr="00262F3A">
        <w:rPr>
          <w:b/>
        </w:rPr>
        <w:t>Table 5.4A</w:t>
      </w:r>
      <w:r w:rsidRPr="00B63CEB">
        <w:rPr>
          <w:b/>
        </w:rPr>
        <w:t>:</w:t>
      </w:r>
      <w:r w:rsidRPr="00262F3A">
        <w:t xml:space="preserve"> </w:t>
      </w:r>
      <w:r w:rsidR="001D739F" w:rsidRPr="00262F3A">
        <w:t>All ongoing employees current reporting period (2019–20)</w:t>
      </w:r>
    </w:p>
    <w:tbl>
      <w:tblPr>
        <w:tblW w:w="0" w:type="auto"/>
        <w:tblCellMar>
          <w:left w:w="0" w:type="dxa"/>
          <w:right w:w="0" w:type="dxa"/>
        </w:tblCellMar>
        <w:tblLook w:val="04A0" w:firstRow="1" w:lastRow="0" w:firstColumn="1" w:lastColumn="0" w:noHBand="0" w:noVBand="1"/>
      </w:tblPr>
      <w:tblGrid>
        <w:gridCol w:w="992"/>
        <w:gridCol w:w="879"/>
        <w:gridCol w:w="729"/>
        <w:gridCol w:w="746"/>
        <w:gridCol w:w="879"/>
        <w:gridCol w:w="729"/>
        <w:gridCol w:w="930"/>
        <w:gridCol w:w="1343"/>
        <w:gridCol w:w="729"/>
        <w:gridCol w:w="1418"/>
        <w:gridCol w:w="641"/>
      </w:tblGrid>
      <w:tr w:rsidR="00D730A4" w:rsidRPr="00262F3A" w14:paraId="33FDA763" w14:textId="77777777" w:rsidTr="00317EA0">
        <w:trPr>
          <w:tblHeader/>
        </w:trPr>
        <w:tc>
          <w:tcPr>
            <w:tcW w:w="992" w:type="dxa"/>
            <w:tcBorders>
              <w:top w:val="single" w:sz="8" w:space="0" w:color="A3A3A3"/>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75116157" w14:textId="77777777" w:rsidR="00D730A4" w:rsidRPr="00262F3A" w:rsidRDefault="00D730A4" w:rsidP="00AC60F9">
            <w:pPr>
              <w:pStyle w:val="Tableformat"/>
              <w:rPr>
                <w:color w:val="FFFFFF" w:themeColor="background1"/>
              </w:rPr>
            </w:pPr>
            <w:r w:rsidRPr="00262F3A">
              <w:rPr>
                <w:color w:val="FFFFFF" w:themeColor="background1"/>
              </w:rPr>
              <w:t> </w:t>
            </w:r>
          </w:p>
        </w:tc>
        <w:tc>
          <w:tcPr>
            <w:tcW w:w="2354"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04DBBF5D" w14:textId="2E0BBE35" w:rsidR="00D730A4" w:rsidRPr="00262F3A" w:rsidRDefault="00D730A4" w:rsidP="00D730A4">
            <w:pPr>
              <w:pStyle w:val="Tableformat"/>
              <w:jc w:val="center"/>
              <w:rPr>
                <w:color w:val="FFFFFF" w:themeColor="background1"/>
              </w:rPr>
            </w:pPr>
            <w:r>
              <w:rPr>
                <w:color w:val="FFFFFF" w:themeColor="background1"/>
              </w:rPr>
              <w:t>Male</w:t>
            </w:r>
          </w:p>
        </w:tc>
        <w:tc>
          <w:tcPr>
            <w:tcW w:w="2538"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2CC4C020" w14:textId="668DB13F" w:rsidR="00D730A4" w:rsidRPr="00262F3A" w:rsidRDefault="00D730A4" w:rsidP="00D730A4">
            <w:pPr>
              <w:pStyle w:val="Tableformat"/>
              <w:jc w:val="center"/>
              <w:rPr>
                <w:color w:val="FFFFFF" w:themeColor="background1"/>
              </w:rPr>
            </w:pPr>
            <w:r>
              <w:rPr>
                <w:color w:val="FFFFFF" w:themeColor="background1"/>
              </w:rPr>
              <w:t>Female</w:t>
            </w:r>
          </w:p>
        </w:tc>
        <w:tc>
          <w:tcPr>
            <w:tcW w:w="3490"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740F2E4B" w14:textId="5C1E075E" w:rsidR="00D730A4" w:rsidRPr="00262F3A" w:rsidRDefault="00D730A4" w:rsidP="00D730A4">
            <w:pPr>
              <w:pStyle w:val="Tableformat"/>
              <w:jc w:val="center"/>
              <w:rPr>
                <w:color w:val="FFFFFF" w:themeColor="background1"/>
              </w:rPr>
            </w:pPr>
            <w:r w:rsidRPr="00262F3A">
              <w:rPr>
                <w:color w:val="FFFFFF" w:themeColor="background1"/>
              </w:rPr>
              <w:t>Indeterminate</w:t>
            </w:r>
          </w:p>
        </w:tc>
        <w:tc>
          <w:tcPr>
            <w:tcW w:w="641" w:type="dxa"/>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056FFB05" w14:textId="77777777" w:rsidR="00D730A4" w:rsidRPr="00262F3A" w:rsidRDefault="00D730A4" w:rsidP="00AC60F9">
            <w:pPr>
              <w:pStyle w:val="Tableformat"/>
              <w:rPr>
                <w:color w:val="FFFFFF" w:themeColor="background1"/>
              </w:rPr>
            </w:pPr>
            <w:r w:rsidRPr="00262F3A">
              <w:rPr>
                <w:color w:val="FFFFFF" w:themeColor="background1"/>
              </w:rPr>
              <w:t xml:space="preserve">Total </w:t>
            </w:r>
          </w:p>
        </w:tc>
      </w:tr>
      <w:tr w:rsidR="001D739F" w:rsidRPr="00262F3A" w14:paraId="782AFADA" w14:textId="77777777" w:rsidTr="00377C62">
        <w:trPr>
          <w:tblHeader/>
        </w:trPr>
        <w:tc>
          <w:tcPr>
            <w:tcW w:w="992" w:type="dxa"/>
            <w:tcBorders>
              <w:top w:val="nil"/>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250B6020" w14:textId="77777777" w:rsidR="001D739F" w:rsidRPr="00262F3A" w:rsidRDefault="001D739F" w:rsidP="00AC60F9">
            <w:pPr>
              <w:pStyle w:val="Tableformat"/>
              <w:rPr>
                <w:color w:val="FFFFFF" w:themeColor="background1"/>
              </w:rPr>
            </w:pPr>
            <w:r w:rsidRPr="00262F3A">
              <w:rPr>
                <w:color w:val="FFFFFF" w:themeColor="background1"/>
              </w:rPr>
              <w:t> </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0737953" w14:textId="77777777" w:rsidR="001D739F" w:rsidRPr="00262F3A" w:rsidRDefault="001D739F" w:rsidP="00AC60F9">
            <w:pPr>
              <w:pStyle w:val="Tableformat"/>
              <w:rPr>
                <w:color w:val="FFFFFF" w:themeColor="background1"/>
              </w:rPr>
            </w:pPr>
            <w:r w:rsidRPr="00262F3A">
              <w:rPr>
                <w:color w:val="FFFFFF" w:themeColor="background1"/>
              </w:rPr>
              <w:t>Fulltime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29024CDB" w14:textId="2A37F8CC"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746"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84B3005" w14:textId="10CE72F6" w:rsidR="001D739F" w:rsidRPr="00262F3A" w:rsidRDefault="001D739F" w:rsidP="00AE6AE5">
            <w:pPr>
              <w:pStyle w:val="Tableformat"/>
              <w:rPr>
                <w:color w:val="FFFFFF" w:themeColor="background1"/>
              </w:rPr>
            </w:pPr>
            <w:r w:rsidRPr="00262F3A">
              <w:rPr>
                <w:color w:val="FFFFFF" w:themeColor="background1"/>
              </w:rPr>
              <w:t xml:space="preserve">Total </w:t>
            </w:r>
            <w:r w:rsidR="00AE6AE5">
              <w:rPr>
                <w:color w:val="FFFFFF" w:themeColor="background1"/>
              </w:rPr>
              <w:t>m</w:t>
            </w:r>
            <w:r w:rsidRPr="00262F3A">
              <w:rPr>
                <w:color w:val="FFFFFF" w:themeColor="background1"/>
              </w:rPr>
              <w:t>ale</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77E0E13" w14:textId="0E4C7E2A"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9EEDC13" w14:textId="762653FF"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930"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7B7D9153" w14:textId="3BC529B3" w:rsidR="001D739F" w:rsidRPr="00262F3A" w:rsidRDefault="00AE6AE5" w:rsidP="00AC60F9">
            <w:pPr>
              <w:pStyle w:val="Tableformat"/>
              <w:rPr>
                <w:color w:val="FFFFFF" w:themeColor="background1"/>
              </w:rPr>
            </w:pPr>
            <w:r>
              <w:rPr>
                <w:color w:val="FFFFFF" w:themeColor="background1"/>
              </w:rPr>
              <w:t>Total f</w:t>
            </w:r>
            <w:r w:rsidR="001D739F" w:rsidRPr="00262F3A">
              <w:rPr>
                <w:color w:val="FFFFFF" w:themeColor="background1"/>
              </w:rPr>
              <w:t>emale</w:t>
            </w:r>
          </w:p>
        </w:tc>
        <w:tc>
          <w:tcPr>
            <w:tcW w:w="1343"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B3D27D9" w14:textId="6D588E91"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42E6BB4" w14:textId="187EB2A2"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1418"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3E690E3" w14:textId="3134C58A" w:rsidR="001D739F" w:rsidRPr="00262F3A" w:rsidRDefault="00AE6AE5" w:rsidP="00AC60F9">
            <w:pPr>
              <w:pStyle w:val="Tableformat"/>
              <w:rPr>
                <w:color w:val="FFFFFF" w:themeColor="background1"/>
              </w:rPr>
            </w:pPr>
            <w:r>
              <w:rPr>
                <w:color w:val="FFFFFF" w:themeColor="background1"/>
              </w:rPr>
              <w:t>Total i</w:t>
            </w:r>
            <w:r w:rsidR="001D739F" w:rsidRPr="00262F3A">
              <w:rPr>
                <w:color w:val="FFFFFF" w:themeColor="background1"/>
              </w:rPr>
              <w:t>ndeterminate</w:t>
            </w:r>
          </w:p>
        </w:tc>
        <w:tc>
          <w:tcPr>
            <w:tcW w:w="64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F512CA8" w14:textId="77777777" w:rsidR="001D739F" w:rsidRPr="00262F3A" w:rsidRDefault="001D739F" w:rsidP="00AC60F9">
            <w:pPr>
              <w:pStyle w:val="Tableformat"/>
              <w:rPr>
                <w:color w:val="FFFFFF" w:themeColor="background1"/>
              </w:rPr>
            </w:pPr>
            <w:r w:rsidRPr="00262F3A">
              <w:rPr>
                <w:color w:val="FFFFFF" w:themeColor="background1"/>
              </w:rPr>
              <w:t> </w:t>
            </w:r>
          </w:p>
        </w:tc>
      </w:tr>
      <w:tr w:rsidR="001D739F" w:rsidRPr="00262F3A" w14:paraId="700A08C3"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23E66486" w14:textId="77777777" w:rsidR="001D739F" w:rsidRPr="00262F3A" w:rsidRDefault="001D739F" w:rsidP="00AC60F9">
            <w:pPr>
              <w:pStyle w:val="Tableformat"/>
            </w:pPr>
            <w:r w:rsidRPr="00262F3A">
              <w:t>NSW</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8AB2EBD" w14:textId="77777777" w:rsidR="001D739F" w:rsidRPr="00262F3A" w:rsidRDefault="001D739F" w:rsidP="00AC60F9">
            <w:pPr>
              <w:pStyle w:val="Tableformat"/>
            </w:pPr>
            <w:r w:rsidRPr="00262F3A">
              <w:t>172</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3A2CDC22" w14:textId="77777777" w:rsidR="001D739F" w:rsidRPr="00262F3A" w:rsidRDefault="001D739F" w:rsidP="00AC60F9">
            <w:pPr>
              <w:pStyle w:val="Tableformat"/>
            </w:pPr>
            <w:r w:rsidRPr="00262F3A">
              <w:t>16</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6605C52A" w14:textId="77777777" w:rsidR="001D739F" w:rsidRPr="00262F3A" w:rsidRDefault="001D739F" w:rsidP="00AC60F9">
            <w:pPr>
              <w:pStyle w:val="Tableformat"/>
            </w:pPr>
            <w:r w:rsidRPr="00262F3A">
              <w:t>188</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0669BAAC" w14:textId="77777777" w:rsidR="001D739F" w:rsidRPr="00262F3A" w:rsidRDefault="001D739F" w:rsidP="00AC60F9">
            <w:pPr>
              <w:pStyle w:val="Tableformat"/>
            </w:pPr>
            <w:r w:rsidRPr="00262F3A">
              <w:t>495</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212B06DE" w14:textId="77777777" w:rsidR="001D739F" w:rsidRPr="00262F3A" w:rsidRDefault="001D739F" w:rsidP="00AC60F9">
            <w:pPr>
              <w:pStyle w:val="Tableformat"/>
            </w:pPr>
            <w:r w:rsidRPr="00262F3A">
              <w:t>111</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0AB336D6" w14:textId="77777777" w:rsidR="001D739F" w:rsidRPr="00262F3A" w:rsidRDefault="001D739F" w:rsidP="00AC60F9">
            <w:pPr>
              <w:pStyle w:val="Tableformat"/>
            </w:pPr>
            <w:r w:rsidRPr="00262F3A">
              <w:t>606</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184B6E76" w14:textId="77777777" w:rsidR="001D739F" w:rsidRPr="00262F3A" w:rsidRDefault="001D739F" w:rsidP="00AC60F9">
            <w:pPr>
              <w:pStyle w:val="Tableformat"/>
            </w:pPr>
            <w:r w:rsidRPr="00262F3A">
              <w:t>-</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20D9599E"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4D4FD771" w14:textId="77777777" w:rsidR="001D739F" w:rsidRPr="00262F3A" w:rsidRDefault="001D739F" w:rsidP="00AC60F9">
            <w:pPr>
              <w:pStyle w:val="Tableformat"/>
            </w:pPr>
            <w:r w:rsidRPr="00262F3A">
              <w:t>-</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0B08EA1D" w14:textId="77777777" w:rsidR="001D739F" w:rsidRPr="00262F3A" w:rsidRDefault="001D739F" w:rsidP="00AC60F9">
            <w:pPr>
              <w:pStyle w:val="Tableformat"/>
            </w:pPr>
            <w:r w:rsidRPr="00262F3A">
              <w:t>794</w:t>
            </w:r>
          </w:p>
        </w:tc>
      </w:tr>
      <w:tr w:rsidR="001D739F" w:rsidRPr="00262F3A" w14:paraId="77166879"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4BFF23D0" w14:textId="77777777" w:rsidR="001D739F" w:rsidRPr="00262F3A" w:rsidRDefault="001D739F" w:rsidP="00AC60F9">
            <w:pPr>
              <w:pStyle w:val="Tableformat"/>
            </w:pPr>
            <w:r w:rsidRPr="00262F3A">
              <w:t>QLD</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60DCFE3" w14:textId="77777777" w:rsidR="001D739F" w:rsidRPr="00262F3A" w:rsidRDefault="001D739F" w:rsidP="00AC60F9">
            <w:pPr>
              <w:pStyle w:val="Tableformat"/>
            </w:pPr>
            <w:r w:rsidRPr="00262F3A">
              <w:t>111</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AECEB77" w14:textId="77777777" w:rsidR="001D739F" w:rsidRPr="00262F3A" w:rsidRDefault="001D739F" w:rsidP="00AC60F9">
            <w:pPr>
              <w:pStyle w:val="Tableformat"/>
            </w:pPr>
            <w:r w:rsidRPr="00262F3A">
              <w:t>5</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E121051" w14:textId="77777777" w:rsidR="001D739F" w:rsidRPr="00262F3A" w:rsidRDefault="001D739F" w:rsidP="00AC60F9">
            <w:pPr>
              <w:pStyle w:val="Tableformat"/>
            </w:pPr>
            <w:r w:rsidRPr="00262F3A">
              <w:t>116</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608D654" w14:textId="77777777" w:rsidR="001D739F" w:rsidRPr="00262F3A" w:rsidRDefault="001D739F" w:rsidP="00AC60F9">
            <w:pPr>
              <w:pStyle w:val="Tableformat"/>
            </w:pPr>
            <w:r w:rsidRPr="00262F3A">
              <w:t>331</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C134BBA" w14:textId="77777777" w:rsidR="001D739F" w:rsidRPr="00262F3A" w:rsidRDefault="001D739F" w:rsidP="00AC60F9">
            <w:pPr>
              <w:pStyle w:val="Tableformat"/>
            </w:pPr>
            <w:r w:rsidRPr="00262F3A">
              <w:t>52</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B4CF81D" w14:textId="77777777" w:rsidR="001D739F" w:rsidRPr="00262F3A" w:rsidRDefault="001D739F" w:rsidP="00AC60F9">
            <w:pPr>
              <w:pStyle w:val="Tableformat"/>
            </w:pPr>
            <w:r w:rsidRPr="00262F3A">
              <w:t>383</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2D72655"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2E674C1"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E19DCEB"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13CDDD0" w14:textId="77777777" w:rsidR="001D739F" w:rsidRPr="00262F3A" w:rsidRDefault="001D739F" w:rsidP="00AC60F9">
            <w:pPr>
              <w:pStyle w:val="Tableformat"/>
            </w:pPr>
            <w:r w:rsidRPr="00262F3A">
              <w:t>499</w:t>
            </w:r>
          </w:p>
        </w:tc>
      </w:tr>
      <w:tr w:rsidR="001D739F" w:rsidRPr="00262F3A" w14:paraId="5F205DF7"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31B2EA16" w14:textId="77777777" w:rsidR="001D739F" w:rsidRPr="00262F3A" w:rsidRDefault="001D739F" w:rsidP="00AC60F9">
            <w:pPr>
              <w:pStyle w:val="Tableformat"/>
            </w:pPr>
            <w:r w:rsidRPr="00262F3A">
              <w:t>SA</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37CB18D9" w14:textId="77777777" w:rsidR="001D739F" w:rsidRPr="00262F3A" w:rsidRDefault="001D739F" w:rsidP="00AC60F9">
            <w:pPr>
              <w:pStyle w:val="Tableformat"/>
            </w:pPr>
            <w:r w:rsidRPr="00262F3A">
              <w:t>51</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58501EB" w14:textId="77777777" w:rsidR="001D739F" w:rsidRPr="00262F3A" w:rsidRDefault="001D739F" w:rsidP="00AC60F9">
            <w:pPr>
              <w:pStyle w:val="Tableformat"/>
            </w:pPr>
            <w:r w:rsidRPr="00262F3A">
              <w:t>5</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5AA759FA" w14:textId="77777777" w:rsidR="001D739F" w:rsidRPr="00262F3A" w:rsidRDefault="001D739F" w:rsidP="00AC60F9">
            <w:pPr>
              <w:pStyle w:val="Tableformat"/>
            </w:pPr>
            <w:r w:rsidRPr="00262F3A">
              <w:t>56</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6133C235" w14:textId="77777777" w:rsidR="001D739F" w:rsidRPr="00262F3A" w:rsidRDefault="001D739F" w:rsidP="00AC60F9">
            <w:pPr>
              <w:pStyle w:val="Tableformat"/>
            </w:pPr>
            <w:r w:rsidRPr="00262F3A">
              <w:t>160</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19AE44CC" w14:textId="77777777" w:rsidR="001D739F" w:rsidRPr="00262F3A" w:rsidRDefault="001D739F" w:rsidP="00AC60F9">
            <w:pPr>
              <w:pStyle w:val="Tableformat"/>
            </w:pPr>
            <w:r w:rsidRPr="00262F3A">
              <w:t>57</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4D91FBE8" w14:textId="77777777" w:rsidR="001D739F" w:rsidRPr="00262F3A" w:rsidRDefault="001D739F" w:rsidP="00AC60F9">
            <w:pPr>
              <w:pStyle w:val="Tableformat"/>
            </w:pPr>
            <w:r w:rsidRPr="00262F3A">
              <w:t>217</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7479DD27"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2261443"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09E401D2"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0B26809A" w14:textId="77777777" w:rsidR="001D739F" w:rsidRPr="00262F3A" w:rsidRDefault="001D739F" w:rsidP="00AC60F9">
            <w:pPr>
              <w:pStyle w:val="Tableformat"/>
            </w:pPr>
            <w:r w:rsidRPr="00262F3A">
              <w:t>273</w:t>
            </w:r>
          </w:p>
        </w:tc>
      </w:tr>
      <w:tr w:rsidR="001D739F" w:rsidRPr="00262F3A" w14:paraId="1AD950FB"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77C1A8FE" w14:textId="77777777" w:rsidR="001D739F" w:rsidRPr="00262F3A" w:rsidRDefault="001D739F" w:rsidP="00AC60F9">
            <w:pPr>
              <w:pStyle w:val="Tableformat"/>
            </w:pPr>
            <w:r w:rsidRPr="00262F3A">
              <w:lastRenderedPageBreak/>
              <w:t>TAS</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B7D1088" w14:textId="77777777" w:rsidR="001D739F" w:rsidRPr="00262F3A" w:rsidRDefault="001D739F" w:rsidP="00AC60F9">
            <w:pPr>
              <w:pStyle w:val="Tableformat"/>
            </w:pPr>
            <w:r w:rsidRPr="00262F3A">
              <w:t>17</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7F01FC6" w14:textId="77777777" w:rsidR="001D739F" w:rsidRPr="00262F3A" w:rsidRDefault="001D739F" w:rsidP="00AC60F9">
            <w:pPr>
              <w:pStyle w:val="Tableformat"/>
            </w:pPr>
            <w:r w:rsidRPr="00262F3A">
              <w:t>2</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1FFDE21" w14:textId="77777777" w:rsidR="001D739F" w:rsidRPr="00262F3A" w:rsidRDefault="001D739F" w:rsidP="00AC60F9">
            <w:pPr>
              <w:pStyle w:val="Tableformat"/>
            </w:pPr>
            <w:r w:rsidRPr="00262F3A">
              <w:t>19</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FF93A61" w14:textId="77777777" w:rsidR="001D739F" w:rsidRPr="00262F3A" w:rsidRDefault="001D739F" w:rsidP="00AC60F9">
            <w:pPr>
              <w:pStyle w:val="Tableformat"/>
            </w:pPr>
            <w:r w:rsidRPr="00262F3A">
              <w:t>34</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7418365" w14:textId="77777777" w:rsidR="001D739F" w:rsidRPr="00262F3A" w:rsidRDefault="001D739F" w:rsidP="00AC60F9">
            <w:pPr>
              <w:pStyle w:val="Tableformat"/>
            </w:pPr>
            <w:r w:rsidRPr="00262F3A">
              <w:t>12</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75A703E" w14:textId="77777777" w:rsidR="001D739F" w:rsidRPr="00262F3A" w:rsidRDefault="001D739F" w:rsidP="00AC60F9">
            <w:pPr>
              <w:pStyle w:val="Tableformat"/>
            </w:pPr>
            <w:r w:rsidRPr="00262F3A">
              <w:t>46</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390B6FF"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1C8F827"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5E4CDC0"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5B639EE" w14:textId="77777777" w:rsidR="001D739F" w:rsidRPr="00262F3A" w:rsidRDefault="001D739F" w:rsidP="00AC60F9">
            <w:pPr>
              <w:pStyle w:val="Tableformat"/>
            </w:pPr>
            <w:r w:rsidRPr="00262F3A">
              <w:t>65</w:t>
            </w:r>
          </w:p>
        </w:tc>
      </w:tr>
      <w:tr w:rsidR="001D739F" w:rsidRPr="00262F3A" w14:paraId="1E4FCABC"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1E0467C8" w14:textId="77777777" w:rsidR="001D739F" w:rsidRPr="00262F3A" w:rsidRDefault="001D739F" w:rsidP="00AC60F9">
            <w:pPr>
              <w:pStyle w:val="Tableformat"/>
            </w:pPr>
            <w:r w:rsidRPr="00262F3A">
              <w:t>VIC</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A0E18C8" w14:textId="77777777" w:rsidR="001D739F" w:rsidRPr="00262F3A" w:rsidRDefault="001D739F" w:rsidP="00AC60F9">
            <w:pPr>
              <w:pStyle w:val="Tableformat"/>
            </w:pPr>
            <w:r w:rsidRPr="00262F3A">
              <w:t>294</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79D9822D" w14:textId="77777777" w:rsidR="001D739F" w:rsidRPr="00262F3A" w:rsidRDefault="001D739F" w:rsidP="00AC60F9">
            <w:pPr>
              <w:pStyle w:val="Tableformat"/>
            </w:pPr>
            <w:r w:rsidRPr="00262F3A">
              <w:t>17</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2863EA2A" w14:textId="77777777" w:rsidR="001D739F" w:rsidRPr="00262F3A" w:rsidRDefault="001D739F" w:rsidP="00AC60F9">
            <w:pPr>
              <w:pStyle w:val="Tableformat"/>
            </w:pPr>
            <w:r w:rsidRPr="00262F3A">
              <w:t>311</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C1B23CD" w14:textId="77777777" w:rsidR="001D739F" w:rsidRPr="00262F3A" w:rsidRDefault="001D739F" w:rsidP="00AC60F9">
            <w:pPr>
              <w:pStyle w:val="Tableformat"/>
            </w:pPr>
            <w:r w:rsidRPr="00262F3A">
              <w:t>656</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58394171" w14:textId="77777777" w:rsidR="001D739F" w:rsidRPr="00262F3A" w:rsidRDefault="001D739F" w:rsidP="00AC60F9">
            <w:pPr>
              <w:pStyle w:val="Tableformat"/>
            </w:pPr>
            <w:r w:rsidRPr="00262F3A">
              <w:t>177</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27908151" w14:textId="77777777" w:rsidR="001D739F" w:rsidRPr="00262F3A" w:rsidRDefault="001D739F" w:rsidP="00AC60F9">
            <w:pPr>
              <w:pStyle w:val="Tableformat"/>
            </w:pPr>
            <w:r w:rsidRPr="00262F3A">
              <w:t>833</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6DBDBE2A"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233544E0"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4DA00357"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0EAD02C4" w14:textId="3D1D5475" w:rsidR="001D739F" w:rsidRPr="00262F3A" w:rsidRDefault="001D739F" w:rsidP="00AC60F9">
            <w:pPr>
              <w:pStyle w:val="Tableformat"/>
            </w:pPr>
            <w:r w:rsidRPr="00262F3A">
              <w:t>1</w:t>
            </w:r>
            <w:r w:rsidR="00874FDA">
              <w:t>,</w:t>
            </w:r>
            <w:r w:rsidRPr="00262F3A">
              <w:t>144</w:t>
            </w:r>
          </w:p>
        </w:tc>
      </w:tr>
      <w:tr w:rsidR="001D739F" w:rsidRPr="00262F3A" w14:paraId="4A8314B6"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7621443E" w14:textId="77777777" w:rsidR="001D739F" w:rsidRPr="00262F3A" w:rsidRDefault="001D739F" w:rsidP="00AC60F9">
            <w:pPr>
              <w:pStyle w:val="Tableformat"/>
            </w:pPr>
            <w:r w:rsidRPr="00262F3A">
              <w:t>WA</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543F655" w14:textId="77777777" w:rsidR="001D739F" w:rsidRPr="00262F3A" w:rsidRDefault="001D739F" w:rsidP="00AC60F9">
            <w:pPr>
              <w:pStyle w:val="Tableformat"/>
            </w:pPr>
            <w:r w:rsidRPr="00262F3A">
              <w:t>31</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B4E05CD" w14:textId="77777777" w:rsidR="001D739F" w:rsidRPr="00262F3A" w:rsidRDefault="001D739F" w:rsidP="00AC60F9">
            <w:pPr>
              <w:pStyle w:val="Tableformat"/>
            </w:pPr>
            <w:r w:rsidRPr="00262F3A">
              <w:t>2</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B416B1C" w14:textId="77777777" w:rsidR="001D739F" w:rsidRPr="00262F3A" w:rsidRDefault="001D739F" w:rsidP="00AC60F9">
            <w:pPr>
              <w:pStyle w:val="Tableformat"/>
            </w:pPr>
            <w:r w:rsidRPr="00262F3A">
              <w:t>33</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7B6B848" w14:textId="77777777" w:rsidR="001D739F" w:rsidRPr="00262F3A" w:rsidRDefault="001D739F" w:rsidP="00AC60F9">
            <w:pPr>
              <w:pStyle w:val="Tableformat"/>
            </w:pPr>
            <w:r w:rsidRPr="00262F3A">
              <w:t>107</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7C89B50" w14:textId="77777777" w:rsidR="001D739F" w:rsidRPr="00262F3A" w:rsidRDefault="001D739F" w:rsidP="00AC60F9">
            <w:pPr>
              <w:pStyle w:val="Tableformat"/>
            </w:pPr>
            <w:r w:rsidRPr="00262F3A">
              <w:t>17</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5FB4141" w14:textId="77777777" w:rsidR="001D739F" w:rsidRPr="00262F3A" w:rsidRDefault="001D739F" w:rsidP="00AC60F9">
            <w:pPr>
              <w:pStyle w:val="Tableformat"/>
            </w:pPr>
            <w:r w:rsidRPr="00262F3A">
              <w:t>124</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3031162"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7BED457"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EE4CB1F"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A5142F8" w14:textId="77777777" w:rsidR="001D739F" w:rsidRPr="00262F3A" w:rsidRDefault="001D739F" w:rsidP="00AC60F9">
            <w:pPr>
              <w:pStyle w:val="Tableformat"/>
            </w:pPr>
            <w:r w:rsidRPr="00262F3A">
              <w:t>157</w:t>
            </w:r>
          </w:p>
        </w:tc>
      </w:tr>
      <w:tr w:rsidR="001D739F" w:rsidRPr="00262F3A" w14:paraId="2CAD8C71"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21BE642F" w14:textId="77777777" w:rsidR="001D739F" w:rsidRPr="00262F3A" w:rsidRDefault="001D739F" w:rsidP="00AC60F9">
            <w:pPr>
              <w:pStyle w:val="Tableformat"/>
            </w:pPr>
            <w:r w:rsidRPr="00262F3A">
              <w:t>ACT</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0161F4A" w14:textId="77777777" w:rsidR="001D739F" w:rsidRPr="00262F3A" w:rsidRDefault="001D739F" w:rsidP="00AC60F9">
            <w:pPr>
              <w:pStyle w:val="Tableformat"/>
            </w:pPr>
            <w:r w:rsidRPr="00262F3A">
              <w:t>70</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BBB26EA" w14:textId="77777777" w:rsidR="001D739F" w:rsidRPr="00262F3A" w:rsidRDefault="001D739F" w:rsidP="00AC60F9">
            <w:pPr>
              <w:pStyle w:val="Tableformat"/>
            </w:pPr>
            <w:r w:rsidRPr="00262F3A">
              <w:t>2</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25D087FF" w14:textId="77777777" w:rsidR="001D739F" w:rsidRPr="00262F3A" w:rsidRDefault="001D739F" w:rsidP="00AC60F9">
            <w:pPr>
              <w:pStyle w:val="Tableformat"/>
            </w:pPr>
            <w:r w:rsidRPr="00262F3A">
              <w:t>72</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4BFE02D3" w14:textId="77777777" w:rsidR="001D739F" w:rsidRPr="00262F3A" w:rsidRDefault="001D739F" w:rsidP="00AC60F9">
            <w:pPr>
              <w:pStyle w:val="Tableformat"/>
            </w:pPr>
            <w:r w:rsidRPr="00262F3A">
              <w:t>100</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6ABF338A" w14:textId="77777777" w:rsidR="001D739F" w:rsidRPr="00262F3A" w:rsidRDefault="001D739F" w:rsidP="00AC60F9">
            <w:pPr>
              <w:pStyle w:val="Tableformat"/>
            </w:pPr>
            <w:r w:rsidRPr="00262F3A">
              <w:t>14</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44291BA3" w14:textId="77777777" w:rsidR="001D739F" w:rsidRPr="00262F3A" w:rsidRDefault="001D739F" w:rsidP="00AC60F9">
            <w:pPr>
              <w:pStyle w:val="Tableformat"/>
            </w:pPr>
            <w:r w:rsidRPr="00262F3A">
              <w:t>114</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78160245"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7F620AE5"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6F4900E1"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5EB3A428" w14:textId="77777777" w:rsidR="001D739F" w:rsidRPr="00262F3A" w:rsidRDefault="001D739F" w:rsidP="00AC60F9">
            <w:pPr>
              <w:pStyle w:val="Tableformat"/>
            </w:pPr>
            <w:r w:rsidRPr="00262F3A">
              <w:t>186</w:t>
            </w:r>
          </w:p>
        </w:tc>
      </w:tr>
      <w:tr w:rsidR="001D739F" w:rsidRPr="00262F3A" w14:paraId="4C5833C4"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18F192D6" w14:textId="77777777" w:rsidR="001D739F" w:rsidRPr="00262F3A" w:rsidRDefault="001D739F" w:rsidP="00AC60F9">
            <w:pPr>
              <w:pStyle w:val="Tableformat"/>
            </w:pPr>
            <w:r w:rsidRPr="00262F3A">
              <w:t>NT</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69ACFAC" w14:textId="77777777" w:rsidR="001D739F" w:rsidRPr="00262F3A" w:rsidRDefault="001D739F" w:rsidP="00AC60F9">
            <w:pPr>
              <w:pStyle w:val="Tableformat"/>
            </w:pPr>
            <w:r w:rsidRPr="00262F3A">
              <w:t>19</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C1DA83C" w14:textId="77777777" w:rsidR="001D739F" w:rsidRPr="00262F3A" w:rsidRDefault="001D739F" w:rsidP="00AC60F9">
            <w:pPr>
              <w:pStyle w:val="Tableformat"/>
            </w:pPr>
            <w:r w:rsidRPr="00262F3A">
              <w:t> </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8CC1330" w14:textId="77777777" w:rsidR="001D739F" w:rsidRPr="00262F3A" w:rsidRDefault="001D739F" w:rsidP="00AC60F9">
            <w:pPr>
              <w:pStyle w:val="Tableformat"/>
            </w:pPr>
            <w:r w:rsidRPr="00262F3A">
              <w:t>19</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808E8FC" w14:textId="77777777" w:rsidR="001D739F" w:rsidRPr="00262F3A" w:rsidRDefault="001D739F" w:rsidP="00AC60F9">
            <w:pPr>
              <w:pStyle w:val="Tableformat"/>
            </w:pPr>
            <w:r w:rsidRPr="00262F3A">
              <w:t>41</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8DEEF81" w14:textId="77777777" w:rsidR="001D739F" w:rsidRPr="00262F3A" w:rsidRDefault="001D739F" w:rsidP="00AC60F9">
            <w:pPr>
              <w:pStyle w:val="Tableformat"/>
            </w:pPr>
            <w:r w:rsidRPr="00262F3A">
              <w:t>4</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B96E72D" w14:textId="77777777" w:rsidR="001D739F" w:rsidRPr="00262F3A" w:rsidRDefault="001D739F" w:rsidP="00AC60F9">
            <w:pPr>
              <w:pStyle w:val="Tableformat"/>
            </w:pPr>
            <w:r w:rsidRPr="00262F3A">
              <w:t>45</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72F95D8"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79459E9"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149FC56"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E624E06" w14:textId="77777777" w:rsidR="001D739F" w:rsidRPr="00262F3A" w:rsidRDefault="001D739F" w:rsidP="00AC60F9">
            <w:pPr>
              <w:pStyle w:val="Tableformat"/>
            </w:pPr>
            <w:r w:rsidRPr="00262F3A">
              <w:t>64</w:t>
            </w:r>
          </w:p>
        </w:tc>
      </w:tr>
      <w:tr w:rsidR="001D739F" w:rsidRPr="00262F3A" w14:paraId="2AD0CA65"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6EC6BC25" w14:textId="77777777" w:rsidR="001D739F" w:rsidRPr="00262F3A" w:rsidRDefault="001D739F" w:rsidP="00AC60F9">
            <w:pPr>
              <w:pStyle w:val="Tableformat"/>
            </w:pPr>
            <w:r w:rsidRPr="00262F3A">
              <w:t>Overseas</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92CBE64"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2490F259" w14:textId="77777777" w:rsidR="001D739F" w:rsidRPr="00262F3A" w:rsidRDefault="001D739F" w:rsidP="00AC60F9">
            <w:pPr>
              <w:pStyle w:val="Tableformat"/>
            </w:pPr>
            <w:r w:rsidRPr="00262F3A">
              <w:t> -</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67AE0903" w14:textId="77777777" w:rsidR="001D739F" w:rsidRPr="00262F3A" w:rsidRDefault="001D739F" w:rsidP="00AC60F9">
            <w:pPr>
              <w:pStyle w:val="Tableformat"/>
            </w:pPr>
            <w:r w:rsidRPr="00262F3A">
              <w:t> -</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A9C9946"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4B0DC76" w14:textId="77777777" w:rsidR="001D739F" w:rsidRPr="00262F3A" w:rsidRDefault="001D739F" w:rsidP="00AC60F9">
            <w:pPr>
              <w:pStyle w:val="Tableformat"/>
            </w:pPr>
            <w:r w:rsidRPr="00262F3A">
              <w:t> -</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10066007" w14:textId="77777777" w:rsidR="001D739F" w:rsidRPr="00262F3A" w:rsidRDefault="001D739F" w:rsidP="00AC60F9">
            <w:pPr>
              <w:pStyle w:val="Tableformat"/>
            </w:pPr>
            <w:r w:rsidRPr="00262F3A">
              <w:t> -</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5F9EB91E"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6730A629"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5063732C"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124637A1" w14:textId="77777777" w:rsidR="001D739F" w:rsidRPr="00262F3A" w:rsidRDefault="001D739F" w:rsidP="00AC60F9">
            <w:pPr>
              <w:pStyle w:val="Tableformat"/>
            </w:pPr>
            <w:r w:rsidRPr="00262F3A">
              <w:t> -</w:t>
            </w:r>
          </w:p>
        </w:tc>
      </w:tr>
      <w:tr w:rsidR="001D739F" w:rsidRPr="00262F3A" w14:paraId="7BCE8FD2"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6F1534B" w14:textId="77777777" w:rsidR="001D739F" w:rsidRPr="00262F3A" w:rsidRDefault="001D739F" w:rsidP="00AC60F9">
            <w:pPr>
              <w:pStyle w:val="Tableformat"/>
            </w:pPr>
            <w:r w:rsidRPr="00262F3A">
              <w:t>Total</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3152C7B" w14:textId="77777777" w:rsidR="001D739F" w:rsidRPr="00262F3A" w:rsidRDefault="001D739F" w:rsidP="00AC60F9">
            <w:pPr>
              <w:pStyle w:val="Tableformat"/>
            </w:pPr>
            <w:r w:rsidRPr="00262F3A">
              <w:t>765</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E58220F" w14:textId="77777777" w:rsidR="001D739F" w:rsidRPr="00262F3A" w:rsidRDefault="001D739F" w:rsidP="00AC60F9">
            <w:pPr>
              <w:pStyle w:val="Tableformat"/>
            </w:pPr>
            <w:r w:rsidRPr="00262F3A">
              <w:t>49</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61F55D8" w14:textId="77777777" w:rsidR="001D739F" w:rsidRPr="00262F3A" w:rsidRDefault="001D739F" w:rsidP="00AC60F9">
            <w:pPr>
              <w:pStyle w:val="Tableformat"/>
            </w:pPr>
            <w:r w:rsidRPr="00262F3A">
              <w:t>814</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B2D0260" w14:textId="1A4C3269" w:rsidR="001D739F" w:rsidRPr="00262F3A" w:rsidRDefault="001D739F" w:rsidP="00AC60F9">
            <w:pPr>
              <w:pStyle w:val="Tableformat"/>
            </w:pPr>
            <w:r w:rsidRPr="00262F3A">
              <w:t>1</w:t>
            </w:r>
            <w:r w:rsidR="00874FDA">
              <w:t>,</w:t>
            </w:r>
            <w:r w:rsidRPr="00262F3A">
              <w:t>924</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8C124F3" w14:textId="77777777" w:rsidR="001D739F" w:rsidRPr="00262F3A" w:rsidRDefault="001D739F" w:rsidP="00AC60F9">
            <w:pPr>
              <w:pStyle w:val="Tableformat"/>
            </w:pPr>
            <w:r w:rsidRPr="00262F3A">
              <w:t>444</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4B32C5B" w14:textId="4C60BFC6" w:rsidR="001D739F" w:rsidRPr="00262F3A" w:rsidRDefault="001D739F" w:rsidP="00AC60F9">
            <w:pPr>
              <w:pStyle w:val="Tableformat"/>
            </w:pPr>
            <w:r w:rsidRPr="00262F3A">
              <w:t>2</w:t>
            </w:r>
            <w:r w:rsidR="00874FDA">
              <w:t>,</w:t>
            </w:r>
            <w:r w:rsidRPr="00262F3A">
              <w:t>368</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8B99419" w14:textId="77777777" w:rsidR="001D739F" w:rsidRPr="00262F3A" w:rsidRDefault="001D739F" w:rsidP="00AC60F9">
            <w:pPr>
              <w:pStyle w:val="Tableformat"/>
            </w:pPr>
            <w:r w:rsidRPr="00262F3A">
              <w:t>-</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273526F"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D2E2D83" w14:textId="77777777" w:rsidR="001D739F" w:rsidRPr="00262F3A" w:rsidRDefault="001D739F" w:rsidP="00AC60F9">
            <w:pPr>
              <w:pStyle w:val="Tableformat"/>
            </w:pPr>
            <w:r w:rsidRPr="00262F3A">
              <w:t>-</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F94D57B" w14:textId="33437C17" w:rsidR="001D739F" w:rsidRPr="00262F3A" w:rsidRDefault="001D739F" w:rsidP="00AC60F9">
            <w:pPr>
              <w:pStyle w:val="Tableformat"/>
            </w:pPr>
            <w:r w:rsidRPr="00262F3A">
              <w:t>3</w:t>
            </w:r>
            <w:r w:rsidR="00874FDA">
              <w:t>,</w:t>
            </w:r>
            <w:r w:rsidRPr="00262F3A">
              <w:t>182</w:t>
            </w:r>
          </w:p>
        </w:tc>
      </w:tr>
    </w:tbl>
    <w:p w14:paraId="3E7057B6" w14:textId="77777777" w:rsidR="001D739F" w:rsidRPr="00262F3A" w:rsidRDefault="005D5BCA" w:rsidP="00901595">
      <w:pPr>
        <w:keepNext/>
      </w:pPr>
      <w:r w:rsidRPr="00262F3A">
        <w:rPr>
          <w:b/>
        </w:rPr>
        <w:t>Table 5.4B</w:t>
      </w:r>
      <w:r w:rsidRPr="00B63CEB">
        <w:rPr>
          <w:b/>
        </w:rPr>
        <w:t>:</w:t>
      </w:r>
      <w:r w:rsidRPr="00262F3A">
        <w:t xml:space="preserve"> </w:t>
      </w:r>
      <w:r w:rsidR="001D739F" w:rsidRPr="00262F3A">
        <w:t>All non-ongoing employees current reporting period (2019–20)</w:t>
      </w:r>
    </w:p>
    <w:tbl>
      <w:tblPr>
        <w:tblW w:w="0" w:type="auto"/>
        <w:tblCellMar>
          <w:left w:w="0" w:type="dxa"/>
          <w:right w:w="0" w:type="dxa"/>
        </w:tblCellMar>
        <w:tblLook w:val="04A0" w:firstRow="1" w:lastRow="0" w:firstColumn="1" w:lastColumn="0" w:noHBand="0" w:noVBand="1"/>
      </w:tblPr>
      <w:tblGrid>
        <w:gridCol w:w="992"/>
        <w:gridCol w:w="879"/>
        <w:gridCol w:w="729"/>
        <w:gridCol w:w="746"/>
        <w:gridCol w:w="879"/>
        <w:gridCol w:w="729"/>
        <w:gridCol w:w="930"/>
        <w:gridCol w:w="1343"/>
        <w:gridCol w:w="729"/>
        <w:gridCol w:w="1418"/>
        <w:gridCol w:w="641"/>
      </w:tblGrid>
      <w:tr w:rsidR="00D730A4" w:rsidRPr="00262F3A" w14:paraId="4E8B1F52" w14:textId="77777777" w:rsidTr="00317EA0">
        <w:trPr>
          <w:tblHeader/>
        </w:trPr>
        <w:tc>
          <w:tcPr>
            <w:tcW w:w="992" w:type="dxa"/>
            <w:tcBorders>
              <w:top w:val="single" w:sz="8" w:space="0" w:color="A3A3A3"/>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76E1B4A9" w14:textId="77777777" w:rsidR="00D730A4" w:rsidRPr="00262F3A" w:rsidRDefault="00D730A4" w:rsidP="00AC60F9">
            <w:pPr>
              <w:pStyle w:val="Tableformat"/>
              <w:rPr>
                <w:color w:val="FFFFFF" w:themeColor="background1"/>
              </w:rPr>
            </w:pPr>
            <w:r w:rsidRPr="00262F3A">
              <w:rPr>
                <w:color w:val="FFFFFF" w:themeColor="background1"/>
              </w:rPr>
              <w:t> </w:t>
            </w:r>
          </w:p>
        </w:tc>
        <w:tc>
          <w:tcPr>
            <w:tcW w:w="2354"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018FB919" w14:textId="46A1BAC4" w:rsidR="00D730A4" w:rsidRPr="00262F3A" w:rsidRDefault="00D730A4" w:rsidP="00D730A4">
            <w:pPr>
              <w:pStyle w:val="Tableformat"/>
              <w:jc w:val="center"/>
              <w:rPr>
                <w:color w:val="FFFFFF" w:themeColor="background1"/>
              </w:rPr>
            </w:pPr>
            <w:r>
              <w:rPr>
                <w:color w:val="FFFFFF" w:themeColor="background1"/>
              </w:rPr>
              <w:t>Male</w:t>
            </w:r>
          </w:p>
        </w:tc>
        <w:tc>
          <w:tcPr>
            <w:tcW w:w="2538"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140DDB38" w14:textId="3941EDF5" w:rsidR="00D730A4" w:rsidRPr="00262F3A" w:rsidRDefault="00D730A4" w:rsidP="00D730A4">
            <w:pPr>
              <w:pStyle w:val="Tableformat"/>
              <w:jc w:val="center"/>
              <w:rPr>
                <w:color w:val="FFFFFF" w:themeColor="background1"/>
              </w:rPr>
            </w:pPr>
            <w:r w:rsidRPr="00262F3A">
              <w:rPr>
                <w:color w:val="FFFFFF" w:themeColor="background1"/>
              </w:rPr>
              <w:t>F</w:t>
            </w:r>
            <w:r>
              <w:rPr>
                <w:color w:val="FFFFFF" w:themeColor="background1"/>
              </w:rPr>
              <w:t>emale</w:t>
            </w:r>
          </w:p>
        </w:tc>
        <w:tc>
          <w:tcPr>
            <w:tcW w:w="3490"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24602DAB" w14:textId="36F96FB7" w:rsidR="00D730A4" w:rsidRPr="00262F3A" w:rsidRDefault="00D730A4" w:rsidP="00D730A4">
            <w:pPr>
              <w:pStyle w:val="Tableformat"/>
              <w:jc w:val="center"/>
              <w:rPr>
                <w:color w:val="FFFFFF" w:themeColor="background1"/>
              </w:rPr>
            </w:pPr>
            <w:r w:rsidRPr="00262F3A">
              <w:rPr>
                <w:color w:val="FFFFFF" w:themeColor="background1"/>
              </w:rPr>
              <w:t>Indeterminate</w:t>
            </w:r>
          </w:p>
        </w:tc>
        <w:tc>
          <w:tcPr>
            <w:tcW w:w="641" w:type="dxa"/>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18C4BCC9" w14:textId="77777777" w:rsidR="00D730A4" w:rsidRPr="00262F3A" w:rsidRDefault="00D730A4" w:rsidP="00AC60F9">
            <w:pPr>
              <w:pStyle w:val="Tableformat"/>
              <w:rPr>
                <w:color w:val="FFFFFF" w:themeColor="background1"/>
              </w:rPr>
            </w:pPr>
            <w:r w:rsidRPr="00262F3A">
              <w:rPr>
                <w:color w:val="FFFFFF" w:themeColor="background1"/>
              </w:rPr>
              <w:t xml:space="preserve">Total </w:t>
            </w:r>
          </w:p>
        </w:tc>
      </w:tr>
      <w:tr w:rsidR="001D739F" w:rsidRPr="00262F3A" w14:paraId="0860DAE1" w14:textId="77777777" w:rsidTr="00377C62">
        <w:trPr>
          <w:tblHeader/>
        </w:trPr>
        <w:tc>
          <w:tcPr>
            <w:tcW w:w="992" w:type="dxa"/>
            <w:tcBorders>
              <w:top w:val="nil"/>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4A3D5E63" w14:textId="77777777" w:rsidR="001D739F" w:rsidRPr="00262F3A" w:rsidRDefault="001D739F" w:rsidP="00AC60F9">
            <w:pPr>
              <w:pStyle w:val="Tableformat"/>
              <w:rPr>
                <w:color w:val="FFFFFF" w:themeColor="background1"/>
              </w:rPr>
            </w:pPr>
            <w:r w:rsidRPr="00262F3A">
              <w:rPr>
                <w:color w:val="FFFFFF" w:themeColor="background1"/>
              </w:rPr>
              <w:t> </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2F5ACE63" w14:textId="77777777" w:rsidR="001D739F" w:rsidRPr="00262F3A" w:rsidRDefault="001D739F" w:rsidP="00AC60F9">
            <w:pPr>
              <w:pStyle w:val="Tableformat"/>
              <w:rPr>
                <w:color w:val="FFFFFF" w:themeColor="background1"/>
              </w:rPr>
            </w:pPr>
            <w:r w:rsidRPr="00262F3A">
              <w:rPr>
                <w:color w:val="FFFFFF" w:themeColor="background1"/>
              </w:rPr>
              <w:t>Fulltime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9AC7E50" w14:textId="6E556B44"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746"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79768E70" w14:textId="77C19785" w:rsidR="001D739F" w:rsidRPr="00262F3A" w:rsidRDefault="001D739F" w:rsidP="00AE6AE5">
            <w:pPr>
              <w:pStyle w:val="Tableformat"/>
              <w:rPr>
                <w:color w:val="FFFFFF" w:themeColor="background1"/>
              </w:rPr>
            </w:pPr>
            <w:r w:rsidRPr="00262F3A">
              <w:rPr>
                <w:color w:val="FFFFFF" w:themeColor="background1"/>
              </w:rPr>
              <w:t xml:space="preserve">Total </w:t>
            </w:r>
            <w:r w:rsidR="00AE6AE5">
              <w:rPr>
                <w:color w:val="FFFFFF" w:themeColor="background1"/>
              </w:rPr>
              <w:t>m</w:t>
            </w:r>
            <w:r w:rsidRPr="00262F3A">
              <w:rPr>
                <w:color w:val="FFFFFF" w:themeColor="background1"/>
              </w:rPr>
              <w:t>ale</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443548C" w14:textId="59EFAE31"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60F746C" w14:textId="1A22DBCB"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930"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09F22CDA" w14:textId="2B0D3F09" w:rsidR="001D739F" w:rsidRPr="00262F3A" w:rsidRDefault="001D739F" w:rsidP="00AC60F9">
            <w:pPr>
              <w:pStyle w:val="Tableformat"/>
              <w:rPr>
                <w:color w:val="FFFFFF" w:themeColor="background1"/>
              </w:rPr>
            </w:pPr>
            <w:r w:rsidRPr="00262F3A">
              <w:rPr>
                <w:color w:val="FFFFFF" w:themeColor="background1"/>
              </w:rPr>
              <w:t>T</w:t>
            </w:r>
            <w:r w:rsidR="00AE6AE5">
              <w:rPr>
                <w:color w:val="FFFFFF" w:themeColor="background1"/>
              </w:rPr>
              <w:t>otal f</w:t>
            </w:r>
            <w:r w:rsidRPr="00262F3A">
              <w:rPr>
                <w:color w:val="FFFFFF" w:themeColor="background1"/>
              </w:rPr>
              <w:t>emale</w:t>
            </w:r>
          </w:p>
        </w:tc>
        <w:tc>
          <w:tcPr>
            <w:tcW w:w="1343"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2AAF63F7" w14:textId="5222D828"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259ABA1F" w14:textId="35445368"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1418"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BE3045D" w14:textId="254B6B73" w:rsidR="001D739F" w:rsidRPr="00262F3A" w:rsidRDefault="00AE6AE5" w:rsidP="00AC60F9">
            <w:pPr>
              <w:pStyle w:val="Tableformat"/>
              <w:rPr>
                <w:color w:val="FFFFFF" w:themeColor="background1"/>
              </w:rPr>
            </w:pPr>
            <w:r>
              <w:rPr>
                <w:color w:val="FFFFFF" w:themeColor="background1"/>
              </w:rPr>
              <w:t>Total i</w:t>
            </w:r>
            <w:r w:rsidR="001D739F" w:rsidRPr="00262F3A">
              <w:rPr>
                <w:color w:val="FFFFFF" w:themeColor="background1"/>
              </w:rPr>
              <w:t>ndeterminate</w:t>
            </w:r>
          </w:p>
        </w:tc>
        <w:tc>
          <w:tcPr>
            <w:tcW w:w="64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0F2B3A1B" w14:textId="77777777" w:rsidR="001D739F" w:rsidRPr="00262F3A" w:rsidRDefault="001D739F" w:rsidP="00AC60F9">
            <w:pPr>
              <w:pStyle w:val="Tableformat"/>
              <w:rPr>
                <w:color w:val="FFFFFF" w:themeColor="background1"/>
              </w:rPr>
            </w:pPr>
            <w:r w:rsidRPr="00262F3A">
              <w:rPr>
                <w:color w:val="FFFFFF" w:themeColor="background1"/>
              </w:rPr>
              <w:t> </w:t>
            </w:r>
          </w:p>
        </w:tc>
      </w:tr>
      <w:tr w:rsidR="001D739F" w:rsidRPr="00262F3A" w14:paraId="43D5FA54"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06B99EA4" w14:textId="77777777" w:rsidR="001D739F" w:rsidRPr="00262F3A" w:rsidRDefault="001D739F" w:rsidP="00AC60F9">
            <w:pPr>
              <w:pStyle w:val="Tableformat"/>
            </w:pPr>
            <w:r w:rsidRPr="00262F3A">
              <w:t>NSW</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A07B633" w14:textId="77777777" w:rsidR="001D739F" w:rsidRPr="00262F3A" w:rsidRDefault="001D739F" w:rsidP="00AC60F9">
            <w:pPr>
              <w:pStyle w:val="Tableformat"/>
            </w:pPr>
            <w:r w:rsidRPr="00262F3A">
              <w:t>42</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34E573FB" w14:textId="77777777" w:rsidR="001D739F" w:rsidRPr="00262F3A" w:rsidRDefault="001D739F" w:rsidP="00AC60F9">
            <w:pPr>
              <w:pStyle w:val="Tableformat"/>
            </w:pPr>
            <w:r w:rsidRPr="00262F3A">
              <w:t>5</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619F3986" w14:textId="77777777" w:rsidR="001D739F" w:rsidRPr="00262F3A" w:rsidRDefault="001D739F" w:rsidP="00AC60F9">
            <w:pPr>
              <w:pStyle w:val="Tableformat"/>
            </w:pPr>
            <w:r w:rsidRPr="00262F3A">
              <w:t>47</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346EC59D" w14:textId="77777777" w:rsidR="001D739F" w:rsidRPr="00262F3A" w:rsidRDefault="001D739F" w:rsidP="00AC60F9">
            <w:pPr>
              <w:pStyle w:val="Tableformat"/>
            </w:pPr>
            <w:r w:rsidRPr="00262F3A">
              <w:t>172</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189FDC26" w14:textId="77777777" w:rsidR="001D739F" w:rsidRPr="00262F3A" w:rsidRDefault="001D739F" w:rsidP="00AC60F9">
            <w:pPr>
              <w:pStyle w:val="Tableformat"/>
            </w:pPr>
            <w:r w:rsidRPr="00262F3A">
              <w:t>27</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47CD558D" w14:textId="77777777" w:rsidR="001D739F" w:rsidRPr="00262F3A" w:rsidRDefault="001D739F" w:rsidP="00AC60F9">
            <w:pPr>
              <w:pStyle w:val="Tableformat"/>
            </w:pPr>
            <w:r w:rsidRPr="00262F3A">
              <w:t>199</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2B57E175" w14:textId="77777777" w:rsidR="001D739F" w:rsidRPr="00262F3A" w:rsidRDefault="001D739F" w:rsidP="00AC60F9">
            <w:pPr>
              <w:pStyle w:val="Tableformat"/>
            </w:pPr>
            <w:r w:rsidRPr="00262F3A">
              <w:t>-</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65711A2C"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3F05ED91" w14:textId="77777777" w:rsidR="001D739F" w:rsidRPr="00262F3A" w:rsidRDefault="001D739F" w:rsidP="00AC60F9">
            <w:pPr>
              <w:pStyle w:val="Tableformat"/>
            </w:pPr>
            <w:r w:rsidRPr="00262F3A">
              <w:t>-</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61779683" w14:textId="77777777" w:rsidR="001D739F" w:rsidRPr="00262F3A" w:rsidRDefault="001D739F" w:rsidP="00AC60F9">
            <w:pPr>
              <w:pStyle w:val="Tableformat"/>
            </w:pPr>
            <w:r w:rsidRPr="00262F3A">
              <w:t>246</w:t>
            </w:r>
          </w:p>
        </w:tc>
      </w:tr>
      <w:tr w:rsidR="001D739F" w:rsidRPr="00262F3A" w14:paraId="4A772EC9"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02F14116" w14:textId="77777777" w:rsidR="001D739F" w:rsidRPr="00262F3A" w:rsidRDefault="001D739F" w:rsidP="00AC60F9">
            <w:pPr>
              <w:pStyle w:val="Tableformat"/>
            </w:pPr>
            <w:r w:rsidRPr="00262F3A">
              <w:t>QLD</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C5A90ED" w14:textId="77777777" w:rsidR="001D739F" w:rsidRPr="00262F3A" w:rsidRDefault="001D739F" w:rsidP="00AC60F9">
            <w:pPr>
              <w:pStyle w:val="Tableformat"/>
            </w:pPr>
            <w:r w:rsidRPr="00262F3A">
              <w:t>45</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976CD2F" w14:textId="77777777" w:rsidR="001D739F" w:rsidRPr="00262F3A" w:rsidRDefault="001D739F" w:rsidP="00AC60F9">
            <w:pPr>
              <w:pStyle w:val="Tableformat"/>
            </w:pPr>
            <w:r w:rsidRPr="00262F3A">
              <w:t>-</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DAA6303" w14:textId="77777777" w:rsidR="001D739F" w:rsidRPr="00262F3A" w:rsidRDefault="001D739F" w:rsidP="00AC60F9">
            <w:pPr>
              <w:pStyle w:val="Tableformat"/>
            </w:pPr>
            <w:r w:rsidRPr="00262F3A">
              <w:t>45</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CA522E3" w14:textId="77777777" w:rsidR="001D739F" w:rsidRPr="00262F3A" w:rsidRDefault="001D739F" w:rsidP="00AC60F9">
            <w:pPr>
              <w:pStyle w:val="Tableformat"/>
            </w:pPr>
            <w:r w:rsidRPr="00262F3A">
              <w:t>142</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6382C2A" w14:textId="77777777" w:rsidR="001D739F" w:rsidRPr="00262F3A" w:rsidRDefault="001D739F" w:rsidP="00AC60F9">
            <w:pPr>
              <w:pStyle w:val="Tableformat"/>
            </w:pPr>
            <w:r w:rsidRPr="00262F3A">
              <w:t>29</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4032EF5" w14:textId="77777777" w:rsidR="001D739F" w:rsidRPr="00262F3A" w:rsidRDefault="001D739F" w:rsidP="00AC60F9">
            <w:pPr>
              <w:pStyle w:val="Tableformat"/>
            </w:pPr>
            <w:r w:rsidRPr="00262F3A">
              <w:t>171</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92D55D4" w14:textId="77777777" w:rsidR="001D739F" w:rsidRPr="00262F3A" w:rsidRDefault="001D739F" w:rsidP="00AC60F9">
            <w:pPr>
              <w:pStyle w:val="Tableformat"/>
            </w:pPr>
            <w:r w:rsidRPr="00262F3A">
              <w:t>-</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B428446"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1D95E99" w14:textId="77777777" w:rsidR="001D739F" w:rsidRPr="00262F3A" w:rsidRDefault="001D739F" w:rsidP="00AC60F9">
            <w:pPr>
              <w:pStyle w:val="Tableformat"/>
            </w:pPr>
            <w:r w:rsidRPr="00262F3A">
              <w:t>-</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B0F0673" w14:textId="77777777" w:rsidR="001D739F" w:rsidRPr="00262F3A" w:rsidRDefault="001D739F" w:rsidP="00AC60F9">
            <w:pPr>
              <w:pStyle w:val="Tableformat"/>
            </w:pPr>
            <w:r w:rsidRPr="00262F3A">
              <w:t>216</w:t>
            </w:r>
          </w:p>
        </w:tc>
      </w:tr>
      <w:tr w:rsidR="001D739F" w:rsidRPr="00262F3A" w14:paraId="1140416C"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594ABA06" w14:textId="77777777" w:rsidR="001D739F" w:rsidRPr="00262F3A" w:rsidRDefault="001D739F" w:rsidP="00AC60F9">
            <w:pPr>
              <w:pStyle w:val="Tableformat"/>
            </w:pPr>
            <w:r w:rsidRPr="00262F3A">
              <w:t>SA</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2CF4C54" w14:textId="77777777" w:rsidR="001D739F" w:rsidRPr="00262F3A" w:rsidRDefault="001D739F" w:rsidP="00AC60F9">
            <w:pPr>
              <w:pStyle w:val="Tableformat"/>
            </w:pPr>
            <w:r w:rsidRPr="00262F3A">
              <w:t>18</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5AFE552" w14:textId="77777777" w:rsidR="001D739F" w:rsidRPr="00262F3A" w:rsidRDefault="001D739F" w:rsidP="00AC60F9">
            <w:pPr>
              <w:pStyle w:val="Tableformat"/>
            </w:pPr>
            <w:r w:rsidRPr="00262F3A">
              <w:t>3</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47FD341C" w14:textId="77777777" w:rsidR="001D739F" w:rsidRPr="00262F3A" w:rsidRDefault="001D739F" w:rsidP="00AC60F9">
            <w:pPr>
              <w:pStyle w:val="Tableformat"/>
            </w:pPr>
            <w:r w:rsidRPr="00262F3A">
              <w:t>21</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7C4EE49" w14:textId="77777777" w:rsidR="001D739F" w:rsidRPr="00262F3A" w:rsidRDefault="001D739F" w:rsidP="00AC60F9">
            <w:pPr>
              <w:pStyle w:val="Tableformat"/>
            </w:pPr>
            <w:r w:rsidRPr="00262F3A">
              <w:t>60</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38F657BD" w14:textId="77777777" w:rsidR="001D739F" w:rsidRPr="00262F3A" w:rsidRDefault="001D739F" w:rsidP="00AC60F9">
            <w:pPr>
              <w:pStyle w:val="Tableformat"/>
            </w:pPr>
            <w:r w:rsidRPr="00262F3A">
              <w:t>8</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5D90B2BE" w14:textId="77777777" w:rsidR="001D739F" w:rsidRPr="00262F3A" w:rsidRDefault="001D739F" w:rsidP="00AC60F9">
            <w:pPr>
              <w:pStyle w:val="Tableformat"/>
            </w:pPr>
            <w:r w:rsidRPr="00262F3A">
              <w:t>68</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13260F00"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361A1CA9"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22CA58F0"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47C2A4FC" w14:textId="77777777" w:rsidR="001D739F" w:rsidRPr="00262F3A" w:rsidRDefault="001D739F" w:rsidP="00AC60F9">
            <w:pPr>
              <w:pStyle w:val="Tableformat"/>
            </w:pPr>
            <w:r w:rsidRPr="00262F3A">
              <w:t>89</w:t>
            </w:r>
          </w:p>
        </w:tc>
      </w:tr>
      <w:tr w:rsidR="001D739F" w:rsidRPr="00262F3A" w14:paraId="3E46EE98"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91A98F5" w14:textId="77777777" w:rsidR="001D739F" w:rsidRPr="00262F3A" w:rsidRDefault="001D739F" w:rsidP="00AC60F9">
            <w:pPr>
              <w:pStyle w:val="Tableformat"/>
            </w:pPr>
            <w:r w:rsidRPr="00262F3A">
              <w:t>TAS</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C6AEF35" w14:textId="77777777" w:rsidR="001D739F" w:rsidRPr="00262F3A" w:rsidRDefault="001D739F" w:rsidP="00AC60F9">
            <w:pPr>
              <w:pStyle w:val="Tableformat"/>
            </w:pPr>
            <w:r w:rsidRPr="00262F3A">
              <w:t>2</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D6795EC" w14:textId="77777777" w:rsidR="001D739F" w:rsidRPr="00262F3A" w:rsidRDefault="001D739F" w:rsidP="00AC60F9">
            <w:pPr>
              <w:pStyle w:val="Tableformat"/>
            </w:pPr>
            <w:r w:rsidRPr="00262F3A">
              <w:t>2</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9EF7E7D" w14:textId="77777777" w:rsidR="001D739F" w:rsidRPr="00262F3A" w:rsidRDefault="001D739F" w:rsidP="00AC60F9">
            <w:pPr>
              <w:pStyle w:val="Tableformat"/>
            </w:pPr>
            <w:r w:rsidRPr="00262F3A">
              <w:t>4</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3D44FB6" w14:textId="77777777" w:rsidR="001D739F" w:rsidRPr="00262F3A" w:rsidRDefault="001D739F" w:rsidP="00AC60F9">
            <w:pPr>
              <w:pStyle w:val="Tableformat"/>
            </w:pPr>
            <w:r w:rsidRPr="00262F3A">
              <w:t>10</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302CBD6" w14:textId="77777777" w:rsidR="001D739F" w:rsidRPr="00262F3A" w:rsidRDefault="001D739F" w:rsidP="00AC60F9">
            <w:pPr>
              <w:pStyle w:val="Tableformat"/>
            </w:pPr>
            <w:r w:rsidRPr="00262F3A">
              <w:t>2</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D52BEF6" w14:textId="77777777" w:rsidR="001D739F" w:rsidRPr="00262F3A" w:rsidRDefault="001D739F" w:rsidP="00AC60F9">
            <w:pPr>
              <w:pStyle w:val="Tableformat"/>
            </w:pPr>
            <w:r w:rsidRPr="00262F3A">
              <w:t>12</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A74C4B2"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CAADEFE"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23999B3"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6CA69BB" w14:textId="77777777" w:rsidR="001D739F" w:rsidRPr="00262F3A" w:rsidRDefault="001D739F" w:rsidP="00AC60F9">
            <w:pPr>
              <w:pStyle w:val="Tableformat"/>
            </w:pPr>
            <w:r w:rsidRPr="00262F3A">
              <w:t>16</w:t>
            </w:r>
          </w:p>
        </w:tc>
      </w:tr>
      <w:tr w:rsidR="001D739F" w:rsidRPr="00262F3A" w14:paraId="4333ADE2"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423C17E2" w14:textId="77777777" w:rsidR="001D739F" w:rsidRPr="00262F3A" w:rsidRDefault="001D739F" w:rsidP="00AC60F9">
            <w:pPr>
              <w:pStyle w:val="Tableformat"/>
            </w:pPr>
            <w:r w:rsidRPr="00262F3A">
              <w:t>VIC</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66D0AB4" w14:textId="77777777" w:rsidR="001D739F" w:rsidRPr="00262F3A" w:rsidRDefault="001D739F" w:rsidP="00AC60F9">
            <w:pPr>
              <w:pStyle w:val="Tableformat"/>
            </w:pPr>
            <w:r w:rsidRPr="00262F3A">
              <w:t>106</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70404772" w14:textId="1B2FCE0C" w:rsidR="001D739F" w:rsidRPr="00262F3A" w:rsidRDefault="00A4014A" w:rsidP="00AC60F9">
            <w:pPr>
              <w:pStyle w:val="Tableformat"/>
            </w:pPr>
            <w:r w:rsidRPr="00262F3A">
              <w:t>3</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6D01D91F" w14:textId="09000B71" w:rsidR="001D739F" w:rsidRPr="00262F3A" w:rsidRDefault="001D739F" w:rsidP="00A4014A">
            <w:pPr>
              <w:pStyle w:val="Tableformat"/>
            </w:pPr>
            <w:r w:rsidRPr="00262F3A">
              <w:t>10</w:t>
            </w:r>
            <w:r w:rsidR="00A4014A" w:rsidRPr="00262F3A">
              <w:t>9</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7AF36C13" w14:textId="77777777" w:rsidR="001D739F" w:rsidRPr="00262F3A" w:rsidRDefault="001D739F" w:rsidP="00AC60F9">
            <w:pPr>
              <w:pStyle w:val="Tableformat"/>
            </w:pPr>
            <w:r w:rsidRPr="00262F3A">
              <w:t>259</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678611CE" w14:textId="77777777" w:rsidR="001D739F" w:rsidRPr="00262F3A" w:rsidRDefault="001D739F" w:rsidP="00AC60F9">
            <w:pPr>
              <w:pStyle w:val="Tableformat"/>
            </w:pPr>
            <w:r w:rsidRPr="00262F3A">
              <w:t>59</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1D660440" w14:textId="77777777" w:rsidR="001D739F" w:rsidRPr="00262F3A" w:rsidRDefault="001D739F" w:rsidP="00AC60F9">
            <w:pPr>
              <w:pStyle w:val="Tableformat"/>
            </w:pPr>
            <w:r w:rsidRPr="00262F3A">
              <w:t>318</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6DBDBAC1"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22B25E19"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2FD0B2C9"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74678A5B" w14:textId="3135873B" w:rsidR="001D739F" w:rsidRPr="00262F3A" w:rsidRDefault="00A4014A" w:rsidP="00AC60F9">
            <w:pPr>
              <w:pStyle w:val="Tableformat"/>
            </w:pPr>
            <w:r w:rsidRPr="00262F3A">
              <w:t>427</w:t>
            </w:r>
          </w:p>
        </w:tc>
      </w:tr>
      <w:tr w:rsidR="001D739F" w:rsidRPr="00262F3A" w14:paraId="179A0567"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0A29570" w14:textId="77777777" w:rsidR="001D739F" w:rsidRPr="00262F3A" w:rsidRDefault="001D739F" w:rsidP="00AC60F9">
            <w:pPr>
              <w:pStyle w:val="Tableformat"/>
            </w:pPr>
            <w:r w:rsidRPr="00262F3A">
              <w:t>WA</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84BB776" w14:textId="77777777" w:rsidR="001D739F" w:rsidRPr="00262F3A" w:rsidRDefault="001D739F" w:rsidP="00AC60F9">
            <w:pPr>
              <w:pStyle w:val="Tableformat"/>
            </w:pPr>
            <w:r w:rsidRPr="00262F3A">
              <w:t>22</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BCA1889" w14:textId="77777777" w:rsidR="001D739F" w:rsidRPr="00262F3A" w:rsidRDefault="001D739F" w:rsidP="00AC60F9">
            <w:pPr>
              <w:pStyle w:val="Tableformat"/>
            </w:pPr>
            <w:r w:rsidRPr="00262F3A">
              <w:t>-</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31C2479" w14:textId="77777777" w:rsidR="001D739F" w:rsidRPr="00262F3A" w:rsidRDefault="001D739F" w:rsidP="00AC60F9">
            <w:pPr>
              <w:pStyle w:val="Tableformat"/>
            </w:pPr>
            <w:r w:rsidRPr="00262F3A">
              <w:t>22</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9B01497" w14:textId="77777777" w:rsidR="001D739F" w:rsidRPr="00262F3A" w:rsidRDefault="001D739F" w:rsidP="00AC60F9">
            <w:pPr>
              <w:pStyle w:val="Tableformat"/>
            </w:pPr>
            <w:r w:rsidRPr="00262F3A">
              <w:t>89</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312CE80" w14:textId="77777777" w:rsidR="001D739F" w:rsidRPr="00262F3A" w:rsidRDefault="001D739F" w:rsidP="00AC60F9">
            <w:pPr>
              <w:pStyle w:val="Tableformat"/>
            </w:pPr>
            <w:r w:rsidRPr="00262F3A">
              <w:t>11</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3890933" w14:textId="77777777" w:rsidR="001D739F" w:rsidRPr="00262F3A" w:rsidRDefault="001D739F" w:rsidP="00AC60F9">
            <w:pPr>
              <w:pStyle w:val="Tableformat"/>
            </w:pPr>
            <w:r w:rsidRPr="00262F3A">
              <w:t>100</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B32B761"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3B1D383"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80C292C"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5945BFF" w14:textId="77777777" w:rsidR="001D739F" w:rsidRPr="00262F3A" w:rsidRDefault="001D739F" w:rsidP="00AC60F9">
            <w:pPr>
              <w:pStyle w:val="Tableformat"/>
            </w:pPr>
            <w:r w:rsidRPr="00262F3A">
              <w:t>122</w:t>
            </w:r>
          </w:p>
        </w:tc>
      </w:tr>
      <w:tr w:rsidR="001D739F" w:rsidRPr="00262F3A" w14:paraId="1B66197C"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0ACE0A00" w14:textId="77777777" w:rsidR="001D739F" w:rsidRPr="00262F3A" w:rsidRDefault="001D739F" w:rsidP="00AC60F9">
            <w:pPr>
              <w:pStyle w:val="Tableformat"/>
            </w:pPr>
            <w:r w:rsidRPr="00262F3A">
              <w:t>ACT</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D6263B7" w14:textId="77777777" w:rsidR="001D739F" w:rsidRPr="00262F3A" w:rsidRDefault="001D739F" w:rsidP="00AC60F9">
            <w:pPr>
              <w:pStyle w:val="Tableformat"/>
            </w:pPr>
            <w:r w:rsidRPr="00262F3A">
              <w:t>16</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6298226B" w14:textId="62B03926" w:rsidR="001D739F" w:rsidRPr="00262F3A" w:rsidRDefault="00831BFA" w:rsidP="00AC60F9">
            <w:pPr>
              <w:pStyle w:val="Tableformat"/>
            </w:pPr>
            <w:r w:rsidRPr="00262F3A">
              <w:t>1</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016D52E5" w14:textId="4D5BF1D5" w:rsidR="001D739F" w:rsidRPr="00262F3A" w:rsidRDefault="001D739F" w:rsidP="00831BFA">
            <w:pPr>
              <w:pStyle w:val="Tableformat"/>
            </w:pPr>
            <w:r w:rsidRPr="00262F3A">
              <w:t>1</w:t>
            </w:r>
            <w:r w:rsidR="00831BFA" w:rsidRPr="00262F3A">
              <w:t>7</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A11BD82" w14:textId="77777777" w:rsidR="001D739F" w:rsidRPr="00262F3A" w:rsidRDefault="001D739F" w:rsidP="00AC60F9">
            <w:pPr>
              <w:pStyle w:val="Tableformat"/>
            </w:pPr>
            <w:r w:rsidRPr="00262F3A">
              <w:t>36</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75A00568" w14:textId="6E3C85A6" w:rsidR="001D739F" w:rsidRPr="00262F3A" w:rsidRDefault="00831BFA" w:rsidP="00831BFA">
            <w:pPr>
              <w:pStyle w:val="Tableformat"/>
            </w:pPr>
            <w:r w:rsidRPr="00262F3A">
              <w:t>8</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16FC62A4" w14:textId="519EB8C2" w:rsidR="001D739F" w:rsidRPr="00262F3A" w:rsidRDefault="001D739F" w:rsidP="00831BFA">
            <w:pPr>
              <w:pStyle w:val="Tableformat"/>
            </w:pPr>
            <w:r w:rsidRPr="00262F3A">
              <w:t>4</w:t>
            </w:r>
            <w:r w:rsidR="00831BFA" w:rsidRPr="00262F3A">
              <w:t>4</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6B60EACB"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001C56F3"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5A405CA7"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722F4B3B" w14:textId="00792170" w:rsidR="001D739F" w:rsidRPr="00262F3A" w:rsidRDefault="00831BFA" w:rsidP="00831BFA">
            <w:pPr>
              <w:pStyle w:val="Tableformat"/>
            </w:pPr>
            <w:r w:rsidRPr="00262F3A">
              <w:t>61</w:t>
            </w:r>
          </w:p>
        </w:tc>
      </w:tr>
      <w:tr w:rsidR="001D739F" w:rsidRPr="00262F3A" w14:paraId="05609C30"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6EC780C" w14:textId="77777777" w:rsidR="001D739F" w:rsidRPr="00262F3A" w:rsidRDefault="001D739F" w:rsidP="00AC60F9">
            <w:pPr>
              <w:pStyle w:val="Tableformat"/>
            </w:pPr>
            <w:r w:rsidRPr="00262F3A">
              <w:t>NT</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8C64192" w14:textId="77777777" w:rsidR="001D739F" w:rsidRPr="00262F3A" w:rsidRDefault="001D739F" w:rsidP="00AC60F9">
            <w:pPr>
              <w:pStyle w:val="Tableformat"/>
            </w:pPr>
            <w:r w:rsidRPr="00262F3A">
              <w:t>13</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8CE5661" w14:textId="77777777" w:rsidR="001D739F" w:rsidRPr="00262F3A" w:rsidRDefault="001D739F" w:rsidP="00AC60F9">
            <w:pPr>
              <w:pStyle w:val="Tableformat"/>
            </w:pPr>
            <w:r w:rsidRPr="00262F3A">
              <w:t>-</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ED4A6FE" w14:textId="77777777" w:rsidR="001D739F" w:rsidRPr="00262F3A" w:rsidRDefault="001D739F" w:rsidP="00AC60F9">
            <w:pPr>
              <w:pStyle w:val="Tableformat"/>
            </w:pPr>
            <w:r w:rsidRPr="00262F3A">
              <w:t>13</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F1763B9" w14:textId="77777777" w:rsidR="001D739F" w:rsidRPr="00262F3A" w:rsidRDefault="001D739F" w:rsidP="00AC60F9">
            <w:pPr>
              <w:pStyle w:val="Tableformat"/>
            </w:pPr>
            <w:r w:rsidRPr="00262F3A">
              <w:t>21</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F597703" w14:textId="77777777" w:rsidR="001D739F" w:rsidRPr="00262F3A" w:rsidRDefault="001D739F" w:rsidP="00AC60F9">
            <w:pPr>
              <w:pStyle w:val="Tableformat"/>
            </w:pPr>
            <w:r w:rsidRPr="00262F3A">
              <w:t>3</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637A0E2" w14:textId="77777777" w:rsidR="001D739F" w:rsidRPr="00262F3A" w:rsidRDefault="001D739F" w:rsidP="00AC60F9">
            <w:pPr>
              <w:pStyle w:val="Tableformat"/>
            </w:pPr>
            <w:r w:rsidRPr="00262F3A">
              <w:t>24</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F23BC11"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8F2BA55"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2E326C4"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F532FE2" w14:textId="77777777" w:rsidR="001D739F" w:rsidRPr="00262F3A" w:rsidRDefault="001D739F" w:rsidP="00AC60F9">
            <w:pPr>
              <w:pStyle w:val="Tableformat"/>
            </w:pPr>
            <w:r w:rsidRPr="00262F3A">
              <w:t>37</w:t>
            </w:r>
          </w:p>
        </w:tc>
      </w:tr>
      <w:tr w:rsidR="001D739F" w:rsidRPr="00262F3A" w14:paraId="1E953E10"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6654A1EC" w14:textId="77777777" w:rsidR="001D739F" w:rsidRPr="00262F3A" w:rsidRDefault="001D739F" w:rsidP="00AC60F9">
            <w:pPr>
              <w:pStyle w:val="Tableformat"/>
            </w:pPr>
            <w:r w:rsidRPr="00262F3A">
              <w:t>Overseas</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7D4B552"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163CFBC9" w14:textId="77777777" w:rsidR="001D739F" w:rsidRPr="00262F3A" w:rsidRDefault="001D739F" w:rsidP="00AC60F9">
            <w:pPr>
              <w:pStyle w:val="Tableformat"/>
            </w:pPr>
            <w:r w:rsidRPr="00262F3A">
              <w:t> -</w:t>
            </w:r>
          </w:p>
        </w:tc>
        <w:tc>
          <w:tcPr>
            <w:tcW w:w="746" w:type="dxa"/>
            <w:tcBorders>
              <w:top w:val="nil"/>
              <w:left w:val="nil"/>
              <w:bottom w:val="single" w:sz="8" w:space="0" w:color="A3A3A3"/>
              <w:right w:val="single" w:sz="8" w:space="0" w:color="A3A3A3"/>
            </w:tcBorders>
            <w:tcMar>
              <w:top w:w="40" w:type="dxa"/>
              <w:left w:w="60" w:type="dxa"/>
              <w:bottom w:w="40" w:type="dxa"/>
              <w:right w:w="60" w:type="dxa"/>
            </w:tcMar>
            <w:hideMark/>
          </w:tcPr>
          <w:p w14:paraId="3C93FE33" w14:textId="77777777" w:rsidR="001D739F" w:rsidRPr="00262F3A" w:rsidRDefault="001D739F" w:rsidP="00AC60F9">
            <w:pPr>
              <w:pStyle w:val="Tableformat"/>
            </w:pPr>
            <w:r w:rsidRPr="00262F3A">
              <w:t> -</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48BBC80"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4FCB4966" w14:textId="77777777" w:rsidR="001D739F" w:rsidRPr="00262F3A" w:rsidRDefault="001D739F" w:rsidP="00AC60F9">
            <w:pPr>
              <w:pStyle w:val="Tableformat"/>
            </w:pPr>
            <w:r w:rsidRPr="00262F3A">
              <w:t> -</w:t>
            </w:r>
          </w:p>
        </w:tc>
        <w:tc>
          <w:tcPr>
            <w:tcW w:w="930" w:type="dxa"/>
            <w:tcBorders>
              <w:top w:val="nil"/>
              <w:left w:val="nil"/>
              <w:bottom w:val="single" w:sz="8" w:space="0" w:color="A3A3A3"/>
              <w:right w:val="single" w:sz="8" w:space="0" w:color="A3A3A3"/>
            </w:tcBorders>
            <w:tcMar>
              <w:top w:w="40" w:type="dxa"/>
              <w:left w:w="60" w:type="dxa"/>
              <w:bottom w:w="40" w:type="dxa"/>
              <w:right w:w="60" w:type="dxa"/>
            </w:tcMar>
            <w:hideMark/>
          </w:tcPr>
          <w:p w14:paraId="44CBB229" w14:textId="77777777" w:rsidR="001D739F" w:rsidRPr="00262F3A" w:rsidRDefault="001D739F" w:rsidP="00AC60F9">
            <w:pPr>
              <w:pStyle w:val="Tableformat"/>
            </w:pPr>
            <w:r w:rsidRPr="00262F3A">
              <w:t> -</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557E9C25" w14:textId="77777777" w:rsidR="001D739F" w:rsidRPr="00262F3A" w:rsidRDefault="001D739F" w:rsidP="00AC60F9">
            <w:pPr>
              <w:pStyle w:val="Tableformat"/>
            </w:pPr>
            <w:r w:rsidRPr="00262F3A">
              <w:t> -</w:t>
            </w:r>
          </w:p>
        </w:tc>
        <w:tc>
          <w:tcPr>
            <w:tcW w:w="729" w:type="dxa"/>
            <w:tcBorders>
              <w:top w:val="nil"/>
              <w:left w:val="nil"/>
              <w:bottom w:val="single" w:sz="8" w:space="0" w:color="A3A3A3"/>
              <w:right w:val="single" w:sz="8" w:space="0" w:color="A3A3A3"/>
            </w:tcBorders>
            <w:tcMar>
              <w:top w:w="40" w:type="dxa"/>
              <w:left w:w="60" w:type="dxa"/>
              <w:bottom w:w="40" w:type="dxa"/>
              <w:right w:w="60" w:type="dxa"/>
            </w:tcMar>
            <w:hideMark/>
          </w:tcPr>
          <w:p w14:paraId="75391BB1" w14:textId="77777777" w:rsidR="001D739F" w:rsidRPr="00262F3A" w:rsidRDefault="001D739F" w:rsidP="00AC60F9">
            <w:pPr>
              <w:pStyle w:val="Tableformat"/>
            </w:pPr>
            <w:r w:rsidRPr="00262F3A">
              <w:t> -</w:t>
            </w:r>
          </w:p>
        </w:tc>
        <w:tc>
          <w:tcPr>
            <w:tcW w:w="1418" w:type="dxa"/>
            <w:tcBorders>
              <w:top w:val="nil"/>
              <w:left w:val="nil"/>
              <w:bottom w:val="single" w:sz="8" w:space="0" w:color="A3A3A3"/>
              <w:right w:val="single" w:sz="8" w:space="0" w:color="A3A3A3"/>
            </w:tcBorders>
            <w:tcMar>
              <w:top w:w="40" w:type="dxa"/>
              <w:left w:w="60" w:type="dxa"/>
              <w:bottom w:w="40" w:type="dxa"/>
              <w:right w:w="60" w:type="dxa"/>
            </w:tcMar>
            <w:hideMark/>
          </w:tcPr>
          <w:p w14:paraId="2AE856DA" w14:textId="77777777" w:rsidR="001D739F" w:rsidRPr="00262F3A" w:rsidRDefault="001D739F" w:rsidP="00AC60F9">
            <w:pPr>
              <w:pStyle w:val="Tableformat"/>
            </w:pPr>
            <w:r w:rsidRPr="00262F3A">
              <w:t> -</w:t>
            </w:r>
          </w:p>
        </w:tc>
        <w:tc>
          <w:tcPr>
            <w:tcW w:w="641" w:type="dxa"/>
            <w:tcBorders>
              <w:top w:val="nil"/>
              <w:left w:val="nil"/>
              <w:bottom w:val="single" w:sz="8" w:space="0" w:color="A3A3A3"/>
              <w:right w:val="single" w:sz="8" w:space="0" w:color="A3A3A3"/>
            </w:tcBorders>
            <w:tcMar>
              <w:top w:w="40" w:type="dxa"/>
              <w:left w:w="60" w:type="dxa"/>
              <w:bottom w:w="40" w:type="dxa"/>
              <w:right w:w="60" w:type="dxa"/>
            </w:tcMar>
            <w:hideMark/>
          </w:tcPr>
          <w:p w14:paraId="2E58C549" w14:textId="77777777" w:rsidR="001D739F" w:rsidRPr="00262F3A" w:rsidRDefault="001D739F" w:rsidP="00AC60F9">
            <w:pPr>
              <w:pStyle w:val="Tableformat"/>
            </w:pPr>
            <w:r w:rsidRPr="00262F3A">
              <w:t> -</w:t>
            </w:r>
          </w:p>
        </w:tc>
      </w:tr>
      <w:tr w:rsidR="001D739F" w:rsidRPr="00262F3A" w14:paraId="07D1FB29"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E7ABCA9" w14:textId="77777777" w:rsidR="001D739F" w:rsidRPr="00262F3A" w:rsidRDefault="001D739F" w:rsidP="00AC60F9">
            <w:pPr>
              <w:pStyle w:val="Tableformat"/>
            </w:pPr>
            <w:r w:rsidRPr="00262F3A">
              <w:t xml:space="preserve">Total </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5A478DC" w14:textId="77777777" w:rsidR="001D739F" w:rsidRPr="00262F3A" w:rsidRDefault="001D739F" w:rsidP="00AC60F9">
            <w:pPr>
              <w:pStyle w:val="Tableformat"/>
            </w:pPr>
            <w:r w:rsidRPr="00262F3A">
              <w:t>264</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1BD651E" w14:textId="77777777" w:rsidR="001D739F" w:rsidRPr="00262F3A" w:rsidRDefault="001D739F" w:rsidP="00AC60F9">
            <w:pPr>
              <w:pStyle w:val="Tableformat"/>
            </w:pPr>
            <w:r w:rsidRPr="00262F3A">
              <w:t>12</w:t>
            </w:r>
          </w:p>
        </w:tc>
        <w:tc>
          <w:tcPr>
            <w:tcW w:w="74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9DCF788" w14:textId="77777777" w:rsidR="001D739F" w:rsidRPr="00262F3A" w:rsidRDefault="001D739F" w:rsidP="00AC60F9">
            <w:pPr>
              <w:pStyle w:val="Tableformat"/>
            </w:pPr>
            <w:r w:rsidRPr="00262F3A">
              <w:t>276</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D10E8C2" w14:textId="77777777" w:rsidR="001D739F" w:rsidRPr="00262F3A" w:rsidRDefault="001D739F" w:rsidP="00AC60F9">
            <w:pPr>
              <w:pStyle w:val="Tableformat"/>
            </w:pPr>
            <w:r w:rsidRPr="00262F3A">
              <w:t>789</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CBE37D6" w14:textId="77777777" w:rsidR="001D739F" w:rsidRPr="00262F3A" w:rsidRDefault="001D739F" w:rsidP="00AC60F9">
            <w:pPr>
              <w:pStyle w:val="Tableformat"/>
            </w:pPr>
            <w:r w:rsidRPr="00262F3A">
              <w:t>144</w:t>
            </w:r>
          </w:p>
        </w:tc>
        <w:tc>
          <w:tcPr>
            <w:tcW w:w="930"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870F305" w14:textId="77777777" w:rsidR="001D739F" w:rsidRPr="00262F3A" w:rsidRDefault="001D739F" w:rsidP="00AC60F9">
            <w:pPr>
              <w:pStyle w:val="Tableformat"/>
            </w:pPr>
            <w:r w:rsidRPr="00262F3A">
              <w:t>933</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027DE55" w14:textId="77777777" w:rsidR="001D739F" w:rsidRPr="00262F3A" w:rsidRDefault="001D739F" w:rsidP="00AC60F9">
            <w:pPr>
              <w:pStyle w:val="Tableformat"/>
            </w:pPr>
            <w:r w:rsidRPr="00262F3A">
              <w:t>-</w:t>
            </w:r>
          </w:p>
        </w:tc>
        <w:tc>
          <w:tcPr>
            <w:tcW w:w="72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48942B6" w14:textId="77777777" w:rsidR="001D739F" w:rsidRPr="00262F3A" w:rsidRDefault="001D739F" w:rsidP="00AC60F9">
            <w:pPr>
              <w:pStyle w:val="Tableformat"/>
            </w:pPr>
            <w:r w:rsidRPr="00262F3A">
              <w:t>-</w:t>
            </w:r>
          </w:p>
        </w:tc>
        <w:tc>
          <w:tcPr>
            <w:tcW w:w="141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0D1262B" w14:textId="77777777" w:rsidR="001D739F" w:rsidRPr="00262F3A" w:rsidRDefault="001D739F" w:rsidP="00AC60F9">
            <w:pPr>
              <w:pStyle w:val="Tableformat"/>
            </w:pPr>
            <w:r w:rsidRPr="00262F3A">
              <w:t>-</w:t>
            </w:r>
          </w:p>
        </w:tc>
        <w:tc>
          <w:tcPr>
            <w:tcW w:w="64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2B228C0" w14:textId="6C375D68" w:rsidR="001D739F" w:rsidRPr="00262F3A" w:rsidRDefault="001D739F" w:rsidP="00A4014A">
            <w:pPr>
              <w:pStyle w:val="Tableformat"/>
            </w:pPr>
            <w:r w:rsidRPr="00262F3A">
              <w:t>1</w:t>
            </w:r>
            <w:r w:rsidR="00874FDA">
              <w:t>,</w:t>
            </w:r>
            <w:r w:rsidRPr="00262F3A">
              <w:t>2</w:t>
            </w:r>
            <w:r w:rsidR="00A4014A" w:rsidRPr="00262F3A">
              <w:t>14</w:t>
            </w:r>
          </w:p>
        </w:tc>
      </w:tr>
    </w:tbl>
    <w:p w14:paraId="1D9D0A39" w14:textId="77777777" w:rsidR="001D739F" w:rsidRPr="00262F3A" w:rsidRDefault="005D5BCA" w:rsidP="00901595">
      <w:pPr>
        <w:keepNext/>
      </w:pPr>
      <w:r w:rsidRPr="00262F3A">
        <w:rPr>
          <w:b/>
        </w:rPr>
        <w:lastRenderedPageBreak/>
        <w:t>Table 5.4C:</w:t>
      </w:r>
      <w:r w:rsidRPr="00262F3A">
        <w:t xml:space="preserve"> </w:t>
      </w:r>
      <w:r w:rsidR="001D739F" w:rsidRPr="00262F3A">
        <w:t>All ongoing employees previous reporting period (2018–19)</w:t>
      </w:r>
    </w:p>
    <w:tbl>
      <w:tblPr>
        <w:tblW w:w="0" w:type="auto"/>
        <w:tblCellMar>
          <w:left w:w="0" w:type="dxa"/>
          <w:right w:w="0" w:type="dxa"/>
        </w:tblCellMar>
        <w:tblLook w:val="04A0" w:firstRow="1" w:lastRow="0" w:firstColumn="1" w:lastColumn="0" w:noHBand="0" w:noVBand="1"/>
      </w:tblPr>
      <w:tblGrid>
        <w:gridCol w:w="992"/>
        <w:gridCol w:w="877"/>
        <w:gridCol w:w="722"/>
        <w:gridCol w:w="738"/>
        <w:gridCol w:w="876"/>
        <w:gridCol w:w="722"/>
        <w:gridCol w:w="924"/>
        <w:gridCol w:w="1343"/>
        <w:gridCol w:w="722"/>
        <w:gridCol w:w="1415"/>
        <w:gridCol w:w="684"/>
      </w:tblGrid>
      <w:tr w:rsidR="00D730A4" w:rsidRPr="00262F3A" w14:paraId="13CF102A" w14:textId="77777777" w:rsidTr="00317EA0">
        <w:trPr>
          <w:tblHeader/>
        </w:trPr>
        <w:tc>
          <w:tcPr>
            <w:tcW w:w="992" w:type="dxa"/>
            <w:tcBorders>
              <w:top w:val="single" w:sz="8" w:space="0" w:color="A3A3A3"/>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2C9DEB44" w14:textId="77777777" w:rsidR="00D730A4" w:rsidRPr="00262F3A" w:rsidRDefault="00D730A4" w:rsidP="00AC60F9">
            <w:pPr>
              <w:pStyle w:val="Tableformat"/>
              <w:rPr>
                <w:color w:val="FFFFFF" w:themeColor="background1"/>
              </w:rPr>
            </w:pPr>
            <w:r w:rsidRPr="00262F3A">
              <w:rPr>
                <w:color w:val="FFFFFF" w:themeColor="background1"/>
              </w:rPr>
              <w:t>  </w:t>
            </w:r>
          </w:p>
        </w:tc>
        <w:tc>
          <w:tcPr>
            <w:tcW w:w="2337"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2CA1F5B4" w14:textId="48C0F4EE" w:rsidR="00D730A4" w:rsidRPr="00262F3A" w:rsidRDefault="00D730A4" w:rsidP="00D730A4">
            <w:pPr>
              <w:pStyle w:val="Tableformat"/>
              <w:jc w:val="center"/>
              <w:rPr>
                <w:color w:val="FFFFFF" w:themeColor="background1"/>
              </w:rPr>
            </w:pPr>
            <w:r>
              <w:rPr>
                <w:color w:val="FFFFFF" w:themeColor="background1"/>
              </w:rPr>
              <w:t>Male</w:t>
            </w:r>
          </w:p>
        </w:tc>
        <w:tc>
          <w:tcPr>
            <w:tcW w:w="2522"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79D23BEF" w14:textId="539726E2" w:rsidR="00D730A4" w:rsidRPr="00262F3A" w:rsidRDefault="00D730A4" w:rsidP="00D730A4">
            <w:pPr>
              <w:pStyle w:val="Tableformat"/>
              <w:jc w:val="center"/>
              <w:rPr>
                <w:color w:val="FFFFFF" w:themeColor="background1"/>
              </w:rPr>
            </w:pPr>
            <w:r>
              <w:rPr>
                <w:color w:val="FFFFFF" w:themeColor="background1"/>
              </w:rPr>
              <w:t>Female</w:t>
            </w:r>
          </w:p>
        </w:tc>
        <w:tc>
          <w:tcPr>
            <w:tcW w:w="3480"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1CADAD14" w14:textId="20053129" w:rsidR="00D730A4" w:rsidRPr="00262F3A" w:rsidRDefault="00D730A4" w:rsidP="00D730A4">
            <w:pPr>
              <w:pStyle w:val="Tableformat"/>
              <w:jc w:val="center"/>
              <w:rPr>
                <w:color w:val="FFFFFF" w:themeColor="background1"/>
              </w:rPr>
            </w:pPr>
            <w:r w:rsidRPr="00262F3A">
              <w:rPr>
                <w:color w:val="FFFFFF" w:themeColor="background1"/>
              </w:rPr>
              <w:t>Indeterminate</w:t>
            </w:r>
          </w:p>
        </w:tc>
        <w:tc>
          <w:tcPr>
            <w:tcW w:w="684" w:type="dxa"/>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4DD587FF" w14:textId="77777777" w:rsidR="00D730A4" w:rsidRPr="00262F3A" w:rsidRDefault="00D730A4" w:rsidP="00AC60F9">
            <w:pPr>
              <w:pStyle w:val="Tableformat"/>
              <w:rPr>
                <w:color w:val="FFFFFF" w:themeColor="background1"/>
              </w:rPr>
            </w:pPr>
            <w:r w:rsidRPr="00262F3A">
              <w:rPr>
                <w:color w:val="FFFFFF" w:themeColor="background1"/>
              </w:rPr>
              <w:t xml:space="preserve">Total </w:t>
            </w:r>
          </w:p>
        </w:tc>
      </w:tr>
      <w:tr w:rsidR="001D739F" w:rsidRPr="00262F3A" w14:paraId="4EB45AF9" w14:textId="77777777" w:rsidTr="00377C62">
        <w:trPr>
          <w:tblHeader/>
        </w:trPr>
        <w:tc>
          <w:tcPr>
            <w:tcW w:w="992" w:type="dxa"/>
            <w:tcBorders>
              <w:top w:val="nil"/>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09ABDC86" w14:textId="77777777" w:rsidR="001D739F" w:rsidRPr="00262F3A" w:rsidRDefault="001D739F" w:rsidP="00AC60F9">
            <w:pPr>
              <w:pStyle w:val="Tableformat"/>
              <w:rPr>
                <w:color w:val="FFFFFF" w:themeColor="background1"/>
              </w:rPr>
            </w:pPr>
            <w:r w:rsidRPr="00262F3A">
              <w:rPr>
                <w:color w:val="FFFFFF" w:themeColor="background1"/>
              </w:rPr>
              <w:t> </w:t>
            </w:r>
          </w:p>
        </w:tc>
        <w:tc>
          <w:tcPr>
            <w:tcW w:w="877"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2137BC2D" w14:textId="0C842914"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2"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723AC65D" w14:textId="7FA08D3A"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738"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3D8CA95" w14:textId="1209F764" w:rsidR="001D739F" w:rsidRPr="00262F3A" w:rsidRDefault="001D739F" w:rsidP="00AE6AE5">
            <w:pPr>
              <w:pStyle w:val="Tableformat"/>
              <w:rPr>
                <w:color w:val="FFFFFF" w:themeColor="background1"/>
              </w:rPr>
            </w:pPr>
            <w:r w:rsidRPr="00262F3A">
              <w:rPr>
                <w:color w:val="FFFFFF" w:themeColor="background1"/>
              </w:rPr>
              <w:t xml:space="preserve">Total </w:t>
            </w:r>
            <w:r w:rsidR="00AE6AE5">
              <w:rPr>
                <w:color w:val="FFFFFF" w:themeColor="background1"/>
              </w:rPr>
              <w:t>m</w:t>
            </w:r>
            <w:r w:rsidRPr="00262F3A">
              <w:rPr>
                <w:color w:val="FFFFFF" w:themeColor="background1"/>
              </w:rPr>
              <w:t>ale</w:t>
            </w:r>
          </w:p>
        </w:tc>
        <w:tc>
          <w:tcPr>
            <w:tcW w:w="876"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EE08614" w14:textId="585A59A6"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2"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6847FD6" w14:textId="4A5CE714"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924"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64291506" w14:textId="0A0DB2D7" w:rsidR="001D739F" w:rsidRPr="00262F3A" w:rsidRDefault="001D739F" w:rsidP="00AC60F9">
            <w:pPr>
              <w:pStyle w:val="Tableformat"/>
              <w:rPr>
                <w:color w:val="FFFFFF" w:themeColor="background1"/>
              </w:rPr>
            </w:pPr>
            <w:r w:rsidRPr="00262F3A">
              <w:rPr>
                <w:color w:val="FFFFFF" w:themeColor="background1"/>
              </w:rPr>
              <w:t>T</w:t>
            </w:r>
            <w:r w:rsidR="00AE6AE5">
              <w:rPr>
                <w:color w:val="FFFFFF" w:themeColor="background1"/>
              </w:rPr>
              <w:t>otal f</w:t>
            </w:r>
            <w:r w:rsidRPr="00262F3A">
              <w:rPr>
                <w:color w:val="FFFFFF" w:themeColor="background1"/>
              </w:rPr>
              <w:t>emale</w:t>
            </w:r>
          </w:p>
        </w:tc>
        <w:tc>
          <w:tcPr>
            <w:tcW w:w="1343"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71870AE" w14:textId="0FDFCDC8"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22"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FA79376" w14:textId="520C5041" w:rsidR="001D739F" w:rsidRPr="00262F3A" w:rsidRDefault="001D739F" w:rsidP="00AE6AE5">
            <w:pPr>
              <w:pStyle w:val="Tableformat"/>
              <w:rPr>
                <w:color w:val="FFFFFF" w:themeColor="background1"/>
              </w:rPr>
            </w:pPr>
            <w:r w:rsidRPr="00262F3A">
              <w:rPr>
                <w:color w:val="FFFFFF" w:themeColor="background1"/>
              </w:rPr>
              <w:t xml:space="preserve">Part </w:t>
            </w:r>
            <w:r w:rsidR="00AE6AE5">
              <w:rPr>
                <w:color w:val="FFFFFF" w:themeColor="background1"/>
              </w:rPr>
              <w:t>t</w:t>
            </w:r>
            <w:r w:rsidRPr="00262F3A">
              <w:rPr>
                <w:color w:val="FFFFFF" w:themeColor="background1"/>
              </w:rPr>
              <w:t>ime</w:t>
            </w:r>
          </w:p>
        </w:tc>
        <w:tc>
          <w:tcPr>
            <w:tcW w:w="1415"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7AD0DDF2" w14:textId="17131951" w:rsidR="001D739F" w:rsidRPr="00262F3A" w:rsidRDefault="001D739F" w:rsidP="00AC60F9">
            <w:pPr>
              <w:pStyle w:val="Tableformat"/>
              <w:rPr>
                <w:color w:val="FFFFFF" w:themeColor="background1"/>
              </w:rPr>
            </w:pPr>
            <w:r w:rsidRPr="00262F3A">
              <w:rPr>
                <w:color w:val="FFFFFF" w:themeColor="background1"/>
              </w:rPr>
              <w:t>T</w:t>
            </w:r>
            <w:r w:rsidR="00AE6AE5">
              <w:rPr>
                <w:color w:val="FFFFFF" w:themeColor="background1"/>
              </w:rPr>
              <w:t>otal i</w:t>
            </w:r>
            <w:r w:rsidRPr="00262F3A">
              <w:rPr>
                <w:color w:val="FFFFFF" w:themeColor="background1"/>
              </w:rPr>
              <w:t>ndeterminate</w:t>
            </w:r>
          </w:p>
        </w:tc>
        <w:tc>
          <w:tcPr>
            <w:tcW w:w="684"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9DF8314" w14:textId="77777777" w:rsidR="001D739F" w:rsidRPr="00262F3A" w:rsidRDefault="001D739F" w:rsidP="00AC60F9">
            <w:pPr>
              <w:pStyle w:val="Tableformat"/>
              <w:rPr>
                <w:color w:val="FFFFFF" w:themeColor="background1"/>
              </w:rPr>
            </w:pPr>
            <w:r w:rsidRPr="00262F3A">
              <w:rPr>
                <w:color w:val="FFFFFF" w:themeColor="background1"/>
              </w:rPr>
              <w:t> </w:t>
            </w:r>
          </w:p>
        </w:tc>
      </w:tr>
      <w:tr w:rsidR="001D739F" w:rsidRPr="00262F3A" w14:paraId="019E6781"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7812F1F2" w14:textId="77777777" w:rsidR="001D739F" w:rsidRPr="00262F3A" w:rsidRDefault="001D739F" w:rsidP="00AC60F9">
            <w:pPr>
              <w:pStyle w:val="Tableformat"/>
            </w:pPr>
            <w:r w:rsidRPr="00262F3A">
              <w:t>NSW</w:t>
            </w:r>
          </w:p>
        </w:tc>
        <w:tc>
          <w:tcPr>
            <w:tcW w:w="877" w:type="dxa"/>
            <w:tcBorders>
              <w:top w:val="nil"/>
              <w:left w:val="nil"/>
              <w:bottom w:val="single" w:sz="8" w:space="0" w:color="A3A3A3"/>
              <w:right w:val="single" w:sz="8" w:space="0" w:color="A3A3A3"/>
            </w:tcBorders>
            <w:tcMar>
              <w:top w:w="40" w:type="dxa"/>
              <w:left w:w="60" w:type="dxa"/>
              <w:bottom w:w="40" w:type="dxa"/>
              <w:right w:w="60" w:type="dxa"/>
            </w:tcMar>
            <w:hideMark/>
          </w:tcPr>
          <w:p w14:paraId="09D8DBE9" w14:textId="77777777" w:rsidR="001D739F" w:rsidRPr="00262F3A" w:rsidRDefault="001D739F" w:rsidP="00AC60F9">
            <w:pPr>
              <w:pStyle w:val="Tableformat"/>
            </w:pPr>
            <w:r w:rsidRPr="00262F3A">
              <w:t>157</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5F792B05" w14:textId="77777777" w:rsidR="001D739F" w:rsidRPr="00262F3A" w:rsidRDefault="001D739F" w:rsidP="00AC60F9">
            <w:pPr>
              <w:pStyle w:val="Tableformat"/>
            </w:pPr>
            <w:r w:rsidRPr="00262F3A">
              <w:t>14</w:t>
            </w:r>
          </w:p>
        </w:tc>
        <w:tc>
          <w:tcPr>
            <w:tcW w:w="738" w:type="dxa"/>
            <w:tcBorders>
              <w:top w:val="nil"/>
              <w:left w:val="nil"/>
              <w:bottom w:val="single" w:sz="8" w:space="0" w:color="A3A3A3"/>
              <w:right w:val="single" w:sz="8" w:space="0" w:color="A3A3A3"/>
            </w:tcBorders>
            <w:tcMar>
              <w:top w:w="40" w:type="dxa"/>
              <w:left w:w="60" w:type="dxa"/>
              <w:bottom w:w="40" w:type="dxa"/>
              <w:right w:w="60" w:type="dxa"/>
            </w:tcMar>
            <w:hideMark/>
          </w:tcPr>
          <w:p w14:paraId="4674538E" w14:textId="77777777" w:rsidR="001D739F" w:rsidRPr="00262F3A" w:rsidRDefault="001D739F" w:rsidP="00AC60F9">
            <w:pPr>
              <w:pStyle w:val="Tableformat"/>
            </w:pPr>
            <w:r w:rsidRPr="00262F3A">
              <w:t>171</w:t>
            </w:r>
          </w:p>
        </w:tc>
        <w:tc>
          <w:tcPr>
            <w:tcW w:w="876" w:type="dxa"/>
            <w:tcBorders>
              <w:top w:val="nil"/>
              <w:left w:val="nil"/>
              <w:bottom w:val="single" w:sz="8" w:space="0" w:color="A3A3A3"/>
              <w:right w:val="single" w:sz="8" w:space="0" w:color="A3A3A3"/>
            </w:tcBorders>
            <w:tcMar>
              <w:top w:w="40" w:type="dxa"/>
              <w:left w:w="60" w:type="dxa"/>
              <w:bottom w:w="40" w:type="dxa"/>
              <w:right w:w="60" w:type="dxa"/>
            </w:tcMar>
            <w:hideMark/>
          </w:tcPr>
          <w:p w14:paraId="77B64846" w14:textId="77777777" w:rsidR="001D739F" w:rsidRPr="00262F3A" w:rsidRDefault="001D739F" w:rsidP="00AC60F9">
            <w:pPr>
              <w:pStyle w:val="Tableformat"/>
            </w:pPr>
            <w:r w:rsidRPr="00262F3A">
              <w:t>413</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26FF8F88" w14:textId="77777777" w:rsidR="001D739F" w:rsidRPr="00262F3A" w:rsidRDefault="001D739F" w:rsidP="00AC60F9">
            <w:pPr>
              <w:pStyle w:val="Tableformat"/>
            </w:pPr>
            <w:r w:rsidRPr="00262F3A">
              <w:t>93</w:t>
            </w:r>
          </w:p>
        </w:tc>
        <w:tc>
          <w:tcPr>
            <w:tcW w:w="924" w:type="dxa"/>
            <w:tcBorders>
              <w:top w:val="nil"/>
              <w:left w:val="nil"/>
              <w:bottom w:val="single" w:sz="8" w:space="0" w:color="A3A3A3"/>
              <w:right w:val="single" w:sz="8" w:space="0" w:color="A3A3A3"/>
            </w:tcBorders>
            <w:tcMar>
              <w:top w:w="40" w:type="dxa"/>
              <w:left w:w="60" w:type="dxa"/>
              <w:bottom w:w="40" w:type="dxa"/>
              <w:right w:w="60" w:type="dxa"/>
            </w:tcMar>
            <w:hideMark/>
          </w:tcPr>
          <w:p w14:paraId="35320FAD" w14:textId="77777777" w:rsidR="001D739F" w:rsidRPr="00262F3A" w:rsidRDefault="001D739F" w:rsidP="00AC60F9">
            <w:pPr>
              <w:pStyle w:val="Tableformat"/>
            </w:pPr>
            <w:r w:rsidRPr="00262F3A">
              <w:t>506</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5C902D52" w14:textId="77777777" w:rsidR="001D739F" w:rsidRPr="00262F3A" w:rsidRDefault="001D739F" w:rsidP="00AC60F9">
            <w:pPr>
              <w:pStyle w:val="Tableformat"/>
            </w:pPr>
            <w:r w:rsidRPr="00262F3A">
              <w:t>-</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22279BF3" w14:textId="77777777" w:rsidR="001D739F" w:rsidRPr="00262F3A" w:rsidRDefault="001D739F" w:rsidP="00AC60F9">
            <w:pPr>
              <w:pStyle w:val="Tableformat"/>
            </w:pPr>
            <w:r w:rsidRPr="00262F3A">
              <w:t>-</w:t>
            </w:r>
          </w:p>
        </w:tc>
        <w:tc>
          <w:tcPr>
            <w:tcW w:w="1415" w:type="dxa"/>
            <w:tcBorders>
              <w:top w:val="nil"/>
              <w:left w:val="nil"/>
              <w:bottom w:val="single" w:sz="8" w:space="0" w:color="A3A3A3"/>
              <w:right w:val="single" w:sz="8" w:space="0" w:color="A3A3A3"/>
            </w:tcBorders>
            <w:tcMar>
              <w:top w:w="40" w:type="dxa"/>
              <w:left w:w="60" w:type="dxa"/>
              <w:bottom w:w="40" w:type="dxa"/>
              <w:right w:w="60" w:type="dxa"/>
            </w:tcMar>
            <w:hideMark/>
          </w:tcPr>
          <w:p w14:paraId="6496881A" w14:textId="77777777" w:rsidR="001D739F" w:rsidRPr="00262F3A" w:rsidRDefault="001D739F" w:rsidP="00AC60F9">
            <w:pPr>
              <w:pStyle w:val="Tableformat"/>
            </w:pPr>
            <w:r w:rsidRPr="00262F3A">
              <w:t>-</w:t>
            </w:r>
          </w:p>
        </w:tc>
        <w:tc>
          <w:tcPr>
            <w:tcW w:w="684" w:type="dxa"/>
            <w:tcBorders>
              <w:top w:val="nil"/>
              <w:left w:val="nil"/>
              <w:bottom w:val="single" w:sz="8" w:space="0" w:color="A3A3A3"/>
              <w:right w:val="single" w:sz="8" w:space="0" w:color="A3A3A3"/>
            </w:tcBorders>
            <w:tcMar>
              <w:top w:w="40" w:type="dxa"/>
              <w:left w:w="60" w:type="dxa"/>
              <w:bottom w:w="40" w:type="dxa"/>
              <w:right w:w="60" w:type="dxa"/>
            </w:tcMar>
            <w:hideMark/>
          </w:tcPr>
          <w:p w14:paraId="7DF02A94" w14:textId="77777777" w:rsidR="001D739F" w:rsidRPr="00262F3A" w:rsidRDefault="001D739F" w:rsidP="00AC60F9">
            <w:pPr>
              <w:pStyle w:val="Tableformat"/>
            </w:pPr>
            <w:r w:rsidRPr="00262F3A">
              <w:t>677</w:t>
            </w:r>
          </w:p>
        </w:tc>
      </w:tr>
      <w:tr w:rsidR="001D739F" w:rsidRPr="00262F3A" w14:paraId="368F9D09"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4F57D88" w14:textId="77777777" w:rsidR="001D739F" w:rsidRPr="00262F3A" w:rsidRDefault="001D739F" w:rsidP="00AC60F9">
            <w:pPr>
              <w:pStyle w:val="Tableformat"/>
            </w:pPr>
            <w:r w:rsidRPr="00262F3A">
              <w:t>Qld</w:t>
            </w:r>
          </w:p>
        </w:tc>
        <w:tc>
          <w:tcPr>
            <w:tcW w:w="87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8DD90B1" w14:textId="77777777" w:rsidR="001D739F" w:rsidRPr="00262F3A" w:rsidRDefault="001D739F" w:rsidP="00AC60F9">
            <w:pPr>
              <w:pStyle w:val="Tableformat"/>
            </w:pPr>
            <w:r w:rsidRPr="00262F3A">
              <w:t>89</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704A3D0" w14:textId="77777777" w:rsidR="001D739F" w:rsidRPr="00262F3A" w:rsidRDefault="001D739F" w:rsidP="00AC60F9">
            <w:pPr>
              <w:pStyle w:val="Tableformat"/>
            </w:pPr>
            <w:r w:rsidRPr="00262F3A">
              <w:t>4</w:t>
            </w:r>
          </w:p>
        </w:tc>
        <w:tc>
          <w:tcPr>
            <w:tcW w:w="73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80D4C11" w14:textId="77777777" w:rsidR="001D739F" w:rsidRPr="00262F3A" w:rsidRDefault="001D739F" w:rsidP="00AC60F9">
            <w:pPr>
              <w:pStyle w:val="Tableformat"/>
            </w:pPr>
            <w:r w:rsidRPr="00262F3A">
              <w:t>93</w:t>
            </w:r>
          </w:p>
        </w:tc>
        <w:tc>
          <w:tcPr>
            <w:tcW w:w="87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12BD211" w14:textId="77777777" w:rsidR="001D739F" w:rsidRPr="00262F3A" w:rsidRDefault="001D739F" w:rsidP="00AC60F9">
            <w:pPr>
              <w:pStyle w:val="Tableformat"/>
            </w:pPr>
            <w:r w:rsidRPr="00262F3A">
              <w:t>272</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92677E6" w14:textId="77777777" w:rsidR="001D739F" w:rsidRPr="00262F3A" w:rsidRDefault="001D739F" w:rsidP="00AC60F9">
            <w:pPr>
              <w:pStyle w:val="Tableformat"/>
            </w:pPr>
            <w:r w:rsidRPr="00262F3A">
              <w:t>53</w:t>
            </w:r>
          </w:p>
        </w:tc>
        <w:tc>
          <w:tcPr>
            <w:tcW w:w="92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3D25BFE" w14:textId="77777777" w:rsidR="001D739F" w:rsidRPr="00262F3A" w:rsidRDefault="001D739F" w:rsidP="00AC60F9">
            <w:pPr>
              <w:pStyle w:val="Tableformat"/>
            </w:pPr>
            <w:r w:rsidRPr="00262F3A">
              <w:t>325</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81FEF68" w14:textId="77777777" w:rsidR="001D739F" w:rsidRPr="00262F3A" w:rsidRDefault="001D739F" w:rsidP="00AC60F9">
            <w:pPr>
              <w:pStyle w:val="Tableformat"/>
            </w:pPr>
            <w:r w:rsidRPr="00262F3A">
              <w:t>1</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C305FF4" w14:textId="77777777" w:rsidR="001D739F" w:rsidRPr="00262F3A" w:rsidRDefault="001D739F" w:rsidP="00AC60F9">
            <w:pPr>
              <w:pStyle w:val="Tableformat"/>
            </w:pPr>
            <w:r w:rsidRPr="00262F3A">
              <w:t>-</w:t>
            </w:r>
          </w:p>
        </w:tc>
        <w:tc>
          <w:tcPr>
            <w:tcW w:w="1415"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6DDFCD7" w14:textId="77777777" w:rsidR="001D739F" w:rsidRPr="00262F3A" w:rsidRDefault="001D739F" w:rsidP="00AC60F9">
            <w:pPr>
              <w:pStyle w:val="Tableformat"/>
            </w:pPr>
            <w:r w:rsidRPr="00262F3A">
              <w:t>1</w:t>
            </w:r>
          </w:p>
        </w:tc>
        <w:tc>
          <w:tcPr>
            <w:tcW w:w="68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D399ED8" w14:textId="77777777" w:rsidR="001D739F" w:rsidRPr="00262F3A" w:rsidRDefault="001D739F" w:rsidP="00AC60F9">
            <w:pPr>
              <w:pStyle w:val="Tableformat"/>
            </w:pPr>
            <w:r w:rsidRPr="00262F3A">
              <w:t>419</w:t>
            </w:r>
          </w:p>
        </w:tc>
      </w:tr>
      <w:tr w:rsidR="001D739F" w:rsidRPr="00262F3A" w14:paraId="3EA70D05"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3E883092" w14:textId="77777777" w:rsidR="001D739F" w:rsidRPr="00262F3A" w:rsidRDefault="001D739F" w:rsidP="00AC60F9">
            <w:pPr>
              <w:pStyle w:val="Tableformat"/>
            </w:pPr>
            <w:r w:rsidRPr="00262F3A">
              <w:t>SA</w:t>
            </w:r>
          </w:p>
        </w:tc>
        <w:tc>
          <w:tcPr>
            <w:tcW w:w="877" w:type="dxa"/>
            <w:tcBorders>
              <w:top w:val="nil"/>
              <w:left w:val="nil"/>
              <w:bottom w:val="single" w:sz="8" w:space="0" w:color="A3A3A3"/>
              <w:right w:val="single" w:sz="8" w:space="0" w:color="A3A3A3"/>
            </w:tcBorders>
            <w:tcMar>
              <w:top w:w="40" w:type="dxa"/>
              <w:left w:w="60" w:type="dxa"/>
              <w:bottom w:w="40" w:type="dxa"/>
              <w:right w:w="60" w:type="dxa"/>
            </w:tcMar>
            <w:hideMark/>
          </w:tcPr>
          <w:p w14:paraId="09BC23C3" w14:textId="77777777" w:rsidR="001D739F" w:rsidRPr="00262F3A" w:rsidRDefault="001D739F" w:rsidP="00AC60F9">
            <w:pPr>
              <w:pStyle w:val="Tableformat"/>
            </w:pPr>
            <w:r w:rsidRPr="00262F3A">
              <w:t>45</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11B4B7B3" w14:textId="77777777" w:rsidR="001D739F" w:rsidRPr="00262F3A" w:rsidRDefault="001D739F" w:rsidP="00AC60F9">
            <w:pPr>
              <w:pStyle w:val="Tableformat"/>
            </w:pPr>
            <w:r w:rsidRPr="00262F3A">
              <w:t>2</w:t>
            </w:r>
          </w:p>
        </w:tc>
        <w:tc>
          <w:tcPr>
            <w:tcW w:w="738" w:type="dxa"/>
            <w:tcBorders>
              <w:top w:val="nil"/>
              <w:left w:val="nil"/>
              <w:bottom w:val="single" w:sz="8" w:space="0" w:color="A3A3A3"/>
              <w:right w:val="single" w:sz="8" w:space="0" w:color="A3A3A3"/>
            </w:tcBorders>
            <w:tcMar>
              <w:top w:w="40" w:type="dxa"/>
              <w:left w:w="60" w:type="dxa"/>
              <w:bottom w:w="40" w:type="dxa"/>
              <w:right w:w="60" w:type="dxa"/>
            </w:tcMar>
            <w:hideMark/>
          </w:tcPr>
          <w:p w14:paraId="5CF808EB" w14:textId="77777777" w:rsidR="001D739F" w:rsidRPr="00262F3A" w:rsidRDefault="001D739F" w:rsidP="00AC60F9">
            <w:pPr>
              <w:pStyle w:val="Tableformat"/>
            </w:pPr>
            <w:r w:rsidRPr="00262F3A">
              <w:t>47</w:t>
            </w:r>
          </w:p>
        </w:tc>
        <w:tc>
          <w:tcPr>
            <w:tcW w:w="876" w:type="dxa"/>
            <w:tcBorders>
              <w:top w:val="nil"/>
              <w:left w:val="nil"/>
              <w:bottom w:val="single" w:sz="8" w:space="0" w:color="A3A3A3"/>
              <w:right w:val="single" w:sz="8" w:space="0" w:color="A3A3A3"/>
            </w:tcBorders>
            <w:tcMar>
              <w:top w:w="40" w:type="dxa"/>
              <w:left w:w="60" w:type="dxa"/>
              <w:bottom w:w="40" w:type="dxa"/>
              <w:right w:w="60" w:type="dxa"/>
            </w:tcMar>
            <w:hideMark/>
          </w:tcPr>
          <w:p w14:paraId="327B16BC" w14:textId="77777777" w:rsidR="001D739F" w:rsidRPr="00262F3A" w:rsidRDefault="001D739F" w:rsidP="00AC60F9">
            <w:pPr>
              <w:pStyle w:val="Tableformat"/>
            </w:pPr>
            <w:r w:rsidRPr="00262F3A">
              <w:t>129</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3723EB56" w14:textId="77777777" w:rsidR="001D739F" w:rsidRPr="00262F3A" w:rsidRDefault="001D739F" w:rsidP="00AC60F9">
            <w:pPr>
              <w:pStyle w:val="Tableformat"/>
            </w:pPr>
            <w:r w:rsidRPr="00262F3A">
              <w:t>57</w:t>
            </w:r>
          </w:p>
        </w:tc>
        <w:tc>
          <w:tcPr>
            <w:tcW w:w="924" w:type="dxa"/>
            <w:tcBorders>
              <w:top w:val="nil"/>
              <w:left w:val="nil"/>
              <w:bottom w:val="single" w:sz="8" w:space="0" w:color="A3A3A3"/>
              <w:right w:val="single" w:sz="8" w:space="0" w:color="A3A3A3"/>
            </w:tcBorders>
            <w:tcMar>
              <w:top w:w="40" w:type="dxa"/>
              <w:left w:w="60" w:type="dxa"/>
              <w:bottom w:w="40" w:type="dxa"/>
              <w:right w:w="60" w:type="dxa"/>
            </w:tcMar>
            <w:hideMark/>
          </w:tcPr>
          <w:p w14:paraId="78080F31" w14:textId="77777777" w:rsidR="001D739F" w:rsidRPr="00262F3A" w:rsidRDefault="001D739F" w:rsidP="00AC60F9">
            <w:pPr>
              <w:pStyle w:val="Tableformat"/>
            </w:pPr>
            <w:r w:rsidRPr="00262F3A">
              <w:t>186</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683BB98B"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5649F551"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tcMar>
              <w:top w:w="40" w:type="dxa"/>
              <w:left w:w="60" w:type="dxa"/>
              <w:bottom w:w="40" w:type="dxa"/>
              <w:right w:w="60" w:type="dxa"/>
            </w:tcMar>
            <w:hideMark/>
          </w:tcPr>
          <w:p w14:paraId="6E550CE0"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tcMar>
              <w:top w:w="40" w:type="dxa"/>
              <w:left w:w="60" w:type="dxa"/>
              <w:bottom w:w="40" w:type="dxa"/>
              <w:right w:w="60" w:type="dxa"/>
            </w:tcMar>
            <w:hideMark/>
          </w:tcPr>
          <w:p w14:paraId="4FDBCF28" w14:textId="77777777" w:rsidR="001D739F" w:rsidRPr="00262F3A" w:rsidRDefault="001D739F" w:rsidP="00AC60F9">
            <w:pPr>
              <w:pStyle w:val="Tableformat"/>
            </w:pPr>
            <w:r w:rsidRPr="00262F3A">
              <w:t> 233</w:t>
            </w:r>
          </w:p>
        </w:tc>
      </w:tr>
      <w:tr w:rsidR="001D739F" w:rsidRPr="00262F3A" w14:paraId="2BF3BB6B"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9AB4A57" w14:textId="77777777" w:rsidR="001D739F" w:rsidRPr="00262F3A" w:rsidRDefault="001D739F" w:rsidP="00AC60F9">
            <w:pPr>
              <w:pStyle w:val="Tableformat"/>
            </w:pPr>
            <w:r w:rsidRPr="00262F3A">
              <w:t>TAS</w:t>
            </w:r>
          </w:p>
        </w:tc>
        <w:tc>
          <w:tcPr>
            <w:tcW w:w="87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B4FB70F" w14:textId="77777777" w:rsidR="001D739F" w:rsidRPr="00262F3A" w:rsidRDefault="001D739F" w:rsidP="00AC60F9">
            <w:pPr>
              <w:pStyle w:val="Tableformat"/>
            </w:pPr>
            <w:r w:rsidRPr="00262F3A">
              <w:t>14</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C2E90EB" w14:textId="77777777" w:rsidR="001D739F" w:rsidRPr="00262F3A" w:rsidRDefault="001D739F" w:rsidP="00AC60F9">
            <w:pPr>
              <w:pStyle w:val="Tableformat"/>
            </w:pPr>
            <w:r w:rsidRPr="00262F3A">
              <w:t>1</w:t>
            </w:r>
          </w:p>
        </w:tc>
        <w:tc>
          <w:tcPr>
            <w:tcW w:w="73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17A5261" w14:textId="77777777" w:rsidR="001D739F" w:rsidRPr="00262F3A" w:rsidRDefault="001D739F" w:rsidP="00AC60F9">
            <w:pPr>
              <w:pStyle w:val="Tableformat"/>
            </w:pPr>
            <w:r w:rsidRPr="00262F3A">
              <w:t>15</w:t>
            </w:r>
          </w:p>
        </w:tc>
        <w:tc>
          <w:tcPr>
            <w:tcW w:w="87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CB6FFE6" w14:textId="77777777" w:rsidR="001D739F" w:rsidRPr="00262F3A" w:rsidRDefault="001D739F" w:rsidP="00AC60F9">
            <w:pPr>
              <w:pStyle w:val="Tableformat"/>
            </w:pPr>
            <w:r w:rsidRPr="00262F3A">
              <w:t>29</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383D7EC" w14:textId="77777777" w:rsidR="001D739F" w:rsidRPr="00262F3A" w:rsidRDefault="001D739F" w:rsidP="00AC60F9">
            <w:pPr>
              <w:pStyle w:val="Tableformat"/>
            </w:pPr>
            <w:r w:rsidRPr="00262F3A">
              <w:t>11</w:t>
            </w:r>
          </w:p>
        </w:tc>
        <w:tc>
          <w:tcPr>
            <w:tcW w:w="92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3FF4981" w14:textId="77777777" w:rsidR="001D739F" w:rsidRPr="00262F3A" w:rsidRDefault="001D739F" w:rsidP="00AC60F9">
            <w:pPr>
              <w:pStyle w:val="Tableformat"/>
            </w:pPr>
            <w:r w:rsidRPr="00262F3A">
              <w:t>40</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3B3D2B9"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4A7DC86"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6C3C7F0"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FDA1210" w14:textId="77777777" w:rsidR="001D739F" w:rsidRPr="00262F3A" w:rsidRDefault="001D739F" w:rsidP="00AC60F9">
            <w:pPr>
              <w:pStyle w:val="Tableformat"/>
            </w:pPr>
            <w:r w:rsidRPr="00262F3A">
              <w:t> 55</w:t>
            </w:r>
          </w:p>
        </w:tc>
      </w:tr>
      <w:tr w:rsidR="001D739F" w:rsidRPr="00262F3A" w14:paraId="4BADABF3"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4069B5E9" w14:textId="77777777" w:rsidR="001D739F" w:rsidRPr="00262F3A" w:rsidRDefault="001D739F" w:rsidP="00AC60F9">
            <w:pPr>
              <w:pStyle w:val="Tableformat"/>
            </w:pPr>
            <w:r w:rsidRPr="00262F3A">
              <w:t>VIC</w:t>
            </w:r>
          </w:p>
        </w:tc>
        <w:tc>
          <w:tcPr>
            <w:tcW w:w="877" w:type="dxa"/>
            <w:tcBorders>
              <w:top w:val="nil"/>
              <w:left w:val="nil"/>
              <w:bottom w:val="single" w:sz="8" w:space="0" w:color="A3A3A3"/>
              <w:right w:val="single" w:sz="8" w:space="0" w:color="A3A3A3"/>
            </w:tcBorders>
            <w:tcMar>
              <w:top w:w="40" w:type="dxa"/>
              <w:left w:w="60" w:type="dxa"/>
              <w:bottom w:w="40" w:type="dxa"/>
              <w:right w:w="60" w:type="dxa"/>
            </w:tcMar>
            <w:hideMark/>
          </w:tcPr>
          <w:p w14:paraId="327494C5" w14:textId="77777777" w:rsidR="001D739F" w:rsidRPr="00262F3A" w:rsidRDefault="001D739F" w:rsidP="00AC60F9">
            <w:pPr>
              <w:pStyle w:val="Tableformat"/>
            </w:pPr>
            <w:r w:rsidRPr="00262F3A">
              <w:t>243</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3D7C1D56" w14:textId="77777777" w:rsidR="001D739F" w:rsidRPr="00262F3A" w:rsidRDefault="001D739F" w:rsidP="00AC60F9">
            <w:pPr>
              <w:pStyle w:val="Tableformat"/>
            </w:pPr>
            <w:r w:rsidRPr="00262F3A">
              <w:t>16</w:t>
            </w:r>
          </w:p>
        </w:tc>
        <w:tc>
          <w:tcPr>
            <w:tcW w:w="738" w:type="dxa"/>
            <w:tcBorders>
              <w:top w:val="nil"/>
              <w:left w:val="nil"/>
              <w:bottom w:val="single" w:sz="8" w:space="0" w:color="A3A3A3"/>
              <w:right w:val="single" w:sz="8" w:space="0" w:color="A3A3A3"/>
            </w:tcBorders>
            <w:tcMar>
              <w:top w:w="40" w:type="dxa"/>
              <w:left w:w="60" w:type="dxa"/>
              <w:bottom w:w="40" w:type="dxa"/>
              <w:right w:w="60" w:type="dxa"/>
            </w:tcMar>
            <w:hideMark/>
          </w:tcPr>
          <w:p w14:paraId="5D7E48ED" w14:textId="77777777" w:rsidR="001D739F" w:rsidRPr="00262F3A" w:rsidRDefault="001D739F" w:rsidP="00AC60F9">
            <w:pPr>
              <w:pStyle w:val="Tableformat"/>
            </w:pPr>
            <w:r w:rsidRPr="00262F3A">
              <w:t>259</w:t>
            </w:r>
          </w:p>
        </w:tc>
        <w:tc>
          <w:tcPr>
            <w:tcW w:w="876" w:type="dxa"/>
            <w:tcBorders>
              <w:top w:val="nil"/>
              <w:left w:val="nil"/>
              <w:bottom w:val="single" w:sz="8" w:space="0" w:color="A3A3A3"/>
              <w:right w:val="single" w:sz="8" w:space="0" w:color="A3A3A3"/>
            </w:tcBorders>
            <w:tcMar>
              <w:top w:w="40" w:type="dxa"/>
              <w:left w:w="60" w:type="dxa"/>
              <w:bottom w:w="40" w:type="dxa"/>
              <w:right w:w="60" w:type="dxa"/>
            </w:tcMar>
            <w:hideMark/>
          </w:tcPr>
          <w:p w14:paraId="50C0A063" w14:textId="77777777" w:rsidR="001D739F" w:rsidRPr="00262F3A" w:rsidRDefault="001D739F" w:rsidP="00AC60F9">
            <w:pPr>
              <w:pStyle w:val="Tableformat"/>
            </w:pPr>
            <w:r w:rsidRPr="00262F3A">
              <w:t>524</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08D5CC36" w14:textId="77777777" w:rsidR="001D739F" w:rsidRPr="00262F3A" w:rsidRDefault="001D739F" w:rsidP="00AC60F9">
            <w:pPr>
              <w:pStyle w:val="Tableformat"/>
            </w:pPr>
            <w:r w:rsidRPr="00262F3A">
              <w:t>161</w:t>
            </w:r>
          </w:p>
        </w:tc>
        <w:tc>
          <w:tcPr>
            <w:tcW w:w="924" w:type="dxa"/>
            <w:tcBorders>
              <w:top w:val="nil"/>
              <w:left w:val="nil"/>
              <w:bottom w:val="single" w:sz="8" w:space="0" w:color="A3A3A3"/>
              <w:right w:val="single" w:sz="8" w:space="0" w:color="A3A3A3"/>
            </w:tcBorders>
            <w:tcMar>
              <w:top w:w="40" w:type="dxa"/>
              <w:left w:w="60" w:type="dxa"/>
              <w:bottom w:w="40" w:type="dxa"/>
              <w:right w:w="60" w:type="dxa"/>
            </w:tcMar>
            <w:hideMark/>
          </w:tcPr>
          <w:p w14:paraId="0D07E9B8" w14:textId="77777777" w:rsidR="001D739F" w:rsidRPr="00262F3A" w:rsidRDefault="001D739F" w:rsidP="00AC60F9">
            <w:pPr>
              <w:pStyle w:val="Tableformat"/>
            </w:pPr>
            <w:r w:rsidRPr="00262F3A">
              <w:t>685</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039DF0DE"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5D2E30E4"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tcMar>
              <w:top w:w="40" w:type="dxa"/>
              <w:left w:w="60" w:type="dxa"/>
              <w:bottom w:w="40" w:type="dxa"/>
              <w:right w:w="60" w:type="dxa"/>
            </w:tcMar>
            <w:hideMark/>
          </w:tcPr>
          <w:p w14:paraId="5016762A"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tcMar>
              <w:top w:w="40" w:type="dxa"/>
              <w:left w:w="60" w:type="dxa"/>
              <w:bottom w:w="40" w:type="dxa"/>
              <w:right w:w="60" w:type="dxa"/>
            </w:tcMar>
            <w:hideMark/>
          </w:tcPr>
          <w:p w14:paraId="08C01336" w14:textId="77777777" w:rsidR="001D739F" w:rsidRPr="00262F3A" w:rsidRDefault="001D739F" w:rsidP="00AC60F9">
            <w:pPr>
              <w:pStyle w:val="Tableformat"/>
            </w:pPr>
            <w:r w:rsidRPr="00262F3A">
              <w:t> 944</w:t>
            </w:r>
          </w:p>
        </w:tc>
      </w:tr>
      <w:tr w:rsidR="001D739F" w:rsidRPr="00262F3A" w14:paraId="7DC004CF"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0AA5EFE" w14:textId="77777777" w:rsidR="001D739F" w:rsidRPr="00262F3A" w:rsidRDefault="001D739F" w:rsidP="00AC60F9">
            <w:pPr>
              <w:pStyle w:val="Tableformat"/>
            </w:pPr>
            <w:r w:rsidRPr="00262F3A">
              <w:t>WA</w:t>
            </w:r>
          </w:p>
        </w:tc>
        <w:tc>
          <w:tcPr>
            <w:tcW w:w="87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30B2EB0" w14:textId="77777777" w:rsidR="001D739F" w:rsidRPr="00262F3A" w:rsidRDefault="001D739F" w:rsidP="00AC60F9">
            <w:pPr>
              <w:pStyle w:val="Tableformat"/>
            </w:pPr>
            <w:r w:rsidRPr="00262F3A">
              <w:t>25</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F0AC571" w14:textId="77777777" w:rsidR="001D739F" w:rsidRPr="00262F3A" w:rsidRDefault="001D739F" w:rsidP="00AC60F9">
            <w:pPr>
              <w:pStyle w:val="Tableformat"/>
            </w:pPr>
            <w:r w:rsidRPr="00262F3A">
              <w:t>2</w:t>
            </w:r>
          </w:p>
        </w:tc>
        <w:tc>
          <w:tcPr>
            <w:tcW w:w="73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B456009" w14:textId="77777777" w:rsidR="001D739F" w:rsidRPr="00262F3A" w:rsidRDefault="001D739F" w:rsidP="00AC60F9">
            <w:pPr>
              <w:pStyle w:val="Tableformat"/>
            </w:pPr>
            <w:r w:rsidRPr="00262F3A">
              <w:t>27</w:t>
            </w:r>
          </w:p>
        </w:tc>
        <w:tc>
          <w:tcPr>
            <w:tcW w:w="87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F821DE5" w14:textId="77777777" w:rsidR="001D739F" w:rsidRPr="00262F3A" w:rsidRDefault="001D739F" w:rsidP="00AC60F9">
            <w:pPr>
              <w:pStyle w:val="Tableformat"/>
            </w:pPr>
            <w:r w:rsidRPr="00262F3A">
              <w:t>88</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DC1D838" w14:textId="77777777" w:rsidR="001D739F" w:rsidRPr="00262F3A" w:rsidRDefault="001D739F" w:rsidP="00AC60F9">
            <w:pPr>
              <w:pStyle w:val="Tableformat"/>
            </w:pPr>
            <w:r w:rsidRPr="00262F3A">
              <w:t>12</w:t>
            </w:r>
          </w:p>
        </w:tc>
        <w:tc>
          <w:tcPr>
            <w:tcW w:w="92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090CA44" w14:textId="77777777" w:rsidR="001D739F" w:rsidRPr="00262F3A" w:rsidRDefault="001D739F" w:rsidP="00AC60F9">
            <w:pPr>
              <w:pStyle w:val="Tableformat"/>
            </w:pPr>
            <w:r w:rsidRPr="00262F3A">
              <w:t>100</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DAC582A"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7BF0559"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63CE2C0"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8D3BB2A" w14:textId="77777777" w:rsidR="001D739F" w:rsidRPr="00262F3A" w:rsidRDefault="001D739F" w:rsidP="00AC60F9">
            <w:pPr>
              <w:pStyle w:val="Tableformat"/>
            </w:pPr>
            <w:r w:rsidRPr="00262F3A">
              <w:t> 127</w:t>
            </w:r>
          </w:p>
        </w:tc>
      </w:tr>
      <w:tr w:rsidR="001D739F" w:rsidRPr="00262F3A" w14:paraId="606CFA4D"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4A856F23" w14:textId="77777777" w:rsidR="001D739F" w:rsidRPr="00262F3A" w:rsidRDefault="001D739F" w:rsidP="00AC60F9">
            <w:pPr>
              <w:pStyle w:val="Tableformat"/>
            </w:pPr>
            <w:r w:rsidRPr="00262F3A">
              <w:t>ACT</w:t>
            </w:r>
          </w:p>
        </w:tc>
        <w:tc>
          <w:tcPr>
            <w:tcW w:w="877" w:type="dxa"/>
            <w:tcBorders>
              <w:top w:val="nil"/>
              <w:left w:val="nil"/>
              <w:bottom w:val="single" w:sz="8" w:space="0" w:color="A3A3A3"/>
              <w:right w:val="single" w:sz="8" w:space="0" w:color="A3A3A3"/>
            </w:tcBorders>
            <w:tcMar>
              <w:top w:w="40" w:type="dxa"/>
              <w:left w:w="60" w:type="dxa"/>
              <w:bottom w:w="40" w:type="dxa"/>
              <w:right w:w="60" w:type="dxa"/>
            </w:tcMar>
            <w:hideMark/>
          </w:tcPr>
          <w:p w14:paraId="7C0567F4" w14:textId="77777777" w:rsidR="001D739F" w:rsidRPr="00262F3A" w:rsidRDefault="001D739F" w:rsidP="00AC60F9">
            <w:pPr>
              <w:pStyle w:val="Tableformat"/>
            </w:pPr>
            <w:r w:rsidRPr="00262F3A">
              <w:t>32</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7671FE76" w14:textId="77777777" w:rsidR="001D739F" w:rsidRPr="00262F3A" w:rsidRDefault="001D739F" w:rsidP="00AC60F9">
            <w:pPr>
              <w:pStyle w:val="Tableformat"/>
            </w:pPr>
            <w:r w:rsidRPr="00262F3A">
              <w:t>1</w:t>
            </w:r>
          </w:p>
        </w:tc>
        <w:tc>
          <w:tcPr>
            <w:tcW w:w="738" w:type="dxa"/>
            <w:tcBorders>
              <w:top w:val="nil"/>
              <w:left w:val="nil"/>
              <w:bottom w:val="single" w:sz="8" w:space="0" w:color="A3A3A3"/>
              <w:right w:val="single" w:sz="8" w:space="0" w:color="A3A3A3"/>
            </w:tcBorders>
            <w:tcMar>
              <w:top w:w="40" w:type="dxa"/>
              <w:left w:w="60" w:type="dxa"/>
              <w:bottom w:w="40" w:type="dxa"/>
              <w:right w:w="60" w:type="dxa"/>
            </w:tcMar>
            <w:hideMark/>
          </w:tcPr>
          <w:p w14:paraId="0E3BFAC4" w14:textId="77777777" w:rsidR="001D739F" w:rsidRPr="00262F3A" w:rsidRDefault="001D739F" w:rsidP="00AC60F9">
            <w:pPr>
              <w:pStyle w:val="Tableformat"/>
            </w:pPr>
            <w:r w:rsidRPr="00262F3A">
              <w:t>33</w:t>
            </w:r>
          </w:p>
        </w:tc>
        <w:tc>
          <w:tcPr>
            <w:tcW w:w="876" w:type="dxa"/>
            <w:tcBorders>
              <w:top w:val="nil"/>
              <w:left w:val="nil"/>
              <w:bottom w:val="single" w:sz="8" w:space="0" w:color="A3A3A3"/>
              <w:right w:val="single" w:sz="8" w:space="0" w:color="A3A3A3"/>
            </w:tcBorders>
            <w:tcMar>
              <w:top w:w="40" w:type="dxa"/>
              <w:left w:w="60" w:type="dxa"/>
              <w:bottom w:w="40" w:type="dxa"/>
              <w:right w:w="60" w:type="dxa"/>
            </w:tcMar>
            <w:hideMark/>
          </w:tcPr>
          <w:p w14:paraId="2E0FFB75" w14:textId="77777777" w:rsidR="001D739F" w:rsidRPr="00262F3A" w:rsidRDefault="001D739F" w:rsidP="00AC60F9">
            <w:pPr>
              <w:pStyle w:val="Tableformat"/>
            </w:pPr>
            <w:r w:rsidRPr="00262F3A">
              <w:t>57</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362E9192" w14:textId="77777777" w:rsidR="001D739F" w:rsidRPr="00262F3A" w:rsidRDefault="001D739F" w:rsidP="00AC60F9">
            <w:pPr>
              <w:pStyle w:val="Tableformat"/>
            </w:pPr>
            <w:r w:rsidRPr="00262F3A">
              <w:t>11</w:t>
            </w:r>
          </w:p>
        </w:tc>
        <w:tc>
          <w:tcPr>
            <w:tcW w:w="924" w:type="dxa"/>
            <w:tcBorders>
              <w:top w:val="nil"/>
              <w:left w:val="nil"/>
              <w:bottom w:val="single" w:sz="8" w:space="0" w:color="A3A3A3"/>
              <w:right w:val="single" w:sz="8" w:space="0" w:color="A3A3A3"/>
            </w:tcBorders>
            <w:tcMar>
              <w:top w:w="40" w:type="dxa"/>
              <w:left w:w="60" w:type="dxa"/>
              <w:bottom w:w="40" w:type="dxa"/>
              <w:right w:w="60" w:type="dxa"/>
            </w:tcMar>
            <w:hideMark/>
          </w:tcPr>
          <w:p w14:paraId="33934E41" w14:textId="77777777" w:rsidR="001D739F" w:rsidRPr="00262F3A" w:rsidRDefault="001D739F" w:rsidP="00AC60F9">
            <w:pPr>
              <w:pStyle w:val="Tableformat"/>
            </w:pPr>
            <w:r w:rsidRPr="00262F3A">
              <w:t>68</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352DE0A4"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3C0FC2EE"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tcMar>
              <w:top w:w="40" w:type="dxa"/>
              <w:left w:w="60" w:type="dxa"/>
              <w:bottom w:w="40" w:type="dxa"/>
              <w:right w:w="60" w:type="dxa"/>
            </w:tcMar>
            <w:hideMark/>
          </w:tcPr>
          <w:p w14:paraId="43B5E5A6"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tcMar>
              <w:top w:w="40" w:type="dxa"/>
              <w:left w:w="60" w:type="dxa"/>
              <w:bottom w:w="40" w:type="dxa"/>
              <w:right w:w="60" w:type="dxa"/>
            </w:tcMar>
            <w:hideMark/>
          </w:tcPr>
          <w:p w14:paraId="3437EC32" w14:textId="77777777" w:rsidR="001D739F" w:rsidRPr="00262F3A" w:rsidRDefault="001D739F" w:rsidP="00AC60F9">
            <w:pPr>
              <w:pStyle w:val="Tableformat"/>
            </w:pPr>
            <w:r w:rsidRPr="00262F3A">
              <w:t> 101</w:t>
            </w:r>
          </w:p>
        </w:tc>
      </w:tr>
      <w:tr w:rsidR="001D739F" w:rsidRPr="00262F3A" w14:paraId="0FA313C6"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4FCB4865" w14:textId="77777777" w:rsidR="001D739F" w:rsidRPr="00262F3A" w:rsidRDefault="001D739F" w:rsidP="00AC60F9">
            <w:pPr>
              <w:pStyle w:val="Tableformat"/>
            </w:pPr>
            <w:r w:rsidRPr="00262F3A">
              <w:t>NT</w:t>
            </w:r>
          </w:p>
        </w:tc>
        <w:tc>
          <w:tcPr>
            <w:tcW w:w="87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4A51E29" w14:textId="77777777" w:rsidR="001D739F" w:rsidRPr="00262F3A" w:rsidRDefault="001D739F" w:rsidP="00AC60F9">
            <w:pPr>
              <w:pStyle w:val="Tableformat"/>
            </w:pPr>
            <w:r w:rsidRPr="00262F3A">
              <w:t>8</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D82F213" w14:textId="77777777" w:rsidR="001D739F" w:rsidRPr="00262F3A" w:rsidRDefault="001D739F" w:rsidP="00AC60F9">
            <w:pPr>
              <w:pStyle w:val="Tableformat"/>
            </w:pPr>
            <w:r w:rsidRPr="00262F3A">
              <w:t>-</w:t>
            </w:r>
          </w:p>
        </w:tc>
        <w:tc>
          <w:tcPr>
            <w:tcW w:w="73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38D7AF2" w14:textId="77777777" w:rsidR="001D739F" w:rsidRPr="00262F3A" w:rsidRDefault="001D739F" w:rsidP="00AC60F9">
            <w:pPr>
              <w:pStyle w:val="Tableformat"/>
            </w:pPr>
            <w:r w:rsidRPr="00262F3A">
              <w:t>8</w:t>
            </w:r>
          </w:p>
        </w:tc>
        <w:tc>
          <w:tcPr>
            <w:tcW w:w="87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5B29106" w14:textId="77777777" w:rsidR="001D739F" w:rsidRPr="00262F3A" w:rsidRDefault="001D739F" w:rsidP="00AC60F9">
            <w:pPr>
              <w:pStyle w:val="Tableformat"/>
            </w:pPr>
            <w:r w:rsidRPr="00262F3A">
              <w:t>38</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E725770" w14:textId="77777777" w:rsidR="001D739F" w:rsidRPr="00262F3A" w:rsidRDefault="001D739F" w:rsidP="00AC60F9">
            <w:pPr>
              <w:pStyle w:val="Tableformat"/>
            </w:pPr>
            <w:r w:rsidRPr="00262F3A">
              <w:t>1</w:t>
            </w:r>
          </w:p>
        </w:tc>
        <w:tc>
          <w:tcPr>
            <w:tcW w:w="92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3914FBD" w14:textId="77777777" w:rsidR="001D739F" w:rsidRPr="00262F3A" w:rsidRDefault="001D739F" w:rsidP="00AC60F9">
            <w:pPr>
              <w:pStyle w:val="Tableformat"/>
            </w:pPr>
            <w:r w:rsidRPr="00262F3A">
              <w:t>39</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8ACB66F"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4DFCA0C"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856DC70"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753A9B9" w14:textId="77777777" w:rsidR="001D739F" w:rsidRPr="00262F3A" w:rsidRDefault="001D739F" w:rsidP="00AC60F9">
            <w:pPr>
              <w:pStyle w:val="Tableformat"/>
            </w:pPr>
            <w:r w:rsidRPr="00262F3A">
              <w:t> 47</w:t>
            </w:r>
          </w:p>
        </w:tc>
      </w:tr>
      <w:tr w:rsidR="001D739F" w:rsidRPr="00262F3A" w14:paraId="417AFC0E" w14:textId="77777777" w:rsidTr="00377C62">
        <w:tc>
          <w:tcPr>
            <w:tcW w:w="992"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7E3A462D" w14:textId="77777777" w:rsidR="001D739F" w:rsidRPr="00262F3A" w:rsidRDefault="001D739F" w:rsidP="00AC60F9">
            <w:pPr>
              <w:pStyle w:val="Tableformat"/>
            </w:pPr>
            <w:r w:rsidRPr="00262F3A">
              <w:t>Overseas</w:t>
            </w:r>
          </w:p>
        </w:tc>
        <w:tc>
          <w:tcPr>
            <w:tcW w:w="877" w:type="dxa"/>
            <w:tcBorders>
              <w:top w:val="nil"/>
              <w:left w:val="nil"/>
              <w:bottom w:val="single" w:sz="8" w:space="0" w:color="A3A3A3"/>
              <w:right w:val="single" w:sz="8" w:space="0" w:color="A3A3A3"/>
            </w:tcBorders>
            <w:tcMar>
              <w:top w:w="40" w:type="dxa"/>
              <w:left w:w="60" w:type="dxa"/>
              <w:bottom w:w="40" w:type="dxa"/>
              <w:right w:w="60" w:type="dxa"/>
            </w:tcMar>
            <w:hideMark/>
          </w:tcPr>
          <w:p w14:paraId="1CA335D8"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3C555EEF" w14:textId="77777777" w:rsidR="001D739F" w:rsidRPr="00262F3A" w:rsidRDefault="001D739F" w:rsidP="00AC60F9">
            <w:pPr>
              <w:pStyle w:val="Tableformat"/>
            </w:pPr>
            <w:r w:rsidRPr="00262F3A">
              <w:t> -</w:t>
            </w:r>
          </w:p>
        </w:tc>
        <w:tc>
          <w:tcPr>
            <w:tcW w:w="738" w:type="dxa"/>
            <w:tcBorders>
              <w:top w:val="nil"/>
              <w:left w:val="nil"/>
              <w:bottom w:val="single" w:sz="8" w:space="0" w:color="A3A3A3"/>
              <w:right w:val="single" w:sz="8" w:space="0" w:color="A3A3A3"/>
            </w:tcBorders>
            <w:tcMar>
              <w:top w:w="40" w:type="dxa"/>
              <w:left w:w="60" w:type="dxa"/>
              <w:bottom w:w="40" w:type="dxa"/>
              <w:right w:w="60" w:type="dxa"/>
            </w:tcMar>
            <w:hideMark/>
          </w:tcPr>
          <w:p w14:paraId="3227CAE5" w14:textId="77777777" w:rsidR="001D739F" w:rsidRPr="00262F3A" w:rsidRDefault="001D739F" w:rsidP="00AC60F9">
            <w:pPr>
              <w:pStyle w:val="Tableformat"/>
            </w:pPr>
            <w:r w:rsidRPr="00262F3A">
              <w:t> -</w:t>
            </w:r>
          </w:p>
        </w:tc>
        <w:tc>
          <w:tcPr>
            <w:tcW w:w="876" w:type="dxa"/>
            <w:tcBorders>
              <w:top w:val="nil"/>
              <w:left w:val="nil"/>
              <w:bottom w:val="single" w:sz="8" w:space="0" w:color="A3A3A3"/>
              <w:right w:val="single" w:sz="8" w:space="0" w:color="A3A3A3"/>
            </w:tcBorders>
            <w:tcMar>
              <w:top w:w="40" w:type="dxa"/>
              <w:left w:w="60" w:type="dxa"/>
              <w:bottom w:w="40" w:type="dxa"/>
              <w:right w:w="60" w:type="dxa"/>
            </w:tcMar>
            <w:hideMark/>
          </w:tcPr>
          <w:p w14:paraId="3B9F8563"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71CD0AC4" w14:textId="77777777" w:rsidR="001D739F" w:rsidRPr="00262F3A" w:rsidRDefault="001D739F" w:rsidP="00AC60F9">
            <w:pPr>
              <w:pStyle w:val="Tableformat"/>
            </w:pPr>
            <w:r w:rsidRPr="00262F3A">
              <w:t> -</w:t>
            </w:r>
          </w:p>
        </w:tc>
        <w:tc>
          <w:tcPr>
            <w:tcW w:w="924" w:type="dxa"/>
            <w:tcBorders>
              <w:top w:val="nil"/>
              <w:left w:val="nil"/>
              <w:bottom w:val="single" w:sz="8" w:space="0" w:color="A3A3A3"/>
              <w:right w:val="single" w:sz="8" w:space="0" w:color="A3A3A3"/>
            </w:tcBorders>
            <w:tcMar>
              <w:top w:w="40" w:type="dxa"/>
              <w:left w:w="60" w:type="dxa"/>
              <w:bottom w:w="40" w:type="dxa"/>
              <w:right w:w="60" w:type="dxa"/>
            </w:tcMar>
            <w:hideMark/>
          </w:tcPr>
          <w:p w14:paraId="6222FF4E" w14:textId="77777777" w:rsidR="001D739F" w:rsidRPr="00262F3A" w:rsidRDefault="001D739F" w:rsidP="00AC60F9">
            <w:pPr>
              <w:pStyle w:val="Tableformat"/>
            </w:pPr>
            <w:r w:rsidRPr="00262F3A">
              <w:t> -</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73A94825" w14:textId="77777777" w:rsidR="001D739F" w:rsidRPr="00262F3A" w:rsidRDefault="001D739F" w:rsidP="00AC60F9">
            <w:pPr>
              <w:pStyle w:val="Tableformat"/>
            </w:pPr>
            <w:r w:rsidRPr="00262F3A">
              <w:t> -</w:t>
            </w:r>
          </w:p>
        </w:tc>
        <w:tc>
          <w:tcPr>
            <w:tcW w:w="722" w:type="dxa"/>
            <w:tcBorders>
              <w:top w:val="nil"/>
              <w:left w:val="nil"/>
              <w:bottom w:val="single" w:sz="8" w:space="0" w:color="A3A3A3"/>
              <w:right w:val="single" w:sz="8" w:space="0" w:color="A3A3A3"/>
            </w:tcBorders>
            <w:tcMar>
              <w:top w:w="40" w:type="dxa"/>
              <w:left w:w="60" w:type="dxa"/>
              <w:bottom w:w="40" w:type="dxa"/>
              <w:right w:w="60" w:type="dxa"/>
            </w:tcMar>
            <w:hideMark/>
          </w:tcPr>
          <w:p w14:paraId="4041BA76" w14:textId="77777777" w:rsidR="001D739F" w:rsidRPr="00262F3A" w:rsidRDefault="001D739F" w:rsidP="00AC60F9">
            <w:pPr>
              <w:pStyle w:val="Tableformat"/>
            </w:pPr>
            <w:r w:rsidRPr="00262F3A">
              <w:t> -</w:t>
            </w:r>
          </w:p>
        </w:tc>
        <w:tc>
          <w:tcPr>
            <w:tcW w:w="1415" w:type="dxa"/>
            <w:tcBorders>
              <w:top w:val="nil"/>
              <w:left w:val="nil"/>
              <w:bottom w:val="single" w:sz="8" w:space="0" w:color="A3A3A3"/>
              <w:right w:val="single" w:sz="8" w:space="0" w:color="A3A3A3"/>
            </w:tcBorders>
            <w:tcMar>
              <w:top w:w="40" w:type="dxa"/>
              <w:left w:w="60" w:type="dxa"/>
              <w:bottom w:w="40" w:type="dxa"/>
              <w:right w:w="60" w:type="dxa"/>
            </w:tcMar>
            <w:hideMark/>
          </w:tcPr>
          <w:p w14:paraId="349B26FF" w14:textId="77777777" w:rsidR="001D739F" w:rsidRPr="00262F3A" w:rsidRDefault="001D739F" w:rsidP="00AC60F9">
            <w:pPr>
              <w:pStyle w:val="Tableformat"/>
            </w:pPr>
            <w:r w:rsidRPr="00262F3A">
              <w:t> -</w:t>
            </w:r>
          </w:p>
        </w:tc>
        <w:tc>
          <w:tcPr>
            <w:tcW w:w="684" w:type="dxa"/>
            <w:tcBorders>
              <w:top w:val="nil"/>
              <w:left w:val="nil"/>
              <w:bottom w:val="single" w:sz="8" w:space="0" w:color="A3A3A3"/>
              <w:right w:val="single" w:sz="8" w:space="0" w:color="A3A3A3"/>
            </w:tcBorders>
            <w:tcMar>
              <w:top w:w="40" w:type="dxa"/>
              <w:left w:w="60" w:type="dxa"/>
              <w:bottom w:w="40" w:type="dxa"/>
              <w:right w:w="60" w:type="dxa"/>
            </w:tcMar>
            <w:hideMark/>
          </w:tcPr>
          <w:p w14:paraId="3F33CE37" w14:textId="77777777" w:rsidR="001D739F" w:rsidRPr="00262F3A" w:rsidRDefault="001D739F" w:rsidP="00AC60F9">
            <w:pPr>
              <w:pStyle w:val="Tableformat"/>
            </w:pPr>
            <w:r w:rsidRPr="00262F3A">
              <w:t> -</w:t>
            </w:r>
          </w:p>
        </w:tc>
      </w:tr>
      <w:tr w:rsidR="001D739F" w:rsidRPr="00262F3A" w14:paraId="6A837911" w14:textId="77777777" w:rsidTr="00377C62">
        <w:tc>
          <w:tcPr>
            <w:tcW w:w="992"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6248A64" w14:textId="77777777" w:rsidR="001D739F" w:rsidRPr="00262F3A" w:rsidRDefault="001D739F" w:rsidP="00AC60F9">
            <w:pPr>
              <w:pStyle w:val="Tableformat"/>
            </w:pPr>
            <w:r w:rsidRPr="00262F3A">
              <w:t xml:space="preserve">Total </w:t>
            </w:r>
          </w:p>
        </w:tc>
        <w:tc>
          <w:tcPr>
            <w:tcW w:w="87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2DDE7FB" w14:textId="77777777" w:rsidR="001D739F" w:rsidRPr="00262F3A" w:rsidRDefault="001D739F" w:rsidP="00AC60F9">
            <w:pPr>
              <w:pStyle w:val="Tableformat"/>
            </w:pPr>
            <w:r w:rsidRPr="00262F3A">
              <w:t>613</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6197739" w14:textId="77777777" w:rsidR="001D739F" w:rsidRPr="00262F3A" w:rsidRDefault="001D739F" w:rsidP="00AC60F9">
            <w:pPr>
              <w:pStyle w:val="Tableformat"/>
            </w:pPr>
            <w:r w:rsidRPr="00262F3A">
              <w:t>40</w:t>
            </w:r>
          </w:p>
        </w:tc>
        <w:tc>
          <w:tcPr>
            <w:tcW w:w="738"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9FFCD41" w14:textId="77777777" w:rsidR="001D739F" w:rsidRPr="00262F3A" w:rsidRDefault="001D739F" w:rsidP="00AC60F9">
            <w:pPr>
              <w:pStyle w:val="Tableformat"/>
            </w:pPr>
            <w:r w:rsidRPr="00262F3A">
              <w:t>653</w:t>
            </w:r>
          </w:p>
        </w:tc>
        <w:tc>
          <w:tcPr>
            <w:tcW w:w="876"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57200B7" w14:textId="77777777" w:rsidR="001D739F" w:rsidRPr="00262F3A" w:rsidRDefault="001D739F" w:rsidP="00AC60F9">
            <w:pPr>
              <w:pStyle w:val="Tableformat"/>
            </w:pPr>
            <w:r w:rsidRPr="00262F3A">
              <w:t>1,550</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1925EF9" w14:textId="77777777" w:rsidR="001D739F" w:rsidRPr="00262F3A" w:rsidRDefault="001D739F" w:rsidP="00AC60F9">
            <w:pPr>
              <w:pStyle w:val="Tableformat"/>
            </w:pPr>
            <w:r w:rsidRPr="00262F3A">
              <w:t>399</w:t>
            </w:r>
          </w:p>
        </w:tc>
        <w:tc>
          <w:tcPr>
            <w:tcW w:w="92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7523EE9" w14:textId="77777777" w:rsidR="001D739F" w:rsidRPr="00262F3A" w:rsidRDefault="001D739F" w:rsidP="00AC60F9">
            <w:pPr>
              <w:pStyle w:val="Tableformat"/>
            </w:pPr>
            <w:r w:rsidRPr="00262F3A">
              <w:t>1,949</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944634A" w14:textId="77777777" w:rsidR="001D739F" w:rsidRPr="00262F3A" w:rsidRDefault="001D739F" w:rsidP="00AC60F9">
            <w:pPr>
              <w:pStyle w:val="Tableformat"/>
            </w:pPr>
            <w:r w:rsidRPr="00262F3A">
              <w:t>1</w:t>
            </w:r>
          </w:p>
        </w:tc>
        <w:tc>
          <w:tcPr>
            <w:tcW w:w="722"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FA1BDEA" w14:textId="77777777" w:rsidR="001D739F" w:rsidRPr="00262F3A" w:rsidRDefault="001D739F" w:rsidP="00AC60F9">
            <w:pPr>
              <w:pStyle w:val="Tableformat"/>
            </w:pPr>
            <w:r w:rsidRPr="00262F3A">
              <w:t>-</w:t>
            </w:r>
          </w:p>
        </w:tc>
        <w:tc>
          <w:tcPr>
            <w:tcW w:w="1415"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AFF7E0C" w14:textId="77777777" w:rsidR="001D739F" w:rsidRPr="00262F3A" w:rsidRDefault="001D739F" w:rsidP="00AC60F9">
            <w:pPr>
              <w:pStyle w:val="Tableformat"/>
            </w:pPr>
            <w:r w:rsidRPr="00262F3A">
              <w:t>1</w:t>
            </w:r>
          </w:p>
        </w:tc>
        <w:tc>
          <w:tcPr>
            <w:tcW w:w="684"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6934323" w14:textId="77777777" w:rsidR="001D739F" w:rsidRPr="00262F3A" w:rsidRDefault="001D739F" w:rsidP="00AC60F9">
            <w:pPr>
              <w:pStyle w:val="Tableformat"/>
            </w:pPr>
            <w:r w:rsidRPr="00262F3A">
              <w:t>2,603</w:t>
            </w:r>
          </w:p>
        </w:tc>
      </w:tr>
    </w:tbl>
    <w:p w14:paraId="50C87BD5" w14:textId="77777777" w:rsidR="001D739F" w:rsidRPr="00262F3A" w:rsidRDefault="005D5BCA" w:rsidP="00901595">
      <w:pPr>
        <w:keepNext/>
      </w:pPr>
      <w:r w:rsidRPr="00262F3A">
        <w:rPr>
          <w:b/>
        </w:rPr>
        <w:t>Table 5.4D</w:t>
      </w:r>
      <w:r w:rsidRPr="00B63CEB">
        <w:rPr>
          <w:b/>
        </w:rPr>
        <w:t>:</w:t>
      </w:r>
      <w:r w:rsidRPr="00262F3A">
        <w:t xml:space="preserve"> </w:t>
      </w:r>
      <w:r w:rsidR="001D739F" w:rsidRPr="00262F3A">
        <w:t>All non-ongoing employees previous reporting period (2018–19)</w:t>
      </w:r>
    </w:p>
    <w:tbl>
      <w:tblPr>
        <w:tblW w:w="0" w:type="auto"/>
        <w:tblCellMar>
          <w:left w:w="0" w:type="dxa"/>
          <w:right w:w="0" w:type="dxa"/>
        </w:tblCellMar>
        <w:tblLook w:val="04A0" w:firstRow="1" w:lastRow="0" w:firstColumn="1" w:lastColumn="0" w:noHBand="0" w:noVBand="1"/>
      </w:tblPr>
      <w:tblGrid>
        <w:gridCol w:w="991"/>
        <w:gridCol w:w="879"/>
        <w:gridCol w:w="731"/>
        <w:gridCol w:w="747"/>
        <w:gridCol w:w="879"/>
        <w:gridCol w:w="731"/>
        <w:gridCol w:w="931"/>
        <w:gridCol w:w="1343"/>
        <w:gridCol w:w="731"/>
        <w:gridCol w:w="1419"/>
        <w:gridCol w:w="633"/>
      </w:tblGrid>
      <w:tr w:rsidR="00D730A4" w:rsidRPr="00262F3A" w14:paraId="75B8CEFC" w14:textId="77777777" w:rsidTr="00317EA0">
        <w:trPr>
          <w:tblHeader/>
        </w:trPr>
        <w:tc>
          <w:tcPr>
            <w:tcW w:w="991" w:type="dxa"/>
            <w:tcBorders>
              <w:top w:val="single" w:sz="8" w:space="0" w:color="A3A3A3"/>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3643817B" w14:textId="77777777" w:rsidR="00D730A4" w:rsidRPr="00262F3A" w:rsidRDefault="00D730A4" w:rsidP="00AC60F9">
            <w:pPr>
              <w:pStyle w:val="Tableformat"/>
              <w:rPr>
                <w:color w:val="FFFFFF" w:themeColor="background1"/>
              </w:rPr>
            </w:pPr>
            <w:r w:rsidRPr="00262F3A">
              <w:rPr>
                <w:color w:val="FFFFFF" w:themeColor="background1"/>
              </w:rPr>
              <w:t> </w:t>
            </w:r>
          </w:p>
        </w:tc>
        <w:tc>
          <w:tcPr>
            <w:tcW w:w="2357"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4A35B495" w14:textId="72F9DFE3" w:rsidR="00D730A4" w:rsidRPr="00262F3A" w:rsidRDefault="00D730A4" w:rsidP="00D730A4">
            <w:pPr>
              <w:pStyle w:val="Tableformat"/>
              <w:jc w:val="center"/>
              <w:rPr>
                <w:color w:val="FFFFFF" w:themeColor="background1"/>
              </w:rPr>
            </w:pPr>
            <w:r>
              <w:rPr>
                <w:color w:val="FFFFFF" w:themeColor="background1"/>
              </w:rPr>
              <w:t>Male</w:t>
            </w:r>
          </w:p>
        </w:tc>
        <w:tc>
          <w:tcPr>
            <w:tcW w:w="2541"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6147BD0D" w14:textId="2550F398" w:rsidR="00D730A4" w:rsidRPr="00262F3A" w:rsidRDefault="00D730A4" w:rsidP="00D730A4">
            <w:pPr>
              <w:pStyle w:val="Tableformat"/>
              <w:jc w:val="center"/>
              <w:rPr>
                <w:color w:val="FFFFFF" w:themeColor="background1"/>
              </w:rPr>
            </w:pPr>
            <w:r w:rsidRPr="00262F3A">
              <w:rPr>
                <w:color w:val="FFFFFF" w:themeColor="background1"/>
              </w:rPr>
              <w:t>F</w:t>
            </w:r>
            <w:r>
              <w:rPr>
                <w:color w:val="FFFFFF" w:themeColor="background1"/>
              </w:rPr>
              <w:t>emale</w:t>
            </w:r>
          </w:p>
        </w:tc>
        <w:tc>
          <w:tcPr>
            <w:tcW w:w="3493" w:type="dxa"/>
            <w:gridSpan w:val="3"/>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256FB42B" w14:textId="56CA2048" w:rsidR="00D730A4" w:rsidRPr="00262F3A" w:rsidRDefault="00D730A4" w:rsidP="00D730A4">
            <w:pPr>
              <w:pStyle w:val="Tableformat"/>
              <w:jc w:val="center"/>
              <w:rPr>
                <w:color w:val="FFFFFF" w:themeColor="background1"/>
              </w:rPr>
            </w:pPr>
            <w:r w:rsidRPr="00262F3A">
              <w:rPr>
                <w:color w:val="FFFFFF" w:themeColor="background1"/>
              </w:rPr>
              <w:t>Indeterminate</w:t>
            </w:r>
          </w:p>
        </w:tc>
        <w:tc>
          <w:tcPr>
            <w:tcW w:w="633" w:type="dxa"/>
            <w:tcBorders>
              <w:top w:val="single" w:sz="8" w:space="0" w:color="A3A3A3"/>
              <w:left w:val="nil"/>
              <w:bottom w:val="single" w:sz="8" w:space="0" w:color="A3A3A3"/>
              <w:right w:val="single" w:sz="8" w:space="0" w:color="A3A3A3"/>
            </w:tcBorders>
            <w:shd w:val="clear" w:color="auto" w:fill="7030A0"/>
            <w:tcMar>
              <w:top w:w="40" w:type="dxa"/>
              <w:left w:w="60" w:type="dxa"/>
              <w:bottom w:w="40" w:type="dxa"/>
              <w:right w:w="60" w:type="dxa"/>
            </w:tcMar>
            <w:hideMark/>
          </w:tcPr>
          <w:p w14:paraId="495FA7E5" w14:textId="77777777" w:rsidR="00D730A4" w:rsidRPr="00262F3A" w:rsidRDefault="00D730A4" w:rsidP="00AC60F9">
            <w:pPr>
              <w:pStyle w:val="Tableformat"/>
              <w:rPr>
                <w:color w:val="FFFFFF" w:themeColor="background1"/>
              </w:rPr>
            </w:pPr>
            <w:r w:rsidRPr="00262F3A">
              <w:rPr>
                <w:color w:val="FFFFFF" w:themeColor="background1"/>
              </w:rPr>
              <w:t xml:space="preserve">Total </w:t>
            </w:r>
          </w:p>
        </w:tc>
      </w:tr>
      <w:tr w:rsidR="001D739F" w:rsidRPr="00262F3A" w14:paraId="063320BF" w14:textId="77777777" w:rsidTr="00377C62">
        <w:trPr>
          <w:tblHeader/>
        </w:trPr>
        <w:tc>
          <w:tcPr>
            <w:tcW w:w="991" w:type="dxa"/>
            <w:tcBorders>
              <w:top w:val="nil"/>
              <w:left w:val="single" w:sz="8" w:space="0" w:color="A3A3A3"/>
              <w:bottom w:val="single" w:sz="8" w:space="0" w:color="A3A3A3"/>
              <w:right w:val="single" w:sz="8" w:space="0" w:color="A3A3A3"/>
            </w:tcBorders>
            <w:shd w:val="clear" w:color="auto" w:fill="7030A0"/>
            <w:tcMar>
              <w:top w:w="40" w:type="dxa"/>
              <w:left w:w="60" w:type="dxa"/>
              <w:bottom w:w="40" w:type="dxa"/>
              <w:right w:w="60" w:type="dxa"/>
            </w:tcMar>
            <w:hideMark/>
          </w:tcPr>
          <w:p w14:paraId="4DE98EBC" w14:textId="77777777" w:rsidR="001D739F" w:rsidRPr="00262F3A" w:rsidRDefault="001D739F" w:rsidP="00AC60F9">
            <w:pPr>
              <w:pStyle w:val="Tableformat"/>
              <w:rPr>
                <w:color w:val="FFFFFF" w:themeColor="background1"/>
              </w:rPr>
            </w:pPr>
            <w:r w:rsidRPr="00262F3A">
              <w:rPr>
                <w:color w:val="FFFFFF" w:themeColor="background1"/>
              </w:rPr>
              <w:t> </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4159F70" w14:textId="2457085F"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3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1C9236B3" w14:textId="57B89541"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747"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0492E8B" w14:textId="55E44EEE" w:rsidR="001D739F" w:rsidRPr="00262F3A" w:rsidRDefault="001D739F" w:rsidP="00AE6AE5">
            <w:pPr>
              <w:pStyle w:val="Tableformat"/>
              <w:rPr>
                <w:color w:val="FFFFFF" w:themeColor="background1"/>
              </w:rPr>
            </w:pPr>
            <w:r w:rsidRPr="00262F3A">
              <w:rPr>
                <w:color w:val="FFFFFF" w:themeColor="background1"/>
              </w:rPr>
              <w:t xml:space="preserve">Total </w:t>
            </w:r>
            <w:r w:rsidR="00AE6AE5">
              <w:rPr>
                <w:color w:val="FFFFFF" w:themeColor="background1"/>
              </w:rPr>
              <w:t>m</w:t>
            </w:r>
            <w:r w:rsidRPr="00262F3A">
              <w:rPr>
                <w:color w:val="FFFFFF" w:themeColor="background1"/>
              </w:rPr>
              <w:t>ale</w:t>
            </w:r>
          </w:p>
        </w:tc>
        <w:tc>
          <w:tcPr>
            <w:tcW w:w="87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028B6936" w14:textId="2BE14099"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3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94FE082" w14:textId="715ED66B"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93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864B54B" w14:textId="1B30B24E" w:rsidR="001D739F" w:rsidRPr="00262F3A" w:rsidRDefault="001D739F" w:rsidP="00AE6AE5">
            <w:pPr>
              <w:pStyle w:val="Tableformat"/>
              <w:rPr>
                <w:color w:val="FFFFFF" w:themeColor="background1"/>
              </w:rPr>
            </w:pPr>
            <w:r w:rsidRPr="00262F3A">
              <w:rPr>
                <w:color w:val="FFFFFF" w:themeColor="background1"/>
              </w:rPr>
              <w:t xml:space="preserve">Total </w:t>
            </w:r>
            <w:r w:rsidR="00AE6AE5">
              <w:rPr>
                <w:color w:val="FFFFFF" w:themeColor="background1"/>
              </w:rPr>
              <w:t>f</w:t>
            </w:r>
            <w:r w:rsidRPr="00262F3A">
              <w:rPr>
                <w:color w:val="FFFFFF" w:themeColor="background1"/>
              </w:rPr>
              <w:t>emale</w:t>
            </w:r>
          </w:p>
        </w:tc>
        <w:tc>
          <w:tcPr>
            <w:tcW w:w="1343"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5A8BD576" w14:textId="5FCB4F6D" w:rsidR="001D739F" w:rsidRPr="00262F3A" w:rsidRDefault="001D739F" w:rsidP="00AC60F9">
            <w:pPr>
              <w:pStyle w:val="Tableformat"/>
              <w:rPr>
                <w:color w:val="FFFFFF" w:themeColor="background1"/>
              </w:rPr>
            </w:pPr>
            <w:r w:rsidRPr="00262F3A">
              <w:rPr>
                <w:color w:val="FFFFFF" w:themeColor="background1"/>
              </w:rPr>
              <w:t>Full</w:t>
            </w:r>
            <w:r w:rsidR="00AE6AE5">
              <w:rPr>
                <w:color w:val="FFFFFF" w:themeColor="background1"/>
              </w:rPr>
              <w:t xml:space="preserve"> </w:t>
            </w:r>
            <w:r w:rsidRPr="00262F3A">
              <w:rPr>
                <w:color w:val="FFFFFF" w:themeColor="background1"/>
              </w:rPr>
              <w:t>time</w:t>
            </w:r>
          </w:p>
        </w:tc>
        <w:tc>
          <w:tcPr>
            <w:tcW w:w="731"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4188FA31" w14:textId="7C9CB931" w:rsidR="001D739F" w:rsidRPr="00262F3A" w:rsidRDefault="00AE6AE5" w:rsidP="00AC60F9">
            <w:pPr>
              <w:pStyle w:val="Tableformat"/>
              <w:rPr>
                <w:color w:val="FFFFFF" w:themeColor="background1"/>
              </w:rPr>
            </w:pPr>
            <w:r>
              <w:rPr>
                <w:color w:val="FFFFFF" w:themeColor="background1"/>
              </w:rPr>
              <w:t>Part t</w:t>
            </w:r>
            <w:r w:rsidR="001D739F" w:rsidRPr="00262F3A">
              <w:rPr>
                <w:color w:val="FFFFFF" w:themeColor="background1"/>
              </w:rPr>
              <w:t>ime</w:t>
            </w:r>
          </w:p>
        </w:tc>
        <w:tc>
          <w:tcPr>
            <w:tcW w:w="1419"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3EF2F9F9" w14:textId="0AC0DCB0" w:rsidR="001D739F" w:rsidRPr="00262F3A" w:rsidRDefault="00AE6AE5" w:rsidP="00AC60F9">
            <w:pPr>
              <w:pStyle w:val="Tableformat"/>
              <w:rPr>
                <w:color w:val="FFFFFF" w:themeColor="background1"/>
              </w:rPr>
            </w:pPr>
            <w:r>
              <w:rPr>
                <w:color w:val="FFFFFF" w:themeColor="background1"/>
              </w:rPr>
              <w:t>Total i</w:t>
            </w:r>
            <w:r w:rsidR="001D739F" w:rsidRPr="00262F3A">
              <w:rPr>
                <w:color w:val="FFFFFF" w:themeColor="background1"/>
              </w:rPr>
              <w:t>ndeterminate</w:t>
            </w:r>
          </w:p>
        </w:tc>
        <w:tc>
          <w:tcPr>
            <w:tcW w:w="633" w:type="dxa"/>
            <w:tcBorders>
              <w:top w:val="nil"/>
              <w:left w:val="nil"/>
              <w:bottom w:val="single" w:sz="8" w:space="0" w:color="A3A3A3"/>
              <w:right w:val="single" w:sz="8" w:space="0" w:color="A3A3A3"/>
            </w:tcBorders>
            <w:shd w:val="clear" w:color="auto" w:fill="7030A0"/>
            <w:tcMar>
              <w:top w:w="40" w:type="dxa"/>
              <w:left w:w="60" w:type="dxa"/>
              <w:bottom w:w="40" w:type="dxa"/>
              <w:right w:w="60" w:type="dxa"/>
            </w:tcMar>
            <w:hideMark/>
          </w:tcPr>
          <w:p w14:paraId="0A6CACF0" w14:textId="77777777" w:rsidR="001D739F" w:rsidRPr="00262F3A" w:rsidRDefault="001D739F" w:rsidP="00AC60F9">
            <w:pPr>
              <w:pStyle w:val="Tableformat"/>
              <w:rPr>
                <w:color w:val="FFFFFF" w:themeColor="background1"/>
              </w:rPr>
            </w:pPr>
            <w:r w:rsidRPr="00262F3A">
              <w:rPr>
                <w:color w:val="FFFFFF" w:themeColor="background1"/>
              </w:rPr>
              <w:t> </w:t>
            </w:r>
          </w:p>
        </w:tc>
      </w:tr>
      <w:tr w:rsidR="001D739F" w:rsidRPr="00262F3A" w14:paraId="7B21FB8C" w14:textId="77777777" w:rsidTr="00377C62">
        <w:tc>
          <w:tcPr>
            <w:tcW w:w="991"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727C03A5" w14:textId="77777777" w:rsidR="001D739F" w:rsidRPr="00262F3A" w:rsidRDefault="001D739F" w:rsidP="00AC60F9">
            <w:pPr>
              <w:pStyle w:val="Tableformat"/>
            </w:pPr>
            <w:r w:rsidRPr="00262F3A">
              <w:t>NSW</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AA4BCFE" w14:textId="77777777" w:rsidR="001D739F" w:rsidRPr="00262F3A" w:rsidRDefault="001D739F" w:rsidP="00AC60F9">
            <w:pPr>
              <w:pStyle w:val="Tableformat"/>
            </w:pPr>
            <w:r w:rsidRPr="00262F3A">
              <w:t>47</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3CF30D0D" w14:textId="77777777" w:rsidR="001D739F" w:rsidRPr="00262F3A" w:rsidRDefault="001D739F" w:rsidP="00AC60F9">
            <w:pPr>
              <w:pStyle w:val="Tableformat"/>
            </w:pPr>
            <w:r w:rsidRPr="00262F3A">
              <w:t>5</w:t>
            </w:r>
          </w:p>
        </w:tc>
        <w:tc>
          <w:tcPr>
            <w:tcW w:w="747" w:type="dxa"/>
            <w:tcBorders>
              <w:top w:val="nil"/>
              <w:left w:val="nil"/>
              <w:bottom w:val="single" w:sz="8" w:space="0" w:color="A3A3A3"/>
              <w:right w:val="single" w:sz="8" w:space="0" w:color="A3A3A3"/>
            </w:tcBorders>
            <w:tcMar>
              <w:top w:w="40" w:type="dxa"/>
              <w:left w:w="60" w:type="dxa"/>
              <w:bottom w:w="40" w:type="dxa"/>
              <w:right w:w="60" w:type="dxa"/>
            </w:tcMar>
            <w:hideMark/>
          </w:tcPr>
          <w:p w14:paraId="53488F14" w14:textId="77777777" w:rsidR="001D739F" w:rsidRPr="00262F3A" w:rsidRDefault="001D739F" w:rsidP="00AC60F9">
            <w:pPr>
              <w:pStyle w:val="Tableformat"/>
            </w:pPr>
            <w:r w:rsidRPr="00262F3A">
              <w:t>52</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1A5C690" w14:textId="77777777" w:rsidR="001D739F" w:rsidRPr="00262F3A" w:rsidRDefault="001D739F" w:rsidP="00AC60F9">
            <w:pPr>
              <w:pStyle w:val="Tableformat"/>
            </w:pPr>
            <w:r w:rsidRPr="00262F3A">
              <w:t>162</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6FBF430C" w14:textId="77777777" w:rsidR="001D739F" w:rsidRPr="00262F3A" w:rsidRDefault="001D739F" w:rsidP="00AC60F9">
            <w:pPr>
              <w:pStyle w:val="Tableformat"/>
            </w:pPr>
            <w:r w:rsidRPr="00262F3A">
              <w:t>21</w:t>
            </w:r>
          </w:p>
        </w:tc>
        <w:tc>
          <w:tcPr>
            <w:tcW w:w="931" w:type="dxa"/>
            <w:tcBorders>
              <w:top w:val="nil"/>
              <w:left w:val="nil"/>
              <w:bottom w:val="single" w:sz="8" w:space="0" w:color="A3A3A3"/>
              <w:right w:val="single" w:sz="8" w:space="0" w:color="A3A3A3"/>
            </w:tcBorders>
            <w:tcMar>
              <w:top w:w="40" w:type="dxa"/>
              <w:left w:w="60" w:type="dxa"/>
              <w:bottom w:w="40" w:type="dxa"/>
              <w:right w:w="60" w:type="dxa"/>
            </w:tcMar>
            <w:hideMark/>
          </w:tcPr>
          <w:p w14:paraId="177C212B" w14:textId="77777777" w:rsidR="001D739F" w:rsidRPr="00262F3A" w:rsidRDefault="001D739F" w:rsidP="00AC60F9">
            <w:pPr>
              <w:pStyle w:val="Tableformat"/>
            </w:pPr>
            <w:r w:rsidRPr="00262F3A">
              <w:t>183</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10112133" w14:textId="77777777" w:rsidR="001D739F" w:rsidRPr="00262F3A" w:rsidRDefault="001D739F" w:rsidP="00AC60F9">
            <w:pPr>
              <w:pStyle w:val="Tableformat"/>
            </w:pPr>
            <w:r w:rsidRPr="00262F3A">
              <w:t>-</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7C336C4D" w14:textId="77777777" w:rsidR="001D739F" w:rsidRPr="00262F3A" w:rsidRDefault="001D739F" w:rsidP="00AC60F9">
            <w:pPr>
              <w:pStyle w:val="Tableformat"/>
            </w:pPr>
            <w:r w:rsidRPr="00262F3A">
              <w:t>-</w:t>
            </w:r>
          </w:p>
        </w:tc>
        <w:tc>
          <w:tcPr>
            <w:tcW w:w="1419" w:type="dxa"/>
            <w:tcBorders>
              <w:top w:val="nil"/>
              <w:left w:val="nil"/>
              <w:bottom w:val="single" w:sz="8" w:space="0" w:color="A3A3A3"/>
              <w:right w:val="single" w:sz="8" w:space="0" w:color="A3A3A3"/>
            </w:tcBorders>
            <w:tcMar>
              <w:top w:w="40" w:type="dxa"/>
              <w:left w:w="60" w:type="dxa"/>
              <w:bottom w:w="40" w:type="dxa"/>
              <w:right w:w="60" w:type="dxa"/>
            </w:tcMar>
            <w:hideMark/>
          </w:tcPr>
          <w:p w14:paraId="5BCED0D0" w14:textId="77777777" w:rsidR="001D739F" w:rsidRPr="00262F3A" w:rsidRDefault="001D739F" w:rsidP="00AC60F9">
            <w:pPr>
              <w:pStyle w:val="Tableformat"/>
            </w:pPr>
            <w:r w:rsidRPr="00262F3A">
              <w:t>-</w:t>
            </w:r>
          </w:p>
        </w:tc>
        <w:tc>
          <w:tcPr>
            <w:tcW w:w="633" w:type="dxa"/>
            <w:tcBorders>
              <w:top w:val="nil"/>
              <w:left w:val="nil"/>
              <w:bottom w:val="single" w:sz="8" w:space="0" w:color="A3A3A3"/>
              <w:right w:val="single" w:sz="8" w:space="0" w:color="A3A3A3"/>
            </w:tcBorders>
            <w:tcMar>
              <w:top w:w="40" w:type="dxa"/>
              <w:left w:w="60" w:type="dxa"/>
              <w:bottom w:w="40" w:type="dxa"/>
              <w:right w:w="60" w:type="dxa"/>
            </w:tcMar>
            <w:hideMark/>
          </w:tcPr>
          <w:p w14:paraId="282DABBB" w14:textId="77777777" w:rsidR="001D739F" w:rsidRPr="00262F3A" w:rsidRDefault="001D739F" w:rsidP="00AC60F9">
            <w:pPr>
              <w:pStyle w:val="Tableformat"/>
            </w:pPr>
            <w:r w:rsidRPr="00262F3A">
              <w:t>235</w:t>
            </w:r>
          </w:p>
        </w:tc>
      </w:tr>
      <w:tr w:rsidR="001D739F" w:rsidRPr="00262F3A" w14:paraId="401BA103" w14:textId="77777777" w:rsidTr="00377C62">
        <w:tc>
          <w:tcPr>
            <w:tcW w:w="991"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1BC2929" w14:textId="77777777" w:rsidR="001D739F" w:rsidRPr="00262F3A" w:rsidRDefault="001D739F" w:rsidP="00AC60F9">
            <w:pPr>
              <w:pStyle w:val="Tableformat"/>
            </w:pPr>
            <w:r w:rsidRPr="00262F3A">
              <w:t>QLD</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A83FB1D" w14:textId="77777777" w:rsidR="001D739F" w:rsidRPr="00262F3A" w:rsidRDefault="001D739F" w:rsidP="00AC60F9">
            <w:pPr>
              <w:pStyle w:val="Tableformat"/>
            </w:pPr>
            <w:r w:rsidRPr="00262F3A">
              <w:t>32</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4454C9F" w14:textId="77777777" w:rsidR="001D739F" w:rsidRPr="00262F3A" w:rsidRDefault="001D739F" w:rsidP="00AC60F9">
            <w:pPr>
              <w:pStyle w:val="Tableformat"/>
            </w:pPr>
            <w:r w:rsidRPr="00262F3A">
              <w:t>1</w:t>
            </w:r>
          </w:p>
        </w:tc>
        <w:tc>
          <w:tcPr>
            <w:tcW w:w="74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199355E" w14:textId="77777777" w:rsidR="001D739F" w:rsidRPr="00262F3A" w:rsidRDefault="001D739F" w:rsidP="00AC60F9">
            <w:pPr>
              <w:pStyle w:val="Tableformat"/>
            </w:pPr>
            <w:r w:rsidRPr="00262F3A">
              <w:t>33</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DA14D8A" w14:textId="77777777" w:rsidR="001D739F" w:rsidRPr="00262F3A" w:rsidRDefault="001D739F" w:rsidP="00AC60F9">
            <w:pPr>
              <w:pStyle w:val="Tableformat"/>
            </w:pPr>
            <w:r w:rsidRPr="00262F3A">
              <w:t>134</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0285A4F" w14:textId="77777777" w:rsidR="001D739F" w:rsidRPr="00262F3A" w:rsidRDefault="001D739F" w:rsidP="00AC60F9">
            <w:pPr>
              <w:pStyle w:val="Tableformat"/>
            </w:pPr>
            <w:r w:rsidRPr="00262F3A">
              <w:t>15</w:t>
            </w:r>
          </w:p>
        </w:tc>
        <w:tc>
          <w:tcPr>
            <w:tcW w:w="9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71D64DD" w14:textId="77777777" w:rsidR="001D739F" w:rsidRPr="00262F3A" w:rsidRDefault="001D739F" w:rsidP="00AC60F9">
            <w:pPr>
              <w:pStyle w:val="Tableformat"/>
            </w:pPr>
            <w:r w:rsidRPr="00262F3A">
              <w:t>149</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DB335CB" w14:textId="77777777" w:rsidR="001D739F" w:rsidRPr="00262F3A" w:rsidRDefault="001D739F" w:rsidP="00AC60F9">
            <w:pPr>
              <w:pStyle w:val="Tableformat"/>
            </w:pPr>
            <w:r w:rsidRPr="00262F3A">
              <w:t>-</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F239FD6" w14:textId="77777777" w:rsidR="001D739F" w:rsidRPr="00262F3A" w:rsidRDefault="001D739F" w:rsidP="00AC60F9">
            <w:pPr>
              <w:pStyle w:val="Tableformat"/>
            </w:pPr>
            <w:r w:rsidRPr="00262F3A">
              <w:t>-</w:t>
            </w:r>
          </w:p>
        </w:tc>
        <w:tc>
          <w:tcPr>
            <w:tcW w:w="141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4B7AE94" w14:textId="77777777" w:rsidR="001D739F" w:rsidRPr="00262F3A" w:rsidRDefault="001D739F" w:rsidP="00AC60F9">
            <w:pPr>
              <w:pStyle w:val="Tableformat"/>
            </w:pPr>
            <w:r w:rsidRPr="00262F3A">
              <w:t>-</w:t>
            </w:r>
          </w:p>
        </w:tc>
        <w:tc>
          <w:tcPr>
            <w:tcW w:w="63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5B15BCD" w14:textId="77777777" w:rsidR="001D739F" w:rsidRPr="00262F3A" w:rsidRDefault="001D739F" w:rsidP="00AC60F9">
            <w:pPr>
              <w:pStyle w:val="Tableformat"/>
            </w:pPr>
            <w:r w:rsidRPr="00262F3A">
              <w:t>182</w:t>
            </w:r>
          </w:p>
        </w:tc>
      </w:tr>
      <w:tr w:rsidR="001D739F" w:rsidRPr="00262F3A" w14:paraId="6E8E320F" w14:textId="77777777" w:rsidTr="00377C62">
        <w:tc>
          <w:tcPr>
            <w:tcW w:w="991"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7EFCCC40" w14:textId="77777777" w:rsidR="001D739F" w:rsidRPr="00262F3A" w:rsidRDefault="001D739F" w:rsidP="00AC60F9">
            <w:pPr>
              <w:pStyle w:val="Tableformat"/>
            </w:pPr>
            <w:r w:rsidRPr="00262F3A">
              <w:t>SA</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43349D20" w14:textId="77777777" w:rsidR="001D739F" w:rsidRPr="00262F3A" w:rsidRDefault="001D739F" w:rsidP="00AC60F9">
            <w:pPr>
              <w:pStyle w:val="Tableformat"/>
            </w:pPr>
            <w:r w:rsidRPr="00262F3A">
              <w:t>7</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547CA16D" w14:textId="77777777" w:rsidR="001D739F" w:rsidRPr="00262F3A" w:rsidRDefault="001D739F" w:rsidP="00AC60F9">
            <w:pPr>
              <w:pStyle w:val="Tableformat"/>
            </w:pPr>
            <w:r w:rsidRPr="00262F3A">
              <w:t>3</w:t>
            </w:r>
          </w:p>
        </w:tc>
        <w:tc>
          <w:tcPr>
            <w:tcW w:w="747" w:type="dxa"/>
            <w:tcBorders>
              <w:top w:val="nil"/>
              <w:left w:val="nil"/>
              <w:bottom w:val="single" w:sz="8" w:space="0" w:color="A3A3A3"/>
              <w:right w:val="single" w:sz="8" w:space="0" w:color="A3A3A3"/>
            </w:tcBorders>
            <w:tcMar>
              <w:top w:w="40" w:type="dxa"/>
              <w:left w:w="60" w:type="dxa"/>
              <w:bottom w:w="40" w:type="dxa"/>
              <w:right w:w="60" w:type="dxa"/>
            </w:tcMar>
            <w:hideMark/>
          </w:tcPr>
          <w:p w14:paraId="4C49B368" w14:textId="77777777" w:rsidR="001D739F" w:rsidRPr="00262F3A" w:rsidRDefault="001D739F" w:rsidP="00AC60F9">
            <w:pPr>
              <w:pStyle w:val="Tableformat"/>
            </w:pPr>
            <w:r w:rsidRPr="00262F3A">
              <w:t>10</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42746A55" w14:textId="77777777" w:rsidR="001D739F" w:rsidRPr="00262F3A" w:rsidRDefault="001D739F" w:rsidP="00AC60F9">
            <w:pPr>
              <w:pStyle w:val="Tableformat"/>
            </w:pPr>
            <w:r w:rsidRPr="00262F3A">
              <w:t>26</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072018A6" w14:textId="77777777" w:rsidR="001D739F" w:rsidRPr="00262F3A" w:rsidRDefault="001D739F" w:rsidP="00AC60F9">
            <w:pPr>
              <w:pStyle w:val="Tableformat"/>
            </w:pPr>
            <w:r w:rsidRPr="00262F3A">
              <w:t>1</w:t>
            </w:r>
          </w:p>
        </w:tc>
        <w:tc>
          <w:tcPr>
            <w:tcW w:w="931" w:type="dxa"/>
            <w:tcBorders>
              <w:top w:val="nil"/>
              <w:left w:val="nil"/>
              <w:bottom w:val="single" w:sz="8" w:space="0" w:color="A3A3A3"/>
              <w:right w:val="single" w:sz="8" w:space="0" w:color="A3A3A3"/>
            </w:tcBorders>
            <w:tcMar>
              <w:top w:w="40" w:type="dxa"/>
              <w:left w:w="60" w:type="dxa"/>
              <w:bottom w:w="40" w:type="dxa"/>
              <w:right w:w="60" w:type="dxa"/>
            </w:tcMar>
            <w:hideMark/>
          </w:tcPr>
          <w:p w14:paraId="755E3CA4" w14:textId="77777777" w:rsidR="001D739F" w:rsidRPr="00262F3A" w:rsidRDefault="001D739F" w:rsidP="00AC60F9">
            <w:pPr>
              <w:pStyle w:val="Tableformat"/>
            </w:pPr>
            <w:r w:rsidRPr="00262F3A">
              <w:t>27</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3B496374"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097926FF"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tcMar>
              <w:top w:w="40" w:type="dxa"/>
              <w:left w:w="60" w:type="dxa"/>
              <w:bottom w:w="40" w:type="dxa"/>
              <w:right w:w="60" w:type="dxa"/>
            </w:tcMar>
            <w:hideMark/>
          </w:tcPr>
          <w:p w14:paraId="07D9AD8D"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tcMar>
              <w:top w:w="40" w:type="dxa"/>
              <w:left w:w="60" w:type="dxa"/>
              <w:bottom w:w="40" w:type="dxa"/>
              <w:right w:w="60" w:type="dxa"/>
            </w:tcMar>
            <w:hideMark/>
          </w:tcPr>
          <w:p w14:paraId="44E3B471" w14:textId="77777777" w:rsidR="001D739F" w:rsidRPr="00262F3A" w:rsidRDefault="001D739F" w:rsidP="00AC60F9">
            <w:pPr>
              <w:pStyle w:val="Tableformat"/>
            </w:pPr>
            <w:r w:rsidRPr="00262F3A">
              <w:t> 37</w:t>
            </w:r>
          </w:p>
        </w:tc>
      </w:tr>
      <w:tr w:rsidR="001D739F" w:rsidRPr="00262F3A" w14:paraId="38F5DC3C" w14:textId="77777777" w:rsidTr="00377C62">
        <w:tc>
          <w:tcPr>
            <w:tcW w:w="991"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0234F93" w14:textId="77777777" w:rsidR="001D739F" w:rsidRPr="00262F3A" w:rsidRDefault="001D739F" w:rsidP="00AC60F9">
            <w:pPr>
              <w:pStyle w:val="Tableformat"/>
            </w:pPr>
            <w:r w:rsidRPr="00262F3A">
              <w:t>TAS</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5B0AA6C" w14:textId="77777777" w:rsidR="001D739F" w:rsidRPr="00262F3A" w:rsidRDefault="001D739F" w:rsidP="00AC60F9">
            <w:pPr>
              <w:pStyle w:val="Tableformat"/>
            </w:pPr>
            <w:r w:rsidRPr="00262F3A">
              <w:t>3</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586B9EB" w14:textId="77777777" w:rsidR="001D739F" w:rsidRPr="00262F3A" w:rsidRDefault="001D739F" w:rsidP="00AC60F9">
            <w:pPr>
              <w:pStyle w:val="Tableformat"/>
            </w:pPr>
            <w:r w:rsidRPr="00262F3A">
              <w:t>1</w:t>
            </w:r>
          </w:p>
        </w:tc>
        <w:tc>
          <w:tcPr>
            <w:tcW w:w="74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C972731" w14:textId="77777777" w:rsidR="001D739F" w:rsidRPr="00262F3A" w:rsidRDefault="001D739F" w:rsidP="00AC60F9">
            <w:pPr>
              <w:pStyle w:val="Tableformat"/>
            </w:pPr>
            <w:r w:rsidRPr="00262F3A">
              <w:t>4</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DC74CD5" w14:textId="77777777" w:rsidR="001D739F" w:rsidRPr="00262F3A" w:rsidRDefault="001D739F" w:rsidP="00AC60F9">
            <w:pPr>
              <w:pStyle w:val="Tableformat"/>
            </w:pPr>
            <w:r w:rsidRPr="00262F3A">
              <w:t>7</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1DB4C8A" w14:textId="77777777" w:rsidR="001D739F" w:rsidRPr="00262F3A" w:rsidRDefault="001D739F" w:rsidP="00AC60F9">
            <w:pPr>
              <w:pStyle w:val="Tableformat"/>
            </w:pPr>
            <w:r w:rsidRPr="00262F3A">
              <w:t>1</w:t>
            </w:r>
          </w:p>
        </w:tc>
        <w:tc>
          <w:tcPr>
            <w:tcW w:w="9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51416B6" w14:textId="77777777" w:rsidR="001D739F" w:rsidRPr="00262F3A" w:rsidRDefault="001D739F" w:rsidP="00AC60F9">
            <w:pPr>
              <w:pStyle w:val="Tableformat"/>
            </w:pPr>
            <w:r w:rsidRPr="00262F3A">
              <w:t>8</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EB81005"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64B69BA"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6240392"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EA9F3AB" w14:textId="77777777" w:rsidR="001D739F" w:rsidRPr="00262F3A" w:rsidRDefault="001D739F" w:rsidP="00AC60F9">
            <w:pPr>
              <w:pStyle w:val="Tableformat"/>
            </w:pPr>
            <w:r w:rsidRPr="00262F3A">
              <w:t> 12</w:t>
            </w:r>
          </w:p>
        </w:tc>
      </w:tr>
      <w:tr w:rsidR="001D739F" w:rsidRPr="00262F3A" w14:paraId="3B218291" w14:textId="77777777" w:rsidTr="00377C62">
        <w:tc>
          <w:tcPr>
            <w:tcW w:w="991"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4B0EBFF7" w14:textId="77777777" w:rsidR="001D739F" w:rsidRPr="00262F3A" w:rsidRDefault="001D739F" w:rsidP="00AC60F9">
            <w:pPr>
              <w:pStyle w:val="Tableformat"/>
            </w:pPr>
            <w:r w:rsidRPr="00262F3A">
              <w:t>VIC</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0FE73C3A" w14:textId="77777777" w:rsidR="001D739F" w:rsidRPr="00262F3A" w:rsidRDefault="001D739F" w:rsidP="00AC60F9">
            <w:pPr>
              <w:pStyle w:val="Tableformat"/>
            </w:pPr>
            <w:r w:rsidRPr="00262F3A">
              <w:t>76</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34FE3A36" w14:textId="77777777" w:rsidR="001D739F" w:rsidRPr="00262F3A" w:rsidRDefault="001D739F" w:rsidP="00AC60F9">
            <w:pPr>
              <w:pStyle w:val="Tableformat"/>
            </w:pPr>
            <w:r w:rsidRPr="00262F3A">
              <w:t>6</w:t>
            </w:r>
          </w:p>
        </w:tc>
        <w:tc>
          <w:tcPr>
            <w:tcW w:w="747" w:type="dxa"/>
            <w:tcBorders>
              <w:top w:val="nil"/>
              <w:left w:val="nil"/>
              <w:bottom w:val="single" w:sz="8" w:space="0" w:color="A3A3A3"/>
              <w:right w:val="single" w:sz="8" w:space="0" w:color="A3A3A3"/>
            </w:tcBorders>
            <w:tcMar>
              <w:top w:w="40" w:type="dxa"/>
              <w:left w:w="60" w:type="dxa"/>
              <w:bottom w:w="40" w:type="dxa"/>
              <w:right w:w="60" w:type="dxa"/>
            </w:tcMar>
            <w:hideMark/>
          </w:tcPr>
          <w:p w14:paraId="180C0BDA" w14:textId="77777777" w:rsidR="001D739F" w:rsidRPr="00262F3A" w:rsidRDefault="001D739F" w:rsidP="00AC60F9">
            <w:pPr>
              <w:pStyle w:val="Tableformat"/>
            </w:pPr>
            <w:r w:rsidRPr="00262F3A">
              <w:t>82</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12F62B2" w14:textId="77777777" w:rsidR="001D739F" w:rsidRPr="00262F3A" w:rsidRDefault="001D739F" w:rsidP="00AC60F9">
            <w:pPr>
              <w:pStyle w:val="Tableformat"/>
            </w:pPr>
            <w:r w:rsidRPr="00262F3A">
              <w:t>132</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31E9F87E" w14:textId="77777777" w:rsidR="001D739F" w:rsidRPr="00262F3A" w:rsidRDefault="001D739F" w:rsidP="00AC60F9">
            <w:pPr>
              <w:pStyle w:val="Tableformat"/>
            </w:pPr>
            <w:r w:rsidRPr="00262F3A">
              <w:t>41</w:t>
            </w:r>
          </w:p>
        </w:tc>
        <w:tc>
          <w:tcPr>
            <w:tcW w:w="931" w:type="dxa"/>
            <w:tcBorders>
              <w:top w:val="nil"/>
              <w:left w:val="nil"/>
              <w:bottom w:val="single" w:sz="8" w:space="0" w:color="A3A3A3"/>
              <w:right w:val="single" w:sz="8" w:space="0" w:color="A3A3A3"/>
            </w:tcBorders>
            <w:tcMar>
              <w:top w:w="40" w:type="dxa"/>
              <w:left w:w="60" w:type="dxa"/>
              <w:bottom w:w="40" w:type="dxa"/>
              <w:right w:w="60" w:type="dxa"/>
            </w:tcMar>
            <w:hideMark/>
          </w:tcPr>
          <w:p w14:paraId="77EECB98" w14:textId="77777777" w:rsidR="001D739F" w:rsidRPr="00262F3A" w:rsidRDefault="001D739F" w:rsidP="00AC60F9">
            <w:pPr>
              <w:pStyle w:val="Tableformat"/>
            </w:pPr>
            <w:r w:rsidRPr="00262F3A">
              <w:t>173</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1F056D8C"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2E4859EB"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tcMar>
              <w:top w:w="40" w:type="dxa"/>
              <w:left w:w="60" w:type="dxa"/>
              <w:bottom w:w="40" w:type="dxa"/>
              <w:right w:w="60" w:type="dxa"/>
            </w:tcMar>
            <w:hideMark/>
          </w:tcPr>
          <w:p w14:paraId="28AE5FD8"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tcMar>
              <w:top w:w="40" w:type="dxa"/>
              <w:left w:w="60" w:type="dxa"/>
              <w:bottom w:w="40" w:type="dxa"/>
              <w:right w:w="60" w:type="dxa"/>
            </w:tcMar>
            <w:hideMark/>
          </w:tcPr>
          <w:p w14:paraId="449FA248" w14:textId="77777777" w:rsidR="001D739F" w:rsidRPr="00262F3A" w:rsidRDefault="001D739F" w:rsidP="00AC60F9">
            <w:pPr>
              <w:pStyle w:val="Tableformat"/>
            </w:pPr>
            <w:r w:rsidRPr="00262F3A">
              <w:t> 255</w:t>
            </w:r>
          </w:p>
        </w:tc>
      </w:tr>
      <w:tr w:rsidR="001D739F" w:rsidRPr="00262F3A" w14:paraId="16339EDC" w14:textId="77777777" w:rsidTr="00377C62">
        <w:tc>
          <w:tcPr>
            <w:tcW w:w="991"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0F9AC96C" w14:textId="77777777" w:rsidR="001D739F" w:rsidRPr="00262F3A" w:rsidRDefault="001D739F" w:rsidP="00AC60F9">
            <w:pPr>
              <w:pStyle w:val="Tableformat"/>
            </w:pPr>
            <w:r w:rsidRPr="00262F3A">
              <w:t>WA</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02DF86B" w14:textId="77777777" w:rsidR="001D739F" w:rsidRPr="00262F3A" w:rsidRDefault="001D739F" w:rsidP="00AC60F9">
            <w:pPr>
              <w:pStyle w:val="Tableformat"/>
            </w:pPr>
            <w:r w:rsidRPr="00262F3A">
              <w:t>18</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EA005F3" w14:textId="77777777" w:rsidR="001D739F" w:rsidRPr="00262F3A" w:rsidRDefault="001D739F" w:rsidP="00AC60F9">
            <w:pPr>
              <w:pStyle w:val="Tableformat"/>
            </w:pPr>
            <w:r w:rsidRPr="00262F3A">
              <w:t>-</w:t>
            </w:r>
          </w:p>
        </w:tc>
        <w:tc>
          <w:tcPr>
            <w:tcW w:w="74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C111665" w14:textId="77777777" w:rsidR="001D739F" w:rsidRPr="00262F3A" w:rsidRDefault="001D739F" w:rsidP="00AC60F9">
            <w:pPr>
              <w:pStyle w:val="Tableformat"/>
            </w:pPr>
            <w:r w:rsidRPr="00262F3A">
              <w:t>18</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694CF5F" w14:textId="77777777" w:rsidR="001D739F" w:rsidRPr="00262F3A" w:rsidRDefault="001D739F" w:rsidP="00AC60F9">
            <w:pPr>
              <w:pStyle w:val="Tableformat"/>
            </w:pPr>
            <w:r w:rsidRPr="00262F3A">
              <w:t>58</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5E44F92" w14:textId="77777777" w:rsidR="001D739F" w:rsidRPr="00262F3A" w:rsidRDefault="001D739F" w:rsidP="00AC60F9">
            <w:pPr>
              <w:pStyle w:val="Tableformat"/>
            </w:pPr>
            <w:r w:rsidRPr="00262F3A">
              <w:t>8</w:t>
            </w:r>
          </w:p>
        </w:tc>
        <w:tc>
          <w:tcPr>
            <w:tcW w:w="9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2CD68A2" w14:textId="77777777" w:rsidR="001D739F" w:rsidRPr="00262F3A" w:rsidRDefault="001D739F" w:rsidP="00AC60F9">
            <w:pPr>
              <w:pStyle w:val="Tableformat"/>
            </w:pPr>
            <w:r w:rsidRPr="00262F3A">
              <w:t>66</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D33EB76"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BDCFB30"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79D3ACD"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5E5A68F" w14:textId="77777777" w:rsidR="001D739F" w:rsidRPr="00262F3A" w:rsidRDefault="001D739F" w:rsidP="00AC60F9">
            <w:pPr>
              <w:pStyle w:val="Tableformat"/>
            </w:pPr>
            <w:r w:rsidRPr="00262F3A">
              <w:t> 84</w:t>
            </w:r>
          </w:p>
        </w:tc>
      </w:tr>
      <w:tr w:rsidR="001D739F" w:rsidRPr="00262F3A" w14:paraId="2031D4EA" w14:textId="77777777" w:rsidTr="00377C62">
        <w:tc>
          <w:tcPr>
            <w:tcW w:w="991"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55620868" w14:textId="77777777" w:rsidR="001D739F" w:rsidRPr="00262F3A" w:rsidRDefault="001D739F" w:rsidP="00AC60F9">
            <w:pPr>
              <w:pStyle w:val="Tableformat"/>
            </w:pPr>
            <w:r w:rsidRPr="00262F3A">
              <w:t>ACT</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CE9573F" w14:textId="77777777" w:rsidR="001D739F" w:rsidRPr="00262F3A" w:rsidRDefault="001D739F" w:rsidP="00AC60F9">
            <w:pPr>
              <w:pStyle w:val="Tableformat"/>
            </w:pPr>
            <w:r w:rsidRPr="00262F3A">
              <w:t>7</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0EC4E115" w14:textId="77777777" w:rsidR="001D739F" w:rsidRPr="00262F3A" w:rsidRDefault="001D739F" w:rsidP="00AC60F9">
            <w:pPr>
              <w:pStyle w:val="Tableformat"/>
            </w:pPr>
            <w:r w:rsidRPr="00262F3A">
              <w:t>-</w:t>
            </w:r>
          </w:p>
        </w:tc>
        <w:tc>
          <w:tcPr>
            <w:tcW w:w="747" w:type="dxa"/>
            <w:tcBorders>
              <w:top w:val="nil"/>
              <w:left w:val="nil"/>
              <w:bottom w:val="single" w:sz="8" w:space="0" w:color="A3A3A3"/>
              <w:right w:val="single" w:sz="8" w:space="0" w:color="A3A3A3"/>
            </w:tcBorders>
            <w:tcMar>
              <w:top w:w="40" w:type="dxa"/>
              <w:left w:w="60" w:type="dxa"/>
              <w:bottom w:w="40" w:type="dxa"/>
              <w:right w:w="60" w:type="dxa"/>
            </w:tcMar>
            <w:hideMark/>
          </w:tcPr>
          <w:p w14:paraId="31FBAA43" w14:textId="77777777" w:rsidR="001D739F" w:rsidRPr="00262F3A" w:rsidRDefault="001D739F" w:rsidP="00AC60F9">
            <w:pPr>
              <w:pStyle w:val="Tableformat"/>
            </w:pPr>
            <w:r w:rsidRPr="00262F3A">
              <w:t>7</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1EBF98B2" w14:textId="77777777" w:rsidR="001D739F" w:rsidRPr="00262F3A" w:rsidRDefault="001D739F" w:rsidP="00AC60F9">
            <w:pPr>
              <w:pStyle w:val="Tableformat"/>
            </w:pPr>
            <w:r w:rsidRPr="00262F3A">
              <w:t>27</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37519BAA" w14:textId="77777777" w:rsidR="001D739F" w:rsidRPr="00262F3A" w:rsidRDefault="001D739F" w:rsidP="00AC60F9">
            <w:pPr>
              <w:pStyle w:val="Tableformat"/>
            </w:pPr>
            <w:r w:rsidRPr="00262F3A">
              <w:t>2</w:t>
            </w:r>
          </w:p>
        </w:tc>
        <w:tc>
          <w:tcPr>
            <w:tcW w:w="931" w:type="dxa"/>
            <w:tcBorders>
              <w:top w:val="nil"/>
              <w:left w:val="nil"/>
              <w:bottom w:val="single" w:sz="8" w:space="0" w:color="A3A3A3"/>
              <w:right w:val="single" w:sz="8" w:space="0" w:color="A3A3A3"/>
            </w:tcBorders>
            <w:tcMar>
              <w:top w:w="40" w:type="dxa"/>
              <w:left w:w="60" w:type="dxa"/>
              <w:bottom w:w="40" w:type="dxa"/>
              <w:right w:w="60" w:type="dxa"/>
            </w:tcMar>
            <w:hideMark/>
          </w:tcPr>
          <w:p w14:paraId="50CD88AC" w14:textId="77777777" w:rsidR="001D739F" w:rsidRPr="00262F3A" w:rsidRDefault="001D739F" w:rsidP="00AC60F9">
            <w:pPr>
              <w:pStyle w:val="Tableformat"/>
            </w:pPr>
            <w:r w:rsidRPr="00262F3A">
              <w:t>29</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780105FF"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5A500DD5"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tcMar>
              <w:top w:w="40" w:type="dxa"/>
              <w:left w:w="60" w:type="dxa"/>
              <w:bottom w:w="40" w:type="dxa"/>
              <w:right w:w="60" w:type="dxa"/>
            </w:tcMar>
            <w:hideMark/>
          </w:tcPr>
          <w:p w14:paraId="4C2F8A81"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tcMar>
              <w:top w:w="40" w:type="dxa"/>
              <w:left w:w="60" w:type="dxa"/>
              <w:bottom w:w="40" w:type="dxa"/>
              <w:right w:w="60" w:type="dxa"/>
            </w:tcMar>
            <w:hideMark/>
          </w:tcPr>
          <w:p w14:paraId="56E166CE" w14:textId="77777777" w:rsidR="001D739F" w:rsidRPr="00262F3A" w:rsidRDefault="001D739F" w:rsidP="00AC60F9">
            <w:pPr>
              <w:pStyle w:val="Tableformat"/>
            </w:pPr>
            <w:r w:rsidRPr="00262F3A">
              <w:t> 36</w:t>
            </w:r>
          </w:p>
        </w:tc>
      </w:tr>
      <w:tr w:rsidR="001D739F" w:rsidRPr="00262F3A" w14:paraId="31E05DB9" w14:textId="77777777" w:rsidTr="00377C62">
        <w:tc>
          <w:tcPr>
            <w:tcW w:w="991"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2C1D3F3" w14:textId="77777777" w:rsidR="001D739F" w:rsidRPr="00262F3A" w:rsidRDefault="001D739F" w:rsidP="00AC60F9">
            <w:pPr>
              <w:pStyle w:val="Tableformat"/>
            </w:pPr>
            <w:r w:rsidRPr="00262F3A">
              <w:t>NT</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0ECDAEE" w14:textId="77777777" w:rsidR="001D739F" w:rsidRPr="00262F3A" w:rsidRDefault="001D739F" w:rsidP="00AC60F9">
            <w:pPr>
              <w:pStyle w:val="Tableformat"/>
            </w:pPr>
            <w:r w:rsidRPr="00262F3A">
              <w:t>15</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997CB82" w14:textId="77777777" w:rsidR="001D739F" w:rsidRPr="00262F3A" w:rsidRDefault="001D739F" w:rsidP="00AC60F9">
            <w:pPr>
              <w:pStyle w:val="Tableformat"/>
            </w:pPr>
            <w:r w:rsidRPr="00262F3A">
              <w:t>-</w:t>
            </w:r>
          </w:p>
        </w:tc>
        <w:tc>
          <w:tcPr>
            <w:tcW w:w="74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3F66F50C" w14:textId="77777777" w:rsidR="001D739F" w:rsidRPr="00262F3A" w:rsidRDefault="001D739F" w:rsidP="00AC60F9">
            <w:pPr>
              <w:pStyle w:val="Tableformat"/>
            </w:pPr>
            <w:r w:rsidRPr="00262F3A">
              <w:t>15</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BD39763" w14:textId="77777777" w:rsidR="001D739F" w:rsidRPr="00262F3A" w:rsidRDefault="001D739F" w:rsidP="00AC60F9">
            <w:pPr>
              <w:pStyle w:val="Tableformat"/>
            </w:pPr>
            <w:r w:rsidRPr="00262F3A">
              <w:t>34</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F639C7D" w14:textId="77777777" w:rsidR="001D739F" w:rsidRPr="00262F3A" w:rsidRDefault="001D739F" w:rsidP="00AC60F9">
            <w:pPr>
              <w:pStyle w:val="Tableformat"/>
            </w:pPr>
            <w:r w:rsidRPr="00262F3A">
              <w:t>2</w:t>
            </w:r>
          </w:p>
        </w:tc>
        <w:tc>
          <w:tcPr>
            <w:tcW w:w="9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B773410" w14:textId="77777777" w:rsidR="001D739F" w:rsidRPr="00262F3A" w:rsidRDefault="001D739F" w:rsidP="00AC60F9">
            <w:pPr>
              <w:pStyle w:val="Tableformat"/>
            </w:pPr>
            <w:r w:rsidRPr="00262F3A">
              <w:t>36</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7151CAF"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FFA3B5F"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0DC45E2B"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415D4301" w14:textId="77777777" w:rsidR="001D739F" w:rsidRPr="00262F3A" w:rsidRDefault="001D739F" w:rsidP="00AC60F9">
            <w:pPr>
              <w:pStyle w:val="Tableformat"/>
            </w:pPr>
            <w:r w:rsidRPr="00262F3A">
              <w:t> 51</w:t>
            </w:r>
          </w:p>
        </w:tc>
      </w:tr>
      <w:tr w:rsidR="001D739F" w:rsidRPr="00262F3A" w14:paraId="316D8007" w14:textId="77777777" w:rsidTr="00377C62">
        <w:tc>
          <w:tcPr>
            <w:tcW w:w="991"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07784C51" w14:textId="77777777" w:rsidR="001D739F" w:rsidRPr="00262F3A" w:rsidRDefault="001D739F" w:rsidP="00AC60F9">
            <w:pPr>
              <w:pStyle w:val="Tableformat"/>
            </w:pPr>
            <w:r w:rsidRPr="00262F3A">
              <w:t>Overseas</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2D146531"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027AD143" w14:textId="77777777" w:rsidR="001D739F" w:rsidRPr="00262F3A" w:rsidRDefault="001D739F" w:rsidP="00AC60F9">
            <w:pPr>
              <w:pStyle w:val="Tableformat"/>
            </w:pPr>
            <w:r w:rsidRPr="00262F3A">
              <w:t> -</w:t>
            </w:r>
          </w:p>
        </w:tc>
        <w:tc>
          <w:tcPr>
            <w:tcW w:w="747" w:type="dxa"/>
            <w:tcBorders>
              <w:top w:val="nil"/>
              <w:left w:val="nil"/>
              <w:bottom w:val="single" w:sz="8" w:space="0" w:color="A3A3A3"/>
              <w:right w:val="single" w:sz="8" w:space="0" w:color="A3A3A3"/>
            </w:tcBorders>
            <w:tcMar>
              <w:top w:w="40" w:type="dxa"/>
              <w:left w:w="60" w:type="dxa"/>
              <w:bottom w:w="40" w:type="dxa"/>
              <w:right w:w="60" w:type="dxa"/>
            </w:tcMar>
            <w:hideMark/>
          </w:tcPr>
          <w:p w14:paraId="3CBA9D41" w14:textId="77777777" w:rsidR="001D739F" w:rsidRPr="00262F3A" w:rsidRDefault="001D739F" w:rsidP="00AC60F9">
            <w:pPr>
              <w:pStyle w:val="Tableformat"/>
            </w:pPr>
            <w:r w:rsidRPr="00262F3A">
              <w:t> -</w:t>
            </w:r>
          </w:p>
        </w:tc>
        <w:tc>
          <w:tcPr>
            <w:tcW w:w="879" w:type="dxa"/>
            <w:tcBorders>
              <w:top w:val="nil"/>
              <w:left w:val="nil"/>
              <w:bottom w:val="single" w:sz="8" w:space="0" w:color="A3A3A3"/>
              <w:right w:val="single" w:sz="8" w:space="0" w:color="A3A3A3"/>
            </w:tcBorders>
            <w:tcMar>
              <w:top w:w="40" w:type="dxa"/>
              <w:left w:w="60" w:type="dxa"/>
              <w:bottom w:w="40" w:type="dxa"/>
              <w:right w:w="60" w:type="dxa"/>
            </w:tcMar>
            <w:hideMark/>
          </w:tcPr>
          <w:p w14:paraId="5E2F9D02"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63A730C3" w14:textId="77777777" w:rsidR="001D739F" w:rsidRPr="00262F3A" w:rsidRDefault="001D739F" w:rsidP="00AC60F9">
            <w:pPr>
              <w:pStyle w:val="Tableformat"/>
            </w:pPr>
            <w:r w:rsidRPr="00262F3A">
              <w:t> -</w:t>
            </w:r>
          </w:p>
        </w:tc>
        <w:tc>
          <w:tcPr>
            <w:tcW w:w="931" w:type="dxa"/>
            <w:tcBorders>
              <w:top w:val="nil"/>
              <w:left w:val="nil"/>
              <w:bottom w:val="single" w:sz="8" w:space="0" w:color="A3A3A3"/>
              <w:right w:val="single" w:sz="8" w:space="0" w:color="A3A3A3"/>
            </w:tcBorders>
            <w:tcMar>
              <w:top w:w="40" w:type="dxa"/>
              <w:left w:w="60" w:type="dxa"/>
              <w:bottom w:w="40" w:type="dxa"/>
              <w:right w:w="60" w:type="dxa"/>
            </w:tcMar>
            <w:hideMark/>
          </w:tcPr>
          <w:p w14:paraId="20069D48" w14:textId="77777777" w:rsidR="001D739F" w:rsidRPr="00262F3A" w:rsidRDefault="001D739F" w:rsidP="00AC60F9">
            <w:pPr>
              <w:pStyle w:val="Tableformat"/>
            </w:pPr>
            <w:r w:rsidRPr="00262F3A">
              <w:t> -</w:t>
            </w:r>
          </w:p>
        </w:tc>
        <w:tc>
          <w:tcPr>
            <w:tcW w:w="1343" w:type="dxa"/>
            <w:tcBorders>
              <w:top w:val="nil"/>
              <w:left w:val="nil"/>
              <w:bottom w:val="single" w:sz="8" w:space="0" w:color="A3A3A3"/>
              <w:right w:val="single" w:sz="8" w:space="0" w:color="A3A3A3"/>
            </w:tcBorders>
            <w:tcMar>
              <w:top w:w="40" w:type="dxa"/>
              <w:left w:w="60" w:type="dxa"/>
              <w:bottom w:w="40" w:type="dxa"/>
              <w:right w:w="60" w:type="dxa"/>
            </w:tcMar>
            <w:hideMark/>
          </w:tcPr>
          <w:p w14:paraId="38CC90F9" w14:textId="77777777" w:rsidR="001D739F" w:rsidRPr="00262F3A" w:rsidRDefault="001D739F" w:rsidP="00AC60F9">
            <w:pPr>
              <w:pStyle w:val="Tableformat"/>
            </w:pPr>
            <w:r w:rsidRPr="00262F3A">
              <w:t> -</w:t>
            </w:r>
          </w:p>
        </w:tc>
        <w:tc>
          <w:tcPr>
            <w:tcW w:w="731" w:type="dxa"/>
            <w:tcBorders>
              <w:top w:val="nil"/>
              <w:left w:val="nil"/>
              <w:bottom w:val="single" w:sz="8" w:space="0" w:color="A3A3A3"/>
              <w:right w:val="single" w:sz="8" w:space="0" w:color="A3A3A3"/>
            </w:tcBorders>
            <w:tcMar>
              <w:top w:w="40" w:type="dxa"/>
              <w:left w:w="60" w:type="dxa"/>
              <w:bottom w:w="40" w:type="dxa"/>
              <w:right w:w="60" w:type="dxa"/>
            </w:tcMar>
            <w:hideMark/>
          </w:tcPr>
          <w:p w14:paraId="1AE274AE" w14:textId="77777777" w:rsidR="001D739F" w:rsidRPr="00262F3A" w:rsidRDefault="001D739F" w:rsidP="00AC60F9">
            <w:pPr>
              <w:pStyle w:val="Tableformat"/>
            </w:pPr>
            <w:r w:rsidRPr="00262F3A">
              <w:t> -</w:t>
            </w:r>
          </w:p>
        </w:tc>
        <w:tc>
          <w:tcPr>
            <w:tcW w:w="1419" w:type="dxa"/>
            <w:tcBorders>
              <w:top w:val="nil"/>
              <w:left w:val="nil"/>
              <w:bottom w:val="single" w:sz="8" w:space="0" w:color="A3A3A3"/>
              <w:right w:val="single" w:sz="8" w:space="0" w:color="A3A3A3"/>
            </w:tcBorders>
            <w:tcMar>
              <w:top w:w="40" w:type="dxa"/>
              <w:left w:w="60" w:type="dxa"/>
              <w:bottom w:w="40" w:type="dxa"/>
              <w:right w:w="60" w:type="dxa"/>
            </w:tcMar>
            <w:hideMark/>
          </w:tcPr>
          <w:p w14:paraId="7CA2F0FA" w14:textId="77777777" w:rsidR="001D739F" w:rsidRPr="00262F3A" w:rsidRDefault="001D739F" w:rsidP="00AC60F9">
            <w:pPr>
              <w:pStyle w:val="Tableformat"/>
            </w:pPr>
            <w:r w:rsidRPr="00262F3A">
              <w:t> -</w:t>
            </w:r>
          </w:p>
        </w:tc>
        <w:tc>
          <w:tcPr>
            <w:tcW w:w="633" w:type="dxa"/>
            <w:tcBorders>
              <w:top w:val="nil"/>
              <w:left w:val="nil"/>
              <w:bottom w:val="single" w:sz="8" w:space="0" w:color="A3A3A3"/>
              <w:right w:val="single" w:sz="8" w:space="0" w:color="A3A3A3"/>
            </w:tcBorders>
            <w:tcMar>
              <w:top w:w="40" w:type="dxa"/>
              <w:left w:w="60" w:type="dxa"/>
              <w:bottom w:w="40" w:type="dxa"/>
              <w:right w:w="60" w:type="dxa"/>
            </w:tcMar>
            <w:hideMark/>
          </w:tcPr>
          <w:p w14:paraId="1203A8C0" w14:textId="77777777" w:rsidR="001D739F" w:rsidRPr="00262F3A" w:rsidRDefault="001D739F" w:rsidP="00AC60F9">
            <w:pPr>
              <w:pStyle w:val="Tableformat"/>
            </w:pPr>
            <w:r w:rsidRPr="00262F3A">
              <w:t> -</w:t>
            </w:r>
          </w:p>
        </w:tc>
      </w:tr>
      <w:tr w:rsidR="001D739F" w:rsidRPr="00262F3A" w14:paraId="49E10508" w14:textId="77777777" w:rsidTr="00377C62">
        <w:tc>
          <w:tcPr>
            <w:tcW w:w="991" w:type="dxa"/>
            <w:tcBorders>
              <w:top w:val="nil"/>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0D561D0" w14:textId="77777777" w:rsidR="001D739F" w:rsidRPr="00262F3A" w:rsidRDefault="001D739F" w:rsidP="00AC60F9">
            <w:pPr>
              <w:pStyle w:val="Tableformat"/>
            </w:pPr>
            <w:r w:rsidRPr="00262F3A">
              <w:lastRenderedPageBreak/>
              <w:t xml:space="preserve">Total </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516372A" w14:textId="77777777" w:rsidR="001D739F" w:rsidRPr="00262F3A" w:rsidRDefault="001D739F" w:rsidP="00AC60F9">
            <w:pPr>
              <w:pStyle w:val="Tableformat"/>
            </w:pPr>
            <w:r w:rsidRPr="00262F3A">
              <w:t>205</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04F0E7D" w14:textId="77777777" w:rsidR="001D739F" w:rsidRPr="00262F3A" w:rsidRDefault="001D739F" w:rsidP="00AC60F9">
            <w:pPr>
              <w:pStyle w:val="Tableformat"/>
            </w:pPr>
            <w:r w:rsidRPr="00262F3A">
              <w:t>16</w:t>
            </w:r>
          </w:p>
        </w:tc>
        <w:tc>
          <w:tcPr>
            <w:tcW w:w="747"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3EBAF25" w14:textId="77777777" w:rsidR="001D739F" w:rsidRPr="00262F3A" w:rsidRDefault="001D739F" w:rsidP="00AC60F9">
            <w:pPr>
              <w:pStyle w:val="Tableformat"/>
            </w:pPr>
            <w:r w:rsidRPr="00262F3A">
              <w:t>221</w:t>
            </w:r>
          </w:p>
        </w:tc>
        <w:tc>
          <w:tcPr>
            <w:tcW w:w="87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3AB0133" w14:textId="77777777" w:rsidR="001D739F" w:rsidRPr="00262F3A" w:rsidRDefault="001D739F" w:rsidP="00AC60F9">
            <w:pPr>
              <w:pStyle w:val="Tableformat"/>
            </w:pPr>
            <w:r w:rsidRPr="00262F3A">
              <w:t>580</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2259C471" w14:textId="77777777" w:rsidR="001D739F" w:rsidRPr="00262F3A" w:rsidRDefault="001D739F" w:rsidP="00AC60F9">
            <w:pPr>
              <w:pStyle w:val="Tableformat"/>
            </w:pPr>
            <w:r w:rsidRPr="00262F3A">
              <w:t>91</w:t>
            </w:r>
          </w:p>
        </w:tc>
        <w:tc>
          <w:tcPr>
            <w:tcW w:w="9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68D1DE64" w14:textId="77777777" w:rsidR="001D739F" w:rsidRPr="00262F3A" w:rsidRDefault="001D739F" w:rsidP="00AC60F9">
            <w:pPr>
              <w:pStyle w:val="Tableformat"/>
            </w:pPr>
            <w:r w:rsidRPr="00262F3A">
              <w:t>671</w:t>
            </w:r>
          </w:p>
        </w:tc>
        <w:tc>
          <w:tcPr>
            <w:tcW w:w="134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64D9D22" w14:textId="77777777" w:rsidR="001D739F" w:rsidRPr="00262F3A" w:rsidRDefault="001D739F" w:rsidP="00AC60F9">
            <w:pPr>
              <w:pStyle w:val="Tableformat"/>
            </w:pPr>
            <w:r w:rsidRPr="00262F3A">
              <w:t>-</w:t>
            </w:r>
          </w:p>
        </w:tc>
        <w:tc>
          <w:tcPr>
            <w:tcW w:w="731"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7A921663" w14:textId="77777777" w:rsidR="001D739F" w:rsidRPr="00262F3A" w:rsidRDefault="001D739F" w:rsidP="00AC60F9">
            <w:pPr>
              <w:pStyle w:val="Tableformat"/>
            </w:pPr>
            <w:r w:rsidRPr="00262F3A">
              <w:t>-</w:t>
            </w:r>
          </w:p>
        </w:tc>
        <w:tc>
          <w:tcPr>
            <w:tcW w:w="1419"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5171C987" w14:textId="77777777" w:rsidR="001D739F" w:rsidRPr="00262F3A" w:rsidRDefault="001D739F" w:rsidP="00AC60F9">
            <w:pPr>
              <w:pStyle w:val="Tableformat"/>
            </w:pPr>
            <w:r w:rsidRPr="00262F3A">
              <w:t>-</w:t>
            </w:r>
          </w:p>
        </w:tc>
        <w:tc>
          <w:tcPr>
            <w:tcW w:w="633" w:type="dxa"/>
            <w:tcBorders>
              <w:top w:val="nil"/>
              <w:left w:val="nil"/>
              <w:bottom w:val="single" w:sz="8" w:space="0" w:color="A3A3A3"/>
              <w:right w:val="single" w:sz="8" w:space="0" w:color="A3A3A3"/>
            </w:tcBorders>
            <w:shd w:val="clear" w:color="auto" w:fill="CCCCCC"/>
            <w:tcMar>
              <w:top w:w="40" w:type="dxa"/>
              <w:left w:w="60" w:type="dxa"/>
              <w:bottom w:w="40" w:type="dxa"/>
              <w:right w:w="60" w:type="dxa"/>
            </w:tcMar>
            <w:hideMark/>
          </w:tcPr>
          <w:p w14:paraId="154D19BC" w14:textId="77777777" w:rsidR="001D739F" w:rsidRPr="00262F3A" w:rsidRDefault="001D739F" w:rsidP="00AC60F9">
            <w:pPr>
              <w:pStyle w:val="Tableformat"/>
            </w:pPr>
            <w:r w:rsidRPr="00262F3A">
              <w:t>892</w:t>
            </w:r>
          </w:p>
        </w:tc>
      </w:tr>
    </w:tbl>
    <w:p w14:paraId="588AE589" w14:textId="77777777" w:rsidR="001D739F" w:rsidRPr="00262F3A" w:rsidRDefault="001D739F" w:rsidP="008F00D1">
      <w:pPr>
        <w:pStyle w:val="Heading2"/>
      </w:pPr>
      <w:bookmarkStart w:id="163" w:name="_Toc51068003"/>
      <w:r w:rsidRPr="00262F3A">
        <w:t>Executive remuneration policy</w:t>
      </w:r>
      <w:bookmarkEnd w:id="163"/>
    </w:p>
    <w:p w14:paraId="6394AC9B" w14:textId="77777777" w:rsidR="001D739F" w:rsidRPr="00262F3A" w:rsidRDefault="001D739F" w:rsidP="008F00D1">
      <w:pPr>
        <w:pStyle w:val="Heading4"/>
      </w:pPr>
      <w:bookmarkStart w:id="164" w:name="_Toc23603197"/>
      <w:r w:rsidRPr="00262F3A">
        <w:t>Executive remuneration</w:t>
      </w:r>
    </w:p>
    <w:p w14:paraId="59AEAF77" w14:textId="4B0E4BBC" w:rsidR="001D739F" w:rsidRPr="00262F3A" w:rsidRDefault="001D739F" w:rsidP="00561B3B">
      <w:r w:rsidRPr="00262F3A">
        <w:t xml:space="preserve">Outlined below is information on the </w:t>
      </w:r>
      <w:r w:rsidR="000B619D" w:rsidRPr="00262F3A">
        <w:t>Agency</w:t>
      </w:r>
      <w:r w:rsidRPr="00262F3A">
        <w:t xml:space="preserve">’s remuneration practices, as well as the remuneration paid to the </w:t>
      </w:r>
      <w:r w:rsidR="000B619D" w:rsidRPr="00262F3A">
        <w:t>Agency</w:t>
      </w:r>
      <w:r w:rsidRPr="00262F3A">
        <w:t xml:space="preserve">’s key management personnel, senior executives and other highly paid staff for the year ended 30 June 2020 in accordance with the </w:t>
      </w:r>
      <w:r w:rsidR="00AE6AE5">
        <w:t>PGPA Rule</w:t>
      </w:r>
      <w:r w:rsidRPr="00262F3A">
        <w:t>.</w:t>
      </w:r>
    </w:p>
    <w:p w14:paraId="1D8E5D6C" w14:textId="77777777" w:rsidR="001D739F" w:rsidRPr="00262F3A" w:rsidRDefault="001D739F" w:rsidP="008F00D1">
      <w:pPr>
        <w:pStyle w:val="Heading4"/>
      </w:pPr>
      <w:r w:rsidRPr="00262F3A">
        <w:t>Remuneration policies, practices and governance arrangements</w:t>
      </w:r>
    </w:p>
    <w:p w14:paraId="79A2AF01" w14:textId="77777777" w:rsidR="001D739F" w:rsidRPr="00262F3A" w:rsidRDefault="001D739F" w:rsidP="00561B3B">
      <w:r w:rsidRPr="00262F3A">
        <w:t xml:space="preserve">The CEO of the </w:t>
      </w:r>
      <w:r w:rsidR="000B619D" w:rsidRPr="00262F3A">
        <w:t>Agency</w:t>
      </w:r>
      <w:r w:rsidRPr="00262F3A">
        <w:t xml:space="preserve"> is remunerated as per the Remuneration Tribunal (Remuneration and Allowances for Holders of Full-time Public Office) Determination 2019 made under subsections 7(3) and (4) of the </w:t>
      </w:r>
      <w:r w:rsidRPr="00AE6AE5">
        <w:rPr>
          <w:i/>
        </w:rPr>
        <w:t>Remuneration Tribunal Act 1973</w:t>
      </w:r>
      <w:r w:rsidRPr="00262F3A">
        <w:t>.</w:t>
      </w:r>
    </w:p>
    <w:p w14:paraId="7120B119" w14:textId="77777777" w:rsidR="001D739F" w:rsidRPr="00262F3A" w:rsidRDefault="001D739F" w:rsidP="00561B3B">
      <w:r w:rsidRPr="00262F3A">
        <w:t xml:space="preserve">The Chairman and members of the Board of the </w:t>
      </w:r>
      <w:r w:rsidR="000B619D" w:rsidRPr="00262F3A">
        <w:t>Agency</w:t>
      </w:r>
      <w:r w:rsidRPr="00262F3A">
        <w:t xml:space="preserve"> are remunerated as per the Remuneration Tribunal (Remuneration and Allowances for Holders of Part-time Public Office) Determination 2019 made under subsections 7(3) and (4) of the </w:t>
      </w:r>
      <w:r w:rsidRPr="00AE6AE5">
        <w:rPr>
          <w:i/>
        </w:rPr>
        <w:t>Remuneration Tribunal Act 1973.</w:t>
      </w:r>
    </w:p>
    <w:p w14:paraId="0E36F01D" w14:textId="75FD3DE4" w:rsidR="001D739F" w:rsidRPr="00262F3A" w:rsidRDefault="000B619D" w:rsidP="00561B3B">
      <w:r w:rsidRPr="00262F3A">
        <w:t>Agency</w:t>
      </w:r>
      <w:r w:rsidR="001D739F" w:rsidRPr="00262F3A">
        <w:t xml:space="preserve"> SES employees are offered a remuneration and employment conditions package through an individual determination under the </w:t>
      </w:r>
      <w:r w:rsidR="001D739F" w:rsidRPr="00AE6AE5">
        <w:rPr>
          <w:i/>
        </w:rPr>
        <w:t>Public Service Act 1999</w:t>
      </w:r>
      <w:r w:rsidR="001D739F" w:rsidRPr="00262F3A">
        <w:t xml:space="preserve"> (</w:t>
      </w:r>
      <w:r w:rsidR="00AE6AE5">
        <w:t>s</w:t>
      </w:r>
      <w:r w:rsidR="001D739F" w:rsidRPr="00262F3A">
        <w:t>ection 24.1). Packages follow the principles outlined in the Agencies SES Remuneration and Conditions Policy, which are developed by the People and Culture Division and approved by the CEO. For SES employees, remuneration is based on their classification, with a three increment level structure allocated within each classification.</w:t>
      </w:r>
    </w:p>
    <w:p w14:paraId="6CA64EE4" w14:textId="6B7D9170" w:rsidR="001D739F" w:rsidRPr="00262F3A" w:rsidRDefault="001D739F" w:rsidP="00561B3B">
      <w:r w:rsidRPr="00262F3A">
        <w:t xml:space="preserve">Remuneration includes salary, superannuation and executive vehicle benefit, and may include additional salary payments and/or other remuneration benefits approved by the CEO. The remuneration and employment conditions at the </w:t>
      </w:r>
      <w:r w:rsidR="000B619D" w:rsidRPr="00262F3A">
        <w:t>Agency</w:t>
      </w:r>
      <w:r w:rsidRPr="00262F3A">
        <w:t xml:space="preserve"> comply with the requirements of the Executive Remuneration Management Policy issued by the Australian Public Service Commission. The </w:t>
      </w:r>
      <w:r w:rsidR="000B619D" w:rsidRPr="00262F3A">
        <w:t>Agency</w:t>
      </w:r>
      <w:r w:rsidRPr="00262F3A">
        <w:t xml:space="preserve"> Board established the People and Remuneration Committee (PRC) to assist the Board to fulfil its governance responsibilities for the people and remuneration policies of the Agency, including oversight of remuneration within government policies and frameworks. Other highly paid staff within the </w:t>
      </w:r>
      <w:r w:rsidR="000B619D" w:rsidRPr="00262F3A">
        <w:t>Agency</w:t>
      </w:r>
      <w:r w:rsidRPr="00262F3A">
        <w:t xml:space="preserve">, excluding SES employees, are remunerated in line with the </w:t>
      </w:r>
      <w:r w:rsidR="000B619D" w:rsidRPr="00262F3A">
        <w:t>Agency</w:t>
      </w:r>
      <w:r w:rsidRPr="00262F3A">
        <w:t xml:space="preserve"> Enterprise Agreements 2016–2019 and 2020–</w:t>
      </w:r>
      <w:r w:rsidR="00257F1F">
        <w:t>20</w:t>
      </w:r>
      <w:r w:rsidRPr="00262F3A">
        <w:t>23. This may include payment of a Higher Duties Allowance as a result of an employee performing higher duties, or an Individual Flexib</w:t>
      </w:r>
      <w:r w:rsidR="00AE6AE5">
        <w:t>ility Arrangement. Remuneration-</w:t>
      </w:r>
      <w:r w:rsidRPr="00262F3A">
        <w:t xml:space="preserve">related policies that underpin the </w:t>
      </w:r>
      <w:r w:rsidR="000B619D" w:rsidRPr="00262F3A">
        <w:t>Agency</w:t>
      </w:r>
      <w:r w:rsidRPr="00262F3A">
        <w:t xml:space="preserve"> Enterprise Agreements 2016–</w:t>
      </w:r>
      <w:r w:rsidR="00257F1F">
        <w:t>20</w:t>
      </w:r>
      <w:r w:rsidRPr="00262F3A">
        <w:t>19 and 2020–2023 include the Allowances Policy and Individual Flexibility Arrangement Principles.</w:t>
      </w:r>
    </w:p>
    <w:p w14:paraId="432D702C" w14:textId="5ABF9DDB" w:rsidR="001D739F" w:rsidRPr="00262F3A" w:rsidRDefault="001D739F" w:rsidP="008F00D1">
      <w:pPr>
        <w:pStyle w:val="Heading2"/>
      </w:pPr>
      <w:bookmarkStart w:id="165" w:name="_Toc51068004"/>
      <w:r w:rsidRPr="00262F3A">
        <w:t>Executive remuneration</w:t>
      </w:r>
      <w:bookmarkEnd w:id="164"/>
      <w:bookmarkEnd w:id="165"/>
    </w:p>
    <w:p w14:paraId="41351ED4" w14:textId="3883A882" w:rsidR="001D739F" w:rsidRPr="00262F3A" w:rsidRDefault="001D739F" w:rsidP="008F00D1">
      <w:pPr>
        <w:pStyle w:val="Heading3"/>
      </w:pPr>
      <w:bookmarkStart w:id="166" w:name="_Toc51068005"/>
      <w:r w:rsidRPr="00262F3A">
        <w:t xml:space="preserve">Key </w:t>
      </w:r>
      <w:r w:rsidR="003D4975" w:rsidRPr="00262F3A">
        <w:t>m</w:t>
      </w:r>
      <w:r w:rsidRPr="00262F3A">
        <w:t xml:space="preserve">anagement </w:t>
      </w:r>
      <w:r w:rsidR="003D4975" w:rsidRPr="00262F3A">
        <w:t>p</w:t>
      </w:r>
      <w:r w:rsidRPr="00262F3A">
        <w:t>ersonnel</w:t>
      </w:r>
      <w:bookmarkEnd w:id="166"/>
    </w:p>
    <w:p w14:paraId="2DEC7280" w14:textId="2B9DDF5F" w:rsidR="00D5288A" w:rsidRPr="00262F3A" w:rsidRDefault="00D5288A" w:rsidP="00561B3B">
      <w:r w:rsidRPr="00262F3A">
        <w:t xml:space="preserve">During the year ended 30 June 2020, in addition to the Board, the Agency had </w:t>
      </w:r>
      <w:r w:rsidR="00AE6AE5">
        <w:t>13</w:t>
      </w:r>
      <w:r w:rsidRPr="00262F3A">
        <w:t xml:space="preserve"> senior executive or equivalent officials who met the definition of key management personnel (KMP). The name and the length of term for each KMP are summarised below.</w:t>
      </w:r>
    </w:p>
    <w:p w14:paraId="62F156EA" w14:textId="69B314E8" w:rsidR="005D5BCA" w:rsidRPr="00262F3A" w:rsidRDefault="005D5BCA" w:rsidP="00901595">
      <w:pPr>
        <w:keepNext/>
      </w:pPr>
      <w:r w:rsidRPr="00262F3A">
        <w:rPr>
          <w:b/>
        </w:rPr>
        <w:lastRenderedPageBreak/>
        <w:t>Table 5.6.1A</w:t>
      </w:r>
      <w:r w:rsidRPr="00B63CEB">
        <w:rPr>
          <w:b/>
        </w:rPr>
        <w:t>:</w:t>
      </w:r>
      <w:r w:rsidRPr="00262F3A">
        <w:t xml:space="preserve"> Key </w:t>
      </w:r>
      <w:r w:rsidR="00AE6AE5">
        <w:t>m</w:t>
      </w:r>
      <w:r w:rsidRPr="00262F3A">
        <w:t xml:space="preserve">anagement </w:t>
      </w:r>
      <w:r w:rsidR="00AE6AE5">
        <w:t>p</w:t>
      </w:r>
      <w:r w:rsidRPr="00262F3A">
        <w:t>ersonnel</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268"/>
        <w:gridCol w:w="4103"/>
      </w:tblGrid>
      <w:tr w:rsidR="00D5288A" w:rsidRPr="00262F3A" w14:paraId="30DFBFAD" w14:textId="77777777" w:rsidTr="00D5288A">
        <w:trPr>
          <w:trHeight w:val="293"/>
          <w:tblHeader/>
        </w:trPr>
        <w:tc>
          <w:tcPr>
            <w:tcW w:w="2694" w:type="dxa"/>
            <w:shd w:val="clear" w:color="auto" w:fill="7030A0"/>
            <w:vAlign w:val="center"/>
            <w:hideMark/>
          </w:tcPr>
          <w:p w14:paraId="5FA0349C" w14:textId="77777777" w:rsidR="00D5288A" w:rsidRPr="00262F3A" w:rsidRDefault="00D5288A" w:rsidP="00AC60F9">
            <w:pPr>
              <w:pStyle w:val="Tableformat"/>
              <w:rPr>
                <w:color w:val="FFFFFF" w:themeColor="background1"/>
              </w:rPr>
            </w:pPr>
            <w:r w:rsidRPr="00262F3A">
              <w:rPr>
                <w:color w:val="FFFFFF" w:themeColor="background1"/>
              </w:rPr>
              <w:t>Name</w:t>
            </w:r>
          </w:p>
        </w:tc>
        <w:tc>
          <w:tcPr>
            <w:tcW w:w="3268" w:type="dxa"/>
            <w:shd w:val="clear" w:color="auto" w:fill="7030A0"/>
            <w:vAlign w:val="center"/>
            <w:hideMark/>
          </w:tcPr>
          <w:p w14:paraId="200F2A34" w14:textId="77777777" w:rsidR="00D5288A" w:rsidRPr="00262F3A" w:rsidRDefault="00D5288A" w:rsidP="00AC60F9">
            <w:pPr>
              <w:pStyle w:val="Tableformat"/>
              <w:rPr>
                <w:color w:val="FFFFFF" w:themeColor="background1"/>
              </w:rPr>
            </w:pPr>
            <w:r w:rsidRPr="00262F3A">
              <w:rPr>
                <w:color w:val="FFFFFF" w:themeColor="background1"/>
              </w:rPr>
              <w:t>Position</w:t>
            </w:r>
          </w:p>
        </w:tc>
        <w:tc>
          <w:tcPr>
            <w:tcW w:w="4103" w:type="dxa"/>
            <w:shd w:val="clear" w:color="auto" w:fill="7030A0"/>
            <w:vAlign w:val="center"/>
            <w:hideMark/>
          </w:tcPr>
          <w:p w14:paraId="00D2C517" w14:textId="77777777" w:rsidR="00D5288A" w:rsidRPr="00262F3A" w:rsidRDefault="00D5288A" w:rsidP="00AC60F9">
            <w:pPr>
              <w:pStyle w:val="Tableformat"/>
              <w:rPr>
                <w:color w:val="FFFFFF" w:themeColor="background1"/>
              </w:rPr>
            </w:pPr>
            <w:r w:rsidRPr="00262F3A">
              <w:rPr>
                <w:color w:val="FFFFFF" w:themeColor="background1"/>
              </w:rPr>
              <w:t>Term as KMP</w:t>
            </w:r>
          </w:p>
        </w:tc>
      </w:tr>
      <w:tr w:rsidR="00D5288A" w:rsidRPr="00262F3A" w14:paraId="7404094F" w14:textId="77777777" w:rsidTr="0092611F">
        <w:trPr>
          <w:trHeight w:val="350"/>
        </w:trPr>
        <w:tc>
          <w:tcPr>
            <w:tcW w:w="2694" w:type="dxa"/>
            <w:shd w:val="clear" w:color="auto" w:fill="auto"/>
            <w:vAlign w:val="center"/>
            <w:hideMark/>
          </w:tcPr>
          <w:p w14:paraId="12C90BCB" w14:textId="77777777" w:rsidR="00D5288A" w:rsidRPr="00262F3A" w:rsidRDefault="00D5288A" w:rsidP="00AC60F9">
            <w:pPr>
              <w:pStyle w:val="Tableformat"/>
            </w:pPr>
            <w:r w:rsidRPr="00262F3A">
              <w:t>Dr Helen Nugent AO</w:t>
            </w:r>
          </w:p>
        </w:tc>
        <w:tc>
          <w:tcPr>
            <w:tcW w:w="3268" w:type="dxa"/>
            <w:shd w:val="clear" w:color="auto" w:fill="auto"/>
            <w:vAlign w:val="center"/>
            <w:hideMark/>
          </w:tcPr>
          <w:p w14:paraId="45D635B6" w14:textId="77777777" w:rsidR="00D5288A" w:rsidRPr="00262F3A" w:rsidRDefault="00D5288A" w:rsidP="00AC60F9">
            <w:pPr>
              <w:pStyle w:val="Tableformat"/>
            </w:pPr>
            <w:r w:rsidRPr="00262F3A">
              <w:t xml:space="preserve">Board Chairman </w:t>
            </w:r>
          </w:p>
        </w:tc>
        <w:tc>
          <w:tcPr>
            <w:tcW w:w="4103" w:type="dxa"/>
            <w:shd w:val="clear" w:color="auto" w:fill="auto"/>
            <w:vAlign w:val="center"/>
            <w:hideMark/>
          </w:tcPr>
          <w:p w14:paraId="45D769D6" w14:textId="77777777" w:rsidR="00D5288A" w:rsidRPr="00262F3A" w:rsidRDefault="00D5288A" w:rsidP="00AC60F9">
            <w:pPr>
              <w:pStyle w:val="Tableformat"/>
            </w:pPr>
            <w:r w:rsidRPr="00262F3A">
              <w:t>Full year</w:t>
            </w:r>
          </w:p>
        </w:tc>
      </w:tr>
      <w:tr w:rsidR="00D5288A" w:rsidRPr="00262F3A" w14:paraId="3AC69A71" w14:textId="77777777" w:rsidTr="0092611F">
        <w:trPr>
          <w:trHeight w:val="413"/>
        </w:trPr>
        <w:tc>
          <w:tcPr>
            <w:tcW w:w="2694" w:type="dxa"/>
            <w:shd w:val="clear" w:color="auto" w:fill="auto"/>
            <w:vAlign w:val="center"/>
            <w:hideMark/>
          </w:tcPr>
          <w:p w14:paraId="59E62258" w14:textId="77777777" w:rsidR="00D5288A" w:rsidRPr="00262F3A" w:rsidRDefault="00D5288A" w:rsidP="00AC60F9">
            <w:pPr>
              <w:pStyle w:val="Tableformat"/>
            </w:pPr>
            <w:r w:rsidRPr="00262F3A">
              <w:t>Ms Sandra Birkensleigh</w:t>
            </w:r>
          </w:p>
        </w:tc>
        <w:tc>
          <w:tcPr>
            <w:tcW w:w="3268" w:type="dxa"/>
            <w:shd w:val="clear" w:color="auto" w:fill="auto"/>
            <w:vAlign w:val="center"/>
            <w:hideMark/>
          </w:tcPr>
          <w:p w14:paraId="6CC0738A" w14:textId="77777777" w:rsidR="00D5288A" w:rsidRPr="00262F3A" w:rsidRDefault="00D5288A" w:rsidP="00AC60F9">
            <w:pPr>
              <w:pStyle w:val="Tableformat"/>
            </w:pPr>
            <w:r w:rsidRPr="00262F3A">
              <w:t xml:space="preserve">Board Member </w:t>
            </w:r>
          </w:p>
        </w:tc>
        <w:tc>
          <w:tcPr>
            <w:tcW w:w="4103" w:type="dxa"/>
            <w:shd w:val="clear" w:color="auto" w:fill="auto"/>
            <w:vAlign w:val="center"/>
            <w:hideMark/>
          </w:tcPr>
          <w:p w14:paraId="2E1D72B7" w14:textId="77777777" w:rsidR="00D5288A" w:rsidRPr="00262F3A" w:rsidRDefault="00D5288A" w:rsidP="00AC60F9">
            <w:pPr>
              <w:pStyle w:val="Tableformat"/>
            </w:pPr>
            <w:r w:rsidRPr="00262F3A">
              <w:t>Full year</w:t>
            </w:r>
          </w:p>
        </w:tc>
      </w:tr>
      <w:tr w:rsidR="00D5288A" w:rsidRPr="00262F3A" w14:paraId="614877C4" w14:textId="77777777" w:rsidTr="0092611F">
        <w:trPr>
          <w:trHeight w:val="419"/>
        </w:trPr>
        <w:tc>
          <w:tcPr>
            <w:tcW w:w="2694" w:type="dxa"/>
            <w:shd w:val="clear" w:color="auto" w:fill="auto"/>
            <w:vAlign w:val="center"/>
            <w:hideMark/>
          </w:tcPr>
          <w:p w14:paraId="701FB139" w14:textId="77777777" w:rsidR="00D5288A" w:rsidRPr="00262F3A" w:rsidRDefault="00D5288A" w:rsidP="00AC60F9">
            <w:pPr>
              <w:pStyle w:val="Tableformat"/>
            </w:pPr>
            <w:r w:rsidRPr="00262F3A">
              <w:t>Professor Jane Burns</w:t>
            </w:r>
          </w:p>
        </w:tc>
        <w:tc>
          <w:tcPr>
            <w:tcW w:w="3268" w:type="dxa"/>
            <w:shd w:val="clear" w:color="auto" w:fill="auto"/>
            <w:vAlign w:val="center"/>
            <w:hideMark/>
          </w:tcPr>
          <w:p w14:paraId="0ADEBF30"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1E594212" w14:textId="77777777" w:rsidR="00D5288A" w:rsidRPr="00262F3A" w:rsidRDefault="00D5288A" w:rsidP="00AC60F9">
            <w:pPr>
              <w:pStyle w:val="Tableformat"/>
            </w:pPr>
            <w:r w:rsidRPr="00262F3A">
              <w:t>Part year – appointed 1 January 2020</w:t>
            </w:r>
          </w:p>
        </w:tc>
      </w:tr>
      <w:tr w:rsidR="00D5288A" w:rsidRPr="00262F3A" w14:paraId="42B6FDEF" w14:textId="77777777" w:rsidTr="0092611F">
        <w:trPr>
          <w:trHeight w:val="410"/>
        </w:trPr>
        <w:tc>
          <w:tcPr>
            <w:tcW w:w="2694" w:type="dxa"/>
            <w:shd w:val="clear" w:color="auto" w:fill="auto"/>
            <w:vAlign w:val="center"/>
            <w:hideMark/>
          </w:tcPr>
          <w:p w14:paraId="34278221" w14:textId="77777777" w:rsidR="00D5288A" w:rsidRPr="00262F3A" w:rsidRDefault="00D5288A" w:rsidP="00AC60F9">
            <w:pPr>
              <w:pStyle w:val="Tableformat"/>
            </w:pPr>
            <w:r w:rsidRPr="00262F3A">
              <w:t>Mr Glenn Keys AO</w:t>
            </w:r>
          </w:p>
        </w:tc>
        <w:tc>
          <w:tcPr>
            <w:tcW w:w="3268" w:type="dxa"/>
            <w:shd w:val="clear" w:color="auto" w:fill="auto"/>
            <w:vAlign w:val="center"/>
            <w:hideMark/>
          </w:tcPr>
          <w:p w14:paraId="6AB8035A"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30658BF5" w14:textId="77777777" w:rsidR="00D5288A" w:rsidRPr="00262F3A" w:rsidRDefault="00D5288A" w:rsidP="00AC60F9">
            <w:pPr>
              <w:pStyle w:val="Tableformat"/>
            </w:pPr>
            <w:r w:rsidRPr="00262F3A">
              <w:t>Full year</w:t>
            </w:r>
          </w:p>
        </w:tc>
      </w:tr>
      <w:tr w:rsidR="00D5288A" w:rsidRPr="00262F3A" w14:paraId="35FF2077" w14:textId="77777777" w:rsidTr="0092611F">
        <w:trPr>
          <w:trHeight w:val="416"/>
        </w:trPr>
        <w:tc>
          <w:tcPr>
            <w:tcW w:w="2694" w:type="dxa"/>
            <w:shd w:val="clear" w:color="auto" w:fill="auto"/>
            <w:vAlign w:val="center"/>
            <w:hideMark/>
          </w:tcPr>
          <w:p w14:paraId="0138A20E" w14:textId="77777777" w:rsidR="00D5288A" w:rsidRPr="00262F3A" w:rsidRDefault="00D5288A" w:rsidP="00AC60F9">
            <w:pPr>
              <w:pStyle w:val="Tableformat"/>
            </w:pPr>
            <w:r w:rsidRPr="00262F3A">
              <w:t xml:space="preserve">Ms Robyn Kruk AO </w:t>
            </w:r>
          </w:p>
        </w:tc>
        <w:tc>
          <w:tcPr>
            <w:tcW w:w="3268" w:type="dxa"/>
            <w:shd w:val="clear" w:color="auto" w:fill="auto"/>
            <w:vAlign w:val="center"/>
            <w:hideMark/>
          </w:tcPr>
          <w:p w14:paraId="74AD9999"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42EA6A5C" w14:textId="77777777" w:rsidR="00D5288A" w:rsidRPr="00262F3A" w:rsidRDefault="00D5288A" w:rsidP="00AC60F9">
            <w:pPr>
              <w:pStyle w:val="Tableformat"/>
            </w:pPr>
            <w:r w:rsidRPr="00262F3A">
              <w:t>Full year</w:t>
            </w:r>
          </w:p>
        </w:tc>
      </w:tr>
      <w:tr w:rsidR="00D5288A" w:rsidRPr="00262F3A" w14:paraId="4749D7C8" w14:textId="77777777" w:rsidTr="0092611F">
        <w:trPr>
          <w:trHeight w:val="422"/>
        </w:trPr>
        <w:tc>
          <w:tcPr>
            <w:tcW w:w="2694" w:type="dxa"/>
            <w:shd w:val="clear" w:color="auto" w:fill="auto"/>
            <w:vAlign w:val="center"/>
            <w:hideMark/>
          </w:tcPr>
          <w:p w14:paraId="178D554B" w14:textId="77777777" w:rsidR="00D5288A" w:rsidRPr="00262F3A" w:rsidRDefault="00D5288A" w:rsidP="00AC60F9">
            <w:pPr>
              <w:pStyle w:val="Tableformat"/>
            </w:pPr>
            <w:r w:rsidRPr="00262F3A">
              <w:t>Mr John Langoulant AO</w:t>
            </w:r>
          </w:p>
        </w:tc>
        <w:tc>
          <w:tcPr>
            <w:tcW w:w="3268" w:type="dxa"/>
            <w:shd w:val="clear" w:color="auto" w:fill="auto"/>
            <w:vAlign w:val="center"/>
            <w:hideMark/>
          </w:tcPr>
          <w:p w14:paraId="240DCC7B"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406A40EF" w14:textId="77777777" w:rsidR="00D5288A" w:rsidRPr="00262F3A" w:rsidRDefault="00D5288A" w:rsidP="00AC60F9">
            <w:pPr>
              <w:pStyle w:val="Tableformat"/>
            </w:pPr>
            <w:r w:rsidRPr="00262F3A">
              <w:t>Full year</w:t>
            </w:r>
          </w:p>
        </w:tc>
      </w:tr>
      <w:tr w:rsidR="00D5288A" w:rsidRPr="00262F3A" w14:paraId="2506285F" w14:textId="77777777" w:rsidTr="0092611F">
        <w:trPr>
          <w:trHeight w:val="415"/>
        </w:trPr>
        <w:tc>
          <w:tcPr>
            <w:tcW w:w="2694" w:type="dxa"/>
            <w:shd w:val="clear" w:color="auto" w:fill="auto"/>
            <w:vAlign w:val="center"/>
            <w:hideMark/>
          </w:tcPr>
          <w:p w14:paraId="76E7EE04" w14:textId="77777777" w:rsidR="00D5288A" w:rsidRPr="00262F3A" w:rsidRDefault="00D5288A" w:rsidP="00AC60F9">
            <w:pPr>
              <w:pStyle w:val="Tableformat"/>
            </w:pPr>
            <w:r w:rsidRPr="00262F3A">
              <w:t>Dr Martin Laverty</w:t>
            </w:r>
          </w:p>
        </w:tc>
        <w:tc>
          <w:tcPr>
            <w:tcW w:w="3268" w:type="dxa"/>
            <w:shd w:val="clear" w:color="auto" w:fill="auto"/>
            <w:vAlign w:val="center"/>
            <w:hideMark/>
          </w:tcPr>
          <w:p w14:paraId="3AA311E7"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1CF2ADE7" w14:textId="77777777" w:rsidR="00D5288A" w:rsidRPr="00262F3A" w:rsidRDefault="00D5288A" w:rsidP="00AC60F9">
            <w:pPr>
              <w:pStyle w:val="Tableformat"/>
            </w:pPr>
            <w:r w:rsidRPr="00262F3A">
              <w:t>Full year</w:t>
            </w:r>
          </w:p>
        </w:tc>
      </w:tr>
      <w:tr w:rsidR="00D5288A" w:rsidRPr="00262F3A" w14:paraId="199A9703" w14:textId="77777777" w:rsidTr="0092611F">
        <w:trPr>
          <w:trHeight w:val="406"/>
        </w:trPr>
        <w:tc>
          <w:tcPr>
            <w:tcW w:w="2694" w:type="dxa"/>
            <w:shd w:val="clear" w:color="auto" w:fill="auto"/>
            <w:vAlign w:val="center"/>
            <w:hideMark/>
          </w:tcPr>
          <w:p w14:paraId="784799DA" w14:textId="77777777" w:rsidR="00D5288A" w:rsidRPr="00262F3A" w:rsidRDefault="00D5288A" w:rsidP="00AC60F9">
            <w:pPr>
              <w:pStyle w:val="Tableformat"/>
            </w:pPr>
            <w:r w:rsidRPr="00262F3A">
              <w:t>Mr James Minto</w:t>
            </w:r>
          </w:p>
        </w:tc>
        <w:tc>
          <w:tcPr>
            <w:tcW w:w="3268" w:type="dxa"/>
            <w:shd w:val="clear" w:color="auto" w:fill="auto"/>
            <w:vAlign w:val="center"/>
            <w:hideMark/>
          </w:tcPr>
          <w:p w14:paraId="6DE63C20"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349D8240" w14:textId="77777777" w:rsidR="00D5288A" w:rsidRPr="00262F3A" w:rsidRDefault="00D5288A" w:rsidP="00AC60F9">
            <w:pPr>
              <w:pStyle w:val="Tableformat"/>
            </w:pPr>
            <w:r w:rsidRPr="00262F3A">
              <w:t>Full year</w:t>
            </w:r>
          </w:p>
        </w:tc>
      </w:tr>
      <w:tr w:rsidR="00D5288A" w:rsidRPr="00262F3A" w14:paraId="686EC695" w14:textId="77777777" w:rsidTr="0092611F">
        <w:trPr>
          <w:trHeight w:val="293"/>
        </w:trPr>
        <w:tc>
          <w:tcPr>
            <w:tcW w:w="2694" w:type="dxa"/>
            <w:shd w:val="clear" w:color="auto" w:fill="auto"/>
            <w:vAlign w:val="center"/>
            <w:hideMark/>
          </w:tcPr>
          <w:p w14:paraId="5AA005AF" w14:textId="77777777" w:rsidR="00D5288A" w:rsidRPr="00262F3A" w:rsidRDefault="00D5288A" w:rsidP="00AC60F9">
            <w:pPr>
              <w:pStyle w:val="Tableformat"/>
            </w:pPr>
            <w:r w:rsidRPr="00262F3A">
              <w:t>Mr Paul O’Sullivan</w:t>
            </w:r>
          </w:p>
        </w:tc>
        <w:tc>
          <w:tcPr>
            <w:tcW w:w="3268" w:type="dxa"/>
            <w:shd w:val="clear" w:color="auto" w:fill="auto"/>
            <w:vAlign w:val="center"/>
            <w:hideMark/>
          </w:tcPr>
          <w:p w14:paraId="4807023C"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4FED94B5" w14:textId="77777777" w:rsidR="00D5288A" w:rsidRPr="00262F3A" w:rsidRDefault="00D5288A" w:rsidP="00AC60F9">
            <w:pPr>
              <w:pStyle w:val="Tableformat"/>
            </w:pPr>
            <w:r w:rsidRPr="00262F3A">
              <w:t>Full year</w:t>
            </w:r>
          </w:p>
        </w:tc>
      </w:tr>
      <w:tr w:rsidR="00D5288A" w:rsidRPr="00262F3A" w14:paraId="4B6D13F1" w14:textId="77777777" w:rsidTr="0092611F">
        <w:trPr>
          <w:trHeight w:val="403"/>
        </w:trPr>
        <w:tc>
          <w:tcPr>
            <w:tcW w:w="2694" w:type="dxa"/>
            <w:shd w:val="clear" w:color="auto" w:fill="auto"/>
            <w:vAlign w:val="center"/>
            <w:hideMark/>
          </w:tcPr>
          <w:p w14:paraId="7CC5325E" w14:textId="77777777" w:rsidR="00D5288A" w:rsidRPr="00262F3A" w:rsidRDefault="00D5288A" w:rsidP="00AC60F9">
            <w:pPr>
              <w:pStyle w:val="Tableformat"/>
            </w:pPr>
            <w:r w:rsidRPr="00262F3A">
              <w:t>Ms Estelle Pearson</w:t>
            </w:r>
          </w:p>
        </w:tc>
        <w:tc>
          <w:tcPr>
            <w:tcW w:w="3268" w:type="dxa"/>
            <w:shd w:val="clear" w:color="auto" w:fill="auto"/>
            <w:vAlign w:val="center"/>
            <w:hideMark/>
          </w:tcPr>
          <w:p w14:paraId="342A4419"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548347FA" w14:textId="77777777" w:rsidR="00D5288A" w:rsidRPr="00262F3A" w:rsidRDefault="00D5288A" w:rsidP="00AC60F9">
            <w:pPr>
              <w:pStyle w:val="Tableformat"/>
            </w:pPr>
            <w:r w:rsidRPr="00262F3A">
              <w:t>Full year</w:t>
            </w:r>
          </w:p>
        </w:tc>
      </w:tr>
      <w:tr w:rsidR="00D5288A" w:rsidRPr="00262F3A" w14:paraId="11723BAB" w14:textId="77777777" w:rsidTr="0092611F">
        <w:trPr>
          <w:trHeight w:val="408"/>
        </w:trPr>
        <w:tc>
          <w:tcPr>
            <w:tcW w:w="2694" w:type="dxa"/>
            <w:shd w:val="clear" w:color="auto" w:fill="auto"/>
            <w:vAlign w:val="center"/>
            <w:hideMark/>
          </w:tcPr>
          <w:p w14:paraId="32A2E163" w14:textId="77777777" w:rsidR="00D5288A" w:rsidRPr="00262F3A" w:rsidRDefault="00D5288A" w:rsidP="00AC60F9">
            <w:pPr>
              <w:pStyle w:val="Tableformat"/>
            </w:pPr>
            <w:r w:rsidRPr="00262F3A">
              <w:t>Ms Andrea Staines OAM</w:t>
            </w:r>
          </w:p>
        </w:tc>
        <w:tc>
          <w:tcPr>
            <w:tcW w:w="3268" w:type="dxa"/>
            <w:shd w:val="clear" w:color="auto" w:fill="auto"/>
            <w:vAlign w:val="center"/>
            <w:hideMark/>
          </w:tcPr>
          <w:p w14:paraId="2DAD6ED4"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71818903" w14:textId="77777777" w:rsidR="00D5288A" w:rsidRPr="00262F3A" w:rsidRDefault="00D5288A" w:rsidP="00AC60F9">
            <w:pPr>
              <w:pStyle w:val="Tableformat"/>
            </w:pPr>
            <w:r w:rsidRPr="00262F3A">
              <w:t>Part year – term ended 31 December 2019</w:t>
            </w:r>
          </w:p>
        </w:tc>
      </w:tr>
      <w:tr w:rsidR="00D5288A" w:rsidRPr="00262F3A" w14:paraId="34604C89" w14:textId="77777777" w:rsidTr="0092611F">
        <w:trPr>
          <w:trHeight w:val="272"/>
        </w:trPr>
        <w:tc>
          <w:tcPr>
            <w:tcW w:w="2694" w:type="dxa"/>
            <w:shd w:val="clear" w:color="auto" w:fill="auto"/>
            <w:vAlign w:val="center"/>
            <w:hideMark/>
          </w:tcPr>
          <w:p w14:paraId="6667C119" w14:textId="77777777" w:rsidR="00D5288A" w:rsidRPr="00262F3A" w:rsidRDefault="00D5288A" w:rsidP="00AC60F9">
            <w:pPr>
              <w:pStyle w:val="Tableformat"/>
            </w:pPr>
            <w:r w:rsidRPr="00262F3A">
              <w:t>Mr John Walsh AM</w:t>
            </w:r>
          </w:p>
        </w:tc>
        <w:tc>
          <w:tcPr>
            <w:tcW w:w="3268" w:type="dxa"/>
            <w:shd w:val="clear" w:color="auto" w:fill="auto"/>
            <w:vAlign w:val="center"/>
            <w:hideMark/>
          </w:tcPr>
          <w:p w14:paraId="3567BBD7" w14:textId="77777777" w:rsidR="00D5288A" w:rsidRPr="00262F3A" w:rsidRDefault="00D5288A" w:rsidP="00AC60F9">
            <w:pPr>
              <w:pStyle w:val="Tableformat"/>
            </w:pPr>
            <w:r w:rsidRPr="00262F3A">
              <w:t>Board Member</w:t>
            </w:r>
          </w:p>
        </w:tc>
        <w:tc>
          <w:tcPr>
            <w:tcW w:w="4103" w:type="dxa"/>
            <w:shd w:val="clear" w:color="auto" w:fill="auto"/>
            <w:vAlign w:val="center"/>
            <w:hideMark/>
          </w:tcPr>
          <w:p w14:paraId="679E0630" w14:textId="77777777" w:rsidR="00D5288A" w:rsidRPr="00262F3A" w:rsidRDefault="00D5288A" w:rsidP="00AC60F9">
            <w:pPr>
              <w:pStyle w:val="Tableformat"/>
            </w:pPr>
            <w:r w:rsidRPr="00262F3A">
              <w:t>Full year</w:t>
            </w:r>
          </w:p>
        </w:tc>
      </w:tr>
      <w:tr w:rsidR="00D5288A" w:rsidRPr="00262F3A" w14:paraId="35CC983D" w14:textId="77777777" w:rsidTr="0092611F">
        <w:trPr>
          <w:trHeight w:val="419"/>
        </w:trPr>
        <w:tc>
          <w:tcPr>
            <w:tcW w:w="2694" w:type="dxa"/>
            <w:shd w:val="clear" w:color="auto" w:fill="auto"/>
            <w:vAlign w:val="center"/>
            <w:hideMark/>
          </w:tcPr>
          <w:p w14:paraId="6D64E93A" w14:textId="77777777" w:rsidR="00D5288A" w:rsidRPr="00262F3A" w:rsidRDefault="00D5288A" w:rsidP="00AC60F9">
            <w:pPr>
              <w:pStyle w:val="Tableformat"/>
            </w:pPr>
            <w:r w:rsidRPr="00262F3A">
              <w:t>Mr Martin Hoffman</w:t>
            </w:r>
          </w:p>
        </w:tc>
        <w:tc>
          <w:tcPr>
            <w:tcW w:w="3268" w:type="dxa"/>
            <w:shd w:val="clear" w:color="auto" w:fill="auto"/>
            <w:vAlign w:val="center"/>
            <w:hideMark/>
          </w:tcPr>
          <w:p w14:paraId="53543E85" w14:textId="77777777" w:rsidR="00D5288A" w:rsidRPr="00262F3A" w:rsidRDefault="00D5288A" w:rsidP="00AC60F9">
            <w:pPr>
              <w:pStyle w:val="Tableformat"/>
            </w:pPr>
            <w:r w:rsidRPr="00262F3A">
              <w:t xml:space="preserve">Chief Executive Officer </w:t>
            </w:r>
          </w:p>
        </w:tc>
        <w:tc>
          <w:tcPr>
            <w:tcW w:w="4103" w:type="dxa"/>
            <w:shd w:val="clear" w:color="auto" w:fill="auto"/>
            <w:vAlign w:val="center"/>
            <w:hideMark/>
          </w:tcPr>
          <w:p w14:paraId="61EF563F" w14:textId="77777777" w:rsidR="00D5288A" w:rsidRPr="00262F3A" w:rsidRDefault="00D5288A" w:rsidP="00AC60F9">
            <w:pPr>
              <w:pStyle w:val="Tableformat"/>
            </w:pPr>
            <w:r w:rsidRPr="00262F3A">
              <w:t>Part year – appointed 4 November 2019</w:t>
            </w:r>
          </w:p>
        </w:tc>
      </w:tr>
      <w:tr w:rsidR="00D5288A" w:rsidRPr="00262F3A" w14:paraId="17A0E9EF" w14:textId="77777777" w:rsidTr="0092611F">
        <w:trPr>
          <w:trHeight w:val="424"/>
        </w:trPr>
        <w:tc>
          <w:tcPr>
            <w:tcW w:w="2694" w:type="dxa"/>
            <w:vMerge w:val="restart"/>
            <w:shd w:val="clear" w:color="auto" w:fill="auto"/>
            <w:vAlign w:val="center"/>
            <w:hideMark/>
          </w:tcPr>
          <w:p w14:paraId="04F91E7A" w14:textId="77777777" w:rsidR="00D5288A" w:rsidRPr="00262F3A" w:rsidRDefault="00D5288A" w:rsidP="00AC60F9">
            <w:pPr>
              <w:pStyle w:val="Tableformat"/>
            </w:pPr>
            <w:r w:rsidRPr="00262F3A">
              <w:t>Ms Vicki Rundle PSM</w:t>
            </w:r>
          </w:p>
        </w:tc>
        <w:tc>
          <w:tcPr>
            <w:tcW w:w="3268" w:type="dxa"/>
            <w:shd w:val="clear" w:color="auto" w:fill="auto"/>
            <w:vAlign w:val="center"/>
            <w:hideMark/>
          </w:tcPr>
          <w:p w14:paraId="6412D847" w14:textId="77777777" w:rsidR="00D5288A" w:rsidRPr="00262F3A" w:rsidRDefault="00D5288A" w:rsidP="00AC60F9">
            <w:pPr>
              <w:pStyle w:val="Tableformat"/>
            </w:pPr>
            <w:r w:rsidRPr="00262F3A">
              <w:t>Acting Chief Executive Officer</w:t>
            </w:r>
          </w:p>
        </w:tc>
        <w:tc>
          <w:tcPr>
            <w:tcW w:w="4103" w:type="dxa"/>
            <w:shd w:val="clear" w:color="auto" w:fill="auto"/>
            <w:vAlign w:val="center"/>
            <w:hideMark/>
          </w:tcPr>
          <w:p w14:paraId="42001135" w14:textId="77777777" w:rsidR="00D5288A" w:rsidRPr="00262F3A" w:rsidRDefault="00D5288A" w:rsidP="00AC60F9">
            <w:pPr>
              <w:pStyle w:val="Tableformat"/>
            </w:pPr>
            <w:r w:rsidRPr="00262F3A">
              <w:t>Part year – to 3 November 2019</w:t>
            </w:r>
          </w:p>
        </w:tc>
      </w:tr>
      <w:tr w:rsidR="00D5288A" w:rsidRPr="00262F3A" w14:paraId="18D1818E" w14:textId="77777777" w:rsidTr="0092611F">
        <w:trPr>
          <w:trHeight w:val="533"/>
        </w:trPr>
        <w:tc>
          <w:tcPr>
            <w:tcW w:w="2694" w:type="dxa"/>
            <w:vMerge/>
            <w:shd w:val="clear" w:color="auto" w:fill="auto"/>
            <w:vAlign w:val="center"/>
          </w:tcPr>
          <w:p w14:paraId="133B3AD6" w14:textId="77777777" w:rsidR="00D5288A" w:rsidRPr="00262F3A" w:rsidRDefault="00D5288A" w:rsidP="00AC60F9">
            <w:pPr>
              <w:pStyle w:val="Tableformat"/>
            </w:pPr>
          </w:p>
        </w:tc>
        <w:tc>
          <w:tcPr>
            <w:tcW w:w="3268" w:type="dxa"/>
            <w:shd w:val="clear" w:color="auto" w:fill="auto"/>
            <w:vAlign w:val="center"/>
          </w:tcPr>
          <w:p w14:paraId="624CE261" w14:textId="77777777" w:rsidR="00D5288A" w:rsidRPr="00262F3A" w:rsidRDefault="00D5288A" w:rsidP="00AC60F9">
            <w:pPr>
              <w:pStyle w:val="Tableformat"/>
            </w:pPr>
            <w:r w:rsidRPr="00262F3A">
              <w:t>DCEO Participants and Planning Experience</w:t>
            </w:r>
          </w:p>
        </w:tc>
        <w:tc>
          <w:tcPr>
            <w:tcW w:w="4103" w:type="dxa"/>
            <w:shd w:val="clear" w:color="auto" w:fill="auto"/>
            <w:vAlign w:val="center"/>
          </w:tcPr>
          <w:p w14:paraId="3A959DBF" w14:textId="77777777" w:rsidR="00D5288A" w:rsidRPr="00262F3A" w:rsidRDefault="00D5288A" w:rsidP="00AC60F9">
            <w:pPr>
              <w:pStyle w:val="Tableformat"/>
            </w:pPr>
            <w:r w:rsidRPr="00262F3A">
              <w:t>Part year – from 14 November 2019 to 20 December 2019</w:t>
            </w:r>
          </w:p>
        </w:tc>
      </w:tr>
      <w:tr w:rsidR="00D5288A" w:rsidRPr="00262F3A" w14:paraId="475D63BA" w14:textId="77777777" w:rsidTr="0092611F">
        <w:trPr>
          <w:trHeight w:val="708"/>
        </w:trPr>
        <w:tc>
          <w:tcPr>
            <w:tcW w:w="2694" w:type="dxa"/>
            <w:vMerge/>
            <w:vAlign w:val="center"/>
            <w:hideMark/>
          </w:tcPr>
          <w:p w14:paraId="3863DDE8" w14:textId="77777777" w:rsidR="00D5288A" w:rsidRPr="00262F3A" w:rsidRDefault="00D5288A" w:rsidP="00AC60F9">
            <w:pPr>
              <w:pStyle w:val="Tableformat"/>
            </w:pPr>
          </w:p>
        </w:tc>
        <w:tc>
          <w:tcPr>
            <w:tcW w:w="3268" w:type="dxa"/>
            <w:shd w:val="clear" w:color="auto" w:fill="auto"/>
            <w:vAlign w:val="center"/>
            <w:hideMark/>
          </w:tcPr>
          <w:p w14:paraId="6A44E565" w14:textId="77777777" w:rsidR="00D5288A" w:rsidRPr="00262F3A" w:rsidRDefault="00D5288A" w:rsidP="00AC60F9">
            <w:pPr>
              <w:pStyle w:val="Tableformat"/>
            </w:pPr>
            <w:r w:rsidRPr="00262F3A">
              <w:t>DCEO Government, Communications and Stakeholder Engagement</w:t>
            </w:r>
          </w:p>
        </w:tc>
        <w:tc>
          <w:tcPr>
            <w:tcW w:w="4103" w:type="dxa"/>
            <w:shd w:val="clear" w:color="auto" w:fill="auto"/>
            <w:vAlign w:val="center"/>
            <w:hideMark/>
          </w:tcPr>
          <w:p w14:paraId="702144E8" w14:textId="77777777" w:rsidR="00D5288A" w:rsidRPr="00262F3A" w:rsidRDefault="00D5288A" w:rsidP="00AC60F9">
            <w:pPr>
              <w:pStyle w:val="Tableformat"/>
            </w:pPr>
            <w:r w:rsidRPr="00262F3A">
              <w:t>Part year – from 4 November to 13 November 2019 and from 21 December 2019 to 1 March 2020</w:t>
            </w:r>
          </w:p>
        </w:tc>
      </w:tr>
      <w:tr w:rsidR="00D5288A" w:rsidRPr="00262F3A" w14:paraId="472D2720" w14:textId="77777777" w:rsidTr="0092611F">
        <w:trPr>
          <w:trHeight w:val="533"/>
        </w:trPr>
        <w:tc>
          <w:tcPr>
            <w:tcW w:w="2694" w:type="dxa"/>
            <w:vMerge/>
            <w:vAlign w:val="center"/>
            <w:hideMark/>
          </w:tcPr>
          <w:p w14:paraId="64C7C2B1" w14:textId="77777777" w:rsidR="00D5288A" w:rsidRPr="00262F3A" w:rsidRDefault="00D5288A" w:rsidP="00AC60F9">
            <w:pPr>
              <w:pStyle w:val="Tableformat"/>
            </w:pPr>
          </w:p>
        </w:tc>
        <w:tc>
          <w:tcPr>
            <w:tcW w:w="3268" w:type="dxa"/>
            <w:shd w:val="clear" w:color="auto" w:fill="auto"/>
            <w:vAlign w:val="center"/>
            <w:hideMark/>
          </w:tcPr>
          <w:p w14:paraId="5E84DE42" w14:textId="77777777" w:rsidR="00D5288A" w:rsidRPr="00262F3A" w:rsidRDefault="00D5288A" w:rsidP="00AC60F9">
            <w:pPr>
              <w:pStyle w:val="Tableformat"/>
            </w:pPr>
            <w:r w:rsidRPr="00262F3A">
              <w:t>DCEO Markets, Government and Engagement</w:t>
            </w:r>
          </w:p>
        </w:tc>
        <w:tc>
          <w:tcPr>
            <w:tcW w:w="4103" w:type="dxa"/>
            <w:shd w:val="clear" w:color="auto" w:fill="auto"/>
            <w:vAlign w:val="center"/>
            <w:hideMark/>
          </w:tcPr>
          <w:p w14:paraId="2A4F81A4" w14:textId="77777777" w:rsidR="00D5288A" w:rsidRPr="00262F3A" w:rsidRDefault="00D5288A" w:rsidP="00AC60F9">
            <w:pPr>
              <w:pStyle w:val="Tableformat"/>
            </w:pPr>
            <w:r w:rsidRPr="00262F3A">
              <w:t>Part year – from 2 March to 12 June 2020</w:t>
            </w:r>
          </w:p>
        </w:tc>
      </w:tr>
      <w:tr w:rsidR="00D5288A" w:rsidRPr="00262F3A" w14:paraId="4E32DE41" w14:textId="77777777" w:rsidTr="0092611F">
        <w:trPr>
          <w:trHeight w:val="442"/>
        </w:trPr>
        <w:tc>
          <w:tcPr>
            <w:tcW w:w="2694" w:type="dxa"/>
            <w:shd w:val="clear" w:color="auto" w:fill="auto"/>
            <w:vAlign w:val="center"/>
            <w:hideMark/>
          </w:tcPr>
          <w:p w14:paraId="2A42D975" w14:textId="77777777" w:rsidR="00D5288A" w:rsidRPr="00262F3A" w:rsidRDefault="00D5288A" w:rsidP="00AC60F9">
            <w:pPr>
              <w:pStyle w:val="Tableformat"/>
            </w:pPr>
            <w:r w:rsidRPr="00262F3A">
              <w:t>Mr Hamish Aikman </w:t>
            </w:r>
          </w:p>
        </w:tc>
        <w:tc>
          <w:tcPr>
            <w:tcW w:w="3268" w:type="dxa"/>
            <w:shd w:val="clear" w:color="auto" w:fill="auto"/>
            <w:vAlign w:val="center"/>
          </w:tcPr>
          <w:p w14:paraId="619D2762" w14:textId="77777777" w:rsidR="00D5288A" w:rsidRPr="00262F3A" w:rsidRDefault="00D5288A" w:rsidP="00AC60F9">
            <w:pPr>
              <w:pStyle w:val="Tableformat"/>
            </w:pPr>
            <w:r w:rsidRPr="00262F3A">
              <w:t>Chief People Officer</w:t>
            </w:r>
          </w:p>
        </w:tc>
        <w:tc>
          <w:tcPr>
            <w:tcW w:w="4103" w:type="dxa"/>
            <w:shd w:val="clear" w:color="auto" w:fill="auto"/>
            <w:vAlign w:val="center"/>
          </w:tcPr>
          <w:p w14:paraId="64FCB82F" w14:textId="77777777" w:rsidR="00D5288A" w:rsidRPr="00262F3A" w:rsidRDefault="00D5288A" w:rsidP="00AC60F9">
            <w:pPr>
              <w:pStyle w:val="Tableformat"/>
            </w:pPr>
            <w:r w:rsidRPr="00262F3A">
              <w:t>Full year</w:t>
            </w:r>
          </w:p>
        </w:tc>
      </w:tr>
      <w:tr w:rsidR="00D5288A" w:rsidRPr="00262F3A" w14:paraId="69990EF0" w14:textId="77777777" w:rsidTr="0092611F">
        <w:trPr>
          <w:trHeight w:val="562"/>
        </w:trPr>
        <w:tc>
          <w:tcPr>
            <w:tcW w:w="2694" w:type="dxa"/>
            <w:vMerge w:val="restart"/>
            <w:shd w:val="clear" w:color="auto" w:fill="auto"/>
            <w:vAlign w:val="center"/>
            <w:hideMark/>
          </w:tcPr>
          <w:p w14:paraId="10855522" w14:textId="77777777" w:rsidR="00D5288A" w:rsidRPr="00262F3A" w:rsidRDefault="00D5288A" w:rsidP="00AC60F9">
            <w:pPr>
              <w:pStyle w:val="Tableformat"/>
            </w:pPr>
            <w:r w:rsidRPr="00262F3A">
              <w:t xml:space="preserve">Mr Oliver Bladek </w:t>
            </w:r>
          </w:p>
        </w:tc>
        <w:tc>
          <w:tcPr>
            <w:tcW w:w="3268" w:type="dxa"/>
            <w:shd w:val="clear" w:color="auto" w:fill="auto"/>
            <w:vAlign w:val="center"/>
            <w:hideMark/>
          </w:tcPr>
          <w:p w14:paraId="661FB3F2" w14:textId="77777777" w:rsidR="00D5288A" w:rsidRPr="00262F3A" w:rsidRDefault="00D5288A" w:rsidP="00AC60F9">
            <w:pPr>
              <w:pStyle w:val="Tableformat"/>
            </w:pPr>
            <w:r w:rsidRPr="00262F3A">
              <w:t>DCEO Strategy Development and Chief Risk Officer</w:t>
            </w:r>
          </w:p>
        </w:tc>
        <w:tc>
          <w:tcPr>
            <w:tcW w:w="4103" w:type="dxa"/>
            <w:shd w:val="clear" w:color="auto" w:fill="auto"/>
            <w:vAlign w:val="center"/>
            <w:hideMark/>
          </w:tcPr>
          <w:p w14:paraId="69472666" w14:textId="77777777" w:rsidR="00D5288A" w:rsidRPr="00262F3A" w:rsidRDefault="00D5288A" w:rsidP="00AC60F9">
            <w:pPr>
              <w:pStyle w:val="Tableformat"/>
            </w:pPr>
            <w:r w:rsidRPr="00262F3A">
              <w:t>Part year – from 29 September 2019 to 1 March 2020</w:t>
            </w:r>
          </w:p>
        </w:tc>
      </w:tr>
      <w:tr w:rsidR="00D5288A" w:rsidRPr="00262F3A" w14:paraId="482E779F" w14:textId="77777777" w:rsidTr="0092611F">
        <w:trPr>
          <w:trHeight w:val="414"/>
        </w:trPr>
        <w:tc>
          <w:tcPr>
            <w:tcW w:w="2694" w:type="dxa"/>
            <w:vMerge/>
            <w:vAlign w:val="center"/>
            <w:hideMark/>
          </w:tcPr>
          <w:p w14:paraId="2FDEFF01" w14:textId="77777777" w:rsidR="00D5288A" w:rsidRPr="00262F3A" w:rsidRDefault="00D5288A" w:rsidP="00AC60F9">
            <w:pPr>
              <w:pStyle w:val="Tableformat"/>
            </w:pPr>
          </w:p>
        </w:tc>
        <w:tc>
          <w:tcPr>
            <w:tcW w:w="3268" w:type="dxa"/>
            <w:shd w:val="clear" w:color="auto" w:fill="auto"/>
            <w:vAlign w:val="center"/>
            <w:hideMark/>
          </w:tcPr>
          <w:p w14:paraId="18E99FD5" w14:textId="77777777" w:rsidR="00D5288A" w:rsidRPr="00262F3A" w:rsidRDefault="00D5288A" w:rsidP="00AC60F9">
            <w:pPr>
              <w:pStyle w:val="Tableformat"/>
            </w:pPr>
            <w:r w:rsidRPr="00262F3A">
              <w:t>DCEO Design, Digital and Strategy</w:t>
            </w:r>
          </w:p>
        </w:tc>
        <w:tc>
          <w:tcPr>
            <w:tcW w:w="4103" w:type="dxa"/>
            <w:shd w:val="clear" w:color="auto" w:fill="auto"/>
            <w:vAlign w:val="center"/>
            <w:hideMark/>
          </w:tcPr>
          <w:p w14:paraId="55A57962" w14:textId="77777777" w:rsidR="00D5288A" w:rsidRPr="00262F3A" w:rsidRDefault="00D5288A" w:rsidP="00AC60F9">
            <w:pPr>
              <w:pStyle w:val="Tableformat"/>
            </w:pPr>
            <w:r w:rsidRPr="00262F3A">
              <w:t>Part year – from 2 March 2020</w:t>
            </w:r>
          </w:p>
        </w:tc>
      </w:tr>
      <w:tr w:rsidR="00D5288A" w:rsidRPr="00262F3A" w14:paraId="069C7160" w14:textId="77777777" w:rsidTr="0092611F">
        <w:trPr>
          <w:trHeight w:val="562"/>
        </w:trPr>
        <w:tc>
          <w:tcPr>
            <w:tcW w:w="2694" w:type="dxa"/>
            <w:vMerge w:val="restart"/>
            <w:shd w:val="clear" w:color="auto" w:fill="auto"/>
            <w:vAlign w:val="center"/>
            <w:hideMark/>
          </w:tcPr>
          <w:p w14:paraId="39AFF27E" w14:textId="77777777" w:rsidR="00D5288A" w:rsidRPr="00262F3A" w:rsidRDefault="00D5288A" w:rsidP="00AC60F9">
            <w:pPr>
              <w:pStyle w:val="Tableformat"/>
            </w:pPr>
            <w:r w:rsidRPr="00262F3A">
              <w:t xml:space="preserve">Mr Jeremy Dean </w:t>
            </w:r>
          </w:p>
        </w:tc>
        <w:tc>
          <w:tcPr>
            <w:tcW w:w="3268" w:type="dxa"/>
            <w:shd w:val="clear" w:color="auto" w:fill="auto"/>
            <w:vAlign w:val="center"/>
            <w:hideMark/>
          </w:tcPr>
          <w:p w14:paraId="2DF69C8C" w14:textId="77777777" w:rsidR="00D5288A" w:rsidRPr="00262F3A" w:rsidRDefault="00D5288A" w:rsidP="00AC60F9">
            <w:pPr>
              <w:pStyle w:val="Tableformat"/>
            </w:pPr>
            <w:r w:rsidRPr="00262F3A">
              <w:t>DCEO Participants and Planning Experience</w:t>
            </w:r>
          </w:p>
        </w:tc>
        <w:tc>
          <w:tcPr>
            <w:tcW w:w="4103" w:type="dxa"/>
            <w:shd w:val="clear" w:color="auto" w:fill="auto"/>
            <w:vAlign w:val="center"/>
            <w:hideMark/>
          </w:tcPr>
          <w:p w14:paraId="68E0795A" w14:textId="77777777" w:rsidR="00D5288A" w:rsidRPr="00262F3A" w:rsidRDefault="00D5288A" w:rsidP="00AC60F9">
            <w:pPr>
              <w:pStyle w:val="Tableformat"/>
            </w:pPr>
            <w:r w:rsidRPr="00262F3A">
              <w:t>Part year – from 9 December 2019 to 1 March 2020</w:t>
            </w:r>
          </w:p>
        </w:tc>
      </w:tr>
      <w:tr w:rsidR="00D5288A" w:rsidRPr="00262F3A" w14:paraId="093AF1F8" w14:textId="77777777" w:rsidTr="0092611F">
        <w:trPr>
          <w:trHeight w:val="414"/>
        </w:trPr>
        <w:tc>
          <w:tcPr>
            <w:tcW w:w="2694" w:type="dxa"/>
            <w:vMerge/>
            <w:vAlign w:val="center"/>
            <w:hideMark/>
          </w:tcPr>
          <w:p w14:paraId="3AB63722" w14:textId="77777777" w:rsidR="00D5288A" w:rsidRPr="00262F3A" w:rsidRDefault="00D5288A" w:rsidP="00AC60F9">
            <w:pPr>
              <w:pStyle w:val="Tableformat"/>
            </w:pPr>
          </w:p>
        </w:tc>
        <w:tc>
          <w:tcPr>
            <w:tcW w:w="3268" w:type="dxa"/>
            <w:shd w:val="clear" w:color="auto" w:fill="auto"/>
            <w:vAlign w:val="center"/>
            <w:hideMark/>
          </w:tcPr>
          <w:p w14:paraId="7B6DE339" w14:textId="77777777" w:rsidR="00D5288A" w:rsidRPr="00262F3A" w:rsidRDefault="00D5288A" w:rsidP="00AC60F9">
            <w:pPr>
              <w:pStyle w:val="Tableformat"/>
            </w:pPr>
            <w:r w:rsidRPr="00262F3A">
              <w:t>DCEO Participant Experience Delivery</w:t>
            </w:r>
          </w:p>
        </w:tc>
        <w:tc>
          <w:tcPr>
            <w:tcW w:w="4103" w:type="dxa"/>
            <w:shd w:val="clear" w:color="auto" w:fill="auto"/>
            <w:vAlign w:val="center"/>
            <w:hideMark/>
          </w:tcPr>
          <w:p w14:paraId="41B2F3AC" w14:textId="77777777" w:rsidR="00D5288A" w:rsidRPr="00262F3A" w:rsidRDefault="00D5288A" w:rsidP="00AC60F9">
            <w:pPr>
              <w:pStyle w:val="Tableformat"/>
            </w:pPr>
            <w:r w:rsidRPr="00262F3A">
              <w:t>Part year – from 2 March 2020</w:t>
            </w:r>
          </w:p>
        </w:tc>
      </w:tr>
      <w:tr w:rsidR="00D5288A" w:rsidRPr="00262F3A" w14:paraId="65950501" w14:textId="77777777" w:rsidTr="0092611F">
        <w:trPr>
          <w:trHeight w:val="421"/>
        </w:trPr>
        <w:tc>
          <w:tcPr>
            <w:tcW w:w="2694" w:type="dxa"/>
            <w:shd w:val="clear" w:color="auto" w:fill="auto"/>
            <w:vAlign w:val="center"/>
            <w:hideMark/>
          </w:tcPr>
          <w:p w14:paraId="35615A76" w14:textId="77777777" w:rsidR="00D5288A" w:rsidRPr="00262F3A" w:rsidRDefault="00D5288A" w:rsidP="00AC60F9">
            <w:pPr>
              <w:pStyle w:val="Tableformat"/>
            </w:pPr>
            <w:r w:rsidRPr="00262F3A">
              <w:t>Mr Michael Francis</w:t>
            </w:r>
          </w:p>
        </w:tc>
        <w:tc>
          <w:tcPr>
            <w:tcW w:w="3268" w:type="dxa"/>
            <w:shd w:val="clear" w:color="auto" w:fill="auto"/>
            <w:vAlign w:val="center"/>
            <w:hideMark/>
          </w:tcPr>
          <w:p w14:paraId="72D83083" w14:textId="77777777" w:rsidR="00D5288A" w:rsidRPr="00262F3A" w:rsidRDefault="00D5288A" w:rsidP="00AC60F9">
            <w:pPr>
              <w:pStyle w:val="Tableformat"/>
            </w:pPr>
            <w:r w:rsidRPr="00262F3A">
              <w:t>DCEO Participants and Planning Experience</w:t>
            </w:r>
          </w:p>
        </w:tc>
        <w:tc>
          <w:tcPr>
            <w:tcW w:w="4103" w:type="dxa"/>
            <w:shd w:val="clear" w:color="auto" w:fill="auto"/>
            <w:vAlign w:val="center"/>
            <w:hideMark/>
          </w:tcPr>
          <w:p w14:paraId="6ACA1503" w14:textId="77777777" w:rsidR="00D5288A" w:rsidRPr="00262F3A" w:rsidRDefault="00D5288A" w:rsidP="00AC60F9">
            <w:pPr>
              <w:pStyle w:val="Tableformat"/>
            </w:pPr>
            <w:r w:rsidRPr="00262F3A">
              <w:t>Part year – to 6 September 2019</w:t>
            </w:r>
          </w:p>
        </w:tc>
      </w:tr>
      <w:tr w:rsidR="00D5288A" w:rsidRPr="00262F3A" w14:paraId="7C34BDDA" w14:textId="77777777" w:rsidTr="0092611F">
        <w:trPr>
          <w:trHeight w:val="371"/>
        </w:trPr>
        <w:tc>
          <w:tcPr>
            <w:tcW w:w="2694" w:type="dxa"/>
            <w:shd w:val="clear" w:color="auto" w:fill="auto"/>
            <w:vAlign w:val="center"/>
            <w:hideMark/>
          </w:tcPr>
          <w:p w14:paraId="20EDED61" w14:textId="77777777" w:rsidR="00D5288A" w:rsidRPr="00262F3A" w:rsidRDefault="00D5288A" w:rsidP="00AC60F9">
            <w:pPr>
              <w:pStyle w:val="Tableformat"/>
            </w:pPr>
            <w:r w:rsidRPr="00262F3A">
              <w:lastRenderedPageBreak/>
              <w:t>Mr Ian Frew</w:t>
            </w:r>
          </w:p>
        </w:tc>
        <w:tc>
          <w:tcPr>
            <w:tcW w:w="3268" w:type="dxa"/>
            <w:shd w:val="clear" w:color="auto" w:fill="auto"/>
            <w:vAlign w:val="center"/>
            <w:hideMark/>
          </w:tcPr>
          <w:p w14:paraId="62B858EF" w14:textId="77777777" w:rsidR="00D5288A" w:rsidRPr="00262F3A" w:rsidRDefault="00D5288A" w:rsidP="00AC60F9">
            <w:pPr>
              <w:pStyle w:val="Tableformat"/>
            </w:pPr>
            <w:r w:rsidRPr="00262F3A">
              <w:t>Chief Information Officer</w:t>
            </w:r>
          </w:p>
        </w:tc>
        <w:tc>
          <w:tcPr>
            <w:tcW w:w="4103" w:type="dxa"/>
            <w:shd w:val="clear" w:color="auto" w:fill="auto"/>
            <w:vAlign w:val="center"/>
            <w:hideMark/>
          </w:tcPr>
          <w:p w14:paraId="5538B997" w14:textId="77777777" w:rsidR="00D5288A" w:rsidRPr="00262F3A" w:rsidRDefault="00D5288A" w:rsidP="00AC60F9">
            <w:pPr>
              <w:pStyle w:val="Tableformat"/>
            </w:pPr>
            <w:r w:rsidRPr="00262F3A">
              <w:t>Full year</w:t>
            </w:r>
          </w:p>
        </w:tc>
      </w:tr>
      <w:tr w:rsidR="00D5288A" w:rsidRPr="00262F3A" w14:paraId="0C4DC7A7" w14:textId="77777777" w:rsidTr="0092611F">
        <w:trPr>
          <w:trHeight w:val="293"/>
        </w:trPr>
        <w:tc>
          <w:tcPr>
            <w:tcW w:w="2694" w:type="dxa"/>
            <w:shd w:val="clear" w:color="auto" w:fill="auto"/>
            <w:vAlign w:val="center"/>
            <w:hideMark/>
          </w:tcPr>
          <w:p w14:paraId="0E6458E6" w14:textId="77777777" w:rsidR="00D5288A" w:rsidRPr="00262F3A" w:rsidRDefault="00D5288A" w:rsidP="00AC60F9">
            <w:pPr>
              <w:pStyle w:val="Tableformat"/>
            </w:pPr>
            <w:r w:rsidRPr="00262F3A">
              <w:t>Ms Sarah Johnson</w:t>
            </w:r>
          </w:p>
        </w:tc>
        <w:tc>
          <w:tcPr>
            <w:tcW w:w="3268" w:type="dxa"/>
            <w:shd w:val="clear" w:color="auto" w:fill="auto"/>
            <w:vAlign w:val="center"/>
            <w:hideMark/>
          </w:tcPr>
          <w:p w14:paraId="3AB3170B" w14:textId="77777777" w:rsidR="00D5288A" w:rsidRPr="00262F3A" w:rsidRDefault="00D5288A" w:rsidP="00AC60F9">
            <w:pPr>
              <w:pStyle w:val="Tableformat"/>
            </w:pPr>
            <w:r w:rsidRPr="00262F3A">
              <w:t xml:space="preserve">Scheme Actuary </w:t>
            </w:r>
          </w:p>
        </w:tc>
        <w:tc>
          <w:tcPr>
            <w:tcW w:w="4103" w:type="dxa"/>
            <w:shd w:val="clear" w:color="auto" w:fill="auto"/>
            <w:vAlign w:val="center"/>
            <w:hideMark/>
          </w:tcPr>
          <w:p w14:paraId="0387D046" w14:textId="77777777" w:rsidR="00D5288A" w:rsidRPr="00262F3A" w:rsidRDefault="00D5288A" w:rsidP="00AC60F9">
            <w:pPr>
              <w:pStyle w:val="Tableformat"/>
            </w:pPr>
            <w:r w:rsidRPr="00262F3A">
              <w:t>Full year</w:t>
            </w:r>
          </w:p>
        </w:tc>
      </w:tr>
      <w:tr w:rsidR="00D5288A" w:rsidRPr="00262F3A" w14:paraId="19F7DB51" w14:textId="77777777" w:rsidTr="0092611F">
        <w:trPr>
          <w:trHeight w:val="795"/>
        </w:trPr>
        <w:tc>
          <w:tcPr>
            <w:tcW w:w="2694" w:type="dxa"/>
            <w:shd w:val="clear" w:color="auto" w:fill="auto"/>
            <w:vAlign w:val="center"/>
            <w:hideMark/>
          </w:tcPr>
          <w:p w14:paraId="1EF10A51" w14:textId="77777777" w:rsidR="00D5288A" w:rsidRPr="00262F3A" w:rsidRDefault="00D5288A" w:rsidP="00AC60F9">
            <w:pPr>
              <w:pStyle w:val="Tableformat"/>
            </w:pPr>
            <w:r w:rsidRPr="00262F3A">
              <w:t>Mr Scott McNaughton</w:t>
            </w:r>
          </w:p>
        </w:tc>
        <w:tc>
          <w:tcPr>
            <w:tcW w:w="3268" w:type="dxa"/>
            <w:shd w:val="clear" w:color="auto" w:fill="auto"/>
            <w:vAlign w:val="center"/>
            <w:hideMark/>
          </w:tcPr>
          <w:p w14:paraId="20258531" w14:textId="77777777" w:rsidR="00D5288A" w:rsidRPr="00262F3A" w:rsidRDefault="00D5288A" w:rsidP="00AC60F9">
            <w:pPr>
              <w:pStyle w:val="Tableformat"/>
            </w:pPr>
            <w:r w:rsidRPr="00262F3A">
              <w:t>Acting DCEO Government, Communications and Stakeholder Engagement</w:t>
            </w:r>
          </w:p>
        </w:tc>
        <w:tc>
          <w:tcPr>
            <w:tcW w:w="4103" w:type="dxa"/>
            <w:shd w:val="clear" w:color="auto" w:fill="auto"/>
            <w:vAlign w:val="center"/>
            <w:hideMark/>
          </w:tcPr>
          <w:p w14:paraId="5A737261" w14:textId="77777777" w:rsidR="00D5288A" w:rsidRPr="00262F3A" w:rsidRDefault="00D5288A" w:rsidP="00AC60F9">
            <w:pPr>
              <w:pStyle w:val="Tableformat"/>
            </w:pPr>
            <w:r w:rsidRPr="00262F3A">
              <w:t>Part Year – to 5 January 2020</w:t>
            </w:r>
          </w:p>
        </w:tc>
      </w:tr>
      <w:tr w:rsidR="00D5288A" w:rsidRPr="00262F3A" w14:paraId="7F05A022" w14:textId="77777777" w:rsidTr="0092611F">
        <w:trPr>
          <w:trHeight w:val="533"/>
        </w:trPr>
        <w:tc>
          <w:tcPr>
            <w:tcW w:w="2694" w:type="dxa"/>
            <w:shd w:val="clear" w:color="auto" w:fill="auto"/>
            <w:vAlign w:val="center"/>
            <w:hideMark/>
          </w:tcPr>
          <w:p w14:paraId="54A5715D" w14:textId="77777777" w:rsidR="00D5288A" w:rsidRPr="00262F3A" w:rsidRDefault="00D5288A" w:rsidP="00AC60F9">
            <w:pPr>
              <w:pStyle w:val="Tableformat"/>
            </w:pPr>
            <w:r w:rsidRPr="00262F3A">
              <w:t>Ms Tracey Muddle</w:t>
            </w:r>
          </w:p>
        </w:tc>
        <w:tc>
          <w:tcPr>
            <w:tcW w:w="3268" w:type="dxa"/>
            <w:shd w:val="clear" w:color="auto" w:fill="auto"/>
            <w:vAlign w:val="center"/>
            <w:hideMark/>
          </w:tcPr>
          <w:p w14:paraId="69FAECCD" w14:textId="77777777" w:rsidR="00D5288A" w:rsidRPr="00262F3A" w:rsidRDefault="00D5288A" w:rsidP="00AC60F9">
            <w:pPr>
              <w:pStyle w:val="Tableformat"/>
            </w:pPr>
            <w:r w:rsidRPr="00262F3A">
              <w:t>Head of Participant Focus</w:t>
            </w:r>
          </w:p>
        </w:tc>
        <w:tc>
          <w:tcPr>
            <w:tcW w:w="4103" w:type="dxa"/>
            <w:shd w:val="clear" w:color="auto" w:fill="auto"/>
            <w:vAlign w:val="center"/>
            <w:hideMark/>
          </w:tcPr>
          <w:p w14:paraId="5A5B6384" w14:textId="77777777" w:rsidR="00D5288A" w:rsidRPr="00262F3A" w:rsidRDefault="00D5288A" w:rsidP="00AC60F9">
            <w:pPr>
              <w:pStyle w:val="Tableformat"/>
            </w:pPr>
            <w:r w:rsidRPr="00262F3A">
              <w:t>Part Year – to 1 March 2020</w:t>
            </w:r>
          </w:p>
        </w:tc>
      </w:tr>
      <w:tr w:rsidR="00D5288A" w:rsidRPr="00262F3A" w14:paraId="24D22B98" w14:textId="77777777" w:rsidTr="0092611F">
        <w:trPr>
          <w:trHeight w:val="533"/>
        </w:trPr>
        <w:tc>
          <w:tcPr>
            <w:tcW w:w="2694" w:type="dxa"/>
            <w:shd w:val="clear" w:color="auto" w:fill="auto"/>
            <w:vAlign w:val="center"/>
            <w:hideMark/>
          </w:tcPr>
          <w:p w14:paraId="15DD28BF" w14:textId="77777777" w:rsidR="00D5288A" w:rsidRPr="00262F3A" w:rsidRDefault="00D5288A" w:rsidP="00AC60F9">
            <w:pPr>
              <w:pStyle w:val="Tableformat"/>
            </w:pPr>
            <w:r w:rsidRPr="00262F3A">
              <w:t>Ms Liz Neville</w:t>
            </w:r>
          </w:p>
        </w:tc>
        <w:tc>
          <w:tcPr>
            <w:tcW w:w="3268" w:type="dxa"/>
            <w:shd w:val="clear" w:color="auto" w:fill="auto"/>
            <w:vAlign w:val="center"/>
            <w:hideMark/>
          </w:tcPr>
          <w:p w14:paraId="6070EC8B" w14:textId="77777777" w:rsidR="00D5288A" w:rsidRPr="00262F3A" w:rsidRDefault="00D5288A" w:rsidP="00AC60F9">
            <w:pPr>
              <w:pStyle w:val="Tableformat"/>
            </w:pPr>
            <w:r w:rsidRPr="00262F3A">
              <w:t>Acting Head of Markets, Provider and Sector Development</w:t>
            </w:r>
          </w:p>
        </w:tc>
        <w:tc>
          <w:tcPr>
            <w:tcW w:w="4103" w:type="dxa"/>
            <w:shd w:val="clear" w:color="auto" w:fill="auto"/>
            <w:vAlign w:val="center"/>
            <w:hideMark/>
          </w:tcPr>
          <w:p w14:paraId="672F836F" w14:textId="77777777" w:rsidR="00D5288A" w:rsidRPr="00262F3A" w:rsidRDefault="00D5288A" w:rsidP="00AC60F9">
            <w:pPr>
              <w:pStyle w:val="Tableformat"/>
            </w:pPr>
            <w:r w:rsidRPr="00262F3A">
              <w:t>Part Year – from 4 July 2019 to 1 March 2020</w:t>
            </w:r>
          </w:p>
        </w:tc>
      </w:tr>
      <w:tr w:rsidR="00D5288A" w:rsidRPr="00262F3A" w14:paraId="109E1C48" w14:textId="77777777" w:rsidTr="0092611F">
        <w:trPr>
          <w:trHeight w:val="533"/>
        </w:trPr>
        <w:tc>
          <w:tcPr>
            <w:tcW w:w="2694" w:type="dxa"/>
            <w:vMerge w:val="restart"/>
            <w:shd w:val="clear" w:color="auto" w:fill="auto"/>
            <w:vAlign w:val="center"/>
            <w:hideMark/>
          </w:tcPr>
          <w:p w14:paraId="2DDF19C5" w14:textId="77777777" w:rsidR="00D5288A" w:rsidRPr="00262F3A" w:rsidRDefault="00D5288A" w:rsidP="00AC60F9">
            <w:pPr>
              <w:pStyle w:val="Tableformat"/>
            </w:pPr>
            <w:r w:rsidRPr="00262F3A">
              <w:t>Mr Victor Walter</w:t>
            </w:r>
          </w:p>
        </w:tc>
        <w:tc>
          <w:tcPr>
            <w:tcW w:w="3268" w:type="dxa"/>
            <w:shd w:val="clear" w:color="auto" w:fill="auto"/>
            <w:vAlign w:val="center"/>
            <w:hideMark/>
          </w:tcPr>
          <w:p w14:paraId="62EC7334" w14:textId="77777777" w:rsidR="00D5288A" w:rsidRPr="00262F3A" w:rsidRDefault="00D5288A" w:rsidP="00AC60F9">
            <w:pPr>
              <w:pStyle w:val="Tableformat"/>
            </w:pPr>
            <w:r w:rsidRPr="00262F3A">
              <w:t xml:space="preserve">DCEO Strategy Development and Chief Risk Officer </w:t>
            </w:r>
          </w:p>
        </w:tc>
        <w:tc>
          <w:tcPr>
            <w:tcW w:w="4103" w:type="dxa"/>
            <w:shd w:val="clear" w:color="auto" w:fill="auto"/>
            <w:vAlign w:val="center"/>
            <w:hideMark/>
          </w:tcPr>
          <w:p w14:paraId="240C8D86" w14:textId="77777777" w:rsidR="00D5288A" w:rsidRPr="00262F3A" w:rsidRDefault="00D5288A" w:rsidP="00AC60F9">
            <w:pPr>
              <w:pStyle w:val="Tableformat"/>
            </w:pPr>
            <w:r w:rsidRPr="00262F3A">
              <w:t>Part Year – to 19 September 2019</w:t>
            </w:r>
          </w:p>
        </w:tc>
      </w:tr>
      <w:tr w:rsidR="00D5288A" w:rsidRPr="00262F3A" w14:paraId="1C3AE3EF" w14:textId="77777777" w:rsidTr="0092611F">
        <w:trPr>
          <w:trHeight w:val="590"/>
        </w:trPr>
        <w:tc>
          <w:tcPr>
            <w:tcW w:w="2694" w:type="dxa"/>
            <w:vMerge/>
            <w:vAlign w:val="center"/>
            <w:hideMark/>
          </w:tcPr>
          <w:p w14:paraId="1CAFBE64" w14:textId="77777777" w:rsidR="00D5288A" w:rsidRPr="00262F3A" w:rsidRDefault="00D5288A" w:rsidP="00AC60F9">
            <w:pPr>
              <w:pStyle w:val="Tableformat"/>
            </w:pPr>
          </w:p>
        </w:tc>
        <w:tc>
          <w:tcPr>
            <w:tcW w:w="3268" w:type="dxa"/>
            <w:shd w:val="clear" w:color="auto" w:fill="auto"/>
            <w:vAlign w:val="center"/>
            <w:hideMark/>
          </w:tcPr>
          <w:p w14:paraId="1D27B9B4" w14:textId="77777777" w:rsidR="00D5288A" w:rsidRPr="00262F3A" w:rsidRDefault="00D5288A" w:rsidP="00AC60F9">
            <w:pPr>
              <w:pStyle w:val="Tableformat"/>
            </w:pPr>
            <w:r w:rsidRPr="00262F3A">
              <w:t>DCEO Participants and Planning Experience</w:t>
            </w:r>
          </w:p>
        </w:tc>
        <w:tc>
          <w:tcPr>
            <w:tcW w:w="4103" w:type="dxa"/>
            <w:shd w:val="clear" w:color="auto" w:fill="auto"/>
            <w:vAlign w:val="center"/>
            <w:hideMark/>
          </w:tcPr>
          <w:p w14:paraId="180BEAC9" w14:textId="77777777" w:rsidR="00D5288A" w:rsidRPr="00262F3A" w:rsidRDefault="00D5288A" w:rsidP="00AC60F9">
            <w:pPr>
              <w:pStyle w:val="Tableformat"/>
            </w:pPr>
            <w:r w:rsidRPr="00262F3A">
              <w:t>Part Year – from 20 September to 8 December 2019</w:t>
            </w:r>
          </w:p>
        </w:tc>
      </w:tr>
      <w:tr w:rsidR="00D5288A" w:rsidRPr="00262F3A" w14:paraId="64A83165" w14:textId="77777777" w:rsidTr="0092611F">
        <w:trPr>
          <w:trHeight w:val="533"/>
        </w:trPr>
        <w:tc>
          <w:tcPr>
            <w:tcW w:w="2694" w:type="dxa"/>
            <w:vMerge/>
            <w:vAlign w:val="center"/>
            <w:hideMark/>
          </w:tcPr>
          <w:p w14:paraId="1A47032C" w14:textId="77777777" w:rsidR="00D5288A" w:rsidRPr="00262F3A" w:rsidRDefault="00D5288A" w:rsidP="00AC60F9">
            <w:pPr>
              <w:pStyle w:val="Tableformat"/>
            </w:pPr>
          </w:p>
        </w:tc>
        <w:tc>
          <w:tcPr>
            <w:tcW w:w="3268" w:type="dxa"/>
            <w:shd w:val="clear" w:color="auto" w:fill="auto"/>
            <w:vAlign w:val="center"/>
            <w:hideMark/>
          </w:tcPr>
          <w:p w14:paraId="31515D11" w14:textId="77777777" w:rsidR="00D5288A" w:rsidRPr="00262F3A" w:rsidRDefault="00D5288A" w:rsidP="00AC60F9">
            <w:pPr>
              <w:pStyle w:val="Tableformat"/>
            </w:pPr>
            <w:r w:rsidRPr="00262F3A">
              <w:t>DCEO Corporate Services and Chief Financial Officer</w:t>
            </w:r>
          </w:p>
        </w:tc>
        <w:tc>
          <w:tcPr>
            <w:tcW w:w="4103" w:type="dxa"/>
            <w:shd w:val="clear" w:color="auto" w:fill="auto"/>
            <w:vAlign w:val="center"/>
            <w:hideMark/>
          </w:tcPr>
          <w:p w14:paraId="196C23DA" w14:textId="77777777" w:rsidR="00D5288A" w:rsidRPr="00262F3A" w:rsidRDefault="00D5288A" w:rsidP="00AC60F9">
            <w:pPr>
              <w:pStyle w:val="Tableformat"/>
            </w:pPr>
            <w:r w:rsidRPr="00262F3A">
              <w:t>Part year – from 9 December 2019</w:t>
            </w:r>
          </w:p>
        </w:tc>
      </w:tr>
      <w:tr w:rsidR="00D5288A" w:rsidRPr="00262F3A" w14:paraId="2E3D7AA6" w14:textId="77777777" w:rsidTr="0092611F">
        <w:trPr>
          <w:trHeight w:val="533"/>
        </w:trPr>
        <w:tc>
          <w:tcPr>
            <w:tcW w:w="2694" w:type="dxa"/>
            <w:vMerge w:val="restart"/>
            <w:shd w:val="clear" w:color="auto" w:fill="auto"/>
            <w:vAlign w:val="center"/>
            <w:hideMark/>
          </w:tcPr>
          <w:p w14:paraId="237BC94F" w14:textId="77777777" w:rsidR="00D5288A" w:rsidRPr="00262F3A" w:rsidRDefault="00D5288A" w:rsidP="00AC60F9">
            <w:pPr>
              <w:pStyle w:val="Tableformat"/>
            </w:pPr>
            <w:r w:rsidRPr="00262F3A">
              <w:t>Ms Melissa Woodburn</w:t>
            </w:r>
          </w:p>
        </w:tc>
        <w:tc>
          <w:tcPr>
            <w:tcW w:w="3268" w:type="dxa"/>
            <w:shd w:val="clear" w:color="auto" w:fill="auto"/>
            <w:vAlign w:val="center"/>
            <w:hideMark/>
          </w:tcPr>
          <w:p w14:paraId="5EE69877" w14:textId="77777777" w:rsidR="00D5288A" w:rsidRPr="00262F3A" w:rsidRDefault="00D5288A" w:rsidP="00AC60F9">
            <w:pPr>
              <w:pStyle w:val="Tableformat"/>
            </w:pPr>
            <w:r w:rsidRPr="00262F3A">
              <w:t>Acting DCEO Corporate Services and CFO</w:t>
            </w:r>
          </w:p>
        </w:tc>
        <w:tc>
          <w:tcPr>
            <w:tcW w:w="4103" w:type="dxa"/>
            <w:shd w:val="clear" w:color="auto" w:fill="auto"/>
            <w:vAlign w:val="center"/>
            <w:hideMark/>
          </w:tcPr>
          <w:p w14:paraId="4F73F2FC" w14:textId="77777777" w:rsidR="00D5288A" w:rsidRPr="00262F3A" w:rsidRDefault="00D5288A" w:rsidP="00AC60F9">
            <w:pPr>
              <w:pStyle w:val="Tableformat"/>
            </w:pPr>
            <w:r w:rsidRPr="00262F3A">
              <w:t>Part Year – from 4 July to 8 December 2019</w:t>
            </w:r>
          </w:p>
        </w:tc>
      </w:tr>
      <w:tr w:rsidR="00D5288A" w:rsidRPr="00262F3A" w14:paraId="2119A6CC" w14:textId="77777777" w:rsidTr="0092611F">
        <w:trPr>
          <w:trHeight w:val="316"/>
        </w:trPr>
        <w:tc>
          <w:tcPr>
            <w:tcW w:w="2694" w:type="dxa"/>
            <w:vMerge/>
            <w:vAlign w:val="center"/>
            <w:hideMark/>
          </w:tcPr>
          <w:p w14:paraId="079708A0" w14:textId="77777777" w:rsidR="00D5288A" w:rsidRPr="00262F3A" w:rsidRDefault="00D5288A" w:rsidP="00AC60F9">
            <w:pPr>
              <w:pStyle w:val="Tableformat"/>
            </w:pPr>
          </w:p>
        </w:tc>
        <w:tc>
          <w:tcPr>
            <w:tcW w:w="3268" w:type="dxa"/>
            <w:shd w:val="clear" w:color="auto" w:fill="auto"/>
            <w:vAlign w:val="center"/>
            <w:hideMark/>
          </w:tcPr>
          <w:p w14:paraId="48329F31" w14:textId="77777777" w:rsidR="00D5288A" w:rsidRPr="00262F3A" w:rsidRDefault="00D5288A" w:rsidP="00AC60F9">
            <w:pPr>
              <w:pStyle w:val="Tableformat"/>
            </w:pPr>
            <w:r w:rsidRPr="00262F3A">
              <w:t>Chief Risk Officer</w:t>
            </w:r>
          </w:p>
        </w:tc>
        <w:tc>
          <w:tcPr>
            <w:tcW w:w="4103" w:type="dxa"/>
            <w:shd w:val="clear" w:color="auto" w:fill="auto"/>
            <w:vAlign w:val="center"/>
            <w:hideMark/>
          </w:tcPr>
          <w:p w14:paraId="5911F610" w14:textId="77777777" w:rsidR="00D5288A" w:rsidRPr="00262F3A" w:rsidRDefault="00D5288A" w:rsidP="00AC60F9">
            <w:pPr>
              <w:pStyle w:val="Tableformat"/>
            </w:pPr>
            <w:r w:rsidRPr="00262F3A">
              <w:t>Part Year – from 2 March 2020</w:t>
            </w:r>
          </w:p>
        </w:tc>
      </w:tr>
    </w:tbl>
    <w:p w14:paraId="7020918F" w14:textId="77777777" w:rsidR="00D5288A" w:rsidRPr="00262F3A" w:rsidRDefault="00D5288A" w:rsidP="00561B3B"/>
    <w:p w14:paraId="2C7D16A8" w14:textId="77777777" w:rsidR="001D739F" w:rsidRPr="00262F3A" w:rsidRDefault="001D739F" w:rsidP="00561B3B"/>
    <w:p w14:paraId="55DB00AC" w14:textId="77777777" w:rsidR="001D739F" w:rsidRPr="00262F3A" w:rsidRDefault="001D739F" w:rsidP="00561B3B">
      <w:pPr>
        <w:sectPr w:rsidR="001D739F" w:rsidRPr="00262F3A" w:rsidSect="0024339B">
          <w:headerReference w:type="default" r:id="rId85"/>
          <w:pgSz w:w="11906" w:h="16838"/>
          <w:pgMar w:top="1021" w:right="907" w:bottom="1440" w:left="964" w:header="708" w:footer="708" w:gutter="0"/>
          <w:cols w:space="708"/>
          <w:titlePg/>
          <w:docGrid w:linePitch="360"/>
        </w:sectPr>
      </w:pPr>
    </w:p>
    <w:p w14:paraId="4DB5B7ED" w14:textId="77777777" w:rsidR="001D739F" w:rsidRPr="00262F3A" w:rsidRDefault="001D739F" w:rsidP="008F00D1">
      <w:pPr>
        <w:pStyle w:val="Heading3"/>
      </w:pPr>
      <w:bookmarkStart w:id="167" w:name="_Toc51068006"/>
      <w:r w:rsidRPr="00262F3A">
        <w:lastRenderedPageBreak/>
        <w:t>Information about remuneration of key management personnel</w:t>
      </w:r>
      <w:bookmarkEnd w:id="167"/>
    </w:p>
    <w:p w14:paraId="4F5DD916" w14:textId="1D691295" w:rsidR="001D739F" w:rsidRPr="00262F3A" w:rsidRDefault="001D739F" w:rsidP="00561B3B">
      <w:r w:rsidRPr="00262F3A">
        <w:t xml:space="preserve">The remuneration received or due to be received for each of the Agency’s </w:t>
      </w:r>
      <w:r w:rsidR="00AE6AE5">
        <w:t>KMP</w:t>
      </w:r>
      <w:r w:rsidRPr="00262F3A">
        <w:t xml:space="preserve"> for 2019–20 is summarised in the table below.</w:t>
      </w:r>
    </w:p>
    <w:p w14:paraId="5E5E0099" w14:textId="417FB6D6" w:rsidR="005D5BCA" w:rsidRPr="00262F3A" w:rsidRDefault="005D5BCA" w:rsidP="00901595">
      <w:pPr>
        <w:keepNext/>
      </w:pPr>
      <w:r w:rsidRPr="00262F3A">
        <w:rPr>
          <w:b/>
        </w:rPr>
        <w:t>Table 5.6.2A</w:t>
      </w:r>
      <w:r w:rsidRPr="00B63CEB">
        <w:rPr>
          <w:b/>
        </w:rPr>
        <w:t>:</w:t>
      </w:r>
      <w:r w:rsidRPr="00262F3A">
        <w:t xml:space="preserve"> Key </w:t>
      </w:r>
      <w:r w:rsidR="00AE6AE5">
        <w:t>m</w:t>
      </w:r>
      <w:r w:rsidRPr="00262F3A">
        <w:t xml:space="preserve">anagement </w:t>
      </w:r>
      <w:r w:rsidR="00AE6AE5">
        <w:t>p</w:t>
      </w:r>
      <w:r w:rsidRPr="00262F3A">
        <w:t>ersonnel remuneration</w:t>
      </w: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275"/>
        <w:gridCol w:w="998"/>
        <w:gridCol w:w="1417"/>
        <w:gridCol w:w="1696"/>
        <w:gridCol w:w="997"/>
        <w:gridCol w:w="1418"/>
        <w:gridCol w:w="1276"/>
        <w:gridCol w:w="1417"/>
      </w:tblGrid>
      <w:tr w:rsidR="001D739F" w:rsidRPr="00262F3A" w14:paraId="33447EF5" w14:textId="77777777" w:rsidTr="00E43F61">
        <w:trPr>
          <w:trHeight w:val="705"/>
          <w:tblHeader/>
        </w:trPr>
        <w:tc>
          <w:tcPr>
            <w:tcW w:w="4390" w:type="dxa"/>
            <w:gridSpan w:val="2"/>
            <w:shd w:val="clear" w:color="auto" w:fill="7030A0"/>
            <w:vAlign w:val="center"/>
            <w:hideMark/>
          </w:tcPr>
          <w:p w14:paraId="5749E517" w14:textId="4013ED6B" w:rsidR="001D739F" w:rsidRPr="00262F3A" w:rsidRDefault="001D739F" w:rsidP="00AE6AE5">
            <w:pPr>
              <w:pStyle w:val="Tableformat"/>
              <w:rPr>
                <w:color w:val="FFFFFF" w:themeColor="background1"/>
              </w:rPr>
            </w:pPr>
            <w:r w:rsidRPr="00262F3A">
              <w:rPr>
                <w:color w:val="FFFFFF" w:themeColor="background1"/>
              </w:rPr>
              <w:t xml:space="preserve">Key </w:t>
            </w:r>
            <w:r w:rsidR="00AE6AE5">
              <w:rPr>
                <w:color w:val="FFFFFF" w:themeColor="background1"/>
              </w:rPr>
              <w:t>m</w:t>
            </w:r>
            <w:r w:rsidRPr="00262F3A">
              <w:rPr>
                <w:color w:val="FFFFFF" w:themeColor="background1"/>
              </w:rPr>
              <w:t xml:space="preserve">anagement </w:t>
            </w:r>
            <w:r w:rsidR="00AE6AE5">
              <w:rPr>
                <w:color w:val="FFFFFF" w:themeColor="background1"/>
              </w:rPr>
              <w:t>p</w:t>
            </w:r>
            <w:r w:rsidRPr="00262F3A">
              <w:rPr>
                <w:color w:val="FFFFFF" w:themeColor="background1"/>
              </w:rPr>
              <w:t xml:space="preserve">ersonnel </w:t>
            </w:r>
            <w:r w:rsidR="00AE6AE5">
              <w:rPr>
                <w:color w:val="FFFFFF" w:themeColor="background1"/>
              </w:rPr>
              <w:t>r</w:t>
            </w:r>
            <w:r w:rsidRPr="00262F3A">
              <w:rPr>
                <w:color w:val="FFFFFF" w:themeColor="background1"/>
              </w:rPr>
              <w:t>emuneration</w:t>
            </w:r>
          </w:p>
        </w:tc>
        <w:tc>
          <w:tcPr>
            <w:tcW w:w="3690" w:type="dxa"/>
            <w:gridSpan w:val="3"/>
            <w:shd w:val="clear" w:color="auto" w:fill="7030A0"/>
            <w:vAlign w:val="center"/>
            <w:hideMark/>
          </w:tcPr>
          <w:p w14:paraId="48E698B1" w14:textId="77777777" w:rsidR="001D739F" w:rsidRPr="00262F3A" w:rsidRDefault="001D739F" w:rsidP="00AC60F9">
            <w:pPr>
              <w:pStyle w:val="Tableformat"/>
              <w:rPr>
                <w:color w:val="FFFFFF" w:themeColor="background1"/>
              </w:rPr>
            </w:pPr>
            <w:r w:rsidRPr="00262F3A">
              <w:rPr>
                <w:color w:val="FFFFFF" w:themeColor="background1"/>
              </w:rPr>
              <w:t>Short-term benefits</w:t>
            </w:r>
          </w:p>
        </w:tc>
        <w:tc>
          <w:tcPr>
            <w:tcW w:w="1696" w:type="dxa"/>
            <w:shd w:val="clear" w:color="auto" w:fill="7030A0"/>
            <w:vAlign w:val="center"/>
            <w:hideMark/>
          </w:tcPr>
          <w:p w14:paraId="517CA95F" w14:textId="77777777" w:rsidR="001D739F" w:rsidRPr="00262F3A" w:rsidRDefault="001D739F" w:rsidP="00AC60F9">
            <w:pPr>
              <w:pStyle w:val="Tableformat"/>
              <w:rPr>
                <w:color w:val="FFFFFF" w:themeColor="background1"/>
              </w:rPr>
            </w:pPr>
            <w:r w:rsidRPr="00262F3A">
              <w:rPr>
                <w:color w:val="FFFFFF" w:themeColor="background1"/>
              </w:rPr>
              <w:t>Post-employment benefits</w:t>
            </w:r>
          </w:p>
        </w:tc>
        <w:tc>
          <w:tcPr>
            <w:tcW w:w="2415" w:type="dxa"/>
            <w:gridSpan w:val="2"/>
            <w:shd w:val="clear" w:color="auto" w:fill="7030A0"/>
            <w:vAlign w:val="center"/>
            <w:hideMark/>
          </w:tcPr>
          <w:p w14:paraId="367A9102" w14:textId="77777777" w:rsidR="001D739F" w:rsidRPr="00262F3A" w:rsidRDefault="001D739F" w:rsidP="00AC60F9">
            <w:pPr>
              <w:pStyle w:val="Tableformat"/>
              <w:rPr>
                <w:color w:val="FFFFFF" w:themeColor="background1"/>
              </w:rPr>
            </w:pPr>
            <w:r w:rsidRPr="00262F3A">
              <w:rPr>
                <w:color w:val="FFFFFF" w:themeColor="background1"/>
              </w:rPr>
              <w:t>Other long-term benefits</w:t>
            </w:r>
          </w:p>
        </w:tc>
        <w:tc>
          <w:tcPr>
            <w:tcW w:w="1276" w:type="dxa"/>
            <w:shd w:val="clear" w:color="auto" w:fill="7030A0"/>
            <w:vAlign w:val="center"/>
            <w:hideMark/>
          </w:tcPr>
          <w:p w14:paraId="1719B7FF" w14:textId="2FBD500C" w:rsidR="001D739F" w:rsidRPr="00262F3A" w:rsidRDefault="00AE6AE5" w:rsidP="00AC60F9">
            <w:pPr>
              <w:pStyle w:val="Tableformat"/>
              <w:rPr>
                <w:color w:val="FFFFFF" w:themeColor="background1"/>
              </w:rPr>
            </w:pPr>
            <w:r>
              <w:rPr>
                <w:color w:val="FFFFFF" w:themeColor="background1"/>
              </w:rPr>
              <w:t>Termination b</w:t>
            </w:r>
            <w:r w:rsidR="001D739F" w:rsidRPr="00262F3A">
              <w:rPr>
                <w:color w:val="FFFFFF" w:themeColor="background1"/>
              </w:rPr>
              <w:t>enefits</w:t>
            </w:r>
          </w:p>
        </w:tc>
        <w:tc>
          <w:tcPr>
            <w:tcW w:w="1417" w:type="dxa"/>
            <w:shd w:val="clear" w:color="auto" w:fill="7030A0"/>
            <w:vAlign w:val="center"/>
            <w:hideMark/>
          </w:tcPr>
          <w:p w14:paraId="50B462F0" w14:textId="77777777" w:rsidR="001D739F" w:rsidRPr="00262F3A" w:rsidRDefault="001D739F" w:rsidP="00AC60F9">
            <w:pPr>
              <w:pStyle w:val="Tableformat"/>
              <w:rPr>
                <w:color w:val="FFFFFF" w:themeColor="background1"/>
              </w:rPr>
            </w:pPr>
            <w:r w:rsidRPr="00262F3A">
              <w:rPr>
                <w:color w:val="FFFFFF" w:themeColor="background1"/>
              </w:rPr>
              <w:t>Total remuneration</w:t>
            </w:r>
          </w:p>
        </w:tc>
      </w:tr>
      <w:tr w:rsidR="001D739F" w:rsidRPr="00262F3A" w14:paraId="68B65EC1" w14:textId="77777777" w:rsidTr="00E43F61">
        <w:trPr>
          <w:trHeight w:val="784"/>
          <w:tblHeader/>
        </w:trPr>
        <w:tc>
          <w:tcPr>
            <w:tcW w:w="2263" w:type="dxa"/>
            <w:shd w:val="clear" w:color="auto" w:fill="7030A0"/>
            <w:vAlign w:val="center"/>
            <w:hideMark/>
          </w:tcPr>
          <w:p w14:paraId="65C75AD0" w14:textId="77777777" w:rsidR="001D739F" w:rsidRPr="00262F3A" w:rsidRDefault="001D739F" w:rsidP="00AC60F9">
            <w:pPr>
              <w:pStyle w:val="Tableformat"/>
              <w:rPr>
                <w:color w:val="FFFFFF" w:themeColor="background1"/>
              </w:rPr>
            </w:pPr>
            <w:r w:rsidRPr="00262F3A">
              <w:rPr>
                <w:color w:val="FFFFFF" w:themeColor="background1"/>
              </w:rPr>
              <w:t>Name</w:t>
            </w:r>
          </w:p>
        </w:tc>
        <w:tc>
          <w:tcPr>
            <w:tcW w:w="2127" w:type="dxa"/>
            <w:shd w:val="clear" w:color="auto" w:fill="7030A0"/>
            <w:vAlign w:val="center"/>
            <w:hideMark/>
          </w:tcPr>
          <w:p w14:paraId="2BF3C74A" w14:textId="77777777" w:rsidR="001D739F" w:rsidRPr="00262F3A" w:rsidRDefault="001D739F" w:rsidP="00AC60F9">
            <w:pPr>
              <w:pStyle w:val="Tableformat"/>
              <w:rPr>
                <w:color w:val="FFFFFF" w:themeColor="background1"/>
              </w:rPr>
            </w:pPr>
            <w:r w:rsidRPr="00262F3A">
              <w:rPr>
                <w:color w:val="FFFFFF" w:themeColor="background1"/>
              </w:rPr>
              <w:t>Position title</w:t>
            </w:r>
          </w:p>
        </w:tc>
        <w:tc>
          <w:tcPr>
            <w:tcW w:w="1275" w:type="dxa"/>
            <w:shd w:val="clear" w:color="auto" w:fill="7030A0"/>
            <w:vAlign w:val="center"/>
            <w:hideMark/>
          </w:tcPr>
          <w:p w14:paraId="423120AC" w14:textId="77777777" w:rsidR="001D739F" w:rsidRPr="00262F3A" w:rsidRDefault="001D739F" w:rsidP="00AC60F9">
            <w:pPr>
              <w:pStyle w:val="Tableformat"/>
              <w:rPr>
                <w:color w:val="FFFFFF" w:themeColor="background1"/>
              </w:rPr>
            </w:pPr>
            <w:r w:rsidRPr="00262F3A">
              <w:rPr>
                <w:color w:val="FFFFFF" w:themeColor="background1"/>
              </w:rPr>
              <w:t>Base salary</w:t>
            </w:r>
          </w:p>
        </w:tc>
        <w:tc>
          <w:tcPr>
            <w:tcW w:w="998" w:type="dxa"/>
            <w:shd w:val="clear" w:color="auto" w:fill="7030A0"/>
            <w:vAlign w:val="center"/>
            <w:hideMark/>
          </w:tcPr>
          <w:p w14:paraId="71BF4890" w14:textId="77777777" w:rsidR="001D739F" w:rsidRPr="00262F3A" w:rsidRDefault="00D5288A" w:rsidP="00AC60F9">
            <w:pPr>
              <w:pStyle w:val="Tableformat"/>
              <w:rPr>
                <w:color w:val="FFFFFF" w:themeColor="background1"/>
              </w:rPr>
            </w:pPr>
            <w:r w:rsidRPr="00262F3A">
              <w:rPr>
                <w:color w:val="FFFFFF" w:themeColor="background1"/>
              </w:rPr>
              <w:t>Bonuses</w:t>
            </w:r>
          </w:p>
        </w:tc>
        <w:tc>
          <w:tcPr>
            <w:tcW w:w="1417" w:type="dxa"/>
            <w:shd w:val="clear" w:color="auto" w:fill="7030A0"/>
            <w:vAlign w:val="center"/>
            <w:hideMark/>
          </w:tcPr>
          <w:p w14:paraId="524FB399" w14:textId="77777777" w:rsidR="001D739F" w:rsidRPr="00262F3A" w:rsidRDefault="001D739F" w:rsidP="00AC60F9">
            <w:pPr>
              <w:pStyle w:val="Tableformat"/>
              <w:rPr>
                <w:color w:val="FFFFFF" w:themeColor="background1"/>
              </w:rPr>
            </w:pPr>
            <w:r w:rsidRPr="00262F3A">
              <w:rPr>
                <w:color w:val="FFFFFF" w:themeColor="background1"/>
              </w:rPr>
              <w:t>Other benefits and al</w:t>
            </w:r>
            <w:r w:rsidR="00D5288A" w:rsidRPr="00262F3A">
              <w:rPr>
                <w:color w:val="FFFFFF" w:themeColor="background1"/>
              </w:rPr>
              <w:t xml:space="preserve">lowances </w:t>
            </w:r>
          </w:p>
        </w:tc>
        <w:tc>
          <w:tcPr>
            <w:tcW w:w="1696" w:type="dxa"/>
            <w:shd w:val="clear" w:color="auto" w:fill="7030A0"/>
            <w:vAlign w:val="center"/>
            <w:hideMark/>
          </w:tcPr>
          <w:p w14:paraId="56A9D504" w14:textId="77777777" w:rsidR="001D739F" w:rsidRPr="00262F3A" w:rsidRDefault="00D5288A" w:rsidP="00AC60F9">
            <w:pPr>
              <w:pStyle w:val="Tableformat"/>
              <w:rPr>
                <w:color w:val="FFFFFF" w:themeColor="background1"/>
              </w:rPr>
            </w:pPr>
            <w:r w:rsidRPr="00262F3A">
              <w:rPr>
                <w:color w:val="FFFFFF" w:themeColor="background1"/>
              </w:rPr>
              <w:t>Superannuation contributions</w:t>
            </w:r>
          </w:p>
        </w:tc>
        <w:tc>
          <w:tcPr>
            <w:tcW w:w="997" w:type="dxa"/>
            <w:shd w:val="clear" w:color="auto" w:fill="7030A0"/>
            <w:vAlign w:val="center"/>
            <w:hideMark/>
          </w:tcPr>
          <w:p w14:paraId="4C5DCB86" w14:textId="77777777" w:rsidR="001D739F" w:rsidRPr="00262F3A" w:rsidRDefault="001D739F" w:rsidP="00AC60F9">
            <w:pPr>
              <w:pStyle w:val="Tableformat"/>
              <w:rPr>
                <w:color w:val="FFFFFF" w:themeColor="background1"/>
              </w:rPr>
            </w:pPr>
            <w:r w:rsidRPr="00262F3A">
              <w:rPr>
                <w:color w:val="FFFFFF" w:themeColor="background1"/>
              </w:rPr>
              <w:t xml:space="preserve">Long service leave </w:t>
            </w:r>
          </w:p>
        </w:tc>
        <w:tc>
          <w:tcPr>
            <w:tcW w:w="1418" w:type="dxa"/>
            <w:shd w:val="clear" w:color="auto" w:fill="7030A0"/>
            <w:vAlign w:val="center"/>
            <w:hideMark/>
          </w:tcPr>
          <w:p w14:paraId="4555C20D" w14:textId="77777777" w:rsidR="001D739F" w:rsidRPr="00262F3A" w:rsidRDefault="001D739F" w:rsidP="00AC60F9">
            <w:pPr>
              <w:pStyle w:val="Tableformat"/>
              <w:rPr>
                <w:color w:val="FFFFFF" w:themeColor="background1"/>
              </w:rPr>
            </w:pPr>
            <w:r w:rsidRPr="00262F3A">
              <w:rPr>
                <w:color w:val="FFFFFF" w:themeColor="background1"/>
              </w:rPr>
              <w:t>Other long-term benefits</w:t>
            </w:r>
          </w:p>
        </w:tc>
        <w:tc>
          <w:tcPr>
            <w:tcW w:w="1276" w:type="dxa"/>
            <w:shd w:val="clear" w:color="auto" w:fill="7030A0"/>
            <w:vAlign w:val="center"/>
            <w:hideMark/>
          </w:tcPr>
          <w:p w14:paraId="0602358F" w14:textId="77777777" w:rsidR="001D739F" w:rsidRPr="00262F3A" w:rsidRDefault="001D739F" w:rsidP="00AC60F9">
            <w:pPr>
              <w:pStyle w:val="Tableformat"/>
              <w:rPr>
                <w:color w:val="FFFFFF" w:themeColor="background1"/>
              </w:rPr>
            </w:pPr>
          </w:p>
        </w:tc>
        <w:tc>
          <w:tcPr>
            <w:tcW w:w="1417" w:type="dxa"/>
            <w:shd w:val="clear" w:color="auto" w:fill="7030A0"/>
            <w:vAlign w:val="center"/>
            <w:hideMark/>
          </w:tcPr>
          <w:p w14:paraId="1DCD5158" w14:textId="77777777" w:rsidR="001D739F" w:rsidRPr="00262F3A" w:rsidRDefault="001D739F" w:rsidP="00AC60F9">
            <w:pPr>
              <w:pStyle w:val="Tableformat"/>
              <w:rPr>
                <w:color w:val="FFFFFF" w:themeColor="background1"/>
              </w:rPr>
            </w:pPr>
          </w:p>
        </w:tc>
      </w:tr>
      <w:tr w:rsidR="001D739F" w:rsidRPr="00262F3A" w14:paraId="62CF05EF" w14:textId="77777777" w:rsidTr="00E43F61">
        <w:trPr>
          <w:trHeight w:val="510"/>
        </w:trPr>
        <w:tc>
          <w:tcPr>
            <w:tcW w:w="2263" w:type="dxa"/>
            <w:shd w:val="clear" w:color="auto" w:fill="auto"/>
            <w:vAlign w:val="center"/>
          </w:tcPr>
          <w:p w14:paraId="375DFE63" w14:textId="77777777" w:rsidR="001D739F" w:rsidRPr="00262F3A" w:rsidRDefault="001D739F" w:rsidP="00AC60F9">
            <w:pPr>
              <w:pStyle w:val="Tableformat"/>
            </w:pPr>
            <w:r w:rsidRPr="00262F3A">
              <w:t>Dr Helen Nugent AO</w:t>
            </w:r>
          </w:p>
        </w:tc>
        <w:tc>
          <w:tcPr>
            <w:tcW w:w="2127" w:type="dxa"/>
            <w:shd w:val="clear" w:color="auto" w:fill="auto"/>
            <w:vAlign w:val="center"/>
          </w:tcPr>
          <w:p w14:paraId="2BF4E180" w14:textId="77777777" w:rsidR="001D739F" w:rsidRPr="00262F3A" w:rsidRDefault="001D739F" w:rsidP="00AC60F9">
            <w:pPr>
              <w:pStyle w:val="Tableformat"/>
            </w:pPr>
            <w:r w:rsidRPr="00262F3A">
              <w:t>Board Chairman</w:t>
            </w:r>
          </w:p>
        </w:tc>
        <w:tc>
          <w:tcPr>
            <w:tcW w:w="1275" w:type="dxa"/>
            <w:shd w:val="clear" w:color="auto" w:fill="auto"/>
            <w:vAlign w:val="center"/>
          </w:tcPr>
          <w:p w14:paraId="6C7BB48D" w14:textId="77777777" w:rsidR="001D739F" w:rsidRPr="00262F3A" w:rsidRDefault="001D739F" w:rsidP="00AC60F9">
            <w:pPr>
              <w:pStyle w:val="Tableformat"/>
            </w:pPr>
            <w:r w:rsidRPr="00262F3A">
              <w:t xml:space="preserve">   141,433 </w:t>
            </w:r>
          </w:p>
        </w:tc>
        <w:tc>
          <w:tcPr>
            <w:tcW w:w="998" w:type="dxa"/>
            <w:shd w:val="clear" w:color="auto" w:fill="auto"/>
            <w:vAlign w:val="center"/>
          </w:tcPr>
          <w:p w14:paraId="60CA893F" w14:textId="77777777" w:rsidR="001D739F" w:rsidRPr="00262F3A" w:rsidRDefault="001D739F" w:rsidP="00AC60F9">
            <w:pPr>
              <w:pStyle w:val="Tableformat"/>
            </w:pPr>
            <w:r w:rsidRPr="00262F3A">
              <w:t>- </w:t>
            </w:r>
          </w:p>
        </w:tc>
        <w:tc>
          <w:tcPr>
            <w:tcW w:w="1417" w:type="dxa"/>
            <w:shd w:val="clear" w:color="auto" w:fill="auto"/>
            <w:vAlign w:val="center"/>
          </w:tcPr>
          <w:p w14:paraId="550011D3" w14:textId="77777777" w:rsidR="001D739F" w:rsidRPr="00262F3A" w:rsidRDefault="001D739F" w:rsidP="00AC60F9">
            <w:pPr>
              <w:pStyle w:val="Tableformat"/>
            </w:pPr>
            <w:r w:rsidRPr="00262F3A">
              <w:t>- </w:t>
            </w:r>
          </w:p>
        </w:tc>
        <w:tc>
          <w:tcPr>
            <w:tcW w:w="1696" w:type="dxa"/>
            <w:shd w:val="clear" w:color="auto" w:fill="auto"/>
            <w:vAlign w:val="center"/>
          </w:tcPr>
          <w:p w14:paraId="7EB8A09E" w14:textId="77777777" w:rsidR="001D739F" w:rsidRPr="00262F3A" w:rsidRDefault="001D739F" w:rsidP="00AC60F9">
            <w:pPr>
              <w:pStyle w:val="Tableformat"/>
            </w:pPr>
            <w:r w:rsidRPr="00262F3A">
              <w:t xml:space="preserve">21,781 </w:t>
            </w:r>
          </w:p>
        </w:tc>
        <w:tc>
          <w:tcPr>
            <w:tcW w:w="997" w:type="dxa"/>
            <w:shd w:val="clear" w:color="auto" w:fill="auto"/>
            <w:vAlign w:val="center"/>
          </w:tcPr>
          <w:p w14:paraId="0BF6CCDB" w14:textId="77777777" w:rsidR="001D739F" w:rsidRPr="00262F3A" w:rsidRDefault="001D739F" w:rsidP="00AC60F9">
            <w:pPr>
              <w:pStyle w:val="Tableformat"/>
            </w:pPr>
            <w:r w:rsidRPr="00262F3A">
              <w:t>- </w:t>
            </w:r>
          </w:p>
        </w:tc>
        <w:tc>
          <w:tcPr>
            <w:tcW w:w="1418" w:type="dxa"/>
            <w:shd w:val="clear" w:color="auto" w:fill="auto"/>
            <w:vAlign w:val="center"/>
          </w:tcPr>
          <w:p w14:paraId="161D9FFD" w14:textId="77777777" w:rsidR="001D739F" w:rsidRPr="00262F3A" w:rsidRDefault="001D739F" w:rsidP="00AC60F9">
            <w:pPr>
              <w:pStyle w:val="Tableformat"/>
            </w:pPr>
            <w:r w:rsidRPr="00262F3A">
              <w:t>- </w:t>
            </w:r>
          </w:p>
        </w:tc>
        <w:tc>
          <w:tcPr>
            <w:tcW w:w="1276" w:type="dxa"/>
            <w:shd w:val="clear" w:color="auto" w:fill="auto"/>
            <w:vAlign w:val="center"/>
          </w:tcPr>
          <w:p w14:paraId="098F69C1" w14:textId="77777777" w:rsidR="001D739F" w:rsidRPr="00262F3A" w:rsidRDefault="001D739F" w:rsidP="00AC60F9">
            <w:pPr>
              <w:pStyle w:val="Tableformat"/>
            </w:pPr>
            <w:r w:rsidRPr="00262F3A">
              <w:t>- </w:t>
            </w:r>
          </w:p>
        </w:tc>
        <w:tc>
          <w:tcPr>
            <w:tcW w:w="1417" w:type="dxa"/>
            <w:shd w:val="clear" w:color="auto" w:fill="auto"/>
            <w:vAlign w:val="center"/>
          </w:tcPr>
          <w:p w14:paraId="5DD8D778" w14:textId="77777777" w:rsidR="001D739F" w:rsidRPr="00262F3A" w:rsidRDefault="001D739F" w:rsidP="00AC60F9">
            <w:pPr>
              <w:pStyle w:val="Tableformat"/>
            </w:pPr>
            <w:r w:rsidRPr="00262F3A">
              <w:t xml:space="preserve">          163,214 </w:t>
            </w:r>
          </w:p>
        </w:tc>
      </w:tr>
      <w:tr w:rsidR="001D739F" w:rsidRPr="00262F3A" w14:paraId="78B1709D" w14:textId="77777777" w:rsidTr="00E43F61">
        <w:trPr>
          <w:trHeight w:val="510"/>
        </w:trPr>
        <w:tc>
          <w:tcPr>
            <w:tcW w:w="2263" w:type="dxa"/>
            <w:shd w:val="clear" w:color="auto" w:fill="auto"/>
            <w:vAlign w:val="center"/>
          </w:tcPr>
          <w:p w14:paraId="3B239EE1" w14:textId="77777777" w:rsidR="001D739F" w:rsidRPr="00262F3A" w:rsidRDefault="001D739F" w:rsidP="00AC60F9">
            <w:pPr>
              <w:pStyle w:val="Tableformat"/>
            </w:pPr>
            <w:r w:rsidRPr="00262F3A">
              <w:t>Ms Sandra Birkensleigh</w:t>
            </w:r>
          </w:p>
        </w:tc>
        <w:tc>
          <w:tcPr>
            <w:tcW w:w="2127" w:type="dxa"/>
            <w:shd w:val="clear" w:color="auto" w:fill="auto"/>
            <w:vAlign w:val="center"/>
          </w:tcPr>
          <w:p w14:paraId="6092FDA5" w14:textId="77777777" w:rsidR="001D739F" w:rsidRPr="00262F3A" w:rsidRDefault="001D739F" w:rsidP="00AC60F9">
            <w:pPr>
              <w:pStyle w:val="Tableformat"/>
            </w:pPr>
            <w:r w:rsidRPr="00262F3A">
              <w:t>Board Member</w:t>
            </w:r>
          </w:p>
        </w:tc>
        <w:tc>
          <w:tcPr>
            <w:tcW w:w="1275" w:type="dxa"/>
            <w:shd w:val="clear" w:color="auto" w:fill="auto"/>
            <w:vAlign w:val="center"/>
          </w:tcPr>
          <w:p w14:paraId="02198FF7" w14:textId="77777777" w:rsidR="001D739F" w:rsidRPr="00262F3A" w:rsidRDefault="001D739F" w:rsidP="00AC60F9">
            <w:pPr>
              <w:pStyle w:val="Tableformat"/>
            </w:pPr>
            <w:r w:rsidRPr="00262F3A">
              <w:t xml:space="preserve">87,107 </w:t>
            </w:r>
          </w:p>
        </w:tc>
        <w:tc>
          <w:tcPr>
            <w:tcW w:w="998" w:type="dxa"/>
            <w:shd w:val="clear" w:color="auto" w:fill="auto"/>
            <w:vAlign w:val="center"/>
          </w:tcPr>
          <w:p w14:paraId="29B4B539" w14:textId="77777777" w:rsidR="001D739F" w:rsidRPr="00262F3A" w:rsidRDefault="001D739F" w:rsidP="00AC60F9">
            <w:pPr>
              <w:pStyle w:val="Tableformat"/>
            </w:pPr>
            <w:r w:rsidRPr="00262F3A">
              <w:t>- </w:t>
            </w:r>
          </w:p>
        </w:tc>
        <w:tc>
          <w:tcPr>
            <w:tcW w:w="1417" w:type="dxa"/>
            <w:shd w:val="clear" w:color="auto" w:fill="auto"/>
            <w:vAlign w:val="center"/>
          </w:tcPr>
          <w:p w14:paraId="149911EC" w14:textId="77777777" w:rsidR="001D739F" w:rsidRPr="00262F3A" w:rsidRDefault="001D739F" w:rsidP="00AC60F9">
            <w:pPr>
              <w:pStyle w:val="Tableformat"/>
            </w:pPr>
            <w:r w:rsidRPr="00262F3A">
              <w:t>- </w:t>
            </w:r>
          </w:p>
        </w:tc>
        <w:tc>
          <w:tcPr>
            <w:tcW w:w="1696" w:type="dxa"/>
            <w:shd w:val="clear" w:color="auto" w:fill="auto"/>
            <w:vAlign w:val="center"/>
          </w:tcPr>
          <w:p w14:paraId="4F51366B" w14:textId="77777777" w:rsidR="001D739F" w:rsidRPr="00262F3A" w:rsidRDefault="001D739F" w:rsidP="00AC60F9">
            <w:pPr>
              <w:pStyle w:val="Tableformat"/>
            </w:pPr>
            <w:r w:rsidRPr="00262F3A">
              <w:t xml:space="preserve">13,451 </w:t>
            </w:r>
          </w:p>
        </w:tc>
        <w:tc>
          <w:tcPr>
            <w:tcW w:w="997" w:type="dxa"/>
            <w:shd w:val="clear" w:color="auto" w:fill="auto"/>
            <w:vAlign w:val="center"/>
          </w:tcPr>
          <w:p w14:paraId="79A17CBC" w14:textId="77777777" w:rsidR="001D739F" w:rsidRPr="00262F3A" w:rsidRDefault="001D739F" w:rsidP="00AC60F9">
            <w:pPr>
              <w:pStyle w:val="Tableformat"/>
            </w:pPr>
            <w:r w:rsidRPr="00262F3A">
              <w:t>- </w:t>
            </w:r>
          </w:p>
        </w:tc>
        <w:tc>
          <w:tcPr>
            <w:tcW w:w="1418" w:type="dxa"/>
            <w:shd w:val="clear" w:color="auto" w:fill="auto"/>
            <w:vAlign w:val="center"/>
          </w:tcPr>
          <w:p w14:paraId="433B3EA5" w14:textId="77777777" w:rsidR="001D739F" w:rsidRPr="00262F3A" w:rsidRDefault="001D739F" w:rsidP="00AC60F9">
            <w:pPr>
              <w:pStyle w:val="Tableformat"/>
            </w:pPr>
            <w:r w:rsidRPr="00262F3A">
              <w:t>- </w:t>
            </w:r>
          </w:p>
        </w:tc>
        <w:tc>
          <w:tcPr>
            <w:tcW w:w="1276" w:type="dxa"/>
            <w:shd w:val="clear" w:color="auto" w:fill="auto"/>
            <w:vAlign w:val="center"/>
          </w:tcPr>
          <w:p w14:paraId="52DF0DA4" w14:textId="77777777" w:rsidR="001D739F" w:rsidRPr="00262F3A" w:rsidRDefault="001D739F" w:rsidP="00AC60F9">
            <w:pPr>
              <w:pStyle w:val="Tableformat"/>
            </w:pPr>
            <w:r w:rsidRPr="00262F3A">
              <w:t>- </w:t>
            </w:r>
          </w:p>
        </w:tc>
        <w:tc>
          <w:tcPr>
            <w:tcW w:w="1417" w:type="dxa"/>
            <w:shd w:val="clear" w:color="auto" w:fill="auto"/>
            <w:vAlign w:val="center"/>
          </w:tcPr>
          <w:p w14:paraId="521B3447" w14:textId="77777777" w:rsidR="001D739F" w:rsidRPr="00262F3A" w:rsidRDefault="001D739F" w:rsidP="00AC60F9">
            <w:pPr>
              <w:pStyle w:val="Tableformat"/>
            </w:pPr>
            <w:r w:rsidRPr="00262F3A">
              <w:t xml:space="preserve">          100,558 </w:t>
            </w:r>
          </w:p>
        </w:tc>
      </w:tr>
      <w:tr w:rsidR="001D739F" w:rsidRPr="00262F3A" w14:paraId="2BE5A179" w14:textId="77777777" w:rsidTr="00E43F61">
        <w:trPr>
          <w:trHeight w:val="510"/>
        </w:trPr>
        <w:tc>
          <w:tcPr>
            <w:tcW w:w="2263" w:type="dxa"/>
            <w:shd w:val="clear" w:color="auto" w:fill="auto"/>
            <w:vAlign w:val="center"/>
          </w:tcPr>
          <w:p w14:paraId="4A3A3BA8" w14:textId="77777777" w:rsidR="001D739F" w:rsidRPr="00262F3A" w:rsidRDefault="001D739F" w:rsidP="00AC60F9">
            <w:pPr>
              <w:pStyle w:val="Tableformat"/>
            </w:pPr>
            <w:r w:rsidRPr="00262F3A">
              <w:t>Professor Jane Burns</w:t>
            </w:r>
          </w:p>
        </w:tc>
        <w:tc>
          <w:tcPr>
            <w:tcW w:w="2127" w:type="dxa"/>
            <w:shd w:val="clear" w:color="auto" w:fill="auto"/>
            <w:vAlign w:val="center"/>
          </w:tcPr>
          <w:p w14:paraId="370F895A" w14:textId="77777777" w:rsidR="001D739F" w:rsidRPr="00262F3A" w:rsidRDefault="001D739F" w:rsidP="00AC60F9">
            <w:pPr>
              <w:pStyle w:val="Tableformat"/>
            </w:pPr>
            <w:r w:rsidRPr="00262F3A">
              <w:t>Board Member</w:t>
            </w:r>
          </w:p>
        </w:tc>
        <w:tc>
          <w:tcPr>
            <w:tcW w:w="1275" w:type="dxa"/>
            <w:shd w:val="clear" w:color="auto" w:fill="auto"/>
            <w:vAlign w:val="center"/>
          </w:tcPr>
          <w:p w14:paraId="6A151C0E" w14:textId="77777777" w:rsidR="001D739F" w:rsidRPr="00262F3A" w:rsidRDefault="001D739F" w:rsidP="00AC60F9">
            <w:pPr>
              <w:pStyle w:val="Tableformat"/>
            </w:pPr>
            <w:r w:rsidRPr="00262F3A">
              <w:t xml:space="preserve">35,092 </w:t>
            </w:r>
          </w:p>
        </w:tc>
        <w:tc>
          <w:tcPr>
            <w:tcW w:w="998" w:type="dxa"/>
            <w:shd w:val="clear" w:color="auto" w:fill="auto"/>
            <w:vAlign w:val="center"/>
          </w:tcPr>
          <w:p w14:paraId="46E24789" w14:textId="77777777" w:rsidR="001D739F" w:rsidRPr="00262F3A" w:rsidRDefault="001D739F" w:rsidP="00AC60F9">
            <w:pPr>
              <w:pStyle w:val="Tableformat"/>
            </w:pPr>
            <w:r w:rsidRPr="00262F3A">
              <w:t>- </w:t>
            </w:r>
          </w:p>
        </w:tc>
        <w:tc>
          <w:tcPr>
            <w:tcW w:w="1417" w:type="dxa"/>
            <w:shd w:val="clear" w:color="auto" w:fill="auto"/>
            <w:vAlign w:val="center"/>
          </w:tcPr>
          <w:p w14:paraId="71DF35AC" w14:textId="77777777" w:rsidR="001D739F" w:rsidRPr="00262F3A" w:rsidRDefault="001D739F" w:rsidP="00AC60F9">
            <w:pPr>
              <w:pStyle w:val="Tableformat"/>
            </w:pPr>
            <w:r w:rsidRPr="00262F3A">
              <w:t>- </w:t>
            </w:r>
          </w:p>
        </w:tc>
        <w:tc>
          <w:tcPr>
            <w:tcW w:w="1696" w:type="dxa"/>
            <w:shd w:val="clear" w:color="auto" w:fill="auto"/>
            <w:vAlign w:val="center"/>
          </w:tcPr>
          <w:p w14:paraId="1B1AFEB3" w14:textId="77777777" w:rsidR="001D739F" w:rsidRPr="00262F3A" w:rsidRDefault="001D739F" w:rsidP="00AC60F9">
            <w:pPr>
              <w:pStyle w:val="Tableformat"/>
            </w:pPr>
            <w:r w:rsidRPr="00262F3A">
              <w:t xml:space="preserve">  5,404 </w:t>
            </w:r>
          </w:p>
        </w:tc>
        <w:tc>
          <w:tcPr>
            <w:tcW w:w="997" w:type="dxa"/>
            <w:shd w:val="clear" w:color="auto" w:fill="auto"/>
            <w:vAlign w:val="center"/>
          </w:tcPr>
          <w:p w14:paraId="75A9CC33" w14:textId="77777777" w:rsidR="001D739F" w:rsidRPr="00262F3A" w:rsidRDefault="001D739F" w:rsidP="00AC60F9">
            <w:pPr>
              <w:pStyle w:val="Tableformat"/>
            </w:pPr>
            <w:r w:rsidRPr="00262F3A">
              <w:t>- </w:t>
            </w:r>
          </w:p>
        </w:tc>
        <w:tc>
          <w:tcPr>
            <w:tcW w:w="1418" w:type="dxa"/>
            <w:shd w:val="clear" w:color="auto" w:fill="auto"/>
            <w:vAlign w:val="center"/>
          </w:tcPr>
          <w:p w14:paraId="0E0BC30E" w14:textId="77777777" w:rsidR="001D739F" w:rsidRPr="00262F3A" w:rsidRDefault="001D739F" w:rsidP="00AC60F9">
            <w:pPr>
              <w:pStyle w:val="Tableformat"/>
            </w:pPr>
            <w:r w:rsidRPr="00262F3A">
              <w:t>- </w:t>
            </w:r>
          </w:p>
        </w:tc>
        <w:tc>
          <w:tcPr>
            <w:tcW w:w="1276" w:type="dxa"/>
            <w:shd w:val="clear" w:color="auto" w:fill="auto"/>
            <w:vAlign w:val="center"/>
          </w:tcPr>
          <w:p w14:paraId="7446B3BE" w14:textId="77777777" w:rsidR="001D739F" w:rsidRPr="00262F3A" w:rsidRDefault="001D739F" w:rsidP="00AC60F9">
            <w:pPr>
              <w:pStyle w:val="Tableformat"/>
            </w:pPr>
            <w:r w:rsidRPr="00262F3A">
              <w:t>- </w:t>
            </w:r>
          </w:p>
        </w:tc>
        <w:tc>
          <w:tcPr>
            <w:tcW w:w="1417" w:type="dxa"/>
            <w:shd w:val="clear" w:color="auto" w:fill="auto"/>
            <w:vAlign w:val="center"/>
          </w:tcPr>
          <w:p w14:paraId="576A810D" w14:textId="77777777" w:rsidR="001D739F" w:rsidRPr="00262F3A" w:rsidRDefault="001D739F" w:rsidP="00AC60F9">
            <w:pPr>
              <w:pStyle w:val="Tableformat"/>
            </w:pPr>
            <w:r w:rsidRPr="00262F3A">
              <w:t xml:space="preserve">40,496 </w:t>
            </w:r>
          </w:p>
        </w:tc>
      </w:tr>
      <w:tr w:rsidR="001D739F" w:rsidRPr="00262F3A" w14:paraId="2CF78A8E" w14:textId="77777777" w:rsidTr="00E43F61">
        <w:trPr>
          <w:trHeight w:val="510"/>
        </w:trPr>
        <w:tc>
          <w:tcPr>
            <w:tcW w:w="2263" w:type="dxa"/>
            <w:shd w:val="clear" w:color="auto" w:fill="auto"/>
            <w:vAlign w:val="center"/>
          </w:tcPr>
          <w:p w14:paraId="237058F4" w14:textId="77777777" w:rsidR="001D739F" w:rsidRPr="00262F3A" w:rsidRDefault="001D739F" w:rsidP="00AC60F9">
            <w:pPr>
              <w:pStyle w:val="Tableformat"/>
            </w:pPr>
            <w:r w:rsidRPr="00262F3A">
              <w:t>Mr Glenn Keys AO</w:t>
            </w:r>
          </w:p>
        </w:tc>
        <w:tc>
          <w:tcPr>
            <w:tcW w:w="2127" w:type="dxa"/>
            <w:shd w:val="clear" w:color="auto" w:fill="auto"/>
            <w:vAlign w:val="center"/>
          </w:tcPr>
          <w:p w14:paraId="281152BF" w14:textId="77777777" w:rsidR="001D739F" w:rsidRPr="00262F3A" w:rsidRDefault="001D739F" w:rsidP="00AC60F9">
            <w:pPr>
              <w:pStyle w:val="Tableformat"/>
            </w:pPr>
            <w:r w:rsidRPr="00262F3A">
              <w:t>Board Member</w:t>
            </w:r>
          </w:p>
        </w:tc>
        <w:tc>
          <w:tcPr>
            <w:tcW w:w="1275" w:type="dxa"/>
            <w:shd w:val="clear" w:color="auto" w:fill="auto"/>
            <w:vAlign w:val="center"/>
          </w:tcPr>
          <w:p w14:paraId="3BA03584" w14:textId="77777777" w:rsidR="001D739F" w:rsidRPr="00262F3A" w:rsidRDefault="001D739F" w:rsidP="00AC60F9">
            <w:pPr>
              <w:pStyle w:val="Tableformat"/>
            </w:pPr>
            <w:r w:rsidRPr="00262F3A">
              <w:t xml:space="preserve">70,716 </w:t>
            </w:r>
          </w:p>
        </w:tc>
        <w:tc>
          <w:tcPr>
            <w:tcW w:w="998" w:type="dxa"/>
            <w:shd w:val="clear" w:color="auto" w:fill="auto"/>
            <w:vAlign w:val="center"/>
          </w:tcPr>
          <w:p w14:paraId="0C31D16A" w14:textId="77777777" w:rsidR="001D739F" w:rsidRPr="00262F3A" w:rsidRDefault="001D739F" w:rsidP="00AC60F9">
            <w:pPr>
              <w:pStyle w:val="Tableformat"/>
            </w:pPr>
            <w:r w:rsidRPr="00262F3A">
              <w:t>- </w:t>
            </w:r>
          </w:p>
        </w:tc>
        <w:tc>
          <w:tcPr>
            <w:tcW w:w="1417" w:type="dxa"/>
            <w:shd w:val="clear" w:color="auto" w:fill="auto"/>
            <w:vAlign w:val="center"/>
          </w:tcPr>
          <w:p w14:paraId="6E3B756B" w14:textId="77777777" w:rsidR="001D739F" w:rsidRPr="00262F3A" w:rsidRDefault="001D739F" w:rsidP="00AC60F9">
            <w:pPr>
              <w:pStyle w:val="Tableformat"/>
            </w:pPr>
            <w:r w:rsidRPr="00262F3A">
              <w:t>- </w:t>
            </w:r>
          </w:p>
        </w:tc>
        <w:tc>
          <w:tcPr>
            <w:tcW w:w="1696" w:type="dxa"/>
            <w:shd w:val="clear" w:color="auto" w:fill="auto"/>
            <w:vAlign w:val="center"/>
          </w:tcPr>
          <w:p w14:paraId="7A1486A0" w14:textId="77777777" w:rsidR="001D739F" w:rsidRPr="00262F3A" w:rsidRDefault="001D739F" w:rsidP="00AC60F9">
            <w:pPr>
              <w:pStyle w:val="Tableformat"/>
            </w:pPr>
            <w:r w:rsidRPr="00262F3A">
              <w:t xml:space="preserve">10,716 </w:t>
            </w:r>
          </w:p>
        </w:tc>
        <w:tc>
          <w:tcPr>
            <w:tcW w:w="997" w:type="dxa"/>
            <w:shd w:val="clear" w:color="auto" w:fill="auto"/>
            <w:vAlign w:val="center"/>
          </w:tcPr>
          <w:p w14:paraId="007D929A" w14:textId="77777777" w:rsidR="001D739F" w:rsidRPr="00262F3A" w:rsidRDefault="001D739F" w:rsidP="00AC60F9">
            <w:pPr>
              <w:pStyle w:val="Tableformat"/>
            </w:pPr>
            <w:r w:rsidRPr="00262F3A">
              <w:t>- </w:t>
            </w:r>
          </w:p>
        </w:tc>
        <w:tc>
          <w:tcPr>
            <w:tcW w:w="1418" w:type="dxa"/>
            <w:shd w:val="clear" w:color="auto" w:fill="auto"/>
            <w:vAlign w:val="center"/>
          </w:tcPr>
          <w:p w14:paraId="6C6DD5C4" w14:textId="77777777" w:rsidR="001D739F" w:rsidRPr="00262F3A" w:rsidRDefault="001D739F" w:rsidP="00AC60F9">
            <w:pPr>
              <w:pStyle w:val="Tableformat"/>
            </w:pPr>
            <w:r w:rsidRPr="00262F3A">
              <w:t>- </w:t>
            </w:r>
          </w:p>
        </w:tc>
        <w:tc>
          <w:tcPr>
            <w:tcW w:w="1276" w:type="dxa"/>
            <w:shd w:val="clear" w:color="auto" w:fill="auto"/>
            <w:vAlign w:val="center"/>
          </w:tcPr>
          <w:p w14:paraId="4CAEA668" w14:textId="77777777" w:rsidR="001D739F" w:rsidRPr="00262F3A" w:rsidRDefault="001D739F" w:rsidP="00AC60F9">
            <w:pPr>
              <w:pStyle w:val="Tableformat"/>
            </w:pPr>
            <w:r w:rsidRPr="00262F3A">
              <w:t>- </w:t>
            </w:r>
          </w:p>
        </w:tc>
        <w:tc>
          <w:tcPr>
            <w:tcW w:w="1417" w:type="dxa"/>
            <w:shd w:val="clear" w:color="auto" w:fill="auto"/>
            <w:vAlign w:val="center"/>
          </w:tcPr>
          <w:p w14:paraId="6332BFDE" w14:textId="77777777" w:rsidR="001D739F" w:rsidRPr="00262F3A" w:rsidRDefault="001D739F" w:rsidP="00AC60F9">
            <w:pPr>
              <w:pStyle w:val="Tableformat"/>
            </w:pPr>
            <w:r w:rsidRPr="00262F3A">
              <w:t xml:space="preserve">81,432 </w:t>
            </w:r>
          </w:p>
        </w:tc>
      </w:tr>
      <w:tr w:rsidR="001D739F" w:rsidRPr="00262F3A" w14:paraId="2168B0CF" w14:textId="77777777" w:rsidTr="00E43F61">
        <w:trPr>
          <w:trHeight w:val="510"/>
        </w:trPr>
        <w:tc>
          <w:tcPr>
            <w:tcW w:w="2263" w:type="dxa"/>
            <w:shd w:val="clear" w:color="auto" w:fill="auto"/>
            <w:vAlign w:val="center"/>
          </w:tcPr>
          <w:p w14:paraId="2F8B3A6F" w14:textId="77777777" w:rsidR="001D739F" w:rsidRPr="00262F3A" w:rsidRDefault="001D739F" w:rsidP="00AC60F9">
            <w:pPr>
              <w:pStyle w:val="Tableformat"/>
            </w:pPr>
            <w:r w:rsidRPr="00262F3A">
              <w:t>Ms Robyn Kruk AO</w:t>
            </w:r>
          </w:p>
        </w:tc>
        <w:tc>
          <w:tcPr>
            <w:tcW w:w="2127" w:type="dxa"/>
            <w:shd w:val="clear" w:color="auto" w:fill="auto"/>
            <w:vAlign w:val="center"/>
          </w:tcPr>
          <w:p w14:paraId="0B4D8DCB" w14:textId="77777777" w:rsidR="001D739F" w:rsidRPr="00262F3A" w:rsidRDefault="001D739F" w:rsidP="00AC60F9">
            <w:pPr>
              <w:pStyle w:val="Tableformat"/>
            </w:pPr>
            <w:r w:rsidRPr="00262F3A">
              <w:t>Board Member</w:t>
            </w:r>
          </w:p>
        </w:tc>
        <w:tc>
          <w:tcPr>
            <w:tcW w:w="1275" w:type="dxa"/>
            <w:shd w:val="clear" w:color="auto" w:fill="auto"/>
            <w:vAlign w:val="center"/>
          </w:tcPr>
          <w:p w14:paraId="39455394" w14:textId="77777777" w:rsidR="001D739F" w:rsidRPr="00262F3A" w:rsidRDefault="001D739F" w:rsidP="00AC60F9">
            <w:pPr>
              <w:pStyle w:val="Tableformat"/>
            </w:pPr>
            <w:r w:rsidRPr="00262F3A">
              <w:t xml:space="preserve">70,716 </w:t>
            </w:r>
          </w:p>
        </w:tc>
        <w:tc>
          <w:tcPr>
            <w:tcW w:w="998" w:type="dxa"/>
            <w:shd w:val="clear" w:color="auto" w:fill="auto"/>
            <w:vAlign w:val="center"/>
          </w:tcPr>
          <w:p w14:paraId="33A41C66" w14:textId="77777777" w:rsidR="001D739F" w:rsidRPr="00262F3A" w:rsidRDefault="001D739F" w:rsidP="00AC60F9">
            <w:pPr>
              <w:pStyle w:val="Tableformat"/>
            </w:pPr>
            <w:r w:rsidRPr="00262F3A">
              <w:t>- </w:t>
            </w:r>
          </w:p>
        </w:tc>
        <w:tc>
          <w:tcPr>
            <w:tcW w:w="1417" w:type="dxa"/>
            <w:shd w:val="clear" w:color="auto" w:fill="auto"/>
            <w:vAlign w:val="center"/>
          </w:tcPr>
          <w:p w14:paraId="39E24168" w14:textId="77777777" w:rsidR="001D739F" w:rsidRPr="00262F3A" w:rsidRDefault="001D739F" w:rsidP="00AC60F9">
            <w:pPr>
              <w:pStyle w:val="Tableformat"/>
            </w:pPr>
            <w:r w:rsidRPr="00262F3A">
              <w:t>- </w:t>
            </w:r>
          </w:p>
        </w:tc>
        <w:tc>
          <w:tcPr>
            <w:tcW w:w="1696" w:type="dxa"/>
            <w:shd w:val="clear" w:color="auto" w:fill="auto"/>
            <w:vAlign w:val="center"/>
          </w:tcPr>
          <w:p w14:paraId="37F41025" w14:textId="77777777" w:rsidR="001D739F" w:rsidRPr="00262F3A" w:rsidRDefault="001D739F" w:rsidP="00AC60F9">
            <w:pPr>
              <w:pStyle w:val="Tableformat"/>
            </w:pPr>
            <w:r w:rsidRPr="00262F3A">
              <w:t xml:space="preserve">10,890 </w:t>
            </w:r>
          </w:p>
        </w:tc>
        <w:tc>
          <w:tcPr>
            <w:tcW w:w="997" w:type="dxa"/>
            <w:shd w:val="clear" w:color="auto" w:fill="auto"/>
            <w:vAlign w:val="center"/>
          </w:tcPr>
          <w:p w14:paraId="291C1B5B" w14:textId="77777777" w:rsidR="001D739F" w:rsidRPr="00262F3A" w:rsidRDefault="001D739F" w:rsidP="00AC60F9">
            <w:pPr>
              <w:pStyle w:val="Tableformat"/>
            </w:pPr>
            <w:r w:rsidRPr="00262F3A">
              <w:t>- </w:t>
            </w:r>
          </w:p>
        </w:tc>
        <w:tc>
          <w:tcPr>
            <w:tcW w:w="1418" w:type="dxa"/>
            <w:shd w:val="clear" w:color="auto" w:fill="auto"/>
            <w:vAlign w:val="center"/>
          </w:tcPr>
          <w:p w14:paraId="36524993" w14:textId="77777777" w:rsidR="001D739F" w:rsidRPr="00262F3A" w:rsidRDefault="001D739F" w:rsidP="00AC60F9">
            <w:pPr>
              <w:pStyle w:val="Tableformat"/>
            </w:pPr>
            <w:r w:rsidRPr="00262F3A">
              <w:t>- </w:t>
            </w:r>
          </w:p>
        </w:tc>
        <w:tc>
          <w:tcPr>
            <w:tcW w:w="1276" w:type="dxa"/>
            <w:shd w:val="clear" w:color="auto" w:fill="auto"/>
            <w:vAlign w:val="center"/>
          </w:tcPr>
          <w:p w14:paraId="0DDD6C3D" w14:textId="77777777" w:rsidR="001D739F" w:rsidRPr="00262F3A" w:rsidRDefault="001D739F" w:rsidP="00AC60F9">
            <w:pPr>
              <w:pStyle w:val="Tableformat"/>
            </w:pPr>
            <w:r w:rsidRPr="00262F3A">
              <w:t>- </w:t>
            </w:r>
          </w:p>
        </w:tc>
        <w:tc>
          <w:tcPr>
            <w:tcW w:w="1417" w:type="dxa"/>
            <w:shd w:val="clear" w:color="auto" w:fill="auto"/>
            <w:vAlign w:val="center"/>
          </w:tcPr>
          <w:p w14:paraId="028E1FDA" w14:textId="77777777" w:rsidR="001D739F" w:rsidRPr="00262F3A" w:rsidRDefault="001D739F" w:rsidP="00AC60F9">
            <w:pPr>
              <w:pStyle w:val="Tableformat"/>
            </w:pPr>
            <w:r w:rsidRPr="00262F3A">
              <w:t xml:space="preserve">81,606 </w:t>
            </w:r>
          </w:p>
        </w:tc>
      </w:tr>
      <w:tr w:rsidR="001D739F" w:rsidRPr="00262F3A" w14:paraId="46821566" w14:textId="77777777" w:rsidTr="00E43F61">
        <w:trPr>
          <w:trHeight w:val="510"/>
        </w:trPr>
        <w:tc>
          <w:tcPr>
            <w:tcW w:w="2263" w:type="dxa"/>
            <w:shd w:val="clear" w:color="auto" w:fill="auto"/>
            <w:vAlign w:val="center"/>
          </w:tcPr>
          <w:p w14:paraId="4853BB09" w14:textId="77777777" w:rsidR="001D739F" w:rsidRPr="00262F3A" w:rsidRDefault="001D739F" w:rsidP="00AC60F9">
            <w:pPr>
              <w:pStyle w:val="Tableformat"/>
            </w:pPr>
            <w:r w:rsidRPr="00262F3A">
              <w:t>Mr John Langoulant AO</w:t>
            </w:r>
          </w:p>
        </w:tc>
        <w:tc>
          <w:tcPr>
            <w:tcW w:w="2127" w:type="dxa"/>
            <w:shd w:val="clear" w:color="auto" w:fill="auto"/>
            <w:vAlign w:val="center"/>
          </w:tcPr>
          <w:p w14:paraId="4F3B1DD6" w14:textId="77777777" w:rsidR="001D739F" w:rsidRPr="00262F3A" w:rsidRDefault="001D739F" w:rsidP="00AC60F9">
            <w:pPr>
              <w:pStyle w:val="Tableformat"/>
            </w:pPr>
            <w:r w:rsidRPr="00262F3A">
              <w:t>Board Member</w:t>
            </w:r>
          </w:p>
        </w:tc>
        <w:tc>
          <w:tcPr>
            <w:tcW w:w="1275" w:type="dxa"/>
            <w:shd w:val="clear" w:color="auto" w:fill="auto"/>
            <w:vAlign w:val="center"/>
          </w:tcPr>
          <w:p w14:paraId="29F48538" w14:textId="77777777" w:rsidR="001D739F" w:rsidRPr="00262F3A" w:rsidRDefault="001D739F" w:rsidP="00AC60F9">
            <w:pPr>
              <w:pStyle w:val="Tableformat"/>
            </w:pPr>
            <w:r w:rsidRPr="00262F3A">
              <w:t xml:space="preserve">85,048 </w:t>
            </w:r>
          </w:p>
        </w:tc>
        <w:tc>
          <w:tcPr>
            <w:tcW w:w="998" w:type="dxa"/>
            <w:shd w:val="clear" w:color="auto" w:fill="auto"/>
            <w:vAlign w:val="center"/>
          </w:tcPr>
          <w:p w14:paraId="24A76D18" w14:textId="77777777" w:rsidR="001D739F" w:rsidRPr="00262F3A" w:rsidRDefault="001D739F" w:rsidP="00AC60F9">
            <w:pPr>
              <w:pStyle w:val="Tableformat"/>
            </w:pPr>
            <w:r w:rsidRPr="00262F3A">
              <w:t>- </w:t>
            </w:r>
          </w:p>
        </w:tc>
        <w:tc>
          <w:tcPr>
            <w:tcW w:w="1417" w:type="dxa"/>
            <w:shd w:val="clear" w:color="auto" w:fill="auto"/>
            <w:vAlign w:val="center"/>
          </w:tcPr>
          <w:p w14:paraId="4610EA97" w14:textId="77777777" w:rsidR="001D739F" w:rsidRPr="00262F3A" w:rsidRDefault="001D739F" w:rsidP="00AC60F9">
            <w:pPr>
              <w:pStyle w:val="Tableformat"/>
            </w:pPr>
            <w:r w:rsidRPr="00262F3A">
              <w:t>- </w:t>
            </w:r>
          </w:p>
        </w:tc>
        <w:tc>
          <w:tcPr>
            <w:tcW w:w="1696" w:type="dxa"/>
            <w:shd w:val="clear" w:color="auto" w:fill="auto"/>
            <w:vAlign w:val="center"/>
          </w:tcPr>
          <w:p w14:paraId="12047787" w14:textId="77777777" w:rsidR="001D739F" w:rsidRPr="00262F3A" w:rsidRDefault="001D739F" w:rsidP="00AC60F9">
            <w:pPr>
              <w:pStyle w:val="Tableformat"/>
            </w:pPr>
            <w:r w:rsidRPr="00262F3A">
              <w:t xml:space="preserve">13,097 </w:t>
            </w:r>
          </w:p>
        </w:tc>
        <w:tc>
          <w:tcPr>
            <w:tcW w:w="997" w:type="dxa"/>
            <w:shd w:val="clear" w:color="auto" w:fill="auto"/>
            <w:vAlign w:val="center"/>
          </w:tcPr>
          <w:p w14:paraId="506A3342" w14:textId="77777777" w:rsidR="001D739F" w:rsidRPr="00262F3A" w:rsidRDefault="001D739F" w:rsidP="00AC60F9">
            <w:pPr>
              <w:pStyle w:val="Tableformat"/>
            </w:pPr>
            <w:r w:rsidRPr="00262F3A">
              <w:t>- </w:t>
            </w:r>
          </w:p>
        </w:tc>
        <w:tc>
          <w:tcPr>
            <w:tcW w:w="1418" w:type="dxa"/>
            <w:shd w:val="clear" w:color="auto" w:fill="auto"/>
            <w:vAlign w:val="center"/>
          </w:tcPr>
          <w:p w14:paraId="153D542E" w14:textId="77777777" w:rsidR="001D739F" w:rsidRPr="00262F3A" w:rsidRDefault="001D739F" w:rsidP="00AC60F9">
            <w:pPr>
              <w:pStyle w:val="Tableformat"/>
            </w:pPr>
            <w:r w:rsidRPr="00262F3A">
              <w:t>- </w:t>
            </w:r>
          </w:p>
        </w:tc>
        <w:tc>
          <w:tcPr>
            <w:tcW w:w="1276" w:type="dxa"/>
            <w:shd w:val="clear" w:color="auto" w:fill="auto"/>
            <w:vAlign w:val="center"/>
          </w:tcPr>
          <w:p w14:paraId="6CD31D15" w14:textId="77777777" w:rsidR="001D739F" w:rsidRPr="00262F3A" w:rsidRDefault="001D739F" w:rsidP="00AC60F9">
            <w:pPr>
              <w:pStyle w:val="Tableformat"/>
            </w:pPr>
            <w:r w:rsidRPr="00262F3A">
              <w:t>- </w:t>
            </w:r>
          </w:p>
        </w:tc>
        <w:tc>
          <w:tcPr>
            <w:tcW w:w="1417" w:type="dxa"/>
            <w:shd w:val="clear" w:color="auto" w:fill="auto"/>
            <w:vAlign w:val="center"/>
          </w:tcPr>
          <w:p w14:paraId="7A0FAD8E" w14:textId="77777777" w:rsidR="001D739F" w:rsidRPr="00262F3A" w:rsidRDefault="001D739F" w:rsidP="00AC60F9">
            <w:pPr>
              <w:pStyle w:val="Tableformat"/>
            </w:pPr>
            <w:r w:rsidRPr="00262F3A">
              <w:t xml:space="preserve">98,145 </w:t>
            </w:r>
          </w:p>
        </w:tc>
      </w:tr>
      <w:tr w:rsidR="001D739F" w:rsidRPr="00262F3A" w14:paraId="7457B96B" w14:textId="77777777" w:rsidTr="00E43F61">
        <w:trPr>
          <w:trHeight w:val="510"/>
        </w:trPr>
        <w:tc>
          <w:tcPr>
            <w:tcW w:w="2263" w:type="dxa"/>
            <w:shd w:val="clear" w:color="auto" w:fill="auto"/>
            <w:vAlign w:val="center"/>
          </w:tcPr>
          <w:p w14:paraId="077BCACA" w14:textId="77777777" w:rsidR="001D739F" w:rsidRPr="00262F3A" w:rsidRDefault="001D739F" w:rsidP="00AC60F9">
            <w:pPr>
              <w:pStyle w:val="Tableformat"/>
            </w:pPr>
            <w:r w:rsidRPr="00262F3A">
              <w:t>Dr Martin Laverty</w:t>
            </w:r>
          </w:p>
        </w:tc>
        <w:tc>
          <w:tcPr>
            <w:tcW w:w="2127" w:type="dxa"/>
            <w:shd w:val="clear" w:color="auto" w:fill="auto"/>
            <w:vAlign w:val="center"/>
          </w:tcPr>
          <w:p w14:paraId="331F6DF7" w14:textId="77777777" w:rsidR="001D739F" w:rsidRPr="00262F3A" w:rsidRDefault="001D739F" w:rsidP="00AC60F9">
            <w:pPr>
              <w:pStyle w:val="Tableformat"/>
            </w:pPr>
            <w:r w:rsidRPr="00262F3A">
              <w:t>Board Member</w:t>
            </w:r>
          </w:p>
        </w:tc>
        <w:tc>
          <w:tcPr>
            <w:tcW w:w="1275" w:type="dxa"/>
            <w:shd w:val="clear" w:color="auto" w:fill="auto"/>
            <w:vAlign w:val="center"/>
          </w:tcPr>
          <w:p w14:paraId="57CA7A9D" w14:textId="77777777" w:rsidR="001D739F" w:rsidRPr="00262F3A" w:rsidRDefault="001D739F" w:rsidP="00AC60F9">
            <w:pPr>
              <w:pStyle w:val="Tableformat"/>
            </w:pPr>
            <w:r w:rsidRPr="00262F3A">
              <w:t xml:space="preserve">78,912 </w:t>
            </w:r>
          </w:p>
        </w:tc>
        <w:tc>
          <w:tcPr>
            <w:tcW w:w="998" w:type="dxa"/>
            <w:shd w:val="clear" w:color="auto" w:fill="auto"/>
            <w:vAlign w:val="center"/>
          </w:tcPr>
          <w:p w14:paraId="0DCEC9BB" w14:textId="77777777" w:rsidR="001D739F" w:rsidRPr="00262F3A" w:rsidRDefault="001D739F" w:rsidP="00AC60F9">
            <w:pPr>
              <w:pStyle w:val="Tableformat"/>
            </w:pPr>
            <w:r w:rsidRPr="00262F3A">
              <w:t>- </w:t>
            </w:r>
          </w:p>
        </w:tc>
        <w:tc>
          <w:tcPr>
            <w:tcW w:w="1417" w:type="dxa"/>
            <w:shd w:val="clear" w:color="auto" w:fill="auto"/>
            <w:vAlign w:val="center"/>
          </w:tcPr>
          <w:p w14:paraId="511DC59A" w14:textId="77777777" w:rsidR="001D739F" w:rsidRPr="00262F3A" w:rsidRDefault="001D739F" w:rsidP="00AC60F9">
            <w:pPr>
              <w:pStyle w:val="Tableformat"/>
            </w:pPr>
            <w:r w:rsidRPr="00262F3A">
              <w:t>- </w:t>
            </w:r>
          </w:p>
        </w:tc>
        <w:tc>
          <w:tcPr>
            <w:tcW w:w="1696" w:type="dxa"/>
            <w:shd w:val="clear" w:color="auto" w:fill="auto"/>
            <w:vAlign w:val="center"/>
          </w:tcPr>
          <w:p w14:paraId="7E328766" w14:textId="77777777" w:rsidR="001D739F" w:rsidRPr="00262F3A" w:rsidRDefault="001D739F" w:rsidP="00AC60F9">
            <w:pPr>
              <w:pStyle w:val="Tableformat"/>
            </w:pPr>
            <w:r w:rsidRPr="00262F3A">
              <w:t xml:space="preserve">12,012 </w:t>
            </w:r>
          </w:p>
        </w:tc>
        <w:tc>
          <w:tcPr>
            <w:tcW w:w="997" w:type="dxa"/>
            <w:shd w:val="clear" w:color="auto" w:fill="auto"/>
            <w:vAlign w:val="center"/>
          </w:tcPr>
          <w:p w14:paraId="738147D1" w14:textId="77777777" w:rsidR="001D739F" w:rsidRPr="00262F3A" w:rsidRDefault="001D739F" w:rsidP="00AC60F9">
            <w:pPr>
              <w:pStyle w:val="Tableformat"/>
            </w:pPr>
            <w:r w:rsidRPr="00262F3A">
              <w:t>- </w:t>
            </w:r>
          </w:p>
        </w:tc>
        <w:tc>
          <w:tcPr>
            <w:tcW w:w="1418" w:type="dxa"/>
            <w:shd w:val="clear" w:color="auto" w:fill="auto"/>
            <w:vAlign w:val="center"/>
          </w:tcPr>
          <w:p w14:paraId="41AD0F31" w14:textId="77777777" w:rsidR="001D739F" w:rsidRPr="00262F3A" w:rsidRDefault="001D739F" w:rsidP="00AC60F9">
            <w:pPr>
              <w:pStyle w:val="Tableformat"/>
            </w:pPr>
            <w:r w:rsidRPr="00262F3A">
              <w:t>- </w:t>
            </w:r>
          </w:p>
        </w:tc>
        <w:tc>
          <w:tcPr>
            <w:tcW w:w="1276" w:type="dxa"/>
            <w:shd w:val="clear" w:color="auto" w:fill="auto"/>
            <w:vAlign w:val="center"/>
          </w:tcPr>
          <w:p w14:paraId="272CA4CB" w14:textId="77777777" w:rsidR="001D739F" w:rsidRPr="00262F3A" w:rsidRDefault="001D739F" w:rsidP="00AC60F9">
            <w:pPr>
              <w:pStyle w:val="Tableformat"/>
            </w:pPr>
            <w:r w:rsidRPr="00262F3A">
              <w:t>- </w:t>
            </w:r>
          </w:p>
        </w:tc>
        <w:tc>
          <w:tcPr>
            <w:tcW w:w="1417" w:type="dxa"/>
            <w:shd w:val="clear" w:color="auto" w:fill="auto"/>
            <w:vAlign w:val="center"/>
          </w:tcPr>
          <w:p w14:paraId="76BAB8FD" w14:textId="77777777" w:rsidR="001D739F" w:rsidRPr="00262F3A" w:rsidRDefault="001D739F" w:rsidP="00AC60F9">
            <w:pPr>
              <w:pStyle w:val="Tableformat"/>
            </w:pPr>
            <w:r w:rsidRPr="00262F3A">
              <w:t xml:space="preserve">90,924 </w:t>
            </w:r>
          </w:p>
        </w:tc>
      </w:tr>
      <w:tr w:rsidR="001D739F" w:rsidRPr="00262F3A" w14:paraId="0F584561" w14:textId="77777777" w:rsidTr="00E43F61">
        <w:trPr>
          <w:trHeight w:val="510"/>
        </w:trPr>
        <w:tc>
          <w:tcPr>
            <w:tcW w:w="2263" w:type="dxa"/>
            <w:shd w:val="clear" w:color="auto" w:fill="auto"/>
            <w:vAlign w:val="center"/>
          </w:tcPr>
          <w:p w14:paraId="64713348" w14:textId="77777777" w:rsidR="001D739F" w:rsidRPr="00262F3A" w:rsidRDefault="001D739F" w:rsidP="00AC60F9">
            <w:pPr>
              <w:pStyle w:val="Tableformat"/>
            </w:pPr>
            <w:r w:rsidRPr="00262F3A">
              <w:t>Mr James Minto</w:t>
            </w:r>
          </w:p>
        </w:tc>
        <w:tc>
          <w:tcPr>
            <w:tcW w:w="2127" w:type="dxa"/>
            <w:shd w:val="clear" w:color="auto" w:fill="auto"/>
            <w:vAlign w:val="center"/>
          </w:tcPr>
          <w:p w14:paraId="65C94345" w14:textId="77777777" w:rsidR="001D739F" w:rsidRPr="00262F3A" w:rsidRDefault="001D739F" w:rsidP="00AC60F9">
            <w:pPr>
              <w:pStyle w:val="Tableformat"/>
            </w:pPr>
            <w:r w:rsidRPr="00262F3A">
              <w:t>Board Member</w:t>
            </w:r>
          </w:p>
        </w:tc>
        <w:tc>
          <w:tcPr>
            <w:tcW w:w="1275" w:type="dxa"/>
            <w:shd w:val="clear" w:color="auto" w:fill="auto"/>
            <w:vAlign w:val="center"/>
          </w:tcPr>
          <w:p w14:paraId="7526A067" w14:textId="77777777" w:rsidR="001D739F" w:rsidRPr="00262F3A" w:rsidRDefault="001D739F" w:rsidP="00AC60F9">
            <w:pPr>
              <w:pStyle w:val="Tableformat"/>
            </w:pPr>
            <w:r w:rsidRPr="00262F3A">
              <w:t xml:space="preserve">76,853 </w:t>
            </w:r>
          </w:p>
        </w:tc>
        <w:tc>
          <w:tcPr>
            <w:tcW w:w="998" w:type="dxa"/>
            <w:shd w:val="clear" w:color="auto" w:fill="auto"/>
            <w:vAlign w:val="center"/>
          </w:tcPr>
          <w:p w14:paraId="65E496A9" w14:textId="77777777" w:rsidR="001D739F" w:rsidRPr="00262F3A" w:rsidRDefault="001D739F" w:rsidP="00AC60F9">
            <w:pPr>
              <w:pStyle w:val="Tableformat"/>
            </w:pPr>
            <w:r w:rsidRPr="00262F3A">
              <w:t>- </w:t>
            </w:r>
          </w:p>
        </w:tc>
        <w:tc>
          <w:tcPr>
            <w:tcW w:w="1417" w:type="dxa"/>
            <w:shd w:val="clear" w:color="auto" w:fill="auto"/>
            <w:vAlign w:val="center"/>
          </w:tcPr>
          <w:p w14:paraId="0D74CC5B" w14:textId="77777777" w:rsidR="001D739F" w:rsidRPr="00262F3A" w:rsidRDefault="001D739F" w:rsidP="00AC60F9">
            <w:pPr>
              <w:pStyle w:val="Tableformat"/>
            </w:pPr>
            <w:r w:rsidRPr="00262F3A">
              <w:t>- </w:t>
            </w:r>
          </w:p>
        </w:tc>
        <w:tc>
          <w:tcPr>
            <w:tcW w:w="1696" w:type="dxa"/>
            <w:shd w:val="clear" w:color="auto" w:fill="auto"/>
            <w:vAlign w:val="center"/>
          </w:tcPr>
          <w:p w14:paraId="54D0754E" w14:textId="77777777" w:rsidR="001D739F" w:rsidRPr="00262F3A" w:rsidRDefault="001D739F" w:rsidP="00AC60F9">
            <w:pPr>
              <w:pStyle w:val="Tableformat"/>
            </w:pPr>
            <w:r w:rsidRPr="00262F3A">
              <w:t xml:space="preserve">11,835 </w:t>
            </w:r>
          </w:p>
        </w:tc>
        <w:tc>
          <w:tcPr>
            <w:tcW w:w="997" w:type="dxa"/>
            <w:shd w:val="clear" w:color="auto" w:fill="auto"/>
            <w:vAlign w:val="center"/>
          </w:tcPr>
          <w:p w14:paraId="5C311EA8" w14:textId="77777777" w:rsidR="001D739F" w:rsidRPr="00262F3A" w:rsidRDefault="001D739F" w:rsidP="00AC60F9">
            <w:pPr>
              <w:pStyle w:val="Tableformat"/>
            </w:pPr>
            <w:r w:rsidRPr="00262F3A">
              <w:t>- </w:t>
            </w:r>
          </w:p>
        </w:tc>
        <w:tc>
          <w:tcPr>
            <w:tcW w:w="1418" w:type="dxa"/>
            <w:shd w:val="clear" w:color="auto" w:fill="auto"/>
            <w:vAlign w:val="center"/>
          </w:tcPr>
          <w:p w14:paraId="6371ED65" w14:textId="77777777" w:rsidR="001D739F" w:rsidRPr="00262F3A" w:rsidRDefault="001D739F" w:rsidP="00AC60F9">
            <w:pPr>
              <w:pStyle w:val="Tableformat"/>
            </w:pPr>
            <w:r w:rsidRPr="00262F3A">
              <w:t>- </w:t>
            </w:r>
          </w:p>
        </w:tc>
        <w:tc>
          <w:tcPr>
            <w:tcW w:w="1276" w:type="dxa"/>
            <w:shd w:val="clear" w:color="auto" w:fill="auto"/>
            <w:vAlign w:val="center"/>
          </w:tcPr>
          <w:p w14:paraId="24AD17C8" w14:textId="77777777" w:rsidR="001D739F" w:rsidRPr="00262F3A" w:rsidRDefault="001D739F" w:rsidP="00AC60F9">
            <w:pPr>
              <w:pStyle w:val="Tableformat"/>
            </w:pPr>
            <w:r w:rsidRPr="00262F3A">
              <w:t>- </w:t>
            </w:r>
          </w:p>
        </w:tc>
        <w:tc>
          <w:tcPr>
            <w:tcW w:w="1417" w:type="dxa"/>
            <w:shd w:val="clear" w:color="auto" w:fill="auto"/>
            <w:vAlign w:val="center"/>
          </w:tcPr>
          <w:p w14:paraId="1F761033" w14:textId="77777777" w:rsidR="001D739F" w:rsidRPr="00262F3A" w:rsidRDefault="001D739F" w:rsidP="00AC60F9">
            <w:pPr>
              <w:pStyle w:val="Tableformat"/>
            </w:pPr>
            <w:r w:rsidRPr="00262F3A">
              <w:t xml:space="preserve">88,688 </w:t>
            </w:r>
          </w:p>
        </w:tc>
      </w:tr>
      <w:tr w:rsidR="001D739F" w:rsidRPr="00262F3A" w14:paraId="29A922DE" w14:textId="77777777" w:rsidTr="00E43F61">
        <w:trPr>
          <w:trHeight w:val="510"/>
        </w:trPr>
        <w:tc>
          <w:tcPr>
            <w:tcW w:w="2263" w:type="dxa"/>
            <w:shd w:val="clear" w:color="auto" w:fill="auto"/>
            <w:vAlign w:val="center"/>
          </w:tcPr>
          <w:p w14:paraId="486A4D57" w14:textId="77777777" w:rsidR="001D739F" w:rsidRPr="00262F3A" w:rsidRDefault="001D739F" w:rsidP="00AC60F9">
            <w:pPr>
              <w:pStyle w:val="Tableformat"/>
            </w:pPr>
            <w:r w:rsidRPr="00262F3A">
              <w:t>Mr Paul O’Sullivan</w:t>
            </w:r>
          </w:p>
        </w:tc>
        <w:tc>
          <w:tcPr>
            <w:tcW w:w="2127" w:type="dxa"/>
            <w:shd w:val="clear" w:color="auto" w:fill="auto"/>
            <w:vAlign w:val="center"/>
          </w:tcPr>
          <w:p w14:paraId="3125D7CD" w14:textId="77777777" w:rsidR="001D739F" w:rsidRPr="00262F3A" w:rsidRDefault="001D739F" w:rsidP="00AC60F9">
            <w:pPr>
              <w:pStyle w:val="Tableformat"/>
            </w:pPr>
            <w:r w:rsidRPr="00262F3A">
              <w:t>Board Member</w:t>
            </w:r>
          </w:p>
        </w:tc>
        <w:tc>
          <w:tcPr>
            <w:tcW w:w="1275" w:type="dxa"/>
            <w:shd w:val="clear" w:color="auto" w:fill="auto"/>
            <w:vAlign w:val="center"/>
          </w:tcPr>
          <w:p w14:paraId="13D49B1B" w14:textId="77777777" w:rsidR="001D739F" w:rsidRPr="00262F3A" w:rsidRDefault="001D739F" w:rsidP="00AC60F9">
            <w:pPr>
              <w:pStyle w:val="Tableformat"/>
            </w:pPr>
            <w:r w:rsidRPr="00262F3A">
              <w:t xml:space="preserve">70,716 </w:t>
            </w:r>
          </w:p>
        </w:tc>
        <w:tc>
          <w:tcPr>
            <w:tcW w:w="998" w:type="dxa"/>
            <w:shd w:val="clear" w:color="auto" w:fill="auto"/>
            <w:vAlign w:val="center"/>
          </w:tcPr>
          <w:p w14:paraId="5E4F2729" w14:textId="77777777" w:rsidR="001D739F" w:rsidRPr="00262F3A" w:rsidRDefault="001D739F" w:rsidP="00AC60F9">
            <w:pPr>
              <w:pStyle w:val="Tableformat"/>
            </w:pPr>
            <w:r w:rsidRPr="00262F3A">
              <w:t>- </w:t>
            </w:r>
          </w:p>
        </w:tc>
        <w:tc>
          <w:tcPr>
            <w:tcW w:w="1417" w:type="dxa"/>
            <w:shd w:val="clear" w:color="auto" w:fill="auto"/>
            <w:vAlign w:val="center"/>
          </w:tcPr>
          <w:p w14:paraId="1D9E2D42" w14:textId="77777777" w:rsidR="001D739F" w:rsidRPr="00262F3A" w:rsidRDefault="001D739F" w:rsidP="00AC60F9">
            <w:pPr>
              <w:pStyle w:val="Tableformat"/>
            </w:pPr>
            <w:r w:rsidRPr="00262F3A">
              <w:t>- </w:t>
            </w:r>
          </w:p>
        </w:tc>
        <w:tc>
          <w:tcPr>
            <w:tcW w:w="1696" w:type="dxa"/>
            <w:shd w:val="clear" w:color="auto" w:fill="auto"/>
            <w:vAlign w:val="center"/>
          </w:tcPr>
          <w:p w14:paraId="583AFCE4" w14:textId="77777777" w:rsidR="001D739F" w:rsidRPr="00262F3A" w:rsidRDefault="001D739F" w:rsidP="00AC60F9">
            <w:pPr>
              <w:pStyle w:val="Tableformat"/>
            </w:pPr>
            <w:r w:rsidRPr="00262F3A">
              <w:t xml:space="preserve">10,904 </w:t>
            </w:r>
          </w:p>
        </w:tc>
        <w:tc>
          <w:tcPr>
            <w:tcW w:w="997" w:type="dxa"/>
            <w:shd w:val="clear" w:color="auto" w:fill="auto"/>
            <w:vAlign w:val="center"/>
          </w:tcPr>
          <w:p w14:paraId="6A048E58" w14:textId="77777777" w:rsidR="001D739F" w:rsidRPr="00262F3A" w:rsidRDefault="001D739F" w:rsidP="00AC60F9">
            <w:pPr>
              <w:pStyle w:val="Tableformat"/>
            </w:pPr>
            <w:r w:rsidRPr="00262F3A">
              <w:t>- </w:t>
            </w:r>
          </w:p>
        </w:tc>
        <w:tc>
          <w:tcPr>
            <w:tcW w:w="1418" w:type="dxa"/>
            <w:shd w:val="clear" w:color="auto" w:fill="auto"/>
            <w:vAlign w:val="center"/>
          </w:tcPr>
          <w:p w14:paraId="4BD5A5CD" w14:textId="77777777" w:rsidR="001D739F" w:rsidRPr="00262F3A" w:rsidRDefault="001D739F" w:rsidP="00AC60F9">
            <w:pPr>
              <w:pStyle w:val="Tableformat"/>
            </w:pPr>
            <w:r w:rsidRPr="00262F3A">
              <w:t>- </w:t>
            </w:r>
          </w:p>
        </w:tc>
        <w:tc>
          <w:tcPr>
            <w:tcW w:w="1276" w:type="dxa"/>
            <w:shd w:val="clear" w:color="auto" w:fill="auto"/>
            <w:vAlign w:val="center"/>
          </w:tcPr>
          <w:p w14:paraId="5E468F86" w14:textId="77777777" w:rsidR="001D739F" w:rsidRPr="00262F3A" w:rsidRDefault="001D739F" w:rsidP="00AC60F9">
            <w:pPr>
              <w:pStyle w:val="Tableformat"/>
            </w:pPr>
            <w:r w:rsidRPr="00262F3A">
              <w:t>- </w:t>
            </w:r>
          </w:p>
        </w:tc>
        <w:tc>
          <w:tcPr>
            <w:tcW w:w="1417" w:type="dxa"/>
            <w:shd w:val="clear" w:color="auto" w:fill="auto"/>
            <w:vAlign w:val="center"/>
          </w:tcPr>
          <w:p w14:paraId="53FCF0A7" w14:textId="77777777" w:rsidR="001D739F" w:rsidRPr="00262F3A" w:rsidRDefault="001D739F" w:rsidP="00AC60F9">
            <w:pPr>
              <w:pStyle w:val="Tableformat"/>
            </w:pPr>
            <w:r w:rsidRPr="00262F3A">
              <w:t xml:space="preserve">81,620 </w:t>
            </w:r>
          </w:p>
        </w:tc>
      </w:tr>
      <w:tr w:rsidR="001D739F" w:rsidRPr="00262F3A" w14:paraId="196E1528" w14:textId="77777777" w:rsidTr="00E43F61">
        <w:trPr>
          <w:trHeight w:val="510"/>
        </w:trPr>
        <w:tc>
          <w:tcPr>
            <w:tcW w:w="2263" w:type="dxa"/>
            <w:shd w:val="clear" w:color="auto" w:fill="auto"/>
            <w:vAlign w:val="center"/>
          </w:tcPr>
          <w:p w14:paraId="58AB5D36" w14:textId="77777777" w:rsidR="001D739F" w:rsidRPr="00262F3A" w:rsidRDefault="001D739F" w:rsidP="00AC60F9">
            <w:pPr>
              <w:pStyle w:val="Tableformat"/>
            </w:pPr>
            <w:r w:rsidRPr="00262F3A">
              <w:t>Ms Estelle Pearson</w:t>
            </w:r>
          </w:p>
        </w:tc>
        <w:tc>
          <w:tcPr>
            <w:tcW w:w="2127" w:type="dxa"/>
            <w:shd w:val="clear" w:color="auto" w:fill="auto"/>
            <w:vAlign w:val="center"/>
          </w:tcPr>
          <w:p w14:paraId="4123D428" w14:textId="77777777" w:rsidR="001D739F" w:rsidRPr="00262F3A" w:rsidRDefault="001D739F" w:rsidP="00AC60F9">
            <w:pPr>
              <w:pStyle w:val="Tableformat"/>
            </w:pPr>
            <w:r w:rsidRPr="00262F3A">
              <w:t>Board Member</w:t>
            </w:r>
          </w:p>
        </w:tc>
        <w:tc>
          <w:tcPr>
            <w:tcW w:w="1275" w:type="dxa"/>
            <w:shd w:val="clear" w:color="auto" w:fill="auto"/>
            <w:vAlign w:val="center"/>
          </w:tcPr>
          <w:p w14:paraId="168EDFD2" w14:textId="77777777" w:rsidR="001D739F" w:rsidRPr="00262F3A" w:rsidRDefault="001D739F" w:rsidP="00AC60F9">
            <w:pPr>
              <w:pStyle w:val="Tableformat"/>
            </w:pPr>
            <w:r w:rsidRPr="00262F3A">
              <w:t xml:space="preserve">91,175 </w:t>
            </w:r>
          </w:p>
        </w:tc>
        <w:tc>
          <w:tcPr>
            <w:tcW w:w="998" w:type="dxa"/>
            <w:shd w:val="clear" w:color="auto" w:fill="auto"/>
            <w:vAlign w:val="center"/>
          </w:tcPr>
          <w:p w14:paraId="022D343D" w14:textId="77777777" w:rsidR="001D739F" w:rsidRPr="00262F3A" w:rsidRDefault="001D739F" w:rsidP="00AC60F9">
            <w:pPr>
              <w:pStyle w:val="Tableformat"/>
            </w:pPr>
            <w:r w:rsidRPr="00262F3A">
              <w:t>- </w:t>
            </w:r>
          </w:p>
        </w:tc>
        <w:tc>
          <w:tcPr>
            <w:tcW w:w="1417" w:type="dxa"/>
            <w:shd w:val="clear" w:color="auto" w:fill="auto"/>
            <w:vAlign w:val="center"/>
          </w:tcPr>
          <w:p w14:paraId="1B39BD70" w14:textId="77777777" w:rsidR="001D739F" w:rsidRPr="00262F3A" w:rsidRDefault="001D739F" w:rsidP="00AC60F9">
            <w:pPr>
              <w:pStyle w:val="Tableformat"/>
            </w:pPr>
            <w:r w:rsidRPr="00262F3A">
              <w:t>- </w:t>
            </w:r>
          </w:p>
        </w:tc>
        <w:tc>
          <w:tcPr>
            <w:tcW w:w="1696" w:type="dxa"/>
            <w:shd w:val="clear" w:color="auto" w:fill="auto"/>
            <w:vAlign w:val="center"/>
          </w:tcPr>
          <w:p w14:paraId="11252ACA" w14:textId="77777777" w:rsidR="001D739F" w:rsidRPr="00262F3A" w:rsidRDefault="001D739F" w:rsidP="00AC60F9">
            <w:pPr>
              <w:pStyle w:val="Tableformat"/>
            </w:pPr>
            <w:r w:rsidRPr="00262F3A">
              <w:t xml:space="preserve">14,041 </w:t>
            </w:r>
          </w:p>
        </w:tc>
        <w:tc>
          <w:tcPr>
            <w:tcW w:w="997" w:type="dxa"/>
            <w:shd w:val="clear" w:color="auto" w:fill="auto"/>
            <w:vAlign w:val="center"/>
          </w:tcPr>
          <w:p w14:paraId="59E73B3B" w14:textId="77777777" w:rsidR="001D739F" w:rsidRPr="00262F3A" w:rsidRDefault="001D739F" w:rsidP="00AC60F9">
            <w:pPr>
              <w:pStyle w:val="Tableformat"/>
            </w:pPr>
            <w:r w:rsidRPr="00262F3A">
              <w:t>- </w:t>
            </w:r>
          </w:p>
        </w:tc>
        <w:tc>
          <w:tcPr>
            <w:tcW w:w="1418" w:type="dxa"/>
            <w:shd w:val="clear" w:color="auto" w:fill="auto"/>
            <w:vAlign w:val="center"/>
          </w:tcPr>
          <w:p w14:paraId="16D83AF3" w14:textId="77777777" w:rsidR="001D739F" w:rsidRPr="00262F3A" w:rsidRDefault="001D739F" w:rsidP="00AC60F9">
            <w:pPr>
              <w:pStyle w:val="Tableformat"/>
            </w:pPr>
            <w:r w:rsidRPr="00262F3A">
              <w:t>- </w:t>
            </w:r>
          </w:p>
        </w:tc>
        <w:tc>
          <w:tcPr>
            <w:tcW w:w="1276" w:type="dxa"/>
            <w:shd w:val="clear" w:color="auto" w:fill="auto"/>
            <w:vAlign w:val="center"/>
          </w:tcPr>
          <w:p w14:paraId="005A4111" w14:textId="77777777" w:rsidR="001D739F" w:rsidRPr="00262F3A" w:rsidRDefault="001D739F" w:rsidP="00AC60F9">
            <w:pPr>
              <w:pStyle w:val="Tableformat"/>
            </w:pPr>
            <w:r w:rsidRPr="00262F3A">
              <w:t>- </w:t>
            </w:r>
          </w:p>
        </w:tc>
        <w:tc>
          <w:tcPr>
            <w:tcW w:w="1417" w:type="dxa"/>
            <w:shd w:val="clear" w:color="auto" w:fill="auto"/>
            <w:vAlign w:val="center"/>
          </w:tcPr>
          <w:p w14:paraId="217ED2EA" w14:textId="77777777" w:rsidR="001D739F" w:rsidRPr="00262F3A" w:rsidRDefault="001D739F" w:rsidP="00AC60F9">
            <w:pPr>
              <w:pStyle w:val="Tableformat"/>
            </w:pPr>
            <w:r w:rsidRPr="00262F3A">
              <w:t xml:space="preserve">105,216 </w:t>
            </w:r>
          </w:p>
        </w:tc>
      </w:tr>
      <w:tr w:rsidR="001D739F" w:rsidRPr="00262F3A" w14:paraId="0865EEF7" w14:textId="77777777" w:rsidTr="00E43F61">
        <w:trPr>
          <w:trHeight w:val="510"/>
        </w:trPr>
        <w:tc>
          <w:tcPr>
            <w:tcW w:w="2263" w:type="dxa"/>
            <w:shd w:val="clear" w:color="auto" w:fill="auto"/>
            <w:vAlign w:val="center"/>
          </w:tcPr>
          <w:p w14:paraId="2F2E5F99" w14:textId="77777777" w:rsidR="001D739F" w:rsidRPr="00262F3A" w:rsidRDefault="001D739F" w:rsidP="00AC60F9">
            <w:pPr>
              <w:pStyle w:val="Tableformat"/>
            </w:pPr>
            <w:r w:rsidRPr="00262F3A">
              <w:t>Ms Andrea Staines OAM</w:t>
            </w:r>
          </w:p>
        </w:tc>
        <w:tc>
          <w:tcPr>
            <w:tcW w:w="2127" w:type="dxa"/>
            <w:shd w:val="clear" w:color="auto" w:fill="auto"/>
            <w:vAlign w:val="center"/>
          </w:tcPr>
          <w:p w14:paraId="21162FAD" w14:textId="77777777" w:rsidR="001D739F" w:rsidRPr="00262F3A" w:rsidRDefault="001D739F" w:rsidP="00AC60F9">
            <w:pPr>
              <w:pStyle w:val="Tableformat"/>
            </w:pPr>
            <w:r w:rsidRPr="00262F3A">
              <w:t>Board Member</w:t>
            </w:r>
          </w:p>
        </w:tc>
        <w:tc>
          <w:tcPr>
            <w:tcW w:w="1275" w:type="dxa"/>
            <w:shd w:val="clear" w:color="auto" w:fill="auto"/>
            <w:vAlign w:val="center"/>
          </w:tcPr>
          <w:p w14:paraId="6B2FB113" w14:textId="77777777" w:rsidR="001D739F" w:rsidRPr="00262F3A" w:rsidRDefault="001D739F" w:rsidP="00AC60F9">
            <w:pPr>
              <w:pStyle w:val="Tableformat"/>
            </w:pPr>
            <w:r w:rsidRPr="00262F3A">
              <w:t xml:space="preserve">35,624 </w:t>
            </w:r>
          </w:p>
        </w:tc>
        <w:tc>
          <w:tcPr>
            <w:tcW w:w="998" w:type="dxa"/>
            <w:shd w:val="clear" w:color="auto" w:fill="auto"/>
            <w:vAlign w:val="center"/>
          </w:tcPr>
          <w:p w14:paraId="1FA90CB5" w14:textId="77777777" w:rsidR="001D739F" w:rsidRPr="00262F3A" w:rsidRDefault="001D739F" w:rsidP="00AC60F9">
            <w:pPr>
              <w:pStyle w:val="Tableformat"/>
            </w:pPr>
            <w:r w:rsidRPr="00262F3A">
              <w:t>- </w:t>
            </w:r>
          </w:p>
        </w:tc>
        <w:tc>
          <w:tcPr>
            <w:tcW w:w="1417" w:type="dxa"/>
            <w:shd w:val="clear" w:color="auto" w:fill="auto"/>
            <w:vAlign w:val="center"/>
          </w:tcPr>
          <w:p w14:paraId="33593753" w14:textId="77777777" w:rsidR="001D739F" w:rsidRPr="00262F3A" w:rsidRDefault="001D739F" w:rsidP="00AC60F9">
            <w:pPr>
              <w:pStyle w:val="Tableformat"/>
            </w:pPr>
            <w:r w:rsidRPr="00262F3A">
              <w:t>- </w:t>
            </w:r>
          </w:p>
        </w:tc>
        <w:tc>
          <w:tcPr>
            <w:tcW w:w="1696" w:type="dxa"/>
            <w:shd w:val="clear" w:color="auto" w:fill="auto"/>
            <w:vAlign w:val="center"/>
          </w:tcPr>
          <w:p w14:paraId="00AC2E24" w14:textId="77777777" w:rsidR="001D739F" w:rsidRPr="00262F3A" w:rsidRDefault="001D739F" w:rsidP="00AC60F9">
            <w:pPr>
              <w:pStyle w:val="Tableformat"/>
            </w:pPr>
            <w:r w:rsidRPr="00262F3A">
              <w:t xml:space="preserve">  5,486 </w:t>
            </w:r>
          </w:p>
        </w:tc>
        <w:tc>
          <w:tcPr>
            <w:tcW w:w="997" w:type="dxa"/>
            <w:shd w:val="clear" w:color="auto" w:fill="auto"/>
            <w:vAlign w:val="center"/>
          </w:tcPr>
          <w:p w14:paraId="6872DD63" w14:textId="77777777" w:rsidR="001D739F" w:rsidRPr="00262F3A" w:rsidRDefault="001D739F" w:rsidP="00AC60F9">
            <w:pPr>
              <w:pStyle w:val="Tableformat"/>
            </w:pPr>
            <w:r w:rsidRPr="00262F3A">
              <w:t>- </w:t>
            </w:r>
          </w:p>
        </w:tc>
        <w:tc>
          <w:tcPr>
            <w:tcW w:w="1418" w:type="dxa"/>
            <w:shd w:val="clear" w:color="auto" w:fill="auto"/>
            <w:vAlign w:val="center"/>
          </w:tcPr>
          <w:p w14:paraId="19A415A8" w14:textId="77777777" w:rsidR="001D739F" w:rsidRPr="00262F3A" w:rsidRDefault="001D739F" w:rsidP="00AC60F9">
            <w:pPr>
              <w:pStyle w:val="Tableformat"/>
            </w:pPr>
            <w:r w:rsidRPr="00262F3A">
              <w:t>- </w:t>
            </w:r>
          </w:p>
        </w:tc>
        <w:tc>
          <w:tcPr>
            <w:tcW w:w="1276" w:type="dxa"/>
            <w:shd w:val="clear" w:color="auto" w:fill="auto"/>
            <w:vAlign w:val="center"/>
          </w:tcPr>
          <w:p w14:paraId="46DF822E" w14:textId="77777777" w:rsidR="001D739F" w:rsidRPr="00262F3A" w:rsidRDefault="001D739F" w:rsidP="00AC60F9">
            <w:pPr>
              <w:pStyle w:val="Tableformat"/>
            </w:pPr>
            <w:r w:rsidRPr="00262F3A">
              <w:t>- </w:t>
            </w:r>
          </w:p>
        </w:tc>
        <w:tc>
          <w:tcPr>
            <w:tcW w:w="1417" w:type="dxa"/>
            <w:shd w:val="clear" w:color="auto" w:fill="auto"/>
            <w:vAlign w:val="center"/>
          </w:tcPr>
          <w:p w14:paraId="079208BD" w14:textId="77777777" w:rsidR="001D739F" w:rsidRPr="00262F3A" w:rsidRDefault="001D739F" w:rsidP="00AC60F9">
            <w:pPr>
              <w:pStyle w:val="Tableformat"/>
            </w:pPr>
            <w:r w:rsidRPr="00262F3A">
              <w:t xml:space="preserve">41,110 </w:t>
            </w:r>
          </w:p>
        </w:tc>
      </w:tr>
      <w:tr w:rsidR="001D739F" w:rsidRPr="00262F3A" w14:paraId="6BDBE5E6" w14:textId="77777777" w:rsidTr="00E43F61">
        <w:trPr>
          <w:trHeight w:val="510"/>
        </w:trPr>
        <w:tc>
          <w:tcPr>
            <w:tcW w:w="2263" w:type="dxa"/>
            <w:shd w:val="clear" w:color="auto" w:fill="auto"/>
            <w:vAlign w:val="center"/>
          </w:tcPr>
          <w:p w14:paraId="498D24F7" w14:textId="77777777" w:rsidR="001D739F" w:rsidRPr="00262F3A" w:rsidRDefault="001D739F" w:rsidP="00AC60F9">
            <w:pPr>
              <w:pStyle w:val="Tableformat"/>
            </w:pPr>
            <w:r w:rsidRPr="00262F3A">
              <w:lastRenderedPageBreak/>
              <w:t>Mr John Walsh AM</w:t>
            </w:r>
          </w:p>
        </w:tc>
        <w:tc>
          <w:tcPr>
            <w:tcW w:w="2127" w:type="dxa"/>
            <w:shd w:val="clear" w:color="auto" w:fill="auto"/>
            <w:vAlign w:val="center"/>
          </w:tcPr>
          <w:p w14:paraId="46CFEA27" w14:textId="77777777" w:rsidR="001D739F" w:rsidRPr="00262F3A" w:rsidRDefault="001D739F" w:rsidP="00AC60F9">
            <w:pPr>
              <w:pStyle w:val="Tableformat"/>
            </w:pPr>
            <w:r w:rsidRPr="00262F3A">
              <w:t>Board Member</w:t>
            </w:r>
          </w:p>
        </w:tc>
        <w:tc>
          <w:tcPr>
            <w:tcW w:w="1275" w:type="dxa"/>
            <w:shd w:val="clear" w:color="auto" w:fill="auto"/>
            <w:vAlign w:val="center"/>
          </w:tcPr>
          <w:p w14:paraId="3156AC84" w14:textId="77777777" w:rsidR="001D739F" w:rsidRPr="00262F3A" w:rsidRDefault="001D739F" w:rsidP="00AC60F9">
            <w:pPr>
              <w:pStyle w:val="Tableformat"/>
            </w:pPr>
            <w:r w:rsidRPr="00262F3A">
              <w:t xml:space="preserve">102,622 </w:t>
            </w:r>
          </w:p>
        </w:tc>
        <w:tc>
          <w:tcPr>
            <w:tcW w:w="998" w:type="dxa"/>
            <w:shd w:val="clear" w:color="auto" w:fill="auto"/>
            <w:vAlign w:val="center"/>
          </w:tcPr>
          <w:p w14:paraId="65250F54" w14:textId="77777777" w:rsidR="001D739F" w:rsidRPr="00262F3A" w:rsidRDefault="001D739F" w:rsidP="00AC60F9">
            <w:pPr>
              <w:pStyle w:val="Tableformat"/>
            </w:pPr>
            <w:r w:rsidRPr="00262F3A">
              <w:t>- </w:t>
            </w:r>
          </w:p>
        </w:tc>
        <w:tc>
          <w:tcPr>
            <w:tcW w:w="1417" w:type="dxa"/>
            <w:shd w:val="clear" w:color="auto" w:fill="auto"/>
            <w:vAlign w:val="center"/>
          </w:tcPr>
          <w:p w14:paraId="59C9FF60" w14:textId="77777777" w:rsidR="001D739F" w:rsidRPr="00262F3A" w:rsidRDefault="001D739F" w:rsidP="00AC60F9">
            <w:pPr>
              <w:pStyle w:val="Tableformat"/>
            </w:pPr>
            <w:r w:rsidRPr="00262F3A">
              <w:t>- </w:t>
            </w:r>
          </w:p>
        </w:tc>
        <w:tc>
          <w:tcPr>
            <w:tcW w:w="1696" w:type="dxa"/>
            <w:shd w:val="clear" w:color="auto" w:fill="auto"/>
            <w:vAlign w:val="center"/>
          </w:tcPr>
          <w:p w14:paraId="3556FB5D" w14:textId="77777777" w:rsidR="001D739F" w:rsidRPr="00262F3A" w:rsidRDefault="001D739F" w:rsidP="00AC60F9">
            <w:pPr>
              <w:pStyle w:val="Tableformat"/>
            </w:pPr>
            <w:r w:rsidRPr="00262F3A">
              <w:t xml:space="preserve">13,846 </w:t>
            </w:r>
          </w:p>
        </w:tc>
        <w:tc>
          <w:tcPr>
            <w:tcW w:w="997" w:type="dxa"/>
            <w:shd w:val="clear" w:color="auto" w:fill="auto"/>
            <w:vAlign w:val="center"/>
          </w:tcPr>
          <w:p w14:paraId="64F5F16E" w14:textId="77777777" w:rsidR="001D739F" w:rsidRPr="00262F3A" w:rsidRDefault="001D739F" w:rsidP="00AC60F9">
            <w:pPr>
              <w:pStyle w:val="Tableformat"/>
            </w:pPr>
            <w:r w:rsidRPr="00262F3A">
              <w:t>- </w:t>
            </w:r>
          </w:p>
        </w:tc>
        <w:tc>
          <w:tcPr>
            <w:tcW w:w="1418" w:type="dxa"/>
            <w:shd w:val="clear" w:color="auto" w:fill="auto"/>
            <w:vAlign w:val="center"/>
          </w:tcPr>
          <w:p w14:paraId="4A3BF036" w14:textId="77777777" w:rsidR="001D739F" w:rsidRPr="00262F3A" w:rsidRDefault="001D739F" w:rsidP="00AC60F9">
            <w:pPr>
              <w:pStyle w:val="Tableformat"/>
            </w:pPr>
            <w:r w:rsidRPr="00262F3A">
              <w:t>- </w:t>
            </w:r>
          </w:p>
        </w:tc>
        <w:tc>
          <w:tcPr>
            <w:tcW w:w="1276" w:type="dxa"/>
            <w:shd w:val="clear" w:color="auto" w:fill="auto"/>
            <w:vAlign w:val="center"/>
          </w:tcPr>
          <w:p w14:paraId="787B2CFE" w14:textId="77777777" w:rsidR="001D739F" w:rsidRPr="00262F3A" w:rsidRDefault="001D739F" w:rsidP="00AC60F9">
            <w:pPr>
              <w:pStyle w:val="Tableformat"/>
            </w:pPr>
            <w:r w:rsidRPr="00262F3A">
              <w:t>- </w:t>
            </w:r>
          </w:p>
        </w:tc>
        <w:tc>
          <w:tcPr>
            <w:tcW w:w="1417" w:type="dxa"/>
            <w:shd w:val="clear" w:color="auto" w:fill="auto"/>
            <w:vAlign w:val="center"/>
          </w:tcPr>
          <w:p w14:paraId="287A0343" w14:textId="77777777" w:rsidR="001D739F" w:rsidRPr="00262F3A" w:rsidRDefault="001D739F" w:rsidP="00AC60F9">
            <w:pPr>
              <w:pStyle w:val="Tableformat"/>
            </w:pPr>
            <w:r w:rsidRPr="00262F3A">
              <w:t xml:space="preserve">116,468 </w:t>
            </w:r>
          </w:p>
        </w:tc>
      </w:tr>
      <w:tr w:rsidR="001D739F" w:rsidRPr="00262F3A" w14:paraId="46E1368D" w14:textId="77777777" w:rsidTr="00E43F61">
        <w:trPr>
          <w:trHeight w:val="510"/>
        </w:trPr>
        <w:tc>
          <w:tcPr>
            <w:tcW w:w="2263" w:type="dxa"/>
            <w:shd w:val="clear" w:color="auto" w:fill="auto"/>
            <w:vAlign w:val="center"/>
          </w:tcPr>
          <w:p w14:paraId="6E0F8A1C" w14:textId="77777777" w:rsidR="001D739F" w:rsidRPr="00262F3A" w:rsidRDefault="001D739F" w:rsidP="00AC60F9">
            <w:pPr>
              <w:pStyle w:val="Tableformat"/>
            </w:pPr>
            <w:r w:rsidRPr="00262F3A">
              <w:t>Mr Martin Hoffman</w:t>
            </w:r>
          </w:p>
        </w:tc>
        <w:tc>
          <w:tcPr>
            <w:tcW w:w="2127" w:type="dxa"/>
            <w:shd w:val="clear" w:color="auto" w:fill="auto"/>
            <w:vAlign w:val="center"/>
          </w:tcPr>
          <w:p w14:paraId="65324131" w14:textId="77777777" w:rsidR="001D739F" w:rsidRPr="00262F3A" w:rsidRDefault="001D739F" w:rsidP="00AC60F9">
            <w:pPr>
              <w:pStyle w:val="Tableformat"/>
            </w:pPr>
            <w:r w:rsidRPr="00262F3A">
              <w:t>Chief Executive Officer</w:t>
            </w:r>
          </w:p>
        </w:tc>
        <w:tc>
          <w:tcPr>
            <w:tcW w:w="1275" w:type="dxa"/>
            <w:shd w:val="clear" w:color="auto" w:fill="auto"/>
            <w:vAlign w:val="center"/>
          </w:tcPr>
          <w:p w14:paraId="53FBD9BA" w14:textId="77777777" w:rsidR="001D739F" w:rsidRPr="00262F3A" w:rsidRDefault="001D739F" w:rsidP="00AC60F9">
            <w:pPr>
              <w:pStyle w:val="Tableformat"/>
            </w:pPr>
            <w:r w:rsidRPr="00262F3A">
              <w:t xml:space="preserve">437,348 </w:t>
            </w:r>
          </w:p>
        </w:tc>
        <w:tc>
          <w:tcPr>
            <w:tcW w:w="998" w:type="dxa"/>
            <w:shd w:val="clear" w:color="auto" w:fill="auto"/>
            <w:vAlign w:val="center"/>
          </w:tcPr>
          <w:p w14:paraId="7FDCA81B" w14:textId="77777777" w:rsidR="001D739F" w:rsidRPr="00262F3A" w:rsidRDefault="001D739F" w:rsidP="00AC60F9">
            <w:pPr>
              <w:pStyle w:val="Tableformat"/>
            </w:pPr>
            <w:r w:rsidRPr="00262F3A">
              <w:t>- </w:t>
            </w:r>
          </w:p>
        </w:tc>
        <w:tc>
          <w:tcPr>
            <w:tcW w:w="1417" w:type="dxa"/>
            <w:shd w:val="clear" w:color="auto" w:fill="auto"/>
            <w:vAlign w:val="center"/>
          </w:tcPr>
          <w:p w14:paraId="4F2A1775" w14:textId="77777777" w:rsidR="001D739F" w:rsidRPr="00262F3A" w:rsidRDefault="001D739F" w:rsidP="00AC60F9">
            <w:pPr>
              <w:pStyle w:val="Tableformat"/>
            </w:pPr>
            <w:r w:rsidRPr="00262F3A">
              <w:t xml:space="preserve">36,367 </w:t>
            </w:r>
          </w:p>
        </w:tc>
        <w:tc>
          <w:tcPr>
            <w:tcW w:w="1696" w:type="dxa"/>
            <w:shd w:val="clear" w:color="auto" w:fill="auto"/>
            <w:vAlign w:val="center"/>
          </w:tcPr>
          <w:p w14:paraId="1CD2C2E4" w14:textId="77777777" w:rsidR="001D739F" w:rsidRPr="00262F3A" w:rsidRDefault="001D739F" w:rsidP="00AC60F9">
            <w:pPr>
              <w:pStyle w:val="Tableformat"/>
            </w:pPr>
            <w:r w:rsidRPr="00262F3A">
              <w:t xml:space="preserve">15,910 </w:t>
            </w:r>
          </w:p>
        </w:tc>
        <w:tc>
          <w:tcPr>
            <w:tcW w:w="997" w:type="dxa"/>
            <w:shd w:val="clear" w:color="auto" w:fill="auto"/>
            <w:vAlign w:val="center"/>
          </w:tcPr>
          <w:p w14:paraId="5C8B6112" w14:textId="77777777" w:rsidR="001D739F" w:rsidRPr="00262F3A" w:rsidRDefault="001D739F" w:rsidP="00AC60F9">
            <w:pPr>
              <w:pStyle w:val="Tableformat"/>
            </w:pPr>
            <w:r w:rsidRPr="00262F3A">
              <w:t xml:space="preserve">11,786 </w:t>
            </w:r>
          </w:p>
        </w:tc>
        <w:tc>
          <w:tcPr>
            <w:tcW w:w="1418" w:type="dxa"/>
            <w:shd w:val="clear" w:color="auto" w:fill="auto"/>
            <w:vAlign w:val="center"/>
          </w:tcPr>
          <w:p w14:paraId="6A17CAE0" w14:textId="77777777" w:rsidR="001D739F" w:rsidRPr="00262F3A" w:rsidRDefault="001D739F" w:rsidP="00AC60F9">
            <w:pPr>
              <w:pStyle w:val="Tableformat"/>
            </w:pPr>
            <w:r w:rsidRPr="00262F3A">
              <w:t>- </w:t>
            </w:r>
          </w:p>
        </w:tc>
        <w:tc>
          <w:tcPr>
            <w:tcW w:w="1276" w:type="dxa"/>
            <w:shd w:val="clear" w:color="auto" w:fill="auto"/>
            <w:vAlign w:val="center"/>
          </w:tcPr>
          <w:p w14:paraId="2DCEDD53" w14:textId="77777777" w:rsidR="001D739F" w:rsidRPr="00262F3A" w:rsidRDefault="001D739F" w:rsidP="00AC60F9">
            <w:pPr>
              <w:pStyle w:val="Tableformat"/>
            </w:pPr>
            <w:r w:rsidRPr="00262F3A">
              <w:t>- </w:t>
            </w:r>
          </w:p>
        </w:tc>
        <w:tc>
          <w:tcPr>
            <w:tcW w:w="1417" w:type="dxa"/>
            <w:shd w:val="clear" w:color="auto" w:fill="auto"/>
            <w:vAlign w:val="center"/>
          </w:tcPr>
          <w:p w14:paraId="740D8CD8" w14:textId="77777777" w:rsidR="001D739F" w:rsidRPr="00262F3A" w:rsidRDefault="001D739F" w:rsidP="00AC60F9">
            <w:pPr>
              <w:pStyle w:val="Tableformat"/>
            </w:pPr>
            <w:r w:rsidRPr="00262F3A">
              <w:t xml:space="preserve">501,411 </w:t>
            </w:r>
          </w:p>
        </w:tc>
      </w:tr>
      <w:tr w:rsidR="001D739F" w:rsidRPr="00262F3A" w14:paraId="7865A66D" w14:textId="77777777" w:rsidTr="00E43F61">
        <w:trPr>
          <w:trHeight w:val="510"/>
        </w:trPr>
        <w:tc>
          <w:tcPr>
            <w:tcW w:w="2263" w:type="dxa"/>
            <w:shd w:val="clear" w:color="auto" w:fill="auto"/>
            <w:vAlign w:val="center"/>
          </w:tcPr>
          <w:p w14:paraId="48F69145" w14:textId="77777777" w:rsidR="001D739F" w:rsidRPr="00262F3A" w:rsidRDefault="001D739F" w:rsidP="00AC60F9">
            <w:pPr>
              <w:pStyle w:val="Tableformat"/>
            </w:pPr>
            <w:r w:rsidRPr="00262F3A">
              <w:t>Ms Vicki Rundle PSM</w:t>
            </w:r>
          </w:p>
        </w:tc>
        <w:tc>
          <w:tcPr>
            <w:tcW w:w="2127" w:type="dxa"/>
            <w:shd w:val="clear" w:color="auto" w:fill="auto"/>
            <w:vAlign w:val="center"/>
          </w:tcPr>
          <w:p w14:paraId="362FD9EF" w14:textId="77777777" w:rsidR="001D739F" w:rsidRPr="00262F3A" w:rsidRDefault="001D739F" w:rsidP="00AC60F9">
            <w:pPr>
              <w:pStyle w:val="Tableformat"/>
            </w:pPr>
            <w:r w:rsidRPr="00262F3A">
              <w:t>Acting Chief Executive Officer, DCEO Participants and Planning Experience, DCEO Government, Communications and Stakeholder Engagement and DCEO Markets, Government and Engagement</w:t>
            </w:r>
          </w:p>
        </w:tc>
        <w:tc>
          <w:tcPr>
            <w:tcW w:w="1275" w:type="dxa"/>
            <w:shd w:val="clear" w:color="auto" w:fill="auto"/>
            <w:vAlign w:val="center"/>
          </w:tcPr>
          <w:p w14:paraId="64C885CE" w14:textId="77777777" w:rsidR="001D739F" w:rsidRPr="00262F3A" w:rsidRDefault="001D739F" w:rsidP="00AC60F9">
            <w:pPr>
              <w:pStyle w:val="Tableformat"/>
            </w:pPr>
            <w:r w:rsidRPr="00262F3A">
              <w:t xml:space="preserve">374,660 </w:t>
            </w:r>
          </w:p>
        </w:tc>
        <w:tc>
          <w:tcPr>
            <w:tcW w:w="998" w:type="dxa"/>
            <w:shd w:val="clear" w:color="auto" w:fill="auto"/>
            <w:vAlign w:val="center"/>
          </w:tcPr>
          <w:p w14:paraId="7BC223D2" w14:textId="77777777" w:rsidR="001D739F" w:rsidRPr="00262F3A" w:rsidRDefault="001D739F" w:rsidP="00AC60F9">
            <w:pPr>
              <w:pStyle w:val="Tableformat"/>
            </w:pPr>
            <w:r w:rsidRPr="00262F3A">
              <w:t>- </w:t>
            </w:r>
          </w:p>
        </w:tc>
        <w:tc>
          <w:tcPr>
            <w:tcW w:w="1417" w:type="dxa"/>
            <w:shd w:val="clear" w:color="auto" w:fill="auto"/>
            <w:vAlign w:val="center"/>
          </w:tcPr>
          <w:p w14:paraId="61E53662" w14:textId="77777777" w:rsidR="001D739F" w:rsidRPr="00262F3A" w:rsidRDefault="001D739F" w:rsidP="00AC60F9">
            <w:pPr>
              <w:pStyle w:val="Tableformat"/>
            </w:pPr>
            <w:r w:rsidRPr="00262F3A">
              <w:t xml:space="preserve">48,735 </w:t>
            </w:r>
          </w:p>
        </w:tc>
        <w:tc>
          <w:tcPr>
            <w:tcW w:w="1696" w:type="dxa"/>
            <w:shd w:val="clear" w:color="auto" w:fill="auto"/>
            <w:vAlign w:val="center"/>
          </w:tcPr>
          <w:p w14:paraId="31643AA0" w14:textId="77777777" w:rsidR="001D739F" w:rsidRPr="00262F3A" w:rsidRDefault="001D739F" w:rsidP="00AC60F9">
            <w:pPr>
              <w:pStyle w:val="Tableformat"/>
            </w:pPr>
            <w:r w:rsidRPr="00262F3A">
              <w:t xml:space="preserve">52,674 </w:t>
            </w:r>
          </w:p>
        </w:tc>
        <w:tc>
          <w:tcPr>
            <w:tcW w:w="997" w:type="dxa"/>
            <w:shd w:val="clear" w:color="auto" w:fill="auto"/>
            <w:vAlign w:val="center"/>
          </w:tcPr>
          <w:p w14:paraId="6D29CA9D" w14:textId="77777777" w:rsidR="001D739F" w:rsidRPr="00262F3A" w:rsidRDefault="001D739F" w:rsidP="00AC60F9">
            <w:pPr>
              <w:pStyle w:val="Tableformat"/>
            </w:pPr>
            <w:r w:rsidRPr="00262F3A">
              <w:t xml:space="preserve">10,178 </w:t>
            </w:r>
          </w:p>
        </w:tc>
        <w:tc>
          <w:tcPr>
            <w:tcW w:w="1418" w:type="dxa"/>
            <w:shd w:val="clear" w:color="auto" w:fill="auto"/>
            <w:vAlign w:val="center"/>
          </w:tcPr>
          <w:p w14:paraId="774ED59A" w14:textId="77777777" w:rsidR="001D739F" w:rsidRPr="00262F3A" w:rsidRDefault="001D739F" w:rsidP="00AC60F9">
            <w:pPr>
              <w:pStyle w:val="Tableformat"/>
            </w:pPr>
            <w:r w:rsidRPr="00262F3A">
              <w:t>- </w:t>
            </w:r>
          </w:p>
        </w:tc>
        <w:tc>
          <w:tcPr>
            <w:tcW w:w="1276" w:type="dxa"/>
            <w:shd w:val="clear" w:color="auto" w:fill="auto"/>
            <w:vAlign w:val="center"/>
          </w:tcPr>
          <w:p w14:paraId="26657CCB" w14:textId="77777777" w:rsidR="001D739F" w:rsidRPr="00262F3A" w:rsidRDefault="001D739F" w:rsidP="00AC60F9">
            <w:pPr>
              <w:pStyle w:val="Tableformat"/>
            </w:pPr>
            <w:r w:rsidRPr="00262F3A">
              <w:t>- </w:t>
            </w:r>
          </w:p>
        </w:tc>
        <w:tc>
          <w:tcPr>
            <w:tcW w:w="1417" w:type="dxa"/>
            <w:shd w:val="clear" w:color="auto" w:fill="auto"/>
            <w:vAlign w:val="center"/>
          </w:tcPr>
          <w:p w14:paraId="1E71375D" w14:textId="77777777" w:rsidR="001D739F" w:rsidRPr="00262F3A" w:rsidRDefault="001D739F" w:rsidP="00AC60F9">
            <w:pPr>
              <w:pStyle w:val="Tableformat"/>
            </w:pPr>
            <w:r w:rsidRPr="00262F3A">
              <w:t xml:space="preserve">486,247 </w:t>
            </w:r>
          </w:p>
        </w:tc>
      </w:tr>
      <w:tr w:rsidR="001D739F" w:rsidRPr="00262F3A" w14:paraId="1A2B0DE4" w14:textId="77777777" w:rsidTr="00E43F61">
        <w:trPr>
          <w:trHeight w:val="510"/>
        </w:trPr>
        <w:tc>
          <w:tcPr>
            <w:tcW w:w="2263" w:type="dxa"/>
            <w:shd w:val="clear" w:color="auto" w:fill="auto"/>
            <w:vAlign w:val="center"/>
          </w:tcPr>
          <w:p w14:paraId="6EAE93EA" w14:textId="77777777" w:rsidR="001D739F" w:rsidRPr="00262F3A" w:rsidRDefault="001D739F" w:rsidP="00AC60F9">
            <w:pPr>
              <w:pStyle w:val="Tableformat"/>
            </w:pPr>
            <w:r w:rsidRPr="00262F3A">
              <w:t>Mr Hamish Aikman</w:t>
            </w:r>
          </w:p>
        </w:tc>
        <w:tc>
          <w:tcPr>
            <w:tcW w:w="2127" w:type="dxa"/>
            <w:shd w:val="clear" w:color="auto" w:fill="auto"/>
            <w:vAlign w:val="center"/>
          </w:tcPr>
          <w:p w14:paraId="3A6D5CA3" w14:textId="77777777" w:rsidR="001D739F" w:rsidRPr="00262F3A" w:rsidRDefault="001D739F" w:rsidP="00AC60F9">
            <w:pPr>
              <w:pStyle w:val="Tableformat"/>
            </w:pPr>
            <w:r w:rsidRPr="00262F3A">
              <w:t>Chief People Officer</w:t>
            </w:r>
          </w:p>
        </w:tc>
        <w:tc>
          <w:tcPr>
            <w:tcW w:w="1275" w:type="dxa"/>
            <w:shd w:val="clear" w:color="auto" w:fill="auto"/>
            <w:vAlign w:val="center"/>
          </w:tcPr>
          <w:p w14:paraId="1087B0F6" w14:textId="77777777" w:rsidR="001D739F" w:rsidRPr="00262F3A" w:rsidRDefault="001D739F" w:rsidP="00AC60F9">
            <w:pPr>
              <w:pStyle w:val="Tableformat"/>
            </w:pPr>
            <w:r w:rsidRPr="00262F3A">
              <w:t xml:space="preserve">379,432 </w:t>
            </w:r>
          </w:p>
        </w:tc>
        <w:tc>
          <w:tcPr>
            <w:tcW w:w="998" w:type="dxa"/>
            <w:shd w:val="clear" w:color="auto" w:fill="auto"/>
            <w:vAlign w:val="center"/>
          </w:tcPr>
          <w:p w14:paraId="409C7561" w14:textId="77777777" w:rsidR="001D739F" w:rsidRPr="00262F3A" w:rsidRDefault="001D739F" w:rsidP="00AC60F9">
            <w:pPr>
              <w:pStyle w:val="Tableformat"/>
            </w:pPr>
            <w:r w:rsidRPr="00262F3A">
              <w:t>- </w:t>
            </w:r>
          </w:p>
        </w:tc>
        <w:tc>
          <w:tcPr>
            <w:tcW w:w="1417" w:type="dxa"/>
            <w:shd w:val="clear" w:color="auto" w:fill="auto"/>
            <w:vAlign w:val="center"/>
          </w:tcPr>
          <w:p w14:paraId="4D4FE3ED" w14:textId="77777777" w:rsidR="001D739F" w:rsidRPr="00262F3A" w:rsidRDefault="001D739F" w:rsidP="00AC60F9">
            <w:pPr>
              <w:pStyle w:val="Tableformat"/>
            </w:pPr>
            <w:r w:rsidRPr="00262F3A">
              <w:t xml:space="preserve">57,616 </w:t>
            </w:r>
          </w:p>
        </w:tc>
        <w:tc>
          <w:tcPr>
            <w:tcW w:w="1696" w:type="dxa"/>
            <w:shd w:val="clear" w:color="auto" w:fill="auto"/>
            <w:vAlign w:val="center"/>
          </w:tcPr>
          <w:p w14:paraId="0CE7E533" w14:textId="77777777" w:rsidR="001D739F" w:rsidRPr="00262F3A" w:rsidRDefault="001D739F" w:rsidP="00AC60F9">
            <w:pPr>
              <w:pStyle w:val="Tableformat"/>
            </w:pPr>
            <w:r w:rsidRPr="00262F3A">
              <w:t xml:space="preserve">50,515 </w:t>
            </w:r>
          </w:p>
        </w:tc>
        <w:tc>
          <w:tcPr>
            <w:tcW w:w="997" w:type="dxa"/>
            <w:shd w:val="clear" w:color="auto" w:fill="auto"/>
            <w:vAlign w:val="center"/>
          </w:tcPr>
          <w:p w14:paraId="375090CC" w14:textId="77777777" w:rsidR="001D739F" w:rsidRPr="00262F3A" w:rsidRDefault="001D739F" w:rsidP="00AC60F9">
            <w:pPr>
              <w:pStyle w:val="Tableformat"/>
            </w:pPr>
            <w:r w:rsidRPr="00262F3A">
              <w:t xml:space="preserve">  9,751 </w:t>
            </w:r>
          </w:p>
        </w:tc>
        <w:tc>
          <w:tcPr>
            <w:tcW w:w="1418" w:type="dxa"/>
            <w:shd w:val="clear" w:color="auto" w:fill="auto"/>
            <w:vAlign w:val="center"/>
          </w:tcPr>
          <w:p w14:paraId="28CFAF96" w14:textId="77777777" w:rsidR="001D739F" w:rsidRPr="00262F3A" w:rsidRDefault="001D739F" w:rsidP="00AC60F9">
            <w:pPr>
              <w:pStyle w:val="Tableformat"/>
            </w:pPr>
            <w:r w:rsidRPr="00262F3A">
              <w:t>- </w:t>
            </w:r>
          </w:p>
        </w:tc>
        <w:tc>
          <w:tcPr>
            <w:tcW w:w="1276" w:type="dxa"/>
            <w:shd w:val="clear" w:color="auto" w:fill="auto"/>
            <w:vAlign w:val="center"/>
          </w:tcPr>
          <w:p w14:paraId="428FE04A" w14:textId="77777777" w:rsidR="001D739F" w:rsidRPr="00262F3A" w:rsidRDefault="001D739F" w:rsidP="00AC60F9">
            <w:pPr>
              <w:pStyle w:val="Tableformat"/>
            </w:pPr>
            <w:r w:rsidRPr="00262F3A">
              <w:t>- </w:t>
            </w:r>
          </w:p>
        </w:tc>
        <w:tc>
          <w:tcPr>
            <w:tcW w:w="1417" w:type="dxa"/>
            <w:shd w:val="clear" w:color="auto" w:fill="auto"/>
            <w:vAlign w:val="center"/>
          </w:tcPr>
          <w:p w14:paraId="249C45B6" w14:textId="77777777" w:rsidR="001D739F" w:rsidRPr="00262F3A" w:rsidRDefault="001D739F" w:rsidP="00AC60F9">
            <w:pPr>
              <w:pStyle w:val="Tableformat"/>
            </w:pPr>
            <w:r w:rsidRPr="00262F3A">
              <w:t xml:space="preserve">497,314 </w:t>
            </w:r>
          </w:p>
        </w:tc>
      </w:tr>
      <w:tr w:rsidR="001D739F" w:rsidRPr="00262F3A" w14:paraId="5AA9DAAD" w14:textId="77777777" w:rsidTr="00E43F61">
        <w:trPr>
          <w:trHeight w:val="510"/>
        </w:trPr>
        <w:tc>
          <w:tcPr>
            <w:tcW w:w="2263" w:type="dxa"/>
            <w:shd w:val="clear" w:color="auto" w:fill="auto"/>
            <w:vAlign w:val="center"/>
          </w:tcPr>
          <w:p w14:paraId="00C0B534" w14:textId="77777777" w:rsidR="001D739F" w:rsidRPr="00262F3A" w:rsidRDefault="001D739F" w:rsidP="00AC60F9">
            <w:pPr>
              <w:pStyle w:val="Tableformat"/>
            </w:pPr>
            <w:r w:rsidRPr="00262F3A">
              <w:t>Mr Oliver Bladek</w:t>
            </w:r>
          </w:p>
        </w:tc>
        <w:tc>
          <w:tcPr>
            <w:tcW w:w="2127" w:type="dxa"/>
            <w:shd w:val="clear" w:color="auto" w:fill="auto"/>
            <w:vAlign w:val="center"/>
          </w:tcPr>
          <w:p w14:paraId="7BF44967" w14:textId="77777777" w:rsidR="001D739F" w:rsidRPr="00262F3A" w:rsidRDefault="001D739F" w:rsidP="00AC60F9">
            <w:pPr>
              <w:pStyle w:val="Tableformat"/>
            </w:pPr>
            <w:r w:rsidRPr="00262F3A">
              <w:t>DCEO Strategy Development and Chief Risk Officer and DCEO Design, Digital and Strategy</w:t>
            </w:r>
          </w:p>
        </w:tc>
        <w:tc>
          <w:tcPr>
            <w:tcW w:w="1275" w:type="dxa"/>
            <w:shd w:val="clear" w:color="auto" w:fill="auto"/>
            <w:vAlign w:val="center"/>
          </w:tcPr>
          <w:p w14:paraId="65B0F97D" w14:textId="77777777" w:rsidR="001D739F" w:rsidRPr="00262F3A" w:rsidRDefault="001D739F" w:rsidP="00AC60F9">
            <w:pPr>
              <w:pStyle w:val="Tableformat"/>
            </w:pPr>
            <w:r w:rsidRPr="00262F3A">
              <w:t xml:space="preserve">358,298 </w:t>
            </w:r>
          </w:p>
        </w:tc>
        <w:tc>
          <w:tcPr>
            <w:tcW w:w="998" w:type="dxa"/>
            <w:shd w:val="clear" w:color="auto" w:fill="auto"/>
            <w:vAlign w:val="center"/>
          </w:tcPr>
          <w:p w14:paraId="51602C91" w14:textId="77777777" w:rsidR="001D739F" w:rsidRPr="00262F3A" w:rsidRDefault="001D739F" w:rsidP="00AC60F9">
            <w:pPr>
              <w:pStyle w:val="Tableformat"/>
            </w:pPr>
            <w:r w:rsidRPr="00262F3A">
              <w:t>- </w:t>
            </w:r>
          </w:p>
        </w:tc>
        <w:tc>
          <w:tcPr>
            <w:tcW w:w="1417" w:type="dxa"/>
            <w:shd w:val="clear" w:color="auto" w:fill="auto"/>
            <w:vAlign w:val="center"/>
          </w:tcPr>
          <w:p w14:paraId="719A8FB0" w14:textId="77777777" w:rsidR="001D739F" w:rsidRPr="00262F3A" w:rsidRDefault="001D739F" w:rsidP="00AC60F9">
            <w:pPr>
              <w:pStyle w:val="Tableformat"/>
            </w:pPr>
            <w:r w:rsidRPr="00262F3A">
              <w:t xml:space="preserve">22,429 </w:t>
            </w:r>
          </w:p>
        </w:tc>
        <w:tc>
          <w:tcPr>
            <w:tcW w:w="1696" w:type="dxa"/>
            <w:shd w:val="clear" w:color="auto" w:fill="auto"/>
            <w:vAlign w:val="center"/>
          </w:tcPr>
          <w:p w14:paraId="51874B0C" w14:textId="77777777" w:rsidR="001D739F" w:rsidRPr="00262F3A" w:rsidRDefault="001D739F" w:rsidP="00AC60F9">
            <w:pPr>
              <w:pStyle w:val="Tableformat"/>
            </w:pPr>
            <w:r w:rsidRPr="00262F3A">
              <w:t xml:space="preserve">26,594 </w:t>
            </w:r>
          </w:p>
        </w:tc>
        <w:tc>
          <w:tcPr>
            <w:tcW w:w="997" w:type="dxa"/>
            <w:shd w:val="clear" w:color="auto" w:fill="auto"/>
            <w:vAlign w:val="center"/>
          </w:tcPr>
          <w:p w14:paraId="4E56EBCB" w14:textId="77777777" w:rsidR="001D739F" w:rsidRPr="00262F3A" w:rsidRDefault="001D739F" w:rsidP="00AC60F9">
            <w:pPr>
              <w:pStyle w:val="Tableformat"/>
            </w:pPr>
            <w:r w:rsidRPr="00262F3A">
              <w:t xml:space="preserve">         -   </w:t>
            </w:r>
          </w:p>
        </w:tc>
        <w:tc>
          <w:tcPr>
            <w:tcW w:w="1418" w:type="dxa"/>
            <w:shd w:val="clear" w:color="auto" w:fill="auto"/>
            <w:vAlign w:val="center"/>
          </w:tcPr>
          <w:p w14:paraId="77A09BD1" w14:textId="77777777" w:rsidR="001D739F" w:rsidRPr="00262F3A" w:rsidRDefault="001D739F" w:rsidP="00AC60F9">
            <w:pPr>
              <w:pStyle w:val="Tableformat"/>
            </w:pPr>
            <w:r w:rsidRPr="00262F3A">
              <w:t>- </w:t>
            </w:r>
          </w:p>
        </w:tc>
        <w:tc>
          <w:tcPr>
            <w:tcW w:w="1276" w:type="dxa"/>
            <w:shd w:val="clear" w:color="auto" w:fill="auto"/>
            <w:vAlign w:val="center"/>
          </w:tcPr>
          <w:p w14:paraId="67868F4B" w14:textId="77777777" w:rsidR="001D739F" w:rsidRPr="00262F3A" w:rsidRDefault="001D739F" w:rsidP="00AC60F9">
            <w:pPr>
              <w:pStyle w:val="Tableformat"/>
            </w:pPr>
            <w:r w:rsidRPr="00262F3A">
              <w:t>- </w:t>
            </w:r>
          </w:p>
        </w:tc>
        <w:tc>
          <w:tcPr>
            <w:tcW w:w="1417" w:type="dxa"/>
            <w:shd w:val="clear" w:color="auto" w:fill="auto"/>
            <w:vAlign w:val="center"/>
          </w:tcPr>
          <w:p w14:paraId="30341F84" w14:textId="77777777" w:rsidR="001D739F" w:rsidRPr="00262F3A" w:rsidRDefault="001D739F" w:rsidP="00AC60F9">
            <w:pPr>
              <w:pStyle w:val="Tableformat"/>
            </w:pPr>
            <w:r w:rsidRPr="00262F3A">
              <w:t xml:space="preserve">407,321 </w:t>
            </w:r>
          </w:p>
        </w:tc>
      </w:tr>
      <w:tr w:rsidR="001D739F" w:rsidRPr="00262F3A" w14:paraId="67B62826" w14:textId="77777777" w:rsidTr="00E43F61">
        <w:trPr>
          <w:trHeight w:val="510"/>
        </w:trPr>
        <w:tc>
          <w:tcPr>
            <w:tcW w:w="2263" w:type="dxa"/>
            <w:shd w:val="clear" w:color="auto" w:fill="auto"/>
            <w:vAlign w:val="center"/>
          </w:tcPr>
          <w:p w14:paraId="413702E1" w14:textId="77777777" w:rsidR="001D739F" w:rsidRPr="00262F3A" w:rsidRDefault="001D739F" w:rsidP="00AC60F9">
            <w:pPr>
              <w:pStyle w:val="Tableformat"/>
            </w:pPr>
            <w:r w:rsidRPr="00262F3A">
              <w:t>Mr Jeremy Dean</w:t>
            </w:r>
          </w:p>
        </w:tc>
        <w:tc>
          <w:tcPr>
            <w:tcW w:w="2127" w:type="dxa"/>
            <w:shd w:val="clear" w:color="auto" w:fill="auto"/>
            <w:vAlign w:val="center"/>
          </w:tcPr>
          <w:p w14:paraId="76763805" w14:textId="77777777" w:rsidR="001D739F" w:rsidRPr="00262F3A" w:rsidRDefault="001D739F" w:rsidP="00AC60F9">
            <w:pPr>
              <w:pStyle w:val="Tableformat"/>
            </w:pPr>
            <w:r w:rsidRPr="00262F3A">
              <w:t>DCEO Participants and Planning Experience and DCEO Participant Experience Delivery</w:t>
            </w:r>
          </w:p>
        </w:tc>
        <w:tc>
          <w:tcPr>
            <w:tcW w:w="1275" w:type="dxa"/>
            <w:shd w:val="clear" w:color="auto" w:fill="auto"/>
            <w:vAlign w:val="center"/>
          </w:tcPr>
          <w:p w14:paraId="30500031" w14:textId="77777777" w:rsidR="001D739F" w:rsidRPr="00262F3A" w:rsidRDefault="001D739F" w:rsidP="00AC60F9">
            <w:pPr>
              <w:pStyle w:val="Tableformat"/>
            </w:pPr>
            <w:r w:rsidRPr="00262F3A">
              <w:t xml:space="preserve">284,779 </w:t>
            </w:r>
          </w:p>
        </w:tc>
        <w:tc>
          <w:tcPr>
            <w:tcW w:w="998" w:type="dxa"/>
            <w:shd w:val="clear" w:color="auto" w:fill="auto"/>
            <w:vAlign w:val="center"/>
          </w:tcPr>
          <w:p w14:paraId="082432B1" w14:textId="77777777" w:rsidR="001D739F" w:rsidRPr="00262F3A" w:rsidRDefault="001D739F" w:rsidP="00AC60F9">
            <w:pPr>
              <w:pStyle w:val="Tableformat"/>
            </w:pPr>
            <w:r w:rsidRPr="00262F3A">
              <w:t>- </w:t>
            </w:r>
          </w:p>
        </w:tc>
        <w:tc>
          <w:tcPr>
            <w:tcW w:w="1417" w:type="dxa"/>
            <w:shd w:val="clear" w:color="auto" w:fill="auto"/>
            <w:vAlign w:val="center"/>
          </w:tcPr>
          <w:p w14:paraId="6FB97070" w14:textId="77777777" w:rsidR="001D739F" w:rsidRPr="00262F3A" w:rsidRDefault="001D739F" w:rsidP="00AC60F9">
            <w:pPr>
              <w:pStyle w:val="Tableformat"/>
            </w:pPr>
            <w:r w:rsidRPr="00262F3A">
              <w:t xml:space="preserve">40,267 </w:t>
            </w:r>
          </w:p>
        </w:tc>
        <w:tc>
          <w:tcPr>
            <w:tcW w:w="1696" w:type="dxa"/>
            <w:shd w:val="clear" w:color="auto" w:fill="auto"/>
            <w:vAlign w:val="center"/>
          </w:tcPr>
          <w:p w14:paraId="381B651C" w14:textId="77777777" w:rsidR="001D739F" w:rsidRPr="00262F3A" w:rsidRDefault="001D739F" w:rsidP="00AC60F9">
            <w:pPr>
              <w:pStyle w:val="Tableformat"/>
            </w:pPr>
            <w:r w:rsidRPr="00262F3A">
              <w:t xml:space="preserve">14,090 </w:t>
            </w:r>
          </w:p>
        </w:tc>
        <w:tc>
          <w:tcPr>
            <w:tcW w:w="997" w:type="dxa"/>
            <w:shd w:val="clear" w:color="auto" w:fill="auto"/>
            <w:vAlign w:val="center"/>
          </w:tcPr>
          <w:p w14:paraId="0E02B6B8" w14:textId="77777777" w:rsidR="001D739F" w:rsidRPr="00262F3A" w:rsidRDefault="001D739F" w:rsidP="00AC60F9">
            <w:pPr>
              <w:pStyle w:val="Tableformat"/>
            </w:pPr>
            <w:r w:rsidRPr="00262F3A">
              <w:t xml:space="preserve">  7,843 </w:t>
            </w:r>
          </w:p>
        </w:tc>
        <w:tc>
          <w:tcPr>
            <w:tcW w:w="1418" w:type="dxa"/>
            <w:shd w:val="clear" w:color="auto" w:fill="auto"/>
            <w:vAlign w:val="center"/>
          </w:tcPr>
          <w:p w14:paraId="192878A1" w14:textId="77777777" w:rsidR="001D739F" w:rsidRPr="00262F3A" w:rsidRDefault="001D739F" w:rsidP="00AC60F9">
            <w:pPr>
              <w:pStyle w:val="Tableformat"/>
            </w:pPr>
            <w:r w:rsidRPr="00262F3A">
              <w:t>- </w:t>
            </w:r>
          </w:p>
        </w:tc>
        <w:tc>
          <w:tcPr>
            <w:tcW w:w="1276" w:type="dxa"/>
            <w:shd w:val="clear" w:color="auto" w:fill="auto"/>
            <w:vAlign w:val="center"/>
          </w:tcPr>
          <w:p w14:paraId="40A86C6A" w14:textId="77777777" w:rsidR="001D739F" w:rsidRPr="00262F3A" w:rsidRDefault="001D739F" w:rsidP="00AC60F9">
            <w:pPr>
              <w:pStyle w:val="Tableformat"/>
            </w:pPr>
            <w:r w:rsidRPr="00262F3A">
              <w:t>- </w:t>
            </w:r>
          </w:p>
        </w:tc>
        <w:tc>
          <w:tcPr>
            <w:tcW w:w="1417" w:type="dxa"/>
            <w:shd w:val="clear" w:color="auto" w:fill="auto"/>
            <w:vAlign w:val="center"/>
          </w:tcPr>
          <w:p w14:paraId="1853F3A1" w14:textId="77777777" w:rsidR="001D739F" w:rsidRPr="00262F3A" w:rsidRDefault="001D739F" w:rsidP="00AC60F9">
            <w:pPr>
              <w:pStyle w:val="Tableformat"/>
            </w:pPr>
            <w:r w:rsidRPr="00262F3A">
              <w:t xml:space="preserve">          346,979 </w:t>
            </w:r>
          </w:p>
        </w:tc>
      </w:tr>
      <w:tr w:rsidR="001D739F" w:rsidRPr="00262F3A" w14:paraId="27D05D43" w14:textId="77777777" w:rsidTr="00E43F61">
        <w:trPr>
          <w:trHeight w:val="510"/>
        </w:trPr>
        <w:tc>
          <w:tcPr>
            <w:tcW w:w="2263" w:type="dxa"/>
            <w:shd w:val="clear" w:color="auto" w:fill="auto"/>
            <w:vAlign w:val="center"/>
          </w:tcPr>
          <w:p w14:paraId="522F30A4" w14:textId="77777777" w:rsidR="001D739F" w:rsidRPr="00262F3A" w:rsidRDefault="001D739F" w:rsidP="00AC60F9">
            <w:pPr>
              <w:pStyle w:val="Tableformat"/>
            </w:pPr>
            <w:r w:rsidRPr="00262F3A">
              <w:lastRenderedPageBreak/>
              <w:t>Mr Michael Francis</w:t>
            </w:r>
          </w:p>
        </w:tc>
        <w:tc>
          <w:tcPr>
            <w:tcW w:w="2127" w:type="dxa"/>
            <w:shd w:val="clear" w:color="auto" w:fill="auto"/>
            <w:vAlign w:val="center"/>
          </w:tcPr>
          <w:p w14:paraId="7769E090" w14:textId="77777777" w:rsidR="001D739F" w:rsidRPr="00262F3A" w:rsidRDefault="001D739F" w:rsidP="00AC60F9">
            <w:pPr>
              <w:pStyle w:val="Tableformat"/>
            </w:pPr>
            <w:r w:rsidRPr="00262F3A">
              <w:t>DCEO Participants and Planning Experience</w:t>
            </w:r>
          </w:p>
        </w:tc>
        <w:tc>
          <w:tcPr>
            <w:tcW w:w="1275" w:type="dxa"/>
            <w:shd w:val="clear" w:color="auto" w:fill="auto"/>
            <w:vAlign w:val="center"/>
          </w:tcPr>
          <w:p w14:paraId="33D8DE1D" w14:textId="77777777" w:rsidR="001D739F" w:rsidRPr="00262F3A" w:rsidRDefault="001D739F" w:rsidP="00AC60F9">
            <w:pPr>
              <w:pStyle w:val="Tableformat"/>
            </w:pPr>
            <w:r w:rsidRPr="00262F3A">
              <w:t xml:space="preserve">58,126 </w:t>
            </w:r>
          </w:p>
        </w:tc>
        <w:tc>
          <w:tcPr>
            <w:tcW w:w="998" w:type="dxa"/>
            <w:shd w:val="clear" w:color="auto" w:fill="auto"/>
            <w:vAlign w:val="center"/>
          </w:tcPr>
          <w:p w14:paraId="21CDC44C" w14:textId="77777777" w:rsidR="001D739F" w:rsidRPr="00262F3A" w:rsidRDefault="001D739F" w:rsidP="00AC60F9">
            <w:pPr>
              <w:pStyle w:val="Tableformat"/>
            </w:pPr>
            <w:r w:rsidRPr="00262F3A">
              <w:t>- </w:t>
            </w:r>
          </w:p>
        </w:tc>
        <w:tc>
          <w:tcPr>
            <w:tcW w:w="1417" w:type="dxa"/>
            <w:shd w:val="clear" w:color="auto" w:fill="auto"/>
            <w:vAlign w:val="center"/>
          </w:tcPr>
          <w:p w14:paraId="6DF04F34" w14:textId="77777777" w:rsidR="001D739F" w:rsidRPr="00262F3A" w:rsidRDefault="001D739F" w:rsidP="00AC60F9">
            <w:pPr>
              <w:pStyle w:val="Tableformat"/>
            </w:pPr>
            <w:r w:rsidRPr="00262F3A">
              <w:t xml:space="preserve">12,493 </w:t>
            </w:r>
          </w:p>
        </w:tc>
        <w:tc>
          <w:tcPr>
            <w:tcW w:w="1696" w:type="dxa"/>
            <w:shd w:val="clear" w:color="auto" w:fill="auto"/>
            <w:vAlign w:val="center"/>
          </w:tcPr>
          <w:p w14:paraId="371B758D" w14:textId="77777777" w:rsidR="001D739F" w:rsidRPr="00262F3A" w:rsidRDefault="001D739F" w:rsidP="00AC60F9">
            <w:pPr>
              <w:pStyle w:val="Tableformat"/>
            </w:pPr>
            <w:r w:rsidRPr="00262F3A">
              <w:t xml:space="preserve">  9,978 </w:t>
            </w:r>
          </w:p>
        </w:tc>
        <w:tc>
          <w:tcPr>
            <w:tcW w:w="997" w:type="dxa"/>
            <w:shd w:val="clear" w:color="auto" w:fill="auto"/>
            <w:vAlign w:val="center"/>
          </w:tcPr>
          <w:p w14:paraId="33797F36" w14:textId="77777777" w:rsidR="001D739F" w:rsidRPr="00262F3A" w:rsidRDefault="001D739F" w:rsidP="00AC60F9">
            <w:pPr>
              <w:pStyle w:val="Tableformat"/>
            </w:pPr>
            <w:r w:rsidRPr="00262F3A">
              <w:t xml:space="preserve">  1,729 </w:t>
            </w:r>
          </w:p>
        </w:tc>
        <w:tc>
          <w:tcPr>
            <w:tcW w:w="1418" w:type="dxa"/>
            <w:shd w:val="clear" w:color="auto" w:fill="auto"/>
            <w:vAlign w:val="center"/>
          </w:tcPr>
          <w:p w14:paraId="5711FE0D" w14:textId="77777777" w:rsidR="001D739F" w:rsidRPr="00262F3A" w:rsidRDefault="001D739F" w:rsidP="00AC60F9">
            <w:pPr>
              <w:pStyle w:val="Tableformat"/>
            </w:pPr>
            <w:r w:rsidRPr="00262F3A">
              <w:t>- </w:t>
            </w:r>
          </w:p>
        </w:tc>
        <w:tc>
          <w:tcPr>
            <w:tcW w:w="1276" w:type="dxa"/>
            <w:shd w:val="clear" w:color="auto" w:fill="auto"/>
            <w:vAlign w:val="center"/>
          </w:tcPr>
          <w:p w14:paraId="684C24D8" w14:textId="77777777" w:rsidR="001D739F" w:rsidRPr="00262F3A" w:rsidRDefault="001D739F" w:rsidP="00AC60F9">
            <w:pPr>
              <w:pStyle w:val="Tableformat"/>
            </w:pPr>
            <w:r w:rsidRPr="00262F3A">
              <w:t>- </w:t>
            </w:r>
          </w:p>
        </w:tc>
        <w:tc>
          <w:tcPr>
            <w:tcW w:w="1417" w:type="dxa"/>
            <w:shd w:val="clear" w:color="auto" w:fill="auto"/>
            <w:vAlign w:val="center"/>
          </w:tcPr>
          <w:p w14:paraId="4C2E506E" w14:textId="77777777" w:rsidR="001D739F" w:rsidRPr="00262F3A" w:rsidRDefault="001D739F" w:rsidP="00AC60F9">
            <w:pPr>
              <w:pStyle w:val="Tableformat"/>
            </w:pPr>
            <w:r w:rsidRPr="00262F3A">
              <w:t xml:space="preserve">82,326 </w:t>
            </w:r>
          </w:p>
        </w:tc>
      </w:tr>
      <w:tr w:rsidR="001D739F" w:rsidRPr="00262F3A" w14:paraId="5C3380C9" w14:textId="77777777" w:rsidTr="00E43F61">
        <w:trPr>
          <w:trHeight w:val="510"/>
        </w:trPr>
        <w:tc>
          <w:tcPr>
            <w:tcW w:w="2263" w:type="dxa"/>
            <w:shd w:val="clear" w:color="auto" w:fill="auto"/>
            <w:vAlign w:val="center"/>
          </w:tcPr>
          <w:p w14:paraId="7F9689E2" w14:textId="77777777" w:rsidR="001D739F" w:rsidRPr="00262F3A" w:rsidRDefault="001D739F" w:rsidP="00AC60F9">
            <w:pPr>
              <w:pStyle w:val="Tableformat"/>
            </w:pPr>
            <w:r w:rsidRPr="00262F3A">
              <w:t>Mr Ian Frew</w:t>
            </w:r>
          </w:p>
        </w:tc>
        <w:tc>
          <w:tcPr>
            <w:tcW w:w="2127" w:type="dxa"/>
            <w:shd w:val="clear" w:color="auto" w:fill="auto"/>
            <w:vAlign w:val="center"/>
          </w:tcPr>
          <w:p w14:paraId="4D34AC4B" w14:textId="77777777" w:rsidR="001D739F" w:rsidRPr="00262F3A" w:rsidRDefault="001D739F" w:rsidP="00AC60F9">
            <w:pPr>
              <w:pStyle w:val="Tableformat"/>
            </w:pPr>
            <w:r w:rsidRPr="00262F3A">
              <w:t>Chief Information Officer</w:t>
            </w:r>
          </w:p>
        </w:tc>
        <w:tc>
          <w:tcPr>
            <w:tcW w:w="1275" w:type="dxa"/>
            <w:shd w:val="clear" w:color="auto" w:fill="auto"/>
            <w:vAlign w:val="center"/>
          </w:tcPr>
          <w:p w14:paraId="78C2A98F" w14:textId="77777777" w:rsidR="001D739F" w:rsidRPr="00262F3A" w:rsidRDefault="001D739F" w:rsidP="00AC60F9">
            <w:pPr>
              <w:pStyle w:val="Tableformat"/>
            </w:pPr>
            <w:r w:rsidRPr="00262F3A">
              <w:t xml:space="preserve">374,457 </w:t>
            </w:r>
          </w:p>
        </w:tc>
        <w:tc>
          <w:tcPr>
            <w:tcW w:w="998" w:type="dxa"/>
            <w:shd w:val="clear" w:color="auto" w:fill="auto"/>
            <w:vAlign w:val="center"/>
          </w:tcPr>
          <w:p w14:paraId="5EEFDDDD" w14:textId="77777777" w:rsidR="001D739F" w:rsidRPr="00262F3A" w:rsidRDefault="001D739F" w:rsidP="00AC60F9">
            <w:pPr>
              <w:pStyle w:val="Tableformat"/>
            </w:pPr>
            <w:r w:rsidRPr="00262F3A">
              <w:t>- </w:t>
            </w:r>
          </w:p>
        </w:tc>
        <w:tc>
          <w:tcPr>
            <w:tcW w:w="1417" w:type="dxa"/>
            <w:shd w:val="clear" w:color="auto" w:fill="auto"/>
            <w:vAlign w:val="center"/>
          </w:tcPr>
          <w:p w14:paraId="331F5E7F" w14:textId="77777777" w:rsidR="001D739F" w:rsidRPr="00262F3A" w:rsidRDefault="001D739F" w:rsidP="00AC60F9">
            <w:pPr>
              <w:pStyle w:val="Tableformat"/>
            </w:pPr>
            <w:r w:rsidRPr="00262F3A">
              <w:t xml:space="preserve">22,823 </w:t>
            </w:r>
          </w:p>
        </w:tc>
        <w:tc>
          <w:tcPr>
            <w:tcW w:w="1696" w:type="dxa"/>
            <w:shd w:val="clear" w:color="auto" w:fill="auto"/>
            <w:vAlign w:val="center"/>
          </w:tcPr>
          <w:p w14:paraId="5579079A" w14:textId="77777777" w:rsidR="001D739F" w:rsidRPr="00262F3A" w:rsidRDefault="001D739F" w:rsidP="00AC60F9">
            <w:pPr>
              <w:pStyle w:val="Tableformat"/>
            </w:pPr>
            <w:r w:rsidRPr="00262F3A">
              <w:t xml:space="preserve">40,464 </w:t>
            </w:r>
          </w:p>
        </w:tc>
        <w:tc>
          <w:tcPr>
            <w:tcW w:w="997" w:type="dxa"/>
            <w:shd w:val="clear" w:color="auto" w:fill="auto"/>
            <w:vAlign w:val="center"/>
          </w:tcPr>
          <w:p w14:paraId="1F257424" w14:textId="77777777" w:rsidR="001D739F" w:rsidRPr="00262F3A" w:rsidRDefault="001D739F" w:rsidP="00AC60F9">
            <w:pPr>
              <w:pStyle w:val="Tableformat"/>
            </w:pPr>
            <w:r w:rsidRPr="00262F3A">
              <w:t>- </w:t>
            </w:r>
          </w:p>
        </w:tc>
        <w:tc>
          <w:tcPr>
            <w:tcW w:w="1418" w:type="dxa"/>
            <w:shd w:val="clear" w:color="auto" w:fill="auto"/>
            <w:vAlign w:val="center"/>
          </w:tcPr>
          <w:p w14:paraId="7AE550B5" w14:textId="77777777" w:rsidR="001D739F" w:rsidRPr="00262F3A" w:rsidRDefault="001D739F" w:rsidP="00AC60F9">
            <w:pPr>
              <w:pStyle w:val="Tableformat"/>
            </w:pPr>
            <w:r w:rsidRPr="00262F3A">
              <w:t>- </w:t>
            </w:r>
          </w:p>
        </w:tc>
        <w:tc>
          <w:tcPr>
            <w:tcW w:w="1276" w:type="dxa"/>
            <w:shd w:val="clear" w:color="auto" w:fill="auto"/>
            <w:vAlign w:val="center"/>
          </w:tcPr>
          <w:p w14:paraId="4A562278" w14:textId="77777777" w:rsidR="001D739F" w:rsidRPr="00262F3A" w:rsidRDefault="001D739F" w:rsidP="00AC60F9">
            <w:pPr>
              <w:pStyle w:val="Tableformat"/>
            </w:pPr>
            <w:r w:rsidRPr="00262F3A">
              <w:t>- </w:t>
            </w:r>
          </w:p>
        </w:tc>
        <w:tc>
          <w:tcPr>
            <w:tcW w:w="1417" w:type="dxa"/>
            <w:shd w:val="clear" w:color="auto" w:fill="auto"/>
            <w:vAlign w:val="center"/>
          </w:tcPr>
          <w:p w14:paraId="65753307" w14:textId="77777777" w:rsidR="001D739F" w:rsidRPr="00262F3A" w:rsidRDefault="001D739F" w:rsidP="00AC60F9">
            <w:pPr>
              <w:pStyle w:val="Tableformat"/>
            </w:pPr>
            <w:r w:rsidRPr="00262F3A">
              <w:t xml:space="preserve">437,744 </w:t>
            </w:r>
          </w:p>
        </w:tc>
      </w:tr>
      <w:tr w:rsidR="001D739F" w:rsidRPr="00262F3A" w14:paraId="7B7FCDAF" w14:textId="77777777" w:rsidTr="00E43F61">
        <w:trPr>
          <w:trHeight w:val="510"/>
        </w:trPr>
        <w:tc>
          <w:tcPr>
            <w:tcW w:w="2263" w:type="dxa"/>
            <w:shd w:val="clear" w:color="auto" w:fill="auto"/>
            <w:vAlign w:val="center"/>
          </w:tcPr>
          <w:p w14:paraId="3EE098C7" w14:textId="77777777" w:rsidR="001D739F" w:rsidRPr="00262F3A" w:rsidRDefault="001D739F" w:rsidP="00AC60F9">
            <w:pPr>
              <w:pStyle w:val="Tableformat"/>
            </w:pPr>
            <w:r w:rsidRPr="00262F3A">
              <w:t>Ms Sarah Johnson</w:t>
            </w:r>
          </w:p>
        </w:tc>
        <w:tc>
          <w:tcPr>
            <w:tcW w:w="2127" w:type="dxa"/>
            <w:shd w:val="clear" w:color="auto" w:fill="auto"/>
            <w:vAlign w:val="center"/>
          </w:tcPr>
          <w:p w14:paraId="4951EA80" w14:textId="77777777" w:rsidR="001D739F" w:rsidRPr="00262F3A" w:rsidRDefault="001D739F" w:rsidP="00AC60F9">
            <w:pPr>
              <w:pStyle w:val="Tableformat"/>
            </w:pPr>
            <w:r w:rsidRPr="00262F3A">
              <w:t>Scheme Actuary</w:t>
            </w:r>
          </w:p>
        </w:tc>
        <w:tc>
          <w:tcPr>
            <w:tcW w:w="1275" w:type="dxa"/>
            <w:shd w:val="clear" w:color="auto" w:fill="auto"/>
            <w:vAlign w:val="center"/>
          </w:tcPr>
          <w:p w14:paraId="669E1307" w14:textId="77777777" w:rsidR="001D739F" w:rsidRPr="00262F3A" w:rsidRDefault="001D739F" w:rsidP="00AC60F9">
            <w:pPr>
              <w:pStyle w:val="Tableformat"/>
            </w:pPr>
            <w:r w:rsidRPr="00262F3A">
              <w:t xml:space="preserve">462,714 </w:t>
            </w:r>
          </w:p>
        </w:tc>
        <w:tc>
          <w:tcPr>
            <w:tcW w:w="998" w:type="dxa"/>
            <w:shd w:val="clear" w:color="auto" w:fill="auto"/>
            <w:vAlign w:val="center"/>
          </w:tcPr>
          <w:p w14:paraId="594CEE46" w14:textId="77777777" w:rsidR="001D739F" w:rsidRPr="00262F3A" w:rsidRDefault="001D739F" w:rsidP="00AC60F9">
            <w:pPr>
              <w:pStyle w:val="Tableformat"/>
            </w:pPr>
            <w:r w:rsidRPr="00262F3A">
              <w:t>- </w:t>
            </w:r>
          </w:p>
        </w:tc>
        <w:tc>
          <w:tcPr>
            <w:tcW w:w="1417" w:type="dxa"/>
            <w:shd w:val="clear" w:color="auto" w:fill="auto"/>
            <w:vAlign w:val="center"/>
          </w:tcPr>
          <w:p w14:paraId="775DE17F" w14:textId="77777777" w:rsidR="001D739F" w:rsidRPr="00262F3A" w:rsidRDefault="001D739F" w:rsidP="00AC60F9">
            <w:pPr>
              <w:pStyle w:val="Tableformat"/>
            </w:pPr>
            <w:r w:rsidRPr="00262F3A">
              <w:t>- </w:t>
            </w:r>
          </w:p>
        </w:tc>
        <w:tc>
          <w:tcPr>
            <w:tcW w:w="1696" w:type="dxa"/>
            <w:shd w:val="clear" w:color="auto" w:fill="auto"/>
            <w:vAlign w:val="center"/>
          </w:tcPr>
          <w:p w14:paraId="67A0BED1" w14:textId="77777777" w:rsidR="001D739F" w:rsidRPr="00262F3A" w:rsidRDefault="001D739F" w:rsidP="00AC60F9">
            <w:pPr>
              <w:pStyle w:val="Tableformat"/>
            </w:pPr>
            <w:r w:rsidRPr="00262F3A">
              <w:t>- </w:t>
            </w:r>
          </w:p>
        </w:tc>
        <w:tc>
          <w:tcPr>
            <w:tcW w:w="997" w:type="dxa"/>
            <w:shd w:val="clear" w:color="auto" w:fill="auto"/>
            <w:vAlign w:val="center"/>
          </w:tcPr>
          <w:p w14:paraId="1CC55788" w14:textId="77777777" w:rsidR="001D739F" w:rsidRPr="00262F3A" w:rsidRDefault="001D739F" w:rsidP="00AC60F9">
            <w:pPr>
              <w:pStyle w:val="Tableformat"/>
            </w:pPr>
            <w:r w:rsidRPr="00262F3A">
              <w:t>- </w:t>
            </w:r>
          </w:p>
        </w:tc>
        <w:tc>
          <w:tcPr>
            <w:tcW w:w="1418" w:type="dxa"/>
            <w:shd w:val="clear" w:color="auto" w:fill="auto"/>
            <w:vAlign w:val="center"/>
          </w:tcPr>
          <w:p w14:paraId="59BBBCB2" w14:textId="77777777" w:rsidR="001D739F" w:rsidRPr="00262F3A" w:rsidRDefault="001D739F" w:rsidP="00AC60F9">
            <w:pPr>
              <w:pStyle w:val="Tableformat"/>
            </w:pPr>
            <w:r w:rsidRPr="00262F3A">
              <w:t>- </w:t>
            </w:r>
          </w:p>
        </w:tc>
        <w:tc>
          <w:tcPr>
            <w:tcW w:w="1276" w:type="dxa"/>
            <w:shd w:val="clear" w:color="auto" w:fill="auto"/>
            <w:vAlign w:val="center"/>
          </w:tcPr>
          <w:p w14:paraId="1242CCA9" w14:textId="77777777" w:rsidR="001D739F" w:rsidRPr="00262F3A" w:rsidRDefault="001D739F" w:rsidP="00AC60F9">
            <w:pPr>
              <w:pStyle w:val="Tableformat"/>
            </w:pPr>
            <w:r w:rsidRPr="00262F3A">
              <w:t>- </w:t>
            </w:r>
          </w:p>
        </w:tc>
        <w:tc>
          <w:tcPr>
            <w:tcW w:w="1417" w:type="dxa"/>
            <w:shd w:val="clear" w:color="auto" w:fill="auto"/>
            <w:vAlign w:val="center"/>
          </w:tcPr>
          <w:p w14:paraId="27B23AA0" w14:textId="77777777" w:rsidR="001D739F" w:rsidRPr="00262F3A" w:rsidRDefault="001D739F" w:rsidP="00AC60F9">
            <w:pPr>
              <w:pStyle w:val="Tableformat"/>
            </w:pPr>
            <w:r w:rsidRPr="00262F3A">
              <w:t xml:space="preserve">462,714 </w:t>
            </w:r>
          </w:p>
        </w:tc>
      </w:tr>
      <w:tr w:rsidR="001D739F" w:rsidRPr="00262F3A" w14:paraId="000F8902" w14:textId="77777777" w:rsidTr="00E43F61">
        <w:trPr>
          <w:trHeight w:val="510"/>
        </w:trPr>
        <w:tc>
          <w:tcPr>
            <w:tcW w:w="2263" w:type="dxa"/>
            <w:shd w:val="clear" w:color="auto" w:fill="auto"/>
            <w:vAlign w:val="center"/>
          </w:tcPr>
          <w:p w14:paraId="7102B04D" w14:textId="77777777" w:rsidR="001D739F" w:rsidRPr="00262F3A" w:rsidRDefault="001D739F" w:rsidP="00AC60F9">
            <w:pPr>
              <w:pStyle w:val="Tableformat"/>
            </w:pPr>
            <w:r w:rsidRPr="00262F3A">
              <w:t>Mr Scott McNaughton</w:t>
            </w:r>
          </w:p>
        </w:tc>
        <w:tc>
          <w:tcPr>
            <w:tcW w:w="2127" w:type="dxa"/>
            <w:shd w:val="clear" w:color="auto" w:fill="auto"/>
            <w:vAlign w:val="center"/>
          </w:tcPr>
          <w:p w14:paraId="0F327263" w14:textId="77777777" w:rsidR="001D739F" w:rsidRPr="00262F3A" w:rsidRDefault="001D739F" w:rsidP="00AC60F9">
            <w:pPr>
              <w:pStyle w:val="Tableformat"/>
            </w:pPr>
            <w:r w:rsidRPr="00262F3A">
              <w:t>Acting DCEO Government, Communications and Stakeholder Engagement</w:t>
            </w:r>
          </w:p>
        </w:tc>
        <w:tc>
          <w:tcPr>
            <w:tcW w:w="1275" w:type="dxa"/>
            <w:shd w:val="clear" w:color="auto" w:fill="auto"/>
            <w:vAlign w:val="center"/>
          </w:tcPr>
          <w:p w14:paraId="1D5AEF8C" w14:textId="77777777" w:rsidR="001D739F" w:rsidRPr="00262F3A" w:rsidRDefault="001D739F" w:rsidP="00AC60F9">
            <w:pPr>
              <w:pStyle w:val="Tableformat"/>
            </w:pPr>
            <w:r w:rsidRPr="00262F3A">
              <w:t xml:space="preserve">126,188 </w:t>
            </w:r>
          </w:p>
        </w:tc>
        <w:tc>
          <w:tcPr>
            <w:tcW w:w="998" w:type="dxa"/>
            <w:shd w:val="clear" w:color="auto" w:fill="auto"/>
            <w:vAlign w:val="center"/>
          </w:tcPr>
          <w:p w14:paraId="44A48E73" w14:textId="77777777" w:rsidR="001D739F" w:rsidRPr="00262F3A" w:rsidRDefault="001D739F" w:rsidP="00AC60F9">
            <w:pPr>
              <w:pStyle w:val="Tableformat"/>
            </w:pPr>
            <w:r w:rsidRPr="00262F3A">
              <w:t>- </w:t>
            </w:r>
          </w:p>
        </w:tc>
        <w:tc>
          <w:tcPr>
            <w:tcW w:w="1417" w:type="dxa"/>
            <w:shd w:val="clear" w:color="auto" w:fill="auto"/>
            <w:vAlign w:val="center"/>
          </w:tcPr>
          <w:p w14:paraId="77F99B47" w14:textId="77777777" w:rsidR="001D739F" w:rsidRPr="00262F3A" w:rsidRDefault="001D739F" w:rsidP="00AC60F9">
            <w:pPr>
              <w:pStyle w:val="Tableformat"/>
            </w:pPr>
            <w:r w:rsidRPr="00262F3A">
              <w:t xml:space="preserve">26,803 </w:t>
            </w:r>
          </w:p>
        </w:tc>
        <w:tc>
          <w:tcPr>
            <w:tcW w:w="1696" w:type="dxa"/>
            <w:shd w:val="clear" w:color="auto" w:fill="auto"/>
            <w:vAlign w:val="center"/>
          </w:tcPr>
          <w:p w14:paraId="3DC6FA44" w14:textId="77777777" w:rsidR="001D739F" w:rsidRPr="00262F3A" w:rsidRDefault="001D739F" w:rsidP="00AC60F9">
            <w:pPr>
              <w:pStyle w:val="Tableformat"/>
            </w:pPr>
            <w:r w:rsidRPr="00262F3A">
              <w:t xml:space="preserve">23,870 </w:t>
            </w:r>
          </w:p>
        </w:tc>
        <w:tc>
          <w:tcPr>
            <w:tcW w:w="997" w:type="dxa"/>
            <w:shd w:val="clear" w:color="auto" w:fill="auto"/>
            <w:vAlign w:val="center"/>
          </w:tcPr>
          <w:p w14:paraId="157BC5C4" w14:textId="77777777" w:rsidR="001D739F" w:rsidRPr="00262F3A" w:rsidRDefault="001D739F" w:rsidP="00AC60F9">
            <w:pPr>
              <w:pStyle w:val="Tableformat"/>
            </w:pPr>
            <w:r w:rsidRPr="00262F3A">
              <w:t xml:space="preserve">  3,514 </w:t>
            </w:r>
          </w:p>
        </w:tc>
        <w:tc>
          <w:tcPr>
            <w:tcW w:w="1418" w:type="dxa"/>
            <w:shd w:val="clear" w:color="auto" w:fill="auto"/>
            <w:vAlign w:val="center"/>
          </w:tcPr>
          <w:p w14:paraId="485EB97C" w14:textId="77777777" w:rsidR="001D739F" w:rsidRPr="00262F3A" w:rsidRDefault="001D739F" w:rsidP="00AC60F9">
            <w:pPr>
              <w:pStyle w:val="Tableformat"/>
            </w:pPr>
            <w:r w:rsidRPr="00262F3A">
              <w:t>- </w:t>
            </w:r>
          </w:p>
        </w:tc>
        <w:tc>
          <w:tcPr>
            <w:tcW w:w="1276" w:type="dxa"/>
            <w:shd w:val="clear" w:color="auto" w:fill="auto"/>
            <w:vAlign w:val="center"/>
          </w:tcPr>
          <w:p w14:paraId="74FE963F" w14:textId="77777777" w:rsidR="001D739F" w:rsidRPr="00262F3A" w:rsidRDefault="001D739F" w:rsidP="00AC60F9">
            <w:pPr>
              <w:pStyle w:val="Tableformat"/>
            </w:pPr>
            <w:r w:rsidRPr="00262F3A">
              <w:t>- </w:t>
            </w:r>
          </w:p>
        </w:tc>
        <w:tc>
          <w:tcPr>
            <w:tcW w:w="1417" w:type="dxa"/>
            <w:shd w:val="clear" w:color="auto" w:fill="auto"/>
            <w:vAlign w:val="center"/>
          </w:tcPr>
          <w:p w14:paraId="65D6E4AC" w14:textId="77777777" w:rsidR="001D739F" w:rsidRPr="00262F3A" w:rsidRDefault="001D739F" w:rsidP="00AC60F9">
            <w:pPr>
              <w:pStyle w:val="Tableformat"/>
            </w:pPr>
            <w:r w:rsidRPr="00262F3A">
              <w:t xml:space="preserve">180,375 </w:t>
            </w:r>
          </w:p>
        </w:tc>
      </w:tr>
      <w:tr w:rsidR="001D739F" w:rsidRPr="00262F3A" w14:paraId="2D128CEB" w14:textId="77777777" w:rsidTr="00E43F61">
        <w:trPr>
          <w:trHeight w:val="510"/>
        </w:trPr>
        <w:tc>
          <w:tcPr>
            <w:tcW w:w="2263" w:type="dxa"/>
            <w:shd w:val="clear" w:color="auto" w:fill="auto"/>
            <w:vAlign w:val="center"/>
          </w:tcPr>
          <w:p w14:paraId="6F07C221" w14:textId="77777777" w:rsidR="001D739F" w:rsidRPr="00262F3A" w:rsidRDefault="001D739F" w:rsidP="00AC60F9">
            <w:pPr>
              <w:pStyle w:val="Tableformat"/>
            </w:pPr>
            <w:r w:rsidRPr="00262F3A">
              <w:t>Ms Tracey Muddle</w:t>
            </w:r>
          </w:p>
        </w:tc>
        <w:tc>
          <w:tcPr>
            <w:tcW w:w="2127" w:type="dxa"/>
            <w:shd w:val="clear" w:color="auto" w:fill="auto"/>
            <w:vAlign w:val="center"/>
          </w:tcPr>
          <w:p w14:paraId="17AF52DE" w14:textId="77777777" w:rsidR="001D739F" w:rsidRPr="00262F3A" w:rsidRDefault="001D739F" w:rsidP="00AC60F9">
            <w:pPr>
              <w:pStyle w:val="Tableformat"/>
            </w:pPr>
            <w:r w:rsidRPr="00262F3A">
              <w:t>Head of Participant Focus</w:t>
            </w:r>
          </w:p>
        </w:tc>
        <w:tc>
          <w:tcPr>
            <w:tcW w:w="1275" w:type="dxa"/>
            <w:shd w:val="clear" w:color="auto" w:fill="auto"/>
            <w:vAlign w:val="center"/>
          </w:tcPr>
          <w:p w14:paraId="3C0ADEE6" w14:textId="77777777" w:rsidR="001D739F" w:rsidRPr="00262F3A" w:rsidRDefault="001D739F" w:rsidP="00AC60F9">
            <w:pPr>
              <w:pStyle w:val="Tableformat"/>
            </w:pPr>
            <w:r w:rsidRPr="00262F3A">
              <w:t xml:space="preserve">182,015 </w:t>
            </w:r>
          </w:p>
        </w:tc>
        <w:tc>
          <w:tcPr>
            <w:tcW w:w="998" w:type="dxa"/>
            <w:shd w:val="clear" w:color="auto" w:fill="auto"/>
            <w:vAlign w:val="center"/>
          </w:tcPr>
          <w:p w14:paraId="0815E5A4" w14:textId="77777777" w:rsidR="001D739F" w:rsidRPr="00262F3A" w:rsidRDefault="001D739F" w:rsidP="00AC60F9">
            <w:pPr>
              <w:pStyle w:val="Tableformat"/>
            </w:pPr>
            <w:r w:rsidRPr="00262F3A">
              <w:t>- </w:t>
            </w:r>
          </w:p>
        </w:tc>
        <w:tc>
          <w:tcPr>
            <w:tcW w:w="1417" w:type="dxa"/>
            <w:shd w:val="clear" w:color="auto" w:fill="auto"/>
            <w:vAlign w:val="center"/>
          </w:tcPr>
          <w:p w14:paraId="4B176E03" w14:textId="77777777" w:rsidR="001D739F" w:rsidRPr="00262F3A" w:rsidRDefault="001D739F" w:rsidP="00AC60F9">
            <w:pPr>
              <w:pStyle w:val="Tableformat"/>
            </w:pPr>
            <w:r w:rsidRPr="00262F3A">
              <w:t xml:space="preserve">34,756 </w:t>
            </w:r>
          </w:p>
        </w:tc>
        <w:tc>
          <w:tcPr>
            <w:tcW w:w="1696" w:type="dxa"/>
            <w:shd w:val="clear" w:color="auto" w:fill="auto"/>
            <w:vAlign w:val="center"/>
          </w:tcPr>
          <w:p w14:paraId="5CE45416" w14:textId="77777777" w:rsidR="001D739F" w:rsidRPr="00262F3A" w:rsidRDefault="001D739F" w:rsidP="00AC60F9">
            <w:pPr>
              <w:pStyle w:val="Tableformat"/>
            </w:pPr>
            <w:r w:rsidRPr="00262F3A">
              <w:t xml:space="preserve">35,778 </w:t>
            </w:r>
          </w:p>
        </w:tc>
        <w:tc>
          <w:tcPr>
            <w:tcW w:w="997" w:type="dxa"/>
            <w:shd w:val="clear" w:color="auto" w:fill="auto"/>
            <w:vAlign w:val="center"/>
          </w:tcPr>
          <w:p w14:paraId="3E7AB884" w14:textId="77777777" w:rsidR="001D739F" w:rsidRPr="00262F3A" w:rsidRDefault="001D739F" w:rsidP="00AC60F9">
            <w:pPr>
              <w:pStyle w:val="Tableformat"/>
            </w:pPr>
            <w:r w:rsidRPr="00262F3A">
              <w:t xml:space="preserve">  4,976 </w:t>
            </w:r>
          </w:p>
        </w:tc>
        <w:tc>
          <w:tcPr>
            <w:tcW w:w="1418" w:type="dxa"/>
            <w:shd w:val="clear" w:color="auto" w:fill="auto"/>
            <w:vAlign w:val="center"/>
          </w:tcPr>
          <w:p w14:paraId="050588B5" w14:textId="77777777" w:rsidR="001D739F" w:rsidRPr="00262F3A" w:rsidRDefault="001D739F" w:rsidP="00AC60F9">
            <w:pPr>
              <w:pStyle w:val="Tableformat"/>
            </w:pPr>
            <w:r w:rsidRPr="00262F3A">
              <w:t>- </w:t>
            </w:r>
          </w:p>
        </w:tc>
        <w:tc>
          <w:tcPr>
            <w:tcW w:w="1276" w:type="dxa"/>
            <w:shd w:val="clear" w:color="auto" w:fill="auto"/>
            <w:vAlign w:val="center"/>
          </w:tcPr>
          <w:p w14:paraId="405A38AF" w14:textId="77777777" w:rsidR="001D739F" w:rsidRPr="00262F3A" w:rsidRDefault="001D739F" w:rsidP="00AC60F9">
            <w:pPr>
              <w:pStyle w:val="Tableformat"/>
            </w:pPr>
            <w:r w:rsidRPr="00262F3A">
              <w:t>- </w:t>
            </w:r>
          </w:p>
        </w:tc>
        <w:tc>
          <w:tcPr>
            <w:tcW w:w="1417" w:type="dxa"/>
            <w:shd w:val="clear" w:color="auto" w:fill="auto"/>
            <w:vAlign w:val="center"/>
          </w:tcPr>
          <w:p w14:paraId="603D5C80" w14:textId="77777777" w:rsidR="001D739F" w:rsidRPr="00262F3A" w:rsidRDefault="001D739F" w:rsidP="00AC60F9">
            <w:pPr>
              <w:pStyle w:val="Tableformat"/>
            </w:pPr>
            <w:r w:rsidRPr="00262F3A">
              <w:t xml:space="preserve">257,525 </w:t>
            </w:r>
          </w:p>
        </w:tc>
      </w:tr>
      <w:tr w:rsidR="001D739F" w:rsidRPr="00262F3A" w14:paraId="44E2D8FD" w14:textId="77777777" w:rsidTr="00E43F61">
        <w:trPr>
          <w:trHeight w:val="510"/>
        </w:trPr>
        <w:tc>
          <w:tcPr>
            <w:tcW w:w="2263" w:type="dxa"/>
            <w:shd w:val="clear" w:color="auto" w:fill="auto"/>
            <w:vAlign w:val="center"/>
          </w:tcPr>
          <w:p w14:paraId="3BB4D4DC" w14:textId="77777777" w:rsidR="001D739F" w:rsidRPr="00262F3A" w:rsidRDefault="001D739F" w:rsidP="00AC60F9">
            <w:pPr>
              <w:pStyle w:val="Tableformat"/>
            </w:pPr>
            <w:r w:rsidRPr="00262F3A">
              <w:t>Ms Liz Neville</w:t>
            </w:r>
          </w:p>
        </w:tc>
        <w:tc>
          <w:tcPr>
            <w:tcW w:w="2127" w:type="dxa"/>
            <w:shd w:val="clear" w:color="auto" w:fill="auto"/>
            <w:vAlign w:val="center"/>
          </w:tcPr>
          <w:p w14:paraId="2356CC52" w14:textId="77777777" w:rsidR="001D739F" w:rsidRPr="00262F3A" w:rsidRDefault="001D739F" w:rsidP="00AC60F9">
            <w:pPr>
              <w:pStyle w:val="Tableformat"/>
            </w:pPr>
            <w:r w:rsidRPr="00262F3A">
              <w:t>Acting Head of Markets, Provider and Sector Development</w:t>
            </w:r>
          </w:p>
        </w:tc>
        <w:tc>
          <w:tcPr>
            <w:tcW w:w="1275" w:type="dxa"/>
            <w:shd w:val="clear" w:color="auto" w:fill="auto"/>
            <w:vAlign w:val="center"/>
          </w:tcPr>
          <w:p w14:paraId="53E93BCE" w14:textId="77777777" w:rsidR="001D739F" w:rsidRPr="00262F3A" w:rsidRDefault="001D739F" w:rsidP="00AC60F9">
            <w:pPr>
              <w:pStyle w:val="Tableformat"/>
            </w:pPr>
            <w:r w:rsidRPr="00262F3A">
              <w:t xml:space="preserve">130,219 </w:t>
            </w:r>
          </w:p>
        </w:tc>
        <w:tc>
          <w:tcPr>
            <w:tcW w:w="998" w:type="dxa"/>
            <w:shd w:val="clear" w:color="auto" w:fill="auto"/>
            <w:vAlign w:val="center"/>
          </w:tcPr>
          <w:p w14:paraId="35A83BC2" w14:textId="77777777" w:rsidR="001D739F" w:rsidRPr="00262F3A" w:rsidRDefault="001D739F" w:rsidP="00AC60F9">
            <w:pPr>
              <w:pStyle w:val="Tableformat"/>
            </w:pPr>
            <w:r w:rsidRPr="00262F3A">
              <w:t>- </w:t>
            </w:r>
          </w:p>
        </w:tc>
        <w:tc>
          <w:tcPr>
            <w:tcW w:w="1417" w:type="dxa"/>
            <w:shd w:val="clear" w:color="auto" w:fill="auto"/>
            <w:vAlign w:val="center"/>
          </w:tcPr>
          <w:p w14:paraId="120946DD" w14:textId="77777777" w:rsidR="001D739F" w:rsidRPr="00262F3A" w:rsidRDefault="001D739F" w:rsidP="00AC60F9">
            <w:pPr>
              <w:pStyle w:val="Tableformat"/>
            </w:pPr>
            <w:r w:rsidRPr="00262F3A">
              <w:t xml:space="preserve">56,941 </w:t>
            </w:r>
          </w:p>
        </w:tc>
        <w:tc>
          <w:tcPr>
            <w:tcW w:w="1696" w:type="dxa"/>
            <w:shd w:val="clear" w:color="auto" w:fill="auto"/>
            <w:vAlign w:val="center"/>
          </w:tcPr>
          <w:p w14:paraId="08F04768" w14:textId="77777777" w:rsidR="001D739F" w:rsidRPr="00262F3A" w:rsidRDefault="001D739F" w:rsidP="00AC60F9">
            <w:pPr>
              <w:pStyle w:val="Tableformat"/>
            </w:pPr>
            <w:r w:rsidRPr="00262F3A">
              <w:t xml:space="preserve">25,679 </w:t>
            </w:r>
          </w:p>
        </w:tc>
        <w:tc>
          <w:tcPr>
            <w:tcW w:w="997" w:type="dxa"/>
            <w:shd w:val="clear" w:color="auto" w:fill="auto"/>
            <w:vAlign w:val="center"/>
          </w:tcPr>
          <w:p w14:paraId="04F02053" w14:textId="77777777" w:rsidR="001D739F" w:rsidRPr="00262F3A" w:rsidRDefault="001D739F" w:rsidP="00AC60F9">
            <w:pPr>
              <w:pStyle w:val="Tableformat"/>
            </w:pPr>
            <w:r w:rsidRPr="00262F3A">
              <w:t xml:space="preserve">  3,643 </w:t>
            </w:r>
          </w:p>
        </w:tc>
        <w:tc>
          <w:tcPr>
            <w:tcW w:w="1418" w:type="dxa"/>
            <w:shd w:val="clear" w:color="auto" w:fill="auto"/>
            <w:vAlign w:val="center"/>
          </w:tcPr>
          <w:p w14:paraId="0B14C4D5" w14:textId="77777777" w:rsidR="001D739F" w:rsidRPr="00262F3A" w:rsidRDefault="001D739F" w:rsidP="00AC60F9">
            <w:pPr>
              <w:pStyle w:val="Tableformat"/>
            </w:pPr>
            <w:r w:rsidRPr="00262F3A">
              <w:t>- </w:t>
            </w:r>
          </w:p>
        </w:tc>
        <w:tc>
          <w:tcPr>
            <w:tcW w:w="1276" w:type="dxa"/>
            <w:shd w:val="clear" w:color="auto" w:fill="auto"/>
            <w:vAlign w:val="center"/>
          </w:tcPr>
          <w:p w14:paraId="36CFC717" w14:textId="77777777" w:rsidR="001D739F" w:rsidRPr="00262F3A" w:rsidRDefault="001D739F" w:rsidP="00AC60F9">
            <w:pPr>
              <w:pStyle w:val="Tableformat"/>
            </w:pPr>
            <w:r w:rsidRPr="00262F3A">
              <w:t>- </w:t>
            </w:r>
          </w:p>
        </w:tc>
        <w:tc>
          <w:tcPr>
            <w:tcW w:w="1417" w:type="dxa"/>
            <w:shd w:val="clear" w:color="auto" w:fill="auto"/>
            <w:vAlign w:val="center"/>
          </w:tcPr>
          <w:p w14:paraId="5C15A189" w14:textId="77777777" w:rsidR="001D739F" w:rsidRPr="00262F3A" w:rsidRDefault="001D739F" w:rsidP="00AC60F9">
            <w:pPr>
              <w:pStyle w:val="Tableformat"/>
            </w:pPr>
            <w:r w:rsidRPr="00262F3A">
              <w:t xml:space="preserve">216,482 </w:t>
            </w:r>
          </w:p>
        </w:tc>
      </w:tr>
      <w:tr w:rsidR="001D739F" w:rsidRPr="00262F3A" w14:paraId="27765B61" w14:textId="77777777" w:rsidTr="00E43F61">
        <w:trPr>
          <w:trHeight w:val="510"/>
        </w:trPr>
        <w:tc>
          <w:tcPr>
            <w:tcW w:w="2263" w:type="dxa"/>
            <w:shd w:val="clear" w:color="auto" w:fill="auto"/>
            <w:vAlign w:val="center"/>
          </w:tcPr>
          <w:p w14:paraId="4DAB420B" w14:textId="77777777" w:rsidR="001D739F" w:rsidRPr="00262F3A" w:rsidRDefault="001D739F" w:rsidP="00AC60F9">
            <w:pPr>
              <w:pStyle w:val="Tableformat"/>
            </w:pPr>
            <w:r w:rsidRPr="00262F3A">
              <w:t>Mr Victor Walter</w:t>
            </w:r>
          </w:p>
        </w:tc>
        <w:tc>
          <w:tcPr>
            <w:tcW w:w="2127" w:type="dxa"/>
            <w:shd w:val="clear" w:color="auto" w:fill="auto"/>
            <w:vAlign w:val="center"/>
          </w:tcPr>
          <w:p w14:paraId="3E117B8F" w14:textId="77777777" w:rsidR="001D739F" w:rsidRPr="00262F3A" w:rsidRDefault="001D739F" w:rsidP="00AC60F9">
            <w:pPr>
              <w:pStyle w:val="Tableformat"/>
            </w:pPr>
            <w:r w:rsidRPr="00262F3A">
              <w:t>DCEO Strategy Development and Chief Risk Officer, DCEO Participants and Planning Experience and DCEO Corporate Services and Chief Financial Officer</w:t>
            </w:r>
          </w:p>
        </w:tc>
        <w:tc>
          <w:tcPr>
            <w:tcW w:w="1275" w:type="dxa"/>
            <w:shd w:val="clear" w:color="auto" w:fill="auto"/>
            <w:vAlign w:val="center"/>
          </w:tcPr>
          <w:p w14:paraId="3FBDF571" w14:textId="77777777" w:rsidR="001D739F" w:rsidRPr="00262F3A" w:rsidRDefault="001D739F" w:rsidP="00AC60F9">
            <w:pPr>
              <w:pStyle w:val="Tableformat"/>
            </w:pPr>
            <w:r w:rsidRPr="00262F3A">
              <w:t xml:space="preserve">402,117 </w:t>
            </w:r>
          </w:p>
        </w:tc>
        <w:tc>
          <w:tcPr>
            <w:tcW w:w="998" w:type="dxa"/>
            <w:shd w:val="clear" w:color="auto" w:fill="auto"/>
            <w:vAlign w:val="center"/>
          </w:tcPr>
          <w:p w14:paraId="757DB761" w14:textId="77777777" w:rsidR="001D739F" w:rsidRPr="00262F3A" w:rsidRDefault="001D739F" w:rsidP="00AC60F9">
            <w:pPr>
              <w:pStyle w:val="Tableformat"/>
            </w:pPr>
            <w:r w:rsidRPr="00262F3A">
              <w:t>- </w:t>
            </w:r>
          </w:p>
        </w:tc>
        <w:tc>
          <w:tcPr>
            <w:tcW w:w="1417" w:type="dxa"/>
            <w:shd w:val="clear" w:color="auto" w:fill="auto"/>
            <w:vAlign w:val="center"/>
          </w:tcPr>
          <w:p w14:paraId="72F10171" w14:textId="77777777" w:rsidR="001D739F" w:rsidRPr="00262F3A" w:rsidRDefault="001D739F" w:rsidP="00AC60F9">
            <w:pPr>
              <w:pStyle w:val="Tableformat"/>
            </w:pPr>
            <w:r w:rsidRPr="00262F3A">
              <w:t xml:space="preserve">61,889 </w:t>
            </w:r>
          </w:p>
        </w:tc>
        <w:tc>
          <w:tcPr>
            <w:tcW w:w="1696" w:type="dxa"/>
            <w:shd w:val="clear" w:color="auto" w:fill="auto"/>
            <w:vAlign w:val="center"/>
          </w:tcPr>
          <w:p w14:paraId="22D139F9" w14:textId="77777777" w:rsidR="001D739F" w:rsidRPr="00262F3A" w:rsidRDefault="001D739F" w:rsidP="00AC60F9">
            <w:pPr>
              <w:pStyle w:val="Tableformat"/>
            </w:pPr>
            <w:r w:rsidRPr="00262F3A">
              <w:t xml:space="preserve">21,175 </w:t>
            </w:r>
          </w:p>
        </w:tc>
        <w:tc>
          <w:tcPr>
            <w:tcW w:w="997" w:type="dxa"/>
            <w:shd w:val="clear" w:color="auto" w:fill="auto"/>
            <w:vAlign w:val="center"/>
          </w:tcPr>
          <w:p w14:paraId="4FA9CAEA" w14:textId="77777777" w:rsidR="001D739F" w:rsidRPr="00262F3A" w:rsidRDefault="001D739F" w:rsidP="00AC60F9">
            <w:pPr>
              <w:pStyle w:val="Tableformat"/>
            </w:pPr>
            <w:r w:rsidRPr="00262F3A">
              <w:t xml:space="preserve">10,536 </w:t>
            </w:r>
          </w:p>
        </w:tc>
        <w:tc>
          <w:tcPr>
            <w:tcW w:w="1418" w:type="dxa"/>
            <w:shd w:val="clear" w:color="auto" w:fill="auto"/>
            <w:vAlign w:val="center"/>
          </w:tcPr>
          <w:p w14:paraId="3FDA5B75" w14:textId="77777777" w:rsidR="001D739F" w:rsidRPr="00262F3A" w:rsidRDefault="001D739F" w:rsidP="00AC60F9">
            <w:pPr>
              <w:pStyle w:val="Tableformat"/>
            </w:pPr>
            <w:r w:rsidRPr="00262F3A">
              <w:t>- </w:t>
            </w:r>
          </w:p>
        </w:tc>
        <w:tc>
          <w:tcPr>
            <w:tcW w:w="1276" w:type="dxa"/>
            <w:shd w:val="clear" w:color="auto" w:fill="auto"/>
            <w:vAlign w:val="center"/>
          </w:tcPr>
          <w:p w14:paraId="36F37949" w14:textId="77777777" w:rsidR="001D739F" w:rsidRPr="00262F3A" w:rsidRDefault="001D739F" w:rsidP="00AC60F9">
            <w:pPr>
              <w:pStyle w:val="Tableformat"/>
            </w:pPr>
            <w:r w:rsidRPr="00262F3A">
              <w:t>- </w:t>
            </w:r>
          </w:p>
        </w:tc>
        <w:tc>
          <w:tcPr>
            <w:tcW w:w="1417" w:type="dxa"/>
            <w:shd w:val="clear" w:color="auto" w:fill="auto"/>
            <w:vAlign w:val="center"/>
          </w:tcPr>
          <w:p w14:paraId="3580C0EF" w14:textId="77777777" w:rsidR="001D739F" w:rsidRPr="00262F3A" w:rsidRDefault="001D739F" w:rsidP="00AC60F9">
            <w:pPr>
              <w:pStyle w:val="Tableformat"/>
            </w:pPr>
            <w:r w:rsidRPr="00262F3A">
              <w:t xml:space="preserve">495,717 </w:t>
            </w:r>
          </w:p>
        </w:tc>
      </w:tr>
      <w:tr w:rsidR="001D739F" w:rsidRPr="00262F3A" w14:paraId="0048CE98" w14:textId="77777777" w:rsidTr="00E43F61">
        <w:trPr>
          <w:trHeight w:val="510"/>
        </w:trPr>
        <w:tc>
          <w:tcPr>
            <w:tcW w:w="2263" w:type="dxa"/>
            <w:shd w:val="clear" w:color="auto" w:fill="auto"/>
            <w:vAlign w:val="center"/>
          </w:tcPr>
          <w:p w14:paraId="029C67D1" w14:textId="77777777" w:rsidR="001D739F" w:rsidRPr="00262F3A" w:rsidRDefault="001D739F" w:rsidP="00AC60F9">
            <w:pPr>
              <w:pStyle w:val="Tableformat"/>
            </w:pPr>
            <w:r w:rsidRPr="00262F3A">
              <w:lastRenderedPageBreak/>
              <w:t>Ms Melissa Woodburn</w:t>
            </w:r>
          </w:p>
        </w:tc>
        <w:tc>
          <w:tcPr>
            <w:tcW w:w="2127" w:type="dxa"/>
            <w:shd w:val="clear" w:color="auto" w:fill="auto"/>
            <w:vAlign w:val="center"/>
          </w:tcPr>
          <w:p w14:paraId="45476CA8" w14:textId="77777777" w:rsidR="001D739F" w:rsidRPr="00262F3A" w:rsidRDefault="001D739F" w:rsidP="00AC60F9">
            <w:pPr>
              <w:pStyle w:val="Tableformat"/>
            </w:pPr>
            <w:r w:rsidRPr="00262F3A">
              <w:t>Acting DCEO Corporate Services and CFO and Chief Risk Officer</w:t>
            </w:r>
          </w:p>
        </w:tc>
        <w:tc>
          <w:tcPr>
            <w:tcW w:w="1275" w:type="dxa"/>
            <w:shd w:val="clear" w:color="auto" w:fill="auto"/>
            <w:vAlign w:val="center"/>
          </w:tcPr>
          <w:p w14:paraId="6020378F" w14:textId="77777777" w:rsidR="001D739F" w:rsidRPr="00262F3A" w:rsidRDefault="001D739F" w:rsidP="00AC60F9">
            <w:pPr>
              <w:pStyle w:val="Tableformat"/>
            </w:pPr>
            <w:r w:rsidRPr="00262F3A">
              <w:t xml:space="preserve">195,451 </w:t>
            </w:r>
          </w:p>
        </w:tc>
        <w:tc>
          <w:tcPr>
            <w:tcW w:w="998" w:type="dxa"/>
            <w:shd w:val="clear" w:color="auto" w:fill="auto"/>
            <w:vAlign w:val="center"/>
          </w:tcPr>
          <w:p w14:paraId="4F004137" w14:textId="77777777" w:rsidR="001D739F" w:rsidRPr="00262F3A" w:rsidRDefault="001D739F" w:rsidP="00AC60F9">
            <w:pPr>
              <w:pStyle w:val="Tableformat"/>
            </w:pPr>
            <w:r w:rsidRPr="00262F3A">
              <w:t>-</w:t>
            </w:r>
          </w:p>
        </w:tc>
        <w:tc>
          <w:tcPr>
            <w:tcW w:w="1417" w:type="dxa"/>
            <w:shd w:val="clear" w:color="auto" w:fill="auto"/>
            <w:vAlign w:val="center"/>
          </w:tcPr>
          <w:p w14:paraId="57D2B3C5" w14:textId="77777777" w:rsidR="001D739F" w:rsidRPr="00262F3A" w:rsidRDefault="001D739F" w:rsidP="00AC60F9">
            <w:pPr>
              <w:pStyle w:val="Tableformat"/>
            </w:pPr>
            <w:r w:rsidRPr="00262F3A">
              <w:t xml:space="preserve">37,248 </w:t>
            </w:r>
          </w:p>
        </w:tc>
        <w:tc>
          <w:tcPr>
            <w:tcW w:w="1696" w:type="dxa"/>
            <w:shd w:val="clear" w:color="auto" w:fill="auto"/>
            <w:vAlign w:val="center"/>
          </w:tcPr>
          <w:p w14:paraId="49476FC5" w14:textId="77777777" w:rsidR="001D739F" w:rsidRPr="00262F3A" w:rsidRDefault="001D739F" w:rsidP="00AC60F9">
            <w:pPr>
              <w:pStyle w:val="Tableformat"/>
            </w:pPr>
            <w:r w:rsidRPr="00262F3A">
              <w:t xml:space="preserve">28,751 </w:t>
            </w:r>
          </w:p>
        </w:tc>
        <w:tc>
          <w:tcPr>
            <w:tcW w:w="997" w:type="dxa"/>
            <w:shd w:val="clear" w:color="auto" w:fill="auto"/>
            <w:vAlign w:val="center"/>
          </w:tcPr>
          <w:p w14:paraId="5497C549" w14:textId="77777777" w:rsidR="001D739F" w:rsidRPr="00262F3A" w:rsidRDefault="001D739F" w:rsidP="00AC60F9">
            <w:pPr>
              <w:pStyle w:val="Tableformat"/>
            </w:pPr>
            <w:r w:rsidRPr="00262F3A">
              <w:t xml:space="preserve">  5,032 </w:t>
            </w:r>
          </w:p>
        </w:tc>
        <w:tc>
          <w:tcPr>
            <w:tcW w:w="1418" w:type="dxa"/>
            <w:shd w:val="clear" w:color="auto" w:fill="auto"/>
            <w:vAlign w:val="center"/>
          </w:tcPr>
          <w:p w14:paraId="5D7870DD" w14:textId="77777777" w:rsidR="001D739F" w:rsidRPr="00262F3A" w:rsidRDefault="001D739F" w:rsidP="00AC60F9">
            <w:pPr>
              <w:pStyle w:val="Tableformat"/>
            </w:pPr>
            <w:r w:rsidRPr="00262F3A">
              <w:t>-</w:t>
            </w:r>
          </w:p>
        </w:tc>
        <w:tc>
          <w:tcPr>
            <w:tcW w:w="1276" w:type="dxa"/>
            <w:shd w:val="clear" w:color="auto" w:fill="auto"/>
            <w:vAlign w:val="center"/>
          </w:tcPr>
          <w:p w14:paraId="708EA4F9" w14:textId="77777777" w:rsidR="001D739F" w:rsidRPr="00262F3A" w:rsidRDefault="001D739F" w:rsidP="00AC60F9">
            <w:pPr>
              <w:pStyle w:val="Tableformat"/>
            </w:pPr>
            <w:r w:rsidRPr="00262F3A">
              <w:t>-</w:t>
            </w:r>
          </w:p>
        </w:tc>
        <w:tc>
          <w:tcPr>
            <w:tcW w:w="1417" w:type="dxa"/>
            <w:shd w:val="clear" w:color="auto" w:fill="auto"/>
            <w:vAlign w:val="center"/>
          </w:tcPr>
          <w:p w14:paraId="2B5BEABB" w14:textId="77777777" w:rsidR="001D739F" w:rsidRPr="00262F3A" w:rsidRDefault="001D739F" w:rsidP="00AC60F9">
            <w:pPr>
              <w:pStyle w:val="Tableformat"/>
            </w:pPr>
            <w:r w:rsidRPr="00262F3A">
              <w:t xml:space="preserve">266,482 </w:t>
            </w:r>
          </w:p>
        </w:tc>
      </w:tr>
      <w:tr w:rsidR="001D739F" w:rsidRPr="00262F3A" w14:paraId="3895AA5B" w14:textId="77777777" w:rsidTr="00E43F61">
        <w:trPr>
          <w:trHeight w:val="510"/>
        </w:trPr>
        <w:tc>
          <w:tcPr>
            <w:tcW w:w="4390" w:type="dxa"/>
            <w:gridSpan w:val="2"/>
            <w:shd w:val="clear" w:color="auto" w:fill="auto"/>
            <w:vAlign w:val="center"/>
          </w:tcPr>
          <w:p w14:paraId="042A5BB7" w14:textId="77777777" w:rsidR="001D739F" w:rsidRPr="00262F3A" w:rsidRDefault="001D739F" w:rsidP="00AC60F9">
            <w:pPr>
              <w:pStyle w:val="Tableformat"/>
            </w:pPr>
            <w:r w:rsidRPr="00262F3A">
              <w:t>Total</w:t>
            </w:r>
          </w:p>
        </w:tc>
        <w:tc>
          <w:tcPr>
            <w:tcW w:w="1275" w:type="dxa"/>
            <w:shd w:val="clear" w:color="auto" w:fill="auto"/>
            <w:vAlign w:val="center"/>
          </w:tcPr>
          <w:p w14:paraId="680D1B53" w14:textId="77777777" w:rsidR="001D739F" w:rsidRPr="00262F3A" w:rsidRDefault="001D739F" w:rsidP="00AC60F9">
            <w:pPr>
              <w:pStyle w:val="Tableformat"/>
            </w:pPr>
            <w:r w:rsidRPr="00262F3A">
              <w:t xml:space="preserve"> </w:t>
            </w:r>
            <w:r w:rsidR="00E43F61" w:rsidRPr="00262F3A">
              <w:t>4</w:t>
            </w:r>
            <w:r w:rsidRPr="00262F3A">
              <w:t xml:space="preserve">,711,818 </w:t>
            </w:r>
          </w:p>
        </w:tc>
        <w:tc>
          <w:tcPr>
            <w:tcW w:w="998" w:type="dxa"/>
            <w:shd w:val="clear" w:color="auto" w:fill="auto"/>
            <w:vAlign w:val="center"/>
          </w:tcPr>
          <w:p w14:paraId="59DE2EEE" w14:textId="77777777" w:rsidR="001D739F" w:rsidRPr="00262F3A" w:rsidRDefault="001D739F" w:rsidP="00AC60F9">
            <w:pPr>
              <w:pStyle w:val="Tableformat"/>
            </w:pPr>
            <w:r w:rsidRPr="00262F3A">
              <w:t xml:space="preserve">-   </w:t>
            </w:r>
          </w:p>
        </w:tc>
        <w:tc>
          <w:tcPr>
            <w:tcW w:w="1417" w:type="dxa"/>
            <w:shd w:val="clear" w:color="auto" w:fill="auto"/>
            <w:vAlign w:val="center"/>
          </w:tcPr>
          <w:p w14:paraId="3BBB4A1C" w14:textId="77777777" w:rsidR="001D739F" w:rsidRPr="00262F3A" w:rsidRDefault="001D739F" w:rsidP="00AC60F9">
            <w:pPr>
              <w:pStyle w:val="Tableformat"/>
            </w:pPr>
            <w:r w:rsidRPr="00262F3A">
              <w:t xml:space="preserve">458,367 </w:t>
            </w:r>
          </w:p>
        </w:tc>
        <w:tc>
          <w:tcPr>
            <w:tcW w:w="1696" w:type="dxa"/>
            <w:shd w:val="clear" w:color="auto" w:fill="auto"/>
            <w:vAlign w:val="center"/>
          </w:tcPr>
          <w:p w14:paraId="1B16F25C" w14:textId="77777777" w:rsidR="001D739F" w:rsidRPr="00262F3A" w:rsidRDefault="001D739F" w:rsidP="00AC60F9">
            <w:pPr>
              <w:pStyle w:val="Tableformat"/>
            </w:pPr>
            <w:r w:rsidRPr="00262F3A">
              <w:t xml:space="preserve">488,941 </w:t>
            </w:r>
          </w:p>
        </w:tc>
        <w:tc>
          <w:tcPr>
            <w:tcW w:w="997" w:type="dxa"/>
            <w:shd w:val="clear" w:color="auto" w:fill="auto"/>
            <w:vAlign w:val="center"/>
          </w:tcPr>
          <w:p w14:paraId="5A5C7342" w14:textId="77777777" w:rsidR="001D739F" w:rsidRPr="00262F3A" w:rsidRDefault="001D739F" w:rsidP="00AC60F9">
            <w:pPr>
              <w:pStyle w:val="Tableformat"/>
            </w:pPr>
            <w:r w:rsidRPr="00262F3A">
              <w:t xml:space="preserve">68,988 </w:t>
            </w:r>
          </w:p>
        </w:tc>
        <w:tc>
          <w:tcPr>
            <w:tcW w:w="1418" w:type="dxa"/>
            <w:shd w:val="clear" w:color="auto" w:fill="auto"/>
            <w:vAlign w:val="center"/>
          </w:tcPr>
          <w:p w14:paraId="27BEA1E4" w14:textId="77777777" w:rsidR="001D739F" w:rsidRPr="00262F3A" w:rsidRDefault="001D739F" w:rsidP="00AC60F9">
            <w:pPr>
              <w:pStyle w:val="Tableformat"/>
            </w:pPr>
            <w:r w:rsidRPr="00262F3A">
              <w:t xml:space="preserve">-   </w:t>
            </w:r>
          </w:p>
        </w:tc>
        <w:tc>
          <w:tcPr>
            <w:tcW w:w="1276" w:type="dxa"/>
            <w:shd w:val="clear" w:color="auto" w:fill="auto"/>
            <w:vAlign w:val="center"/>
          </w:tcPr>
          <w:p w14:paraId="5755656B" w14:textId="77777777" w:rsidR="001D739F" w:rsidRPr="00262F3A" w:rsidRDefault="001D739F" w:rsidP="00AC60F9">
            <w:pPr>
              <w:pStyle w:val="Tableformat"/>
            </w:pPr>
            <w:r w:rsidRPr="00262F3A">
              <w:t xml:space="preserve">-   </w:t>
            </w:r>
          </w:p>
        </w:tc>
        <w:tc>
          <w:tcPr>
            <w:tcW w:w="1417" w:type="dxa"/>
            <w:shd w:val="clear" w:color="auto" w:fill="auto"/>
            <w:vAlign w:val="center"/>
          </w:tcPr>
          <w:p w14:paraId="02209F8E" w14:textId="77777777" w:rsidR="001D739F" w:rsidRPr="00262F3A" w:rsidRDefault="001D739F" w:rsidP="00AC60F9">
            <w:pPr>
              <w:pStyle w:val="Tableformat"/>
            </w:pPr>
            <w:r w:rsidRPr="00262F3A">
              <w:t xml:space="preserve">5,728,114 </w:t>
            </w:r>
          </w:p>
        </w:tc>
      </w:tr>
    </w:tbl>
    <w:p w14:paraId="60B53F7F" w14:textId="77777777" w:rsidR="00D5288A" w:rsidRPr="00262F3A" w:rsidRDefault="001D739F" w:rsidP="00561B3B">
      <w:r w:rsidRPr="00262F3A">
        <w:t xml:space="preserve">Notes </w:t>
      </w:r>
      <w:r w:rsidRPr="00262F3A">
        <w:tab/>
      </w:r>
    </w:p>
    <w:p w14:paraId="2451E532" w14:textId="0F3F9080" w:rsidR="001D739F" w:rsidRPr="00262F3A" w:rsidRDefault="001D739F" w:rsidP="00561B3B">
      <w:r w:rsidRPr="00262F3A">
        <w:t>1.</w:t>
      </w:r>
      <w:r w:rsidR="00D5288A" w:rsidRPr="00262F3A">
        <w:t xml:space="preserve"> A</w:t>
      </w:r>
      <w:r w:rsidRPr="00262F3A">
        <w:t>ll data is calculated on an accrual basis.</w:t>
      </w:r>
      <w:r w:rsidR="0092611F" w:rsidRPr="00262F3A">
        <w:br/>
      </w:r>
      <w:r w:rsidRPr="00262F3A">
        <w:t>2. Where senior executives have acted in key management personnel positions their remuneration for the remainder of the year has been included in the senior executive remuneration.</w:t>
      </w:r>
      <w:r w:rsidR="0092611F" w:rsidRPr="00262F3A">
        <w:br/>
      </w:r>
      <w:r w:rsidRPr="00262F3A">
        <w:t>3. The Agency engages some senior executives through contract arrangements that may include superannuation and long service leave entitlements. All other contract-engaged senior executives’ total contract cost</w:t>
      </w:r>
      <w:r w:rsidR="0094785E">
        <w:t>s</w:t>
      </w:r>
      <w:r w:rsidRPr="00262F3A">
        <w:t xml:space="preserve"> are included as short-term employee benefits.</w:t>
      </w:r>
    </w:p>
    <w:p w14:paraId="74D284E1" w14:textId="7AC77A56" w:rsidR="001D739F" w:rsidRPr="00262F3A" w:rsidRDefault="000A04E3" w:rsidP="008F00D1">
      <w:pPr>
        <w:pStyle w:val="Heading3"/>
      </w:pPr>
      <w:bookmarkStart w:id="168" w:name="_Toc51068007"/>
      <w:r w:rsidRPr="00262F3A">
        <w:t>Senior e</w:t>
      </w:r>
      <w:r w:rsidR="001D739F" w:rsidRPr="00262F3A">
        <w:t>xecutives</w:t>
      </w:r>
      <w:bookmarkEnd w:id="168"/>
      <w:r w:rsidR="001D739F" w:rsidRPr="00262F3A">
        <w:t xml:space="preserve"> </w:t>
      </w:r>
    </w:p>
    <w:p w14:paraId="4B40A426" w14:textId="77777777" w:rsidR="001D739F" w:rsidRPr="00262F3A" w:rsidRDefault="001D739F" w:rsidP="00561B3B">
      <w:r w:rsidRPr="00262F3A">
        <w:t>The Agency’s senior executives comprise:</w:t>
      </w:r>
    </w:p>
    <w:p w14:paraId="09E61BC0" w14:textId="2B61E181" w:rsidR="001D739F" w:rsidRPr="00262F3A" w:rsidRDefault="001D739F" w:rsidP="006D2911">
      <w:pPr>
        <w:pStyle w:val="ListParagraph"/>
        <w:numPr>
          <w:ilvl w:val="0"/>
          <w:numId w:val="10"/>
        </w:numPr>
      </w:pPr>
      <w:r w:rsidRPr="00262F3A">
        <w:t>any official classified as either a Senior Executive Band 1, Band 2 or Band 3 under the Public Service Classification Rules 2000</w:t>
      </w:r>
      <w:r w:rsidR="00AE6AE5">
        <w:t xml:space="preserve"> </w:t>
      </w:r>
    </w:p>
    <w:p w14:paraId="5BC35556" w14:textId="77777777" w:rsidR="001D739F" w:rsidRPr="00262F3A" w:rsidRDefault="001D739F" w:rsidP="006D2911">
      <w:pPr>
        <w:pStyle w:val="ListParagraph"/>
        <w:numPr>
          <w:ilvl w:val="0"/>
          <w:numId w:val="10"/>
        </w:numPr>
      </w:pPr>
      <w:r w:rsidRPr="00262F3A">
        <w:t>any official with a position equivalent to a Senior Executive Band 1, Band 2 or Band 3, including contractors and consultants prescribed as officials.</w:t>
      </w:r>
    </w:p>
    <w:p w14:paraId="6FADB41C" w14:textId="5D400065" w:rsidR="005D5BCA" w:rsidRPr="00262F3A" w:rsidRDefault="001D739F" w:rsidP="00561B3B">
      <w:r w:rsidRPr="00262F3A">
        <w:t xml:space="preserve">The average remuneration received or due to be received for each of the Agency’s senior executives who are not </w:t>
      </w:r>
      <w:r w:rsidR="00AE6AE5">
        <w:t xml:space="preserve">KMP </w:t>
      </w:r>
      <w:r w:rsidRPr="00262F3A">
        <w:t>for the year ended 30 June 2020 is summarised in the table below.</w:t>
      </w:r>
    </w:p>
    <w:p w14:paraId="75E37747" w14:textId="77777777" w:rsidR="001D739F" w:rsidRPr="00262F3A" w:rsidRDefault="005D5BCA" w:rsidP="00901595">
      <w:pPr>
        <w:keepNext/>
      </w:pPr>
      <w:r w:rsidRPr="00262F3A">
        <w:rPr>
          <w:b/>
        </w:rPr>
        <w:lastRenderedPageBreak/>
        <w:t>Table 5.6.3A</w:t>
      </w:r>
      <w:r w:rsidRPr="00B63CEB">
        <w:rPr>
          <w:b/>
        </w:rPr>
        <w:t>:</w:t>
      </w:r>
      <w:r w:rsidRPr="00262F3A">
        <w:t xml:space="preserve"> Average remuneration for senior executives who are not key management personnel</w:t>
      </w:r>
      <w:r w:rsidR="001D739F" w:rsidRPr="00262F3A">
        <w:t xml:space="preserve"> </w:t>
      </w:r>
    </w:p>
    <w:tbl>
      <w:tblPr>
        <w:tblW w:w="15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161"/>
        <w:gridCol w:w="1289"/>
        <w:gridCol w:w="1161"/>
        <w:gridCol w:w="1486"/>
        <w:gridCol w:w="1877"/>
        <w:gridCol w:w="1376"/>
        <w:gridCol w:w="1583"/>
        <w:gridCol w:w="1415"/>
        <w:gridCol w:w="1449"/>
      </w:tblGrid>
      <w:tr w:rsidR="00E47228" w:rsidRPr="00262F3A" w14:paraId="6B001319" w14:textId="77777777" w:rsidTr="00E47228">
        <w:trPr>
          <w:trHeight w:val="511"/>
          <w:tblHeader/>
        </w:trPr>
        <w:tc>
          <w:tcPr>
            <w:tcW w:w="3397" w:type="dxa"/>
            <w:gridSpan w:val="2"/>
            <w:shd w:val="clear" w:color="auto" w:fill="7030A0"/>
            <w:vAlign w:val="center"/>
            <w:hideMark/>
          </w:tcPr>
          <w:p w14:paraId="3263C838" w14:textId="491872BF" w:rsidR="001D739F" w:rsidRPr="00262F3A" w:rsidRDefault="00AE6AE5" w:rsidP="00AC60F9">
            <w:pPr>
              <w:pStyle w:val="Tableformat"/>
              <w:rPr>
                <w:color w:val="FFFFFF" w:themeColor="background1"/>
              </w:rPr>
            </w:pPr>
            <w:r>
              <w:rPr>
                <w:color w:val="FFFFFF" w:themeColor="background1"/>
              </w:rPr>
              <w:t>Senior executive</w:t>
            </w:r>
            <w:r w:rsidR="001D739F" w:rsidRPr="00262F3A">
              <w:rPr>
                <w:color w:val="FFFFFF" w:themeColor="background1"/>
              </w:rPr>
              <w:t xml:space="preserve"> remuneration</w:t>
            </w:r>
          </w:p>
        </w:tc>
        <w:tc>
          <w:tcPr>
            <w:tcW w:w="3944" w:type="dxa"/>
            <w:gridSpan w:val="3"/>
            <w:shd w:val="clear" w:color="auto" w:fill="7030A0"/>
            <w:vAlign w:val="center"/>
            <w:hideMark/>
          </w:tcPr>
          <w:p w14:paraId="3904D5B3" w14:textId="77777777" w:rsidR="001D739F" w:rsidRPr="00262F3A" w:rsidRDefault="001D739F" w:rsidP="00AC60F9">
            <w:pPr>
              <w:pStyle w:val="Tableformat"/>
              <w:rPr>
                <w:color w:val="FFFFFF" w:themeColor="background1"/>
              </w:rPr>
            </w:pPr>
            <w:r w:rsidRPr="00262F3A">
              <w:rPr>
                <w:color w:val="FFFFFF" w:themeColor="background1"/>
              </w:rPr>
              <w:t>Short</w:t>
            </w:r>
            <w:r w:rsidRPr="00262F3A">
              <w:rPr>
                <w:color w:val="FFFFFF" w:themeColor="background1"/>
              </w:rPr>
              <w:noBreakHyphen/>
              <w:t>term benefits</w:t>
            </w:r>
          </w:p>
        </w:tc>
        <w:tc>
          <w:tcPr>
            <w:tcW w:w="1878" w:type="dxa"/>
            <w:shd w:val="clear" w:color="auto" w:fill="7030A0"/>
            <w:vAlign w:val="center"/>
            <w:hideMark/>
          </w:tcPr>
          <w:p w14:paraId="09870734" w14:textId="77777777" w:rsidR="001D739F" w:rsidRPr="00262F3A" w:rsidRDefault="001D739F" w:rsidP="00AC60F9">
            <w:pPr>
              <w:pStyle w:val="Tableformat"/>
              <w:rPr>
                <w:color w:val="FFFFFF" w:themeColor="background1"/>
              </w:rPr>
            </w:pPr>
            <w:r w:rsidRPr="00262F3A">
              <w:rPr>
                <w:color w:val="FFFFFF" w:themeColor="background1"/>
              </w:rPr>
              <w:t>Post</w:t>
            </w:r>
            <w:r w:rsidRPr="00262F3A">
              <w:rPr>
                <w:color w:val="FFFFFF" w:themeColor="background1"/>
              </w:rPr>
              <w:noBreakHyphen/>
              <w:t>employment benefits</w:t>
            </w:r>
          </w:p>
        </w:tc>
        <w:tc>
          <w:tcPr>
            <w:tcW w:w="2968" w:type="dxa"/>
            <w:gridSpan w:val="2"/>
            <w:shd w:val="clear" w:color="auto" w:fill="7030A0"/>
            <w:vAlign w:val="center"/>
            <w:hideMark/>
          </w:tcPr>
          <w:p w14:paraId="1C2BFAD5" w14:textId="77777777" w:rsidR="001D739F" w:rsidRPr="00262F3A" w:rsidRDefault="001D739F" w:rsidP="00AC60F9">
            <w:pPr>
              <w:pStyle w:val="Tableformat"/>
              <w:rPr>
                <w:color w:val="FFFFFF" w:themeColor="background1"/>
              </w:rPr>
            </w:pPr>
            <w:r w:rsidRPr="00262F3A">
              <w:rPr>
                <w:color w:val="FFFFFF" w:themeColor="background1"/>
              </w:rPr>
              <w:t>Other long</w:t>
            </w:r>
            <w:r w:rsidRPr="00262F3A">
              <w:rPr>
                <w:color w:val="FFFFFF" w:themeColor="background1"/>
              </w:rPr>
              <w:noBreakHyphen/>
              <w:t>term benefits</w:t>
            </w:r>
          </w:p>
        </w:tc>
        <w:tc>
          <w:tcPr>
            <w:tcW w:w="1416" w:type="dxa"/>
            <w:shd w:val="clear" w:color="auto" w:fill="7030A0"/>
            <w:vAlign w:val="center"/>
            <w:hideMark/>
          </w:tcPr>
          <w:p w14:paraId="5E4285E8" w14:textId="77777777" w:rsidR="001D739F" w:rsidRPr="00262F3A" w:rsidRDefault="001D739F" w:rsidP="00AC60F9">
            <w:pPr>
              <w:pStyle w:val="Tableformat"/>
              <w:rPr>
                <w:color w:val="FFFFFF" w:themeColor="background1"/>
              </w:rPr>
            </w:pPr>
            <w:r w:rsidRPr="00262F3A">
              <w:rPr>
                <w:color w:val="FFFFFF" w:themeColor="background1"/>
              </w:rPr>
              <w:t>Termination benefits</w:t>
            </w:r>
          </w:p>
        </w:tc>
        <w:tc>
          <w:tcPr>
            <w:tcW w:w="1449" w:type="dxa"/>
            <w:shd w:val="clear" w:color="auto" w:fill="7030A0"/>
            <w:vAlign w:val="center"/>
            <w:hideMark/>
          </w:tcPr>
          <w:p w14:paraId="39180EE4" w14:textId="77777777" w:rsidR="001D739F" w:rsidRPr="00262F3A" w:rsidRDefault="001D739F" w:rsidP="00AC60F9">
            <w:pPr>
              <w:pStyle w:val="Tableformat"/>
              <w:rPr>
                <w:color w:val="FFFFFF" w:themeColor="background1"/>
              </w:rPr>
            </w:pPr>
            <w:r w:rsidRPr="00262F3A">
              <w:rPr>
                <w:color w:val="FFFFFF" w:themeColor="background1"/>
              </w:rPr>
              <w:t>Total remuneration</w:t>
            </w:r>
          </w:p>
        </w:tc>
      </w:tr>
      <w:tr w:rsidR="00E47228" w:rsidRPr="00262F3A" w14:paraId="49C79AE7" w14:textId="77777777" w:rsidTr="00E47228">
        <w:trPr>
          <w:trHeight w:val="679"/>
          <w:tblHeader/>
        </w:trPr>
        <w:tc>
          <w:tcPr>
            <w:tcW w:w="2263" w:type="dxa"/>
            <w:shd w:val="clear" w:color="auto" w:fill="7030A0"/>
            <w:vAlign w:val="center"/>
            <w:hideMark/>
          </w:tcPr>
          <w:p w14:paraId="7CE990DA" w14:textId="77777777" w:rsidR="001D739F" w:rsidRPr="00262F3A" w:rsidRDefault="001D739F" w:rsidP="00AC60F9">
            <w:pPr>
              <w:pStyle w:val="Tableformat"/>
              <w:rPr>
                <w:color w:val="FFFFFF" w:themeColor="background1"/>
              </w:rPr>
            </w:pPr>
            <w:r w:rsidRPr="00262F3A">
              <w:rPr>
                <w:color w:val="FFFFFF" w:themeColor="background1"/>
              </w:rPr>
              <w:t>Total remuneration bands</w:t>
            </w:r>
          </w:p>
        </w:tc>
        <w:tc>
          <w:tcPr>
            <w:tcW w:w="1134" w:type="dxa"/>
            <w:shd w:val="clear" w:color="auto" w:fill="7030A0"/>
            <w:vAlign w:val="center"/>
            <w:hideMark/>
          </w:tcPr>
          <w:p w14:paraId="2766F541" w14:textId="77777777" w:rsidR="001D739F" w:rsidRPr="00262F3A" w:rsidRDefault="001D739F" w:rsidP="00AC60F9">
            <w:pPr>
              <w:pStyle w:val="Tableformat"/>
              <w:rPr>
                <w:color w:val="FFFFFF" w:themeColor="background1"/>
              </w:rPr>
            </w:pPr>
            <w:r w:rsidRPr="00262F3A">
              <w:rPr>
                <w:color w:val="FFFFFF" w:themeColor="background1"/>
              </w:rPr>
              <w:t>Number of senior executives</w:t>
            </w:r>
          </w:p>
        </w:tc>
        <w:tc>
          <w:tcPr>
            <w:tcW w:w="1292" w:type="dxa"/>
            <w:shd w:val="clear" w:color="auto" w:fill="7030A0"/>
            <w:vAlign w:val="center"/>
            <w:hideMark/>
          </w:tcPr>
          <w:p w14:paraId="33DB9468" w14:textId="77777777" w:rsidR="001D739F" w:rsidRPr="00262F3A" w:rsidRDefault="0092611F" w:rsidP="00AC60F9">
            <w:pPr>
              <w:pStyle w:val="Tableformat"/>
              <w:rPr>
                <w:color w:val="FFFFFF" w:themeColor="background1"/>
              </w:rPr>
            </w:pPr>
            <w:r w:rsidRPr="00262F3A">
              <w:rPr>
                <w:color w:val="FFFFFF" w:themeColor="background1"/>
              </w:rPr>
              <w:t>Average base salary</w:t>
            </w:r>
          </w:p>
        </w:tc>
        <w:tc>
          <w:tcPr>
            <w:tcW w:w="1163" w:type="dxa"/>
            <w:shd w:val="clear" w:color="auto" w:fill="7030A0"/>
            <w:vAlign w:val="center"/>
            <w:hideMark/>
          </w:tcPr>
          <w:p w14:paraId="09D932CD" w14:textId="77777777" w:rsidR="001D739F" w:rsidRPr="00262F3A" w:rsidRDefault="001D739F" w:rsidP="00AC60F9">
            <w:pPr>
              <w:pStyle w:val="Tableformat"/>
              <w:rPr>
                <w:color w:val="FFFFFF" w:themeColor="background1"/>
              </w:rPr>
            </w:pPr>
            <w:r w:rsidRPr="00262F3A">
              <w:rPr>
                <w:color w:val="FFFFFF" w:themeColor="background1"/>
              </w:rPr>
              <w:t>A</w:t>
            </w:r>
            <w:r w:rsidR="0092611F" w:rsidRPr="00262F3A">
              <w:rPr>
                <w:color w:val="FFFFFF" w:themeColor="background1"/>
              </w:rPr>
              <w:t>verage bonuses</w:t>
            </w:r>
          </w:p>
        </w:tc>
        <w:tc>
          <w:tcPr>
            <w:tcW w:w="1489" w:type="dxa"/>
            <w:shd w:val="clear" w:color="auto" w:fill="7030A0"/>
            <w:vAlign w:val="center"/>
            <w:hideMark/>
          </w:tcPr>
          <w:p w14:paraId="6C7E8DDB" w14:textId="77777777" w:rsidR="001D739F" w:rsidRPr="00262F3A" w:rsidRDefault="001D739F" w:rsidP="00AC60F9">
            <w:pPr>
              <w:pStyle w:val="Tableformat"/>
              <w:rPr>
                <w:color w:val="FFFFFF" w:themeColor="background1"/>
              </w:rPr>
            </w:pPr>
            <w:r w:rsidRPr="00262F3A">
              <w:rPr>
                <w:color w:val="FFFFFF" w:themeColor="background1"/>
              </w:rPr>
              <w:t xml:space="preserve">Average </w:t>
            </w:r>
            <w:r w:rsidR="0092611F" w:rsidRPr="00262F3A">
              <w:rPr>
                <w:color w:val="FFFFFF" w:themeColor="background1"/>
              </w:rPr>
              <w:t>other benefits and allowances</w:t>
            </w:r>
          </w:p>
        </w:tc>
        <w:tc>
          <w:tcPr>
            <w:tcW w:w="1878" w:type="dxa"/>
            <w:shd w:val="clear" w:color="auto" w:fill="7030A0"/>
            <w:vAlign w:val="center"/>
            <w:hideMark/>
          </w:tcPr>
          <w:p w14:paraId="4E14EAEA" w14:textId="77777777" w:rsidR="001D739F" w:rsidRPr="00262F3A" w:rsidRDefault="001D739F" w:rsidP="00AC60F9">
            <w:pPr>
              <w:pStyle w:val="Tableformat"/>
              <w:rPr>
                <w:color w:val="FFFFFF" w:themeColor="background1"/>
              </w:rPr>
            </w:pPr>
            <w:r w:rsidRPr="00262F3A">
              <w:rPr>
                <w:color w:val="FFFFFF" w:themeColor="background1"/>
              </w:rPr>
              <w:t>Average</w:t>
            </w:r>
            <w:r w:rsidR="0092611F" w:rsidRPr="00262F3A">
              <w:rPr>
                <w:color w:val="FFFFFF" w:themeColor="background1"/>
              </w:rPr>
              <w:t xml:space="preserve"> superannuation contributions</w:t>
            </w:r>
          </w:p>
        </w:tc>
        <w:tc>
          <w:tcPr>
            <w:tcW w:w="1380" w:type="dxa"/>
            <w:shd w:val="clear" w:color="auto" w:fill="7030A0"/>
            <w:vAlign w:val="center"/>
            <w:hideMark/>
          </w:tcPr>
          <w:p w14:paraId="138503A1" w14:textId="77777777" w:rsidR="001D739F" w:rsidRPr="00262F3A" w:rsidRDefault="001D739F" w:rsidP="00AC60F9">
            <w:pPr>
              <w:pStyle w:val="Tableformat"/>
              <w:rPr>
                <w:color w:val="FFFFFF" w:themeColor="background1"/>
              </w:rPr>
            </w:pPr>
            <w:r w:rsidRPr="00262F3A">
              <w:rPr>
                <w:color w:val="FFFFFF" w:themeColor="background1"/>
              </w:rPr>
              <w:t>A</w:t>
            </w:r>
            <w:r w:rsidR="0092611F" w:rsidRPr="00262F3A">
              <w:rPr>
                <w:color w:val="FFFFFF" w:themeColor="background1"/>
              </w:rPr>
              <w:t xml:space="preserve">verage long service leave </w:t>
            </w:r>
          </w:p>
        </w:tc>
        <w:tc>
          <w:tcPr>
            <w:tcW w:w="1588" w:type="dxa"/>
            <w:shd w:val="clear" w:color="auto" w:fill="7030A0"/>
            <w:vAlign w:val="center"/>
            <w:hideMark/>
          </w:tcPr>
          <w:p w14:paraId="70E8EB30" w14:textId="77777777" w:rsidR="001D739F" w:rsidRPr="00262F3A" w:rsidRDefault="001D739F" w:rsidP="00AC60F9">
            <w:pPr>
              <w:pStyle w:val="Tableformat"/>
              <w:rPr>
                <w:color w:val="FFFFFF" w:themeColor="background1"/>
              </w:rPr>
            </w:pPr>
            <w:r w:rsidRPr="00262F3A">
              <w:rPr>
                <w:color w:val="FFFFFF" w:themeColor="background1"/>
              </w:rPr>
              <w:t>Aver</w:t>
            </w:r>
            <w:r w:rsidR="0092611F" w:rsidRPr="00262F3A">
              <w:rPr>
                <w:color w:val="FFFFFF" w:themeColor="background1"/>
              </w:rPr>
              <w:t>age other long</w:t>
            </w:r>
            <w:r w:rsidR="0092611F" w:rsidRPr="00262F3A">
              <w:rPr>
                <w:color w:val="FFFFFF" w:themeColor="background1"/>
              </w:rPr>
              <w:noBreakHyphen/>
              <w:t xml:space="preserve">term benefits </w:t>
            </w:r>
          </w:p>
        </w:tc>
        <w:tc>
          <w:tcPr>
            <w:tcW w:w="1416" w:type="dxa"/>
            <w:shd w:val="clear" w:color="auto" w:fill="7030A0"/>
            <w:vAlign w:val="center"/>
            <w:hideMark/>
          </w:tcPr>
          <w:p w14:paraId="32937704" w14:textId="77777777" w:rsidR="001D739F" w:rsidRPr="00262F3A" w:rsidRDefault="0092611F" w:rsidP="00AC60F9">
            <w:pPr>
              <w:pStyle w:val="Tableformat"/>
              <w:rPr>
                <w:color w:val="FFFFFF" w:themeColor="background1"/>
              </w:rPr>
            </w:pPr>
            <w:r w:rsidRPr="00262F3A">
              <w:rPr>
                <w:color w:val="FFFFFF" w:themeColor="background1"/>
              </w:rPr>
              <w:t xml:space="preserve">Average termination benefits </w:t>
            </w:r>
          </w:p>
        </w:tc>
        <w:tc>
          <w:tcPr>
            <w:tcW w:w="1449" w:type="dxa"/>
            <w:shd w:val="clear" w:color="auto" w:fill="7030A0"/>
            <w:vAlign w:val="center"/>
            <w:hideMark/>
          </w:tcPr>
          <w:p w14:paraId="5E49A18E" w14:textId="77777777" w:rsidR="001D739F" w:rsidRPr="00262F3A" w:rsidRDefault="001D739F" w:rsidP="00AC60F9">
            <w:pPr>
              <w:pStyle w:val="Tableformat"/>
              <w:rPr>
                <w:color w:val="FFFFFF" w:themeColor="background1"/>
              </w:rPr>
            </w:pPr>
            <w:r w:rsidRPr="00262F3A">
              <w:rPr>
                <w:color w:val="FFFFFF" w:themeColor="background1"/>
              </w:rPr>
              <w:t>Average total remunerat</w:t>
            </w:r>
            <w:r w:rsidR="0092611F" w:rsidRPr="00262F3A">
              <w:rPr>
                <w:color w:val="FFFFFF" w:themeColor="background1"/>
              </w:rPr>
              <w:t>ion</w:t>
            </w:r>
          </w:p>
        </w:tc>
      </w:tr>
      <w:tr w:rsidR="00E47228" w:rsidRPr="00262F3A" w14:paraId="094C5232" w14:textId="77777777" w:rsidTr="00E47228">
        <w:trPr>
          <w:trHeight w:val="397"/>
        </w:trPr>
        <w:tc>
          <w:tcPr>
            <w:tcW w:w="2263" w:type="dxa"/>
            <w:vAlign w:val="center"/>
          </w:tcPr>
          <w:p w14:paraId="098E735A" w14:textId="77777777" w:rsidR="00D15B48" w:rsidRPr="00262F3A" w:rsidRDefault="00D15B48" w:rsidP="00C10E4F">
            <w:pPr>
              <w:pStyle w:val="Tableformat"/>
            </w:pPr>
            <w:r w:rsidRPr="00262F3A">
              <w:t>$0 - $220,000</w:t>
            </w:r>
          </w:p>
        </w:tc>
        <w:tc>
          <w:tcPr>
            <w:tcW w:w="1134" w:type="dxa"/>
            <w:shd w:val="clear" w:color="auto" w:fill="auto"/>
            <w:vAlign w:val="center"/>
          </w:tcPr>
          <w:p w14:paraId="38EBF898" w14:textId="77777777" w:rsidR="00D15B48" w:rsidRPr="00262F3A" w:rsidRDefault="00D15B48" w:rsidP="00C10E4F">
            <w:pPr>
              <w:pStyle w:val="Tableformat"/>
            </w:pPr>
            <w:r w:rsidRPr="00262F3A">
              <w:t xml:space="preserve">36 </w:t>
            </w:r>
          </w:p>
        </w:tc>
        <w:tc>
          <w:tcPr>
            <w:tcW w:w="1292" w:type="dxa"/>
            <w:shd w:val="clear" w:color="auto" w:fill="auto"/>
            <w:vAlign w:val="center"/>
          </w:tcPr>
          <w:p w14:paraId="4FACC233" w14:textId="77777777" w:rsidR="00D15B48" w:rsidRPr="00262F3A" w:rsidRDefault="00D15B48" w:rsidP="00E47228">
            <w:pPr>
              <w:ind w:left="0"/>
              <w:rPr>
                <w:sz w:val="20"/>
                <w:szCs w:val="20"/>
              </w:rPr>
            </w:pPr>
            <w:r w:rsidRPr="00262F3A">
              <w:rPr>
                <w:sz w:val="20"/>
                <w:szCs w:val="20"/>
              </w:rPr>
              <w:t xml:space="preserve">101,254 </w:t>
            </w:r>
          </w:p>
        </w:tc>
        <w:tc>
          <w:tcPr>
            <w:tcW w:w="1163" w:type="dxa"/>
            <w:vAlign w:val="center"/>
          </w:tcPr>
          <w:p w14:paraId="31A2F658" w14:textId="77777777" w:rsidR="00D15B48" w:rsidRPr="00262F3A" w:rsidRDefault="00D15B48" w:rsidP="00E47228">
            <w:pPr>
              <w:ind w:left="0"/>
              <w:rPr>
                <w:sz w:val="20"/>
                <w:szCs w:val="20"/>
              </w:rPr>
            </w:pPr>
            <w:r w:rsidRPr="00262F3A">
              <w:rPr>
                <w:sz w:val="20"/>
                <w:szCs w:val="20"/>
              </w:rPr>
              <w:t>-</w:t>
            </w:r>
          </w:p>
        </w:tc>
        <w:tc>
          <w:tcPr>
            <w:tcW w:w="1489" w:type="dxa"/>
            <w:shd w:val="clear" w:color="auto" w:fill="auto"/>
            <w:vAlign w:val="center"/>
          </w:tcPr>
          <w:p w14:paraId="53D16350" w14:textId="77777777" w:rsidR="00D15B48" w:rsidRPr="00262F3A" w:rsidRDefault="00D15B48" w:rsidP="00E47228">
            <w:pPr>
              <w:ind w:left="0"/>
              <w:rPr>
                <w:sz w:val="20"/>
                <w:szCs w:val="20"/>
              </w:rPr>
            </w:pPr>
            <w:r w:rsidRPr="00262F3A">
              <w:rPr>
                <w:sz w:val="20"/>
                <w:szCs w:val="20"/>
              </w:rPr>
              <w:t xml:space="preserve">20,391 </w:t>
            </w:r>
          </w:p>
        </w:tc>
        <w:tc>
          <w:tcPr>
            <w:tcW w:w="1878" w:type="dxa"/>
            <w:shd w:val="clear" w:color="auto" w:fill="auto"/>
            <w:vAlign w:val="center"/>
          </w:tcPr>
          <w:p w14:paraId="22DBC9A2" w14:textId="77777777" w:rsidR="00D15B48" w:rsidRPr="00262F3A" w:rsidRDefault="00D15B48" w:rsidP="00E47228">
            <w:pPr>
              <w:ind w:left="-66"/>
              <w:rPr>
                <w:sz w:val="20"/>
                <w:szCs w:val="20"/>
              </w:rPr>
            </w:pPr>
            <w:r w:rsidRPr="00262F3A">
              <w:rPr>
                <w:sz w:val="20"/>
                <w:szCs w:val="20"/>
              </w:rPr>
              <w:t xml:space="preserve">15,399 </w:t>
            </w:r>
          </w:p>
        </w:tc>
        <w:tc>
          <w:tcPr>
            <w:tcW w:w="1380" w:type="dxa"/>
            <w:shd w:val="clear" w:color="auto" w:fill="auto"/>
            <w:vAlign w:val="center"/>
          </w:tcPr>
          <w:p w14:paraId="64D30FF6" w14:textId="77777777" w:rsidR="00D15B48" w:rsidRPr="00262F3A" w:rsidRDefault="00D15B48" w:rsidP="00E47228">
            <w:pPr>
              <w:ind w:left="-12"/>
              <w:rPr>
                <w:sz w:val="20"/>
                <w:szCs w:val="20"/>
              </w:rPr>
            </w:pPr>
            <w:r w:rsidRPr="00262F3A">
              <w:rPr>
                <w:sz w:val="20"/>
                <w:szCs w:val="20"/>
              </w:rPr>
              <w:t xml:space="preserve">2,66 </w:t>
            </w:r>
          </w:p>
        </w:tc>
        <w:tc>
          <w:tcPr>
            <w:tcW w:w="1588" w:type="dxa"/>
            <w:shd w:val="clear" w:color="auto" w:fill="auto"/>
            <w:vAlign w:val="center"/>
          </w:tcPr>
          <w:p w14:paraId="10182E7B" w14:textId="77777777" w:rsidR="00D15B48" w:rsidRPr="00262F3A" w:rsidRDefault="00D15B48" w:rsidP="00E47228">
            <w:pPr>
              <w:ind w:left="-70"/>
              <w:rPr>
                <w:sz w:val="20"/>
                <w:szCs w:val="20"/>
              </w:rPr>
            </w:pPr>
            <w:r w:rsidRPr="00262F3A">
              <w:rPr>
                <w:sz w:val="20"/>
                <w:szCs w:val="20"/>
              </w:rPr>
              <w:t xml:space="preserve">        -   </w:t>
            </w:r>
          </w:p>
        </w:tc>
        <w:tc>
          <w:tcPr>
            <w:tcW w:w="1416" w:type="dxa"/>
            <w:shd w:val="clear" w:color="auto" w:fill="auto"/>
            <w:vAlign w:val="center"/>
          </w:tcPr>
          <w:p w14:paraId="0ABBDD8F" w14:textId="77777777" w:rsidR="00D15B48" w:rsidRPr="00262F3A" w:rsidRDefault="00D15B48" w:rsidP="00E47228">
            <w:pPr>
              <w:ind w:left="-29"/>
              <w:rPr>
                <w:sz w:val="20"/>
                <w:szCs w:val="20"/>
              </w:rPr>
            </w:pPr>
            <w:r w:rsidRPr="00262F3A">
              <w:rPr>
                <w:sz w:val="20"/>
                <w:szCs w:val="20"/>
              </w:rPr>
              <w:t xml:space="preserve"> -   </w:t>
            </w:r>
          </w:p>
        </w:tc>
        <w:tc>
          <w:tcPr>
            <w:tcW w:w="1449" w:type="dxa"/>
            <w:shd w:val="clear" w:color="auto" w:fill="auto"/>
            <w:vAlign w:val="center"/>
          </w:tcPr>
          <w:p w14:paraId="642F6541" w14:textId="77777777" w:rsidR="00D15B48" w:rsidRPr="00262F3A" w:rsidRDefault="00D15B48" w:rsidP="00C10E4F">
            <w:pPr>
              <w:ind w:left="0"/>
              <w:rPr>
                <w:sz w:val="20"/>
                <w:szCs w:val="20"/>
              </w:rPr>
            </w:pPr>
            <w:r w:rsidRPr="00262F3A">
              <w:rPr>
                <w:sz w:val="20"/>
                <w:szCs w:val="20"/>
              </w:rPr>
              <w:t xml:space="preserve">139,210 </w:t>
            </w:r>
          </w:p>
        </w:tc>
      </w:tr>
      <w:tr w:rsidR="00E47228" w:rsidRPr="00262F3A" w14:paraId="4B14C62A" w14:textId="77777777" w:rsidTr="00E47228">
        <w:trPr>
          <w:trHeight w:val="397"/>
        </w:trPr>
        <w:tc>
          <w:tcPr>
            <w:tcW w:w="2263" w:type="dxa"/>
            <w:vAlign w:val="center"/>
          </w:tcPr>
          <w:p w14:paraId="4FFA0B00" w14:textId="77777777" w:rsidR="001D739F" w:rsidRPr="00262F3A" w:rsidRDefault="001D739F" w:rsidP="00C10E4F">
            <w:pPr>
              <w:pStyle w:val="Tableformat"/>
            </w:pPr>
            <w:r w:rsidRPr="00262F3A">
              <w:t xml:space="preserve"> $220,001 - $245,000</w:t>
            </w:r>
          </w:p>
        </w:tc>
        <w:tc>
          <w:tcPr>
            <w:tcW w:w="1134" w:type="dxa"/>
            <w:shd w:val="clear" w:color="auto" w:fill="auto"/>
            <w:vAlign w:val="center"/>
          </w:tcPr>
          <w:p w14:paraId="4684D9BD" w14:textId="77777777" w:rsidR="001D739F" w:rsidRPr="00262F3A" w:rsidRDefault="001D739F" w:rsidP="00C10E4F">
            <w:pPr>
              <w:pStyle w:val="Tableformat"/>
            </w:pPr>
            <w:r w:rsidRPr="00262F3A">
              <w:t xml:space="preserve">6 </w:t>
            </w:r>
          </w:p>
        </w:tc>
        <w:tc>
          <w:tcPr>
            <w:tcW w:w="1292" w:type="dxa"/>
            <w:shd w:val="clear" w:color="auto" w:fill="auto"/>
            <w:vAlign w:val="center"/>
          </w:tcPr>
          <w:p w14:paraId="71A20039" w14:textId="77777777" w:rsidR="001D739F" w:rsidRPr="00262F3A" w:rsidRDefault="001D739F" w:rsidP="00C10E4F">
            <w:pPr>
              <w:pStyle w:val="Tableformat"/>
            </w:pPr>
            <w:r w:rsidRPr="00262F3A">
              <w:t xml:space="preserve">168,020 </w:t>
            </w:r>
          </w:p>
        </w:tc>
        <w:tc>
          <w:tcPr>
            <w:tcW w:w="1163" w:type="dxa"/>
            <w:vAlign w:val="center"/>
          </w:tcPr>
          <w:p w14:paraId="6EEF7F5E" w14:textId="77777777" w:rsidR="001D739F" w:rsidRPr="00262F3A" w:rsidRDefault="001D739F" w:rsidP="00C10E4F">
            <w:pPr>
              <w:pStyle w:val="Tableformat"/>
            </w:pPr>
            <w:r w:rsidRPr="00262F3A">
              <w:t>-</w:t>
            </w:r>
          </w:p>
        </w:tc>
        <w:tc>
          <w:tcPr>
            <w:tcW w:w="1489" w:type="dxa"/>
            <w:shd w:val="clear" w:color="auto" w:fill="auto"/>
            <w:vAlign w:val="center"/>
          </w:tcPr>
          <w:p w14:paraId="74F6324E" w14:textId="77777777" w:rsidR="001D739F" w:rsidRPr="00262F3A" w:rsidRDefault="001D739F" w:rsidP="00C10E4F">
            <w:pPr>
              <w:pStyle w:val="Tableformat"/>
            </w:pPr>
            <w:r w:rsidRPr="00262F3A">
              <w:t xml:space="preserve">34,012 </w:t>
            </w:r>
          </w:p>
        </w:tc>
        <w:tc>
          <w:tcPr>
            <w:tcW w:w="1878" w:type="dxa"/>
            <w:shd w:val="clear" w:color="auto" w:fill="auto"/>
            <w:vAlign w:val="center"/>
          </w:tcPr>
          <w:p w14:paraId="23F4CF9A" w14:textId="77777777" w:rsidR="001D739F" w:rsidRPr="00262F3A" w:rsidRDefault="001D739F" w:rsidP="00C10E4F">
            <w:pPr>
              <w:pStyle w:val="Tableformat"/>
            </w:pPr>
            <w:r w:rsidRPr="00262F3A">
              <w:t xml:space="preserve">25,104 </w:t>
            </w:r>
          </w:p>
        </w:tc>
        <w:tc>
          <w:tcPr>
            <w:tcW w:w="1380" w:type="dxa"/>
            <w:shd w:val="clear" w:color="auto" w:fill="auto"/>
            <w:vAlign w:val="center"/>
          </w:tcPr>
          <w:p w14:paraId="01CD04C4" w14:textId="77777777" w:rsidR="001D739F" w:rsidRPr="00262F3A" w:rsidRDefault="001D739F" w:rsidP="00C10E4F">
            <w:pPr>
              <w:pStyle w:val="Tableformat"/>
            </w:pPr>
            <w:r w:rsidRPr="00262F3A">
              <w:t xml:space="preserve">2,906 </w:t>
            </w:r>
          </w:p>
        </w:tc>
        <w:tc>
          <w:tcPr>
            <w:tcW w:w="1588" w:type="dxa"/>
            <w:shd w:val="clear" w:color="auto" w:fill="auto"/>
            <w:vAlign w:val="center"/>
          </w:tcPr>
          <w:p w14:paraId="313C810F"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792FFC95"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40F9D2B2" w14:textId="77777777" w:rsidR="001D739F" w:rsidRPr="00262F3A" w:rsidRDefault="001D739F" w:rsidP="00C10E4F">
            <w:pPr>
              <w:pStyle w:val="Tableformat"/>
            </w:pPr>
            <w:r w:rsidRPr="00262F3A">
              <w:t xml:space="preserve">230,042 </w:t>
            </w:r>
          </w:p>
        </w:tc>
      </w:tr>
      <w:tr w:rsidR="00E47228" w:rsidRPr="00262F3A" w14:paraId="008FE8E3" w14:textId="77777777" w:rsidTr="00E47228">
        <w:trPr>
          <w:trHeight w:val="397"/>
        </w:trPr>
        <w:tc>
          <w:tcPr>
            <w:tcW w:w="2263" w:type="dxa"/>
            <w:vAlign w:val="center"/>
          </w:tcPr>
          <w:p w14:paraId="77030861" w14:textId="77777777" w:rsidR="001D739F" w:rsidRPr="00262F3A" w:rsidRDefault="001D739F" w:rsidP="00C10E4F">
            <w:pPr>
              <w:pStyle w:val="Tableformat"/>
            </w:pPr>
            <w:r w:rsidRPr="00262F3A">
              <w:t xml:space="preserve"> $245,001 - $270,000</w:t>
            </w:r>
          </w:p>
        </w:tc>
        <w:tc>
          <w:tcPr>
            <w:tcW w:w="1134" w:type="dxa"/>
            <w:shd w:val="clear" w:color="auto" w:fill="auto"/>
            <w:vAlign w:val="center"/>
          </w:tcPr>
          <w:p w14:paraId="4A656A3F" w14:textId="77777777" w:rsidR="001D739F" w:rsidRPr="00262F3A" w:rsidRDefault="001D739F" w:rsidP="00C10E4F">
            <w:pPr>
              <w:pStyle w:val="Tableformat"/>
            </w:pPr>
            <w:r w:rsidRPr="00262F3A">
              <w:t xml:space="preserve">13 </w:t>
            </w:r>
          </w:p>
        </w:tc>
        <w:tc>
          <w:tcPr>
            <w:tcW w:w="1292" w:type="dxa"/>
            <w:shd w:val="clear" w:color="auto" w:fill="auto"/>
            <w:vAlign w:val="center"/>
          </w:tcPr>
          <w:p w14:paraId="2FA9DA37" w14:textId="77777777" w:rsidR="001D739F" w:rsidRPr="00262F3A" w:rsidRDefault="001D739F" w:rsidP="00C10E4F">
            <w:pPr>
              <w:pStyle w:val="Tableformat"/>
            </w:pPr>
            <w:r w:rsidRPr="00262F3A">
              <w:t xml:space="preserve">190,713 </w:t>
            </w:r>
          </w:p>
        </w:tc>
        <w:tc>
          <w:tcPr>
            <w:tcW w:w="1163" w:type="dxa"/>
            <w:vAlign w:val="center"/>
          </w:tcPr>
          <w:p w14:paraId="222535F7" w14:textId="77777777" w:rsidR="001D739F" w:rsidRPr="00262F3A" w:rsidRDefault="001D739F" w:rsidP="00C10E4F">
            <w:pPr>
              <w:pStyle w:val="Tableformat"/>
            </w:pPr>
            <w:r w:rsidRPr="00262F3A">
              <w:t>-</w:t>
            </w:r>
          </w:p>
        </w:tc>
        <w:tc>
          <w:tcPr>
            <w:tcW w:w="1489" w:type="dxa"/>
            <w:shd w:val="clear" w:color="auto" w:fill="auto"/>
            <w:vAlign w:val="center"/>
          </w:tcPr>
          <w:p w14:paraId="0894113C" w14:textId="77777777" w:rsidR="001D739F" w:rsidRPr="00262F3A" w:rsidRDefault="001D739F" w:rsidP="00C10E4F">
            <w:pPr>
              <w:pStyle w:val="Tableformat"/>
            </w:pPr>
            <w:r w:rsidRPr="00262F3A">
              <w:t xml:space="preserve">36,474 </w:t>
            </w:r>
          </w:p>
        </w:tc>
        <w:tc>
          <w:tcPr>
            <w:tcW w:w="1878" w:type="dxa"/>
            <w:shd w:val="clear" w:color="auto" w:fill="auto"/>
            <w:vAlign w:val="center"/>
          </w:tcPr>
          <w:p w14:paraId="3365EFBB" w14:textId="77777777" w:rsidR="001D739F" w:rsidRPr="00262F3A" w:rsidRDefault="001D739F" w:rsidP="00C10E4F">
            <w:pPr>
              <w:pStyle w:val="Tableformat"/>
            </w:pPr>
            <w:r w:rsidRPr="00262F3A">
              <w:t xml:space="preserve">30,085 </w:t>
            </w:r>
          </w:p>
        </w:tc>
        <w:tc>
          <w:tcPr>
            <w:tcW w:w="1380" w:type="dxa"/>
            <w:shd w:val="clear" w:color="auto" w:fill="auto"/>
            <w:vAlign w:val="center"/>
          </w:tcPr>
          <w:p w14:paraId="68AAB6F7" w14:textId="77777777" w:rsidR="001D739F" w:rsidRPr="00262F3A" w:rsidRDefault="001D739F" w:rsidP="00C10E4F">
            <w:pPr>
              <w:pStyle w:val="Tableformat"/>
            </w:pPr>
            <w:r w:rsidRPr="00262F3A">
              <w:t xml:space="preserve">3,874 </w:t>
            </w:r>
          </w:p>
        </w:tc>
        <w:tc>
          <w:tcPr>
            <w:tcW w:w="1588" w:type="dxa"/>
            <w:shd w:val="clear" w:color="auto" w:fill="auto"/>
            <w:vAlign w:val="center"/>
          </w:tcPr>
          <w:p w14:paraId="783A205B"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68F84236"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1710F4E6" w14:textId="77777777" w:rsidR="001D739F" w:rsidRPr="00262F3A" w:rsidRDefault="001D739F" w:rsidP="00C10E4F">
            <w:pPr>
              <w:pStyle w:val="Tableformat"/>
            </w:pPr>
            <w:r w:rsidRPr="00262F3A">
              <w:t xml:space="preserve">261,146 </w:t>
            </w:r>
          </w:p>
        </w:tc>
      </w:tr>
      <w:tr w:rsidR="00E47228" w:rsidRPr="00262F3A" w14:paraId="2CDDE39E" w14:textId="77777777" w:rsidTr="00E47228">
        <w:trPr>
          <w:trHeight w:val="397"/>
        </w:trPr>
        <w:tc>
          <w:tcPr>
            <w:tcW w:w="2263" w:type="dxa"/>
            <w:vAlign w:val="center"/>
          </w:tcPr>
          <w:p w14:paraId="2BE5EAF6" w14:textId="77777777" w:rsidR="00D15B48" w:rsidRPr="00262F3A" w:rsidRDefault="00D15B48" w:rsidP="00C10E4F">
            <w:pPr>
              <w:pStyle w:val="Tableformat"/>
            </w:pPr>
            <w:r w:rsidRPr="00262F3A">
              <w:t xml:space="preserve"> $270,001 - $295,000</w:t>
            </w:r>
          </w:p>
        </w:tc>
        <w:tc>
          <w:tcPr>
            <w:tcW w:w="1134" w:type="dxa"/>
            <w:shd w:val="clear" w:color="auto" w:fill="auto"/>
            <w:vAlign w:val="center"/>
          </w:tcPr>
          <w:p w14:paraId="2E73B670" w14:textId="77777777" w:rsidR="00D15B48" w:rsidRPr="00262F3A" w:rsidRDefault="00D15B48" w:rsidP="00C10E4F">
            <w:pPr>
              <w:pStyle w:val="Tableformat"/>
            </w:pPr>
            <w:r w:rsidRPr="00262F3A">
              <w:t xml:space="preserve">14 </w:t>
            </w:r>
          </w:p>
        </w:tc>
        <w:tc>
          <w:tcPr>
            <w:tcW w:w="1292" w:type="dxa"/>
            <w:shd w:val="clear" w:color="auto" w:fill="auto"/>
            <w:vAlign w:val="center"/>
          </w:tcPr>
          <w:p w14:paraId="282AA837" w14:textId="77777777" w:rsidR="00D15B48" w:rsidRPr="00262F3A" w:rsidRDefault="00D15B48" w:rsidP="00C10E4F">
            <w:pPr>
              <w:pStyle w:val="Tableformat"/>
            </w:pPr>
            <w:r w:rsidRPr="00262F3A">
              <w:t xml:space="preserve">196,579 </w:t>
            </w:r>
          </w:p>
        </w:tc>
        <w:tc>
          <w:tcPr>
            <w:tcW w:w="1163" w:type="dxa"/>
            <w:vAlign w:val="center"/>
          </w:tcPr>
          <w:p w14:paraId="078406AF" w14:textId="77777777" w:rsidR="00D15B48" w:rsidRPr="00262F3A" w:rsidRDefault="00D15B48" w:rsidP="00C10E4F">
            <w:pPr>
              <w:pStyle w:val="Tableformat"/>
            </w:pPr>
            <w:r w:rsidRPr="00262F3A">
              <w:t>-</w:t>
            </w:r>
          </w:p>
        </w:tc>
        <w:tc>
          <w:tcPr>
            <w:tcW w:w="1489" w:type="dxa"/>
            <w:shd w:val="clear" w:color="auto" w:fill="auto"/>
            <w:vAlign w:val="center"/>
          </w:tcPr>
          <w:p w14:paraId="6F012859" w14:textId="77777777" w:rsidR="00D15B48" w:rsidRPr="00262F3A" w:rsidRDefault="00D15B48" w:rsidP="00C10E4F">
            <w:pPr>
              <w:pStyle w:val="Tableformat"/>
            </w:pPr>
            <w:r w:rsidRPr="00262F3A">
              <w:t xml:space="preserve">50,973 </w:t>
            </w:r>
          </w:p>
        </w:tc>
        <w:tc>
          <w:tcPr>
            <w:tcW w:w="1878" w:type="dxa"/>
            <w:shd w:val="clear" w:color="auto" w:fill="auto"/>
            <w:vAlign w:val="center"/>
          </w:tcPr>
          <w:p w14:paraId="1A75CC71" w14:textId="77777777" w:rsidR="00D15B48" w:rsidRPr="00262F3A" w:rsidRDefault="00D15B48" w:rsidP="00C10E4F">
            <w:pPr>
              <w:pStyle w:val="Tableformat"/>
            </w:pPr>
            <w:r w:rsidRPr="00262F3A">
              <w:t xml:space="preserve">31,656 </w:t>
            </w:r>
          </w:p>
        </w:tc>
        <w:tc>
          <w:tcPr>
            <w:tcW w:w="1380" w:type="dxa"/>
            <w:shd w:val="clear" w:color="auto" w:fill="auto"/>
            <w:vAlign w:val="center"/>
          </w:tcPr>
          <w:p w14:paraId="3430CEB6" w14:textId="77777777" w:rsidR="00D15B48" w:rsidRPr="00262F3A" w:rsidRDefault="00D15B48" w:rsidP="00C10E4F">
            <w:pPr>
              <w:pStyle w:val="Tableformat"/>
            </w:pPr>
            <w:r w:rsidRPr="00262F3A">
              <w:t xml:space="preserve">4,026 </w:t>
            </w:r>
          </w:p>
        </w:tc>
        <w:tc>
          <w:tcPr>
            <w:tcW w:w="1588" w:type="dxa"/>
            <w:shd w:val="clear" w:color="auto" w:fill="auto"/>
            <w:vAlign w:val="center"/>
          </w:tcPr>
          <w:p w14:paraId="4F76F6C8" w14:textId="77777777" w:rsidR="00D15B48" w:rsidRPr="00262F3A" w:rsidRDefault="00D15B48" w:rsidP="00C10E4F">
            <w:pPr>
              <w:pStyle w:val="Tableformat"/>
            </w:pPr>
            <w:r w:rsidRPr="00262F3A">
              <w:t xml:space="preserve">        -   </w:t>
            </w:r>
          </w:p>
        </w:tc>
        <w:tc>
          <w:tcPr>
            <w:tcW w:w="1416" w:type="dxa"/>
            <w:shd w:val="clear" w:color="auto" w:fill="auto"/>
            <w:vAlign w:val="center"/>
          </w:tcPr>
          <w:p w14:paraId="21E62841" w14:textId="77777777" w:rsidR="00D15B48" w:rsidRPr="00262F3A" w:rsidRDefault="00D15B48" w:rsidP="00C10E4F">
            <w:pPr>
              <w:pStyle w:val="Tableformat"/>
            </w:pPr>
            <w:r w:rsidRPr="00262F3A">
              <w:t xml:space="preserve">8,402 </w:t>
            </w:r>
          </w:p>
        </w:tc>
        <w:tc>
          <w:tcPr>
            <w:tcW w:w="1449" w:type="dxa"/>
            <w:shd w:val="clear" w:color="auto" w:fill="auto"/>
            <w:vAlign w:val="center"/>
          </w:tcPr>
          <w:p w14:paraId="15A3180A" w14:textId="77777777" w:rsidR="00D15B48" w:rsidRPr="00262F3A" w:rsidRDefault="00D15B48" w:rsidP="00C10E4F">
            <w:pPr>
              <w:pStyle w:val="Tableformat"/>
            </w:pPr>
            <w:r w:rsidRPr="00262F3A">
              <w:t xml:space="preserve">                   291,636 </w:t>
            </w:r>
          </w:p>
        </w:tc>
      </w:tr>
      <w:tr w:rsidR="00E47228" w:rsidRPr="00262F3A" w14:paraId="68D65930" w14:textId="77777777" w:rsidTr="00E47228">
        <w:trPr>
          <w:trHeight w:val="397"/>
        </w:trPr>
        <w:tc>
          <w:tcPr>
            <w:tcW w:w="2263" w:type="dxa"/>
            <w:vAlign w:val="center"/>
          </w:tcPr>
          <w:p w14:paraId="5771EFC6" w14:textId="77777777" w:rsidR="00D15B48" w:rsidRPr="00262F3A" w:rsidRDefault="00D15B48" w:rsidP="00C10E4F">
            <w:pPr>
              <w:pStyle w:val="Tableformat"/>
            </w:pPr>
            <w:r w:rsidRPr="00262F3A">
              <w:t xml:space="preserve"> $295,001 - $320,000</w:t>
            </w:r>
          </w:p>
        </w:tc>
        <w:tc>
          <w:tcPr>
            <w:tcW w:w="1134" w:type="dxa"/>
            <w:shd w:val="clear" w:color="auto" w:fill="auto"/>
            <w:vAlign w:val="center"/>
          </w:tcPr>
          <w:p w14:paraId="490874CB" w14:textId="77777777" w:rsidR="00D15B48" w:rsidRPr="00262F3A" w:rsidRDefault="00D15B48" w:rsidP="00C10E4F">
            <w:pPr>
              <w:pStyle w:val="Tableformat"/>
            </w:pPr>
            <w:r w:rsidRPr="00262F3A">
              <w:t xml:space="preserve">13 </w:t>
            </w:r>
          </w:p>
        </w:tc>
        <w:tc>
          <w:tcPr>
            <w:tcW w:w="1292" w:type="dxa"/>
            <w:shd w:val="clear" w:color="auto" w:fill="auto"/>
            <w:vAlign w:val="center"/>
          </w:tcPr>
          <w:p w14:paraId="64755EDE" w14:textId="77777777" w:rsidR="00D15B48" w:rsidRPr="00262F3A" w:rsidRDefault="00D15B48" w:rsidP="00C10E4F">
            <w:pPr>
              <w:pStyle w:val="Tableformat"/>
            </w:pPr>
            <w:r w:rsidRPr="00262F3A">
              <w:t xml:space="preserve">217,118 </w:t>
            </w:r>
          </w:p>
        </w:tc>
        <w:tc>
          <w:tcPr>
            <w:tcW w:w="1163" w:type="dxa"/>
            <w:vAlign w:val="center"/>
          </w:tcPr>
          <w:p w14:paraId="05C563A9" w14:textId="77777777" w:rsidR="00D15B48" w:rsidRPr="00262F3A" w:rsidRDefault="00D15B48" w:rsidP="00C10E4F">
            <w:pPr>
              <w:pStyle w:val="Tableformat"/>
            </w:pPr>
            <w:r w:rsidRPr="00262F3A">
              <w:t>-</w:t>
            </w:r>
          </w:p>
        </w:tc>
        <w:tc>
          <w:tcPr>
            <w:tcW w:w="1489" w:type="dxa"/>
            <w:shd w:val="clear" w:color="auto" w:fill="auto"/>
            <w:vAlign w:val="center"/>
          </w:tcPr>
          <w:p w14:paraId="008D0B49" w14:textId="77777777" w:rsidR="00D15B48" w:rsidRPr="00262F3A" w:rsidRDefault="00D15B48" w:rsidP="00C10E4F">
            <w:pPr>
              <w:pStyle w:val="Tableformat"/>
            </w:pPr>
            <w:r w:rsidRPr="00262F3A">
              <w:t xml:space="preserve">40,670 </w:t>
            </w:r>
          </w:p>
        </w:tc>
        <w:tc>
          <w:tcPr>
            <w:tcW w:w="1878" w:type="dxa"/>
            <w:shd w:val="clear" w:color="auto" w:fill="auto"/>
            <w:vAlign w:val="center"/>
          </w:tcPr>
          <w:p w14:paraId="3DF6AE89" w14:textId="77777777" w:rsidR="00D15B48" w:rsidRPr="00262F3A" w:rsidRDefault="00D15B48" w:rsidP="00C10E4F">
            <w:pPr>
              <w:pStyle w:val="Tableformat"/>
            </w:pPr>
            <w:r w:rsidRPr="00262F3A">
              <w:t xml:space="preserve">30,299 </w:t>
            </w:r>
          </w:p>
        </w:tc>
        <w:tc>
          <w:tcPr>
            <w:tcW w:w="1380" w:type="dxa"/>
            <w:shd w:val="clear" w:color="auto" w:fill="auto"/>
            <w:vAlign w:val="center"/>
          </w:tcPr>
          <w:p w14:paraId="3B928E65" w14:textId="77777777" w:rsidR="00D15B48" w:rsidRPr="00262F3A" w:rsidRDefault="00D15B48" w:rsidP="00C10E4F">
            <w:pPr>
              <w:pStyle w:val="Tableformat"/>
            </w:pPr>
            <w:r w:rsidRPr="00262F3A">
              <w:t xml:space="preserve">3,377 </w:t>
            </w:r>
          </w:p>
        </w:tc>
        <w:tc>
          <w:tcPr>
            <w:tcW w:w="1588" w:type="dxa"/>
            <w:shd w:val="clear" w:color="auto" w:fill="auto"/>
            <w:vAlign w:val="center"/>
          </w:tcPr>
          <w:p w14:paraId="006D88B8" w14:textId="77777777" w:rsidR="00D15B48" w:rsidRPr="00262F3A" w:rsidRDefault="00D15B48" w:rsidP="00C10E4F">
            <w:pPr>
              <w:pStyle w:val="Tableformat"/>
            </w:pPr>
            <w:r w:rsidRPr="00262F3A">
              <w:t xml:space="preserve">        -   </w:t>
            </w:r>
          </w:p>
        </w:tc>
        <w:tc>
          <w:tcPr>
            <w:tcW w:w="1416" w:type="dxa"/>
            <w:shd w:val="clear" w:color="auto" w:fill="auto"/>
            <w:vAlign w:val="center"/>
          </w:tcPr>
          <w:p w14:paraId="0522AE06" w14:textId="77777777" w:rsidR="00D15B48" w:rsidRPr="00262F3A" w:rsidRDefault="00D15B48" w:rsidP="00C10E4F">
            <w:pPr>
              <w:pStyle w:val="Tableformat"/>
            </w:pPr>
            <w:r w:rsidRPr="00262F3A">
              <w:t xml:space="preserve">13,789 </w:t>
            </w:r>
          </w:p>
        </w:tc>
        <w:tc>
          <w:tcPr>
            <w:tcW w:w="1449" w:type="dxa"/>
            <w:shd w:val="clear" w:color="auto" w:fill="auto"/>
            <w:vAlign w:val="center"/>
          </w:tcPr>
          <w:p w14:paraId="1E7AD1FB" w14:textId="77777777" w:rsidR="00D15B48" w:rsidRPr="00262F3A" w:rsidRDefault="00D15B48" w:rsidP="00C10E4F">
            <w:pPr>
              <w:pStyle w:val="Tableformat"/>
            </w:pPr>
            <w:r w:rsidRPr="00262F3A">
              <w:t xml:space="preserve">                   305,253 </w:t>
            </w:r>
          </w:p>
        </w:tc>
      </w:tr>
      <w:tr w:rsidR="00E47228" w:rsidRPr="00262F3A" w14:paraId="1D495BEA" w14:textId="77777777" w:rsidTr="00E47228">
        <w:trPr>
          <w:trHeight w:val="397"/>
        </w:trPr>
        <w:tc>
          <w:tcPr>
            <w:tcW w:w="2263" w:type="dxa"/>
            <w:vAlign w:val="center"/>
          </w:tcPr>
          <w:p w14:paraId="0228808A" w14:textId="77777777" w:rsidR="001D739F" w:rsidRPr="00262F3A" w:rsidRDefault="001D739F" w:rsidP="00C10E4F">
            <w:pPr>
              <w:pStyle w:val="Tableformat"/>
            </w:pPr>
            <w:r w:rsidRPr="00262F3A">
              <w:t xml:space="preserve"> $320,001 - $345,000</w:t>
            </w:r>
          </w:p>
        </w:tc>
        <w:tc>
          <w:tcPr>
            <w:tcW w:w="1134" w:type="dxa"/>
            <w:shd w:val="clear" w:color="auto" w:fill="auto"/>
            <w:vAlign w:val="center"/>
          </w:tcPr>
          <w:p w14:paraId="66D7CDC0" w14:textId="77777777" w:rsidR="001D739F" w:rsidRPr="00262F3A" w:rsidRDefault="001D739F" w:rsidP="00C10E4F">
            <w:pPr>
              <w:pStyle w:val="Tableformat"/>
            </w:pPr>
            <w:r w:rsidRPr="00262F3A">
              <w:t xml:space="preserve">6 </w:t>
            </w:r>
          </w:p>
        </w:tc>
        <w:tc>
          <w:tcPr>
            <w:tcW w:w="1292" w:type="dxa"/>
            <w:shd w:val="clear" w:color="auto" w:fill="auto"/>
            <w:vAlign w:val="center"/>
          </w:tcPr>
          <w:p w14:paraId="7FFD319D" w14:textId="77777777" w:rsidR="001D739F" w:rsidRPr="00262F3A" w:rsidRDefault="001D739F" w:rsidP="00C10E4F">
            <w:pPr>
              <w:pStyle w:val="Tableformat"/>
            </w:pPr>
            <w:r w:rsidRPr="00262F3A">
              <w:t xml:space="preserve">234,217 </w:t>
            </w:r>
          </w:p>
        </w:tc>
        <w:tc>
          <w:tcPr>
            <w:tcW w:w="1163" w:type="dxa"/>
            <w:vAlign w:val="center"/>
          </w:tcPr>
          <w:p w14:paraId="2F655656" w14:textId="77777777" w:rsidR="001D739F" w:rsidRPr="00262F3A" w:rsidRDefault="001D739F" w:rsidP="00C10E4F">
            <w:pPr>
              <w:pStyle w:val="Tableformat"/>
            </w:pPr>
            <w:r w:rsidRPr="00262F3A">
              <w:t>-</w:t>
            </w:r>
          </w:p>
        </w:tc>
        <w:tc>
          <w:tcPr>
            <w:tcW w:w="1489" w:type="dxa"/>
            <w:shd w:val="clear" w:color="auto" w:fill="auto"/>
            <w:vAlign w:val="center"/>
          </w:tcPr>
          <w:p w14:paraId="5DADF649" w14:textId="77777777" w:rsidR="001D739F" w:rsidRPr="00262F3A" w:rsidRDefault="001D739F" w:rsidP="00C10E4F">
            <w:pPr>
              <w:pStyle w:val="Tableformat"/>
            </w:pPr>
            <w:r w:rsidRPr="00262F3A">
              <w:t xml:space="preserve">33,401 </w:t>
            </w:r>
          </w:p>
        </w:tc>
        <w:tc>
          <w:tcPr>
            <w:tcW w:w="1878" w:type="dxa"/>
            <w:shd w:val="clear" w:color="auto" w:fill="auto"/>
            <w:vAlign w:val="center"/>
          </w:tcPr>
          <w:p w14:paraId="75CE2E93" w14:textId="77777777" w:rsidR="001D739F" w:rsidRPr="00262F3A" w:rsidRDefault="001D739F" w:rsidP="00C10E4F">
            <w:pPr>
              <w:pStyle w:val="Tableformat"/>
            </w:pPr>
            <w:r w:rsidRPr="00262F3A">
              <w:t xml:space="preserve">31,167 </w:t>
            </w:r>
          </w:p>
        </w:tc>
        <w:tc>
          <w:tcPr>
            <w:tcW w:w="1380" w:type="dxa"/>
            <w:shd w:val="clear" w:color="auto" w:fill="auto"/>
            <w:vAlign w:val="center"/>
          </w:tcPr>
          <w:p w14:paraId="01DDB85D" w14:textId="77777777" w:rsidR="001D739F" w:rsidRPr="00262F3A" w:rsidRDefault="001D739F" w:rsidP="00C10E4F">
            <w:pPr>
              <w:pStyle w:val="Tableformat"/>
            </w:pPr>
            <w:r w:rsidRPr="00262F3A">
              <w:t xml:space="preserve">2,660 </w:t>
            </w:r>
          </w:p>
        </w:tc>
        <w:tc>
          <w:tcPr>
            <w:tcW w:w="1588" w:type="dxa"/>
            <w:shd w:val="clear" w:color="auto" w:fill="auto"/>
            <w:vAlign w:val="center"/>
          </w:tcPr>
          <w:p w14:paraId="31F67E1C"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5850C619" w14:textId="77777777" w:rsidR="001D739F" w:rsidRPr="00262F3A" w:rsidRDefault="001D739F" w:rsidP="00C10E4F">
            <w:pPr>
              <w:pStyle w:val="Tableformat"/>
            </w:pPr>
            <w:r w:rsidRPr="00262F3A">
              <w:t xml:space="preserve">28,600 </w:t>
            </w:r>
          </w:p>
        </w:tc>
        <w:tc>
          <w:tcPr>
            <w:tcW w:w="1449" w:type="dxa"/>
            <w:shd w:val="clear" w:color="auto" w:fill="auto"/>
            <w:vAlign w:val="center"/>
          </w:tcPr>
          <w:p w14:paraId="2DCC9A54" w14:textId="77777777" w:rsidR="001D739F" w:rsidRPr="00262F3A" w:rsidRDefault="001D739F" w:rsidP="00C10E4F">
            <w:pPr>
              <w:pStyle w:val="Tableformat"/>
            </w:pPr>
            <w:r w:rsidRPr="00262F3A">
              <w:t xml:space="preserve">330,045 </w:t>
            </w:r>
          </w:p>
        </w:tc>
      </w:tr>
      <w:tr w:rsidR="00E47228" w:rsidRPr="00262F3A" w14:paraId="045D99CE" w14:textId="77777777" w:rsidTr="00E47228">
        <w:trPr>
          <w:trHeight w:val="397"/>
        </w:trPr>
        <w:tc>
          <w:tcPr>
            <w:tcW w:w="2263" w:type="dxa"/>
            <w:vAlign w:val="center"/>
          </w:tcPr>
          <w:p w14:paraId="2257D9DB" w14:textId="77777777" w:rsidR="001D739F" w:rsidRPr="00262F3A" w:rsidRDefault="001D739F" w:rsidP="00C10E4F">
            <w:pPr>
              <w:pStyle w:val="Tableformat"/>
            </w:pPr>
            <w:r w:rsidRPr="00262F3A">
              <w:t xml:space="preserve"> $345,001 - $370,000</w:t>
            </w:r>
          </w:p>
        </w:tc>
        <w:tc>
          <w:tcPr>
            <w:tcW w:w="1134" w:type="dxa"/>
            <w:shd w:val="clear" w:color="auto" w:fill="auto"/>
            <w:vAlign w:val="center"/>
          </w:tcPr>
          <w:p w14:paraId="1F4D62BA" w14:textId="77777777" w:rsidR="001D739F" w:rsidRPr="00262F3A" w:rsidRDefault="001D739F" w:rsidP="00C10E4F">
            <w:pPr>
              <w:pStyle w:val="Tableformat"/>
            </w:pPr>
            <w:r w:rsidRPr="00262F3A">
              <w:t xml:space="preserve">4 </w:t>
            </w:r>
          </w:p>
        </w:tc>
        <w:tc>
          <w:tcPr>
            <w:tcW w:w="1292" w:type="dxa"/>
            <w:shd w:val="clear" w:color="auto" w:fill="auto"/>
            <w:vAlign w:val="center"/>
          </w:tcPr>
          <w:p w14:paraId="76D14DF0" w14:textId="77777777" w:rsidR="001D739F" w:rsidRPr="00262F3A" w:rsidRDefault="001D739F" w:rsidP="00C10E4F">
            <w:pPr>
              <w:pStyle w:val="Tableformat"/>
            </w:pPr>
            <w:r w:rsidRPr="00262F3A">
              <w:t xml:space="preserve">311,161 </w:t>
            </w:r>
          </w:p>
        </w:tc>
        <w:tc>
          <w:tcPr>
            <w:tcW w:w="1163" w:type="dxa"/>
            <w:vAlign w:val="center"/>
          </w:tcPr>
          <w:p w14:paraId="56A7DE42" w14:textId="77777777" w:rsidR="001D739F" w:rsidRPr="00262F3A" w:rsidRDefault="001D739F" w:rsidP="00C10E4F">
            <w:pPr>
              <w:pStyle w:val="Tableformat"/>
            </w:pPr>
            <w:r w:rsidRPr="00262F3A">
              <w:t>-</w:t>
            </w:r>
          </w:p>
        </w:tc>
        <w:tc>
          <w:tcPr>
            <w:tcW w:w="1489" w:type="dxa"/>
            <w:shd w:val="clear" w:color="auto" w:fill="auto"/>
            <w:vAlign w:val="center"/>
          </w:tcPr>
          <w:p w14:paraId="01065D60" w14:textId="77777777" w:rsidR="001D739F" w:rsidRPr="00262F3A" w:rsidRDefault="001D739F" w:rsidP="00C10E4F">
            <w:pPr>
              <w:pStyle w:val="Tableformat"/>
            </w:pPr>
            <w:r w:rsidRPr="00262F3A">
              <w:t xml:space="preserve">21,555 </w:t>
            </w:r>
          </w:p>
        </w:tc>
        <w:tc>
          <w:tcPr>
            <w:tcW w:w="1878" w:type="dxa"/>
            <w:shd w:val="clear" w:color="auto" w:fill="auto"/>
            <w:vAlign w:val="center"/>
          </w:tcPr>
          <w:p w14:paraId="6C38E5B8" w14:textId="77777777" w:rsidR="001D739F" w:rsidRPr="00262F3A" w:rsidRDefault="001D739F" w:rsidP="00C10E4F">
            <w:pPr>
              <w:pStyle w:val="Tableformat"/>
            </w:pPr>
            <w:r w:rsidRPr="00262F3A">
              <w:t xml:space="preserve">25,476 </w:t>
            </w:r>
          </w:p>
        </w:tc>
        <w:tc>
          <w:tcPr>
            <w:tcW w:w="1380" w:type="dxa"/>
            <w:shd w:val="clear" w:color="auto" w:fill="auto"/>
            <w:vAlign w:val="center"/>
          </w:tcPr>
          <w:p w14:paraId="5DD1A660" w14:textId="77777777" w:rsidR="001D739F" w:rsidRPr="00262F3A" w:rsidRDefault="001D739F" w:rsidP="00C10E4F">
            <w:pPr>
              <w:pStyle w:val="Tableformat"/>
            </w:pPr>
            <w:r w:rsidRPr="00262F3A">
              <w:t>- </w:t>
            </w:r>
          </w:p>
        </w:tc>
        <w:tc>
          <w:tcPr>
            <w:tcW w:w="1588" w:type="dxa"/>
            <w:shd w:val="clear" w:color="auto" w:fill="auto"/>
            <w:vAlign w:val="center"/>
          </w:tcPr>
          <w:p w14:paraId="4EE890DC"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4B0A158C"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5CE97C97" w14:textId="77777777" w:rsidR="001D739F" w:rsidRPr="00262F3A" w:rsidRDefault="001D739F" w:rsidP="00C10E4F">
            <w:pPr>
              <w:pStyle w:val="Tableformat"/>
            </w:pPr>
            <w:r w:rsidRPr="00262F3A">
              <w:t xml:space="preserve">358,192 </w:t>
            </w:r>
          </w:p>
        </w:tc>
      </w:tr>
      <w:tr w:rsidR="00E47228" w:rsidRPr="00262F3A" w14:paraId="0C7C1D6B" w14:textId="77777777" w:rsidTr="00E47228">
        <w:trPr>
          <w:trHeight w:val="397"/>
        </w:trPr>
        <w:tc>
          <w:tcPr>
            <w:tcW w:w="2263" w:type="dxa"/>
            <w:vAlign w:val="center"/>
          </w:tcPr>
          <w:p w14:paraId="15E22B5C" w14:textId="77777777" w:rsidR="001D739F" w:rsidRPr="00262F3A" w:rsidRDefault="001D739F" w:rsidP="00C10E4F">
            <w:pPr>
              <w:pStyle w:val="Tableformat"/>
            </w:pPr>
            <w:r w:rsidRPr="00262F3A">
              <w:t xml:space="preserve"> $370,001 - $395,000</w:t>
            </w:r>
          </w:p>
        </w:tc>
        <w:tc>
          <w:tcPr>
            <w:tcW w:w="1134" w:type="dxa"/>
            <w:shd w:val="clear" w:color="auto" w:fill="auto"/>
            <w:vAlign w:val="center"/>
          </w:tcPr>
          <w:p w14:paraId="20A632C1" w14:textId="77777777" w:rsidR="001D739F" w:rsidRPr="00262F3A" w:rsidRDefault="001D739F" w:rsidP="00C10E4F">
            <w:pPr>
              <w:pStyle w:val="Tableformat"/>
            </w:pPr>
            <w:r w:rsidRPr="00262F3A">
              <w:t xml:space="preserve">2 </w:t>
            </w:r>
          </w:p>
        </w:tc>
        <w:tc>
          <w:tcPr>
            <w:tcW w:w="1292" w:type="dxa"/>
            <w:shd w:val="clear" w:color="auto" w:fill="auto"/>
            <w:vAlign w:val="center"/>
          </w:tcPr>
          <w:p w14:paraId="22F5D0C9" w14:textId="77777777" w:rsidR="001D739F" w:rsidRPr="00262F3A" w:rsidRDefault="001D739F" w:rsidP="00C10E4F">
            <w:pPr>
              <w:pStyle w:val="Tableformat"/>
            </w:pPr>
            <w:r w:rsidRPr="00262F3A">
              <w:t xml:space="preserve">210,991 </w:t>
            </w:r>
          </w:p>
        </w:tc>
        <w:tc>
          <w:tcPr>
            <w:tcW w:w="1163" w:type="dxa"/>
            <w:vAlign w:val="center"/>
          </w:tcPr>
          <w:p w14:paraId="4B576B1D" w14:textId="77777777" w:rsidR="001D739F" w:rsidRPr="00262F3A" w:rsidRDefault="001D739F" w:rsidP="00C10E4F">
            <w:pPr>
              <w:pStyle w:val="Tableformat"/>
            </w:pPr>
            <w:r w:rsidRPr="00262F3A">
              <w:t>-</w:t>
            </w:r>
          </w:p>
        </w:tc>
        <w:tc>
          <w:tcPr>
            <w:tcW w:w="1489" w:type="dxa"/>
            <w:shd w:val="clear" w:color="auto" w:fill="auto"/>
            <w:vAlign w:val="center"/>
          </w:tcPr>
          <w:p w14:paraId="73B504EF" w14:textId="77777777" w:rsidR="001D739F" w:rsidRPr="00262F3A" w:rsidRDefault="001D739F" w:rsidP="00C10E4F">
            <w:pPr>
              <w:pStyle w:val="Tableformat"/>
            </w:pPr>
            <w:r w:rsidRPr="00262F3A">
              <w:t xml:space="preserve">27,270 </w:t>
            </w:r>
          </w:p>
        </w:tc>
        <w:tc>
          <w:tcPr>
            <w:tcW w:w="1878" w:type="dxa"/>
            <w:shd w:val="clear" w:color="auto" w:fill="auto"/>
            <w:vAlign w:val="center"/>
          </w:tcPr>
          <w:p w14:paraId="028B3705" w14:textId="77777777" w:rsidR="001D739F" w:rsidRPr="00262F3A" w:rsidRDefault="001D739F" w:rsidP="00C10E4F">
            <w:pPr>
              <w:pStyle w:val="Tableformat"/>
            </w:pPr>
            <w:r w:rsidRPr="00262F3A">
              <w:t xml:space="preserve">34,829 </w:t>
            </w:r>
          </w:p>
        </w:tc>
        <w:tc>
          <w:tcPr>
            <w:tcW w:w="1380" w:type="dxa"/>
            <w:shd w:val="clear" w:color="auto" w:fill="auto"/>
            <w:vAlign w:val="center"/>
          </w:tcPr>
          <w:p w14:paraId="31CA6766" w14:textId="77777777" w:rsidR="001D739F" w:rsidRPr="00262F3A" w:rsidRDefault="001D739F" w:rsidP="00C10E4F">
            <w:pPr>
              <w:pStyle w:val="Tableformat"/>
            </w:pPr>
            <w:r w:rsidRPr="00262F3A">
              <w:t xml:space="preserve">1,598 </w:t>
            </w:r>
          </w:p>
        </w:tc>
        <w:tc>
          <w:tcPr>
            <w:tcW w:w="1588" w:type="dxa"/>
            <w:shd w:val="clear" w:color="auto" w:fill="auto"/>
            <w:vAlign w:val="center"/>
          </w:tcPr>
          <w:p w14:paraId="3CED90D2"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00D98DD4" w14:textId="77777777" w:rsidR="001D739F" w:rsidRPr="00262F3A" w:rsidRDefault="001D739F" w:rsidP="00C10E4F">
            <w:pPr>
              <w:pStyle w:val="Tableformat"/>
            </w:pPr>
            <w:r w:rsidRPr="00262F3A">
              <w:t xml:space="preserve">108,196 </w:t>
            </w:r>
          </w:p>
        </w:tc>
        <w:tc>
          <w:tcPr>
            <w:tcW w:w="1449" w:type="dxa"/>
            <w:shd w:val="clear" w:color="auto" w:fill="auto"/>
            <w:vAlign w:val="center"/>
          </w:tcPr>
          <w:p w14:paraId="3522A0B5" w14:textId="77777777" w:rsidR="001D739F" w:rsidRPr="00262F3A" w:rsidRDefault="001D739F" w:rsidP="00C10E4F">
            <w:pPr>
              <w:pStyle w:val="Tableformat"/>
            </w:pPr>
            <w:r w:rsidRPr="00262F3A">
              <w:t xml:space="preserve">382,884 </w:t>
            </w:r>
          </w:p>
        </w:tc>
      </w:tr>
      <w:tr w:rsidR="00E47228" w:rsidRPr="00262F3A" w14:paraId="045FD65B" w14:textId="77777777" w:rsidTr="00E47228">
        <w:trPr>
          <w:trHeight w:val="397"/>
        </w:trPr>
        <w:tc>
          <w:tcPr>
            <w:tcW w:w="2263" w:type="dxa"/>
            <w:vAlign w:val="center"/>
          </w:tcPr>
          <w:p w14:paraId="108152CD" w14:textId="77777777" w:rsidR="00D15B48" w:rsidRPr="00262F3A" w:rsidRDefault="00D15B48" w:rsidP="00C10E4F">
            <w:pPr>
              <w:pStyle w:val="Tableformat"/>
            </w:pPr>
            <w:r w:rsidRPr="00262F3A">
              <w:t xml:space="preserve"> $395,001 - $420,000</w:t>
            </w:r>
          </w:p>
        </w:tc>
        <w:tc>
          <w:tcPr>
            <w:tcW w:w="1134" w:type="dxa"/>
            <w:shd w:val="clear" w:color="auto" w:fill="auto"/>
            <w:vAlign w:val="center"/>
          </w:tcPr>
          <w:p w14:paraId="4C5231CA" w14:textId="77777777" w:rsidR="00D15B48" w:rsidRPr="00262F3A" w:rsidRDefault="00D15B48" w:rsidP="00C10E4F">
            <w:pPr>
              <w:pStyle w:val="Tableformat"/>
            </w:pPr>
            <w:r w:rsidRPr="00262F3A">
              <w:t>2</w:t>
            </w:r>
          </w:p>
        </w:tc>
        <w:tc>
          <w:tcPr>
            <w:tcW w:w="1292" w:type="dxa"/>
            <w:shd w:val="clear" w:color="auto" w:fill="auto"/>
            <w:vAlign w:val="center"/>
          </w:tcPr>
          <w:p w14:paraId="084CF421" w14:textId="77777777" w:rsidR="00D15B48" w:rsidRPr="00262F3A" w:rsidRDefault="00D15B48" w:rsidP="00C10E4F">
            <w:pPr>
              <w:pStyle w:val="Tableformat"/>
            </w:pPr>
            <w:r w:rsidRPr="00262F3A">
              <w:t xml:space="preserve">276,496 </w:t>
            </w:r>
          </w:p>
        </w:tc>
        <w:tc>
          <w:tcPr>
            <w:tcW w:w="1163" w:type="dxa"/>
            <w:vAlign w:val="center"/>
          </w:tcPr>
          <w:p w14:paraId="0B3E5AC7" w14:textId="77777777" w:rsidR="00D15B48" w:rsidRPr="00262F3A" w:rsidRDefault="00D15B48" w:rsidP="00C10E4F">
            <w:pPr>
              <w:pStyle w:val="Tableformat"/>
            </w:pPr>
            <w:r w:rsidRPr="00262F3A">
              <w:t>-</w:t>
            </w:r>
          </w:p>
        </w:tc>
        <w:tc>
          <w:tcPr>
            <w:tcW w:w="1489" w:type="dxa"/>
            <w:shd w:val="clear" w:color="auto" w:fill="auto"/>
            <w:vAlign w:val="center"/>
          </w:tcPr>
          <w:p w14:paraId="722D2E06" w14:textId="77777777" w:rsidR="00D15B48" w:rsidRPr="00262F3A" w:rsidRDefault="00D15B48" w:rsidP="00C10E4F">
            <w:pPr>
              <w:pStyle w:val="Tableformat"/>
            </w:pPr>
            <w:r w:rsidRPr="00262F3A">
              <w:t xml:space="preserve">14,026   </w:t>
            </w:r>
          </w:p>
        </w:tc>
        <w:tc>
          <w:tcPr>
            <w:tcW w:w="1878" w:type="dxa"/>
            <w:shd w:val="clear" w:color="auto" w:fill="auto"/>
            <w:vAlign w:val="center"/>
          </w:tcPr>
          <w:p w14:paraId="4A4BA30D" w14:textId="77777777" w:rsidR="00D15B48" w:rsidRPr="00262F3A" w:rsidRDefault="00D15B48" w:rsidP="00C10E4F">
            <w:pPr>
              <w:pStyle w:val="Tableformat"/>
            </w:pPr>
            <w:r w:rsidRPr="00262F3A">
              <w:t xml:space="preserve">15,311   </w:t>
            </w:r>
          </w:p>
        </w:tc>
        <w:tc>
          <w:tcPr>
            <w:tcW w:w="1380" w:type="dxa"/>
            <w:shd w:val="clear" w:color="auto" w:fill="auto"/>
            <w:vAlign w:val="center"/>
          </w:tcPr>
          <w:p w14:paraId="52BB01C3" w14:textId="77777777" w:rsidR="00D15B48" w:rsidRPr="00262F3A" w:rsidRDefault="00D15B48" w:rsidP="00C10E4F">
            <w:pPr>
              <w:pStyle w:val="Tableformat"/>
            </w:pPr>
            <w:r w:rsidRPr="00262F3A">
              <w:t xml:space="preserve">1,807   </w:t>
            </w:r>
          </w:p>
        </w:tc>
        <w:tc>
          <w:tcPr>
            <w:tcW w:w="1588" w:type="dxa"/>
            <w:shd w:val="clear" w:color="auto" w:fill="auto"/>
            <w:vAlign w:val="center"/>
          </w:tcPr>
          <w:p w14:paraId="6B3F8016" w14:textId="77777777" w:rsidR="00D15B48" w:rsidRPr="00262F3A" w:rsidRDefault="00D15B48" w:rsidP="00C10E4F">
            <w:pPr>
              <w:pStyle w:val="Tableformat"/>
            </w:pPr>
            <w:r w:rsidRPr="00262F3A">
              <w:t xml:space="preserve">        -   </w:t>
            </w:r>
          </w:p>
        </w:tc>
        <w:tc>
          <w:tcPr>
            <w:tcW w:w="1416" w:type="dxa"/>
            <w:shd w:val="clear" w:color="auto" w:fill="auto"/>
            <w:vAlign w:val="center"/>
          </w:tcPr>
          <w:p w14:paraId="7E21BB8F" w14:textId="77777777" w:rsidR="00D15B48" w:rsidRPr="00262F3A" w:rsidRDefault="00D15B48" w:rsidP="00C10E4F">
            <w:pPr>
              <w:pStyle w:val="Tableformat"/>
            </w:pPr>
            <w:r w:rsidRPr="00262F3A">
              <w:t>105,236</w:t>
            </w:r>
          </w:p>
        </w:tc>
        <w:tc>
          <w:tcPr>
            <w:tcW w:w="1449" w:type="dxa"/>
            <w:shd w:val="clear" w:color="auto" w:fill="auto"/>
            <w:vAlign w:val="center"/>
          </w:tcPr>
          <w:p w14:paraId="6F25489E" w14:textId="77777777" w:rsidR="00D15B48" w:rsidRPr="00262F3A" w:rsidRDefault="00D15B48" w:rsidP="00C10E4F">
            <w:pPr>
              <w:pStyle w:val="Tableformat"/>
            </w:pPr>
            <w:r w:rsidRPr="00262F3A">
              <w:t xml:space="preserve">412,876 </w:t>
            </w:r>
          </w:p>
        </w:tc>
      </w:tr>
      <w:tr w:rsidR="00E47228" w:rsidRPr="00262F3A" w14:paraId="38CBA110" w14:textId="77777777" w:rsidTr="00E47228">
        <w:trPr>
          <w:trHeight w:val="397"/>
        </w:trPr>
        <w:tc>
          <w:tcPr>
            <w:tcW w:w="2263" w:type="dxa"/>
            <w:vAlign w:val="center"/>
          </w:tcPr>
          <w:p w14:paraId="6BAF0565" w14:textId="77777777" w:rsidR="001D739F" w:rsidRPr="00262F3A" w:rsidRDefault="001D739F" w:rsidP="00C10E4F">
            <w:pPr>
              <w:pStyle w:val="Tableformat"/>
            </w:pPr>
            <w:r w:rsidRPr="00262F3A">
              <w:t>$420,001 - $445,000</w:t>
            </w:r>
          </w:p>
        </w:tc>
        <w:tc>
          <w:tcPr>
            <w:tcW w:w="1134" w:type="dxa"/>
            <w:shd w:val="clear" w:color="auto" w:fill="auto"/>
            <w:vAlign w:val="center"/>
          </w:tcPr>
          <w:p w14:paraId="346EF791" w14:textId="77777777" w:rsidR="001D739F" w:rsidRPr="00262F3A" w:rsidRDefault="001D739F" w:rsidP="00C10E4F">
            <w:pPr>
              <w:pStyle w:val="Tableformat"/>
            </w:pPr>
            <w:r w:rsidRPr="00262F3A">
              <w:t xml:space="preserve">-   </w:t>
            </w:r>
          </w:p>
        </w:tc>
        <w:tc>
          <w:tcPr>
            <w:tcW w:w="1292" w:type="dxa"/>
            <w:shd w:val="clear" w:color="auto" w:fill="auto"/>
            <w:vAlign w:val="center"/>
          </w:tcPr>
          <w:p w14:paraId="201C4387" w14:textId="77777777" w:rsidR="001D739F" w:rsidRPr="00262F3A" w:rsidRDefault="001D739F" w:rsidP="00C10E4F">
            <w:pPr>
              <w:pStyle w:val="Tableformat"/>
            </w:pPr>
            <w:r w:rsidRPr="00262F3A">
              <w:t xml:space="preserve">           -   </w:t>
            </w:r>
          </w:p>
        </w:tc>
        <w:tc>
          <w:tcPr>
            <w:tcW w:w="1163" w:type="dxa"/>
            <w:vAlign w:val="center"/>
          </w:tcPr>
          <w:p w14:paraId="77576150" w14:textId="77777777" w:rsidR="001D739F" w:rsidRPr="00262F3A" w:rsidRDefault="001D739F" w:rsidP="00C10E4F">
            <w:pPr>
              <w:pStyle w:val="Tableformat"/>
            </w:pPr>
            <w:r w:rsidRPr="00262F3A">
              <w:t>-</w:t>
            </w:r>
          </w:p>
        </w:tc>
        <w:tc>
          <w:tcPr>
            <w:tcW w:w="1489" w:type="dxa"/>
            <w:shd w:val="clear" w:color="auto" w:fill="auto"/>
            <w:vAlign w:val="center"/>
          </w:tcPr>
          <w:p w14:paraId="6E3D4102" w14:textId="77777777" w:rsidR="001D739F" w:rsidRPr="00262F3A" w:rsidRDefault="001D739F" w:rsidP="00C10E4F">
            <w:pPr>
              <w:pStyle w:val="Tableformat"/>
            </w:pPr>
            <w:r w:rsidRPr="00262F3A">
              <w:t xml:space="preserve">         -   </w:t>
            </w:r>
          </w:p>
        </w:tc>
        <w:tc>
          <w:tcPr>
            <w:tcW w:w="1878" w:type="dxa"/>
            <w:shd w:val="clear" w:color="auto" w:fill="auto"/>
            <w:vAlign w:val="center"/>
          </w:tcPr>
          <w:p w14:paraId="3EF3C8D0" w14:textId="77777777" w:rsidR="001D739F" w:rsidRPr="00262F3A" w:rsidRDefault="001D739F" w:rsidP="00C10E4F">
            <w:pPr>
              <w:pStyle w:val="Tableformat"/>
            </w:pPr>
            <w:r w:rsidRPr="00262F3A">
              <w:t xml:space="preserve">         -   </w:t>
            </w:r>
          </w:p>
        </w:tc>
        <w:tc>
          <w:tcPr>
            <w:tcW w:w="1380" w:type="dxa"/>
            <w:shd w:val="clear" w:color="auto" w:fill="auto"/>
            <w:vAlign w:val="center"/>
          </w:tcPr>
          <w:p w14:paraId="296B9A5F" w14:textId="77777777" w:rsidR="001D739F" w:rsidRPr="00262F3A" w:rsidRDefault="001D739F" w:rsidP="00C10E4F">
            <w:pPr>
              <w:pStyle w:val="Tableformat"/>
            </w:pPr>
            <w:r w:rsidRPr="00262F3A">
              <w:t xml:space="preserve">       -   </w:t>
            </w:r>
          </w:p>
        </w:tc>
        <w:tc>
          <w:tcPr>
            <w:tcW w:w="1588" w:type="dxa"/>
            <w:shd w:val="clear" w:color="auto" w:fill="auto"/>
            <w:vAlign w:val="center"/>
          </w:tcPr>
          <w:p w14:paraId="200DFAF1"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5360AD84"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3EED831C" w14:textId="77777777" w:rsidR="001D739F" w:rsidRPr="00262F3A" w:rsidRDefault="001D739F" w:rsidP="00C10E4F">
            <w:pPr>
              <w:pStyle w:val="Tableformat"/>
            </w:pPr>
            <w:r w:rsidRPr="00262F3A">
              <w:t xml:space="preserve">     -   </w:t>
            </w:r>
          </w:p>
        </w:tc>
      </w:tr>
      <w:tr w:rsidR="00E47228" w:rsidRPr="00262F3A" w14:paraId="4BC48F55" w14:textId="77777777" w:rsidTr="00E47228">
        <w:trPr>
          <w:trHeight w:val="397"/>
        </w:trPr>
        <w:tc>
          <w:tcPr>
            <w:tcW w:w="2263" w:type="dxa"/>
            <w:vAlign w:val="center"/>
          </w:tcPr>
          <w:p w14:paraId="76EEBF1F" w14:textId="77777777" w:rsidR="001D739F" w:rsidRPr="00262F3A" w:rsidRDefault="001D739F" w:rsidP="00C10E4F">
            <w:pPr>
              <w:pStyle w:val="Tableformat"/>
            </w:pPr>
            <w:r w:rsidRPr="00262F3A">
              <w:t>$445,001 - $470,000</w:t>
            </w:r>
          </w:p>
        </w:tc>
        <w:tc>
          <w:tcPr>
            <w:tcW w:w="1134" w:type="dxa"/>
            <w:shd w:val="clear" w:color="auto" w:fill="auto"/>
            <w:vAlign w:val="center"/>
          </w:tcPr>
          <w:p w14:paraId="40270013" w14:textId="77777777" w:rsidR="001D739F" w:rsidRPr="00262F3A" w:rsidRDefault="001D739F" w:rsidP="00C10E4F">
            <w:pPr>
              <w:pStyle w:val="Tableformat"/>
            </w:pPr>
            <w:r w:rsidRPr="00262F3A">
              <w:t xml:space="preserve">-   </w:t>
            </w:r>
          </w:p>
        </w:tc>
        <w:tc>
          <w:tcPr>
            <w:tcW w:w="1292" w:type="dxa"/>
            <w:shd w:val="clear" w:color="auto" w:fill="auto"/>
            <w:vAlign w:val="center"/>
          </w:tcPr>
          <w:p w14:paraId="333A9D76" w14:textId="77777777" w:rsidR="001D739F" w:rsidRPr="00262F3A" w:rsidRDefault="001D739F" w:rsidP="00C10E4F">
            <w:pPr>
              <w:pStyle w:val="Tableformat"/>
            </w:pPr>
            <w:r w:rsidRPr="00262F3A">
              <w:t xml:space="preserve">           -   </w:t>
            </w:r>
          </w:p>
        </w:tc>
        <w:tc>
          <w:tcPr>
            <w:tcW w:w="1163" w:type="dxa"/>
            <w:vAlign w:val="center"/>
          </w:tcPr>
          <w:p w14:paraId="6AB7996C" w14:textId="77777777" w:rsidR="001D739F" w:rsidRPr="00262F3A" w:rsidRDefault="001D739F" w:rsidP="00C10E4F">
            <w:pPr>
              <w:pStyle w:val="Tableformat"/>
            </w:pPr>
            <w:r w:rsidRPr="00262F3A">
              <w:t>-</w:t>
            </w:r>
          </w:p>
        </w:tc>
        <w:tc>
          <w:tcPr>
            <w:tcW w:w="1489" w:type="dxa"/>
            <w:shd w:val="clear" w:color="auto" w:fill="auto"/>
            <w:vAlign w:val="center"/>
          </w:tcPr>
          <w:p w14:paraId="2085B11C" w14:textId="77777777" w:rsidR="001D739F" w:rsidRPr="00262F3A" w:rsidRDefault="001D739F" w:rsidP="00C10E4F">
            <w:pPr>
              <w:pStyle w:val="Tableformat"/>
            </w:pPr>
            <w:r w:rsidRPr="00262F3A">
              <w:t xml:space="preserve">         -   </w:t>
            </w:r>
          </w:p>
        </w:tc>
        <w:tc>
          <w:tcPr>
            <w:tcW w:w="1878" w:type="dxa"/>
            <w:shd w:val="clear" w:color="auto" w:fill="auto"/>
            <w:vAlign w:val="center"/>
          </w:tcPr>
          <w:p w14:paraId="43E82FBA" w14:textId="77777777" w:rsidR="001D739F" w:rsidRPr="00262F3A" w:rsidRDefault="001D739F" w:rsidP="00C10E4F">
            <w:pPr>
              <w:pStyle w:val="Tableformat"/>
            </w:pPr>
            <w:r w:rsidRPr="00262F3A">
              <w:t xml:space="preserve">         -   </w:t>
            </w:r>
          </w:p>
        </w:tc>
        <w:tc>
          <w:tcPr>
            <w:tcW w:w="1380" w:type="dxa"/>
            <w:shd w:val="clear" w:color="auto" w:fill="auto"/>
            <w:vAlign w:val="center"/>
          </w:tcPr>
          <w:p w14:paraId="3D7BC105" w14:textId="77777777" w:rsidR="001D739F" w:rsidRPr="00262F3A" w:rsidRDefault="001D739F" w:rsidP="00C10E4F">
            <w:pPr>
              <w:pStyle w:val="Tableformat"/>
            </w:pPr>
            <w:r w:rsidRPr="00262F3A">
              <w:t xml:space="preserve">       -   </w:t>
            </w:r>
          </w:p>
        </w:tc>
        <w:tc>
          <w:tcPr>
            <w:tcW w:w="1588" w:type="dxa"/>
            <w:shd w:val="clear" w:color="auto" w:fill="auto"/>
            <w:vAlign w:val="center"/>
          </w:tcPr>
          <w:p w14:paraId="4FA8BD79"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1779B0F0"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3285A2D5" w14:textId="77777777" w:rsidR="001D739F" w:rsidRPr="00262F3A" w:rsidRDefault="001D739F" w:rsidP="00C10E4F">
            <w:pPr>
              <w:pStyle w:val="Tableformat"/>
            </w:pPr>
            <w:r w:rsidRPr="00262F3A">
              <w:t xml:space="preserve">                              -   </w:t>
            </w:r>
          </w:p>
        </w:tc>
      </w:tr>
      <w:tr w:rsidR="00E47228" w:rsidRPr="00262F3A" w14:paraId="5E3CE700" w14:textId="77777777" w:rsidTr="00E47228">
        <w:trPr>
          <w:trHeight w:val="397"/>
        </w:trPr>
        <w:tc>
          <w:tcPr>
            <w:tcW w:w="2263" w:type="dxa"/>
            <w:vAlign w:val="center"/>
          </w:tcPr>
          <w:p w14:paraId="4EBB946F" w14:textId="77777777" w:rsidR="001D739F" w:rsidRPr="00262F3A" w:rsidRDefault="001D739F" w:rsidP="00C10E4F">
            <w:pPr>
              <w:pStyle w:val="Tableformat"/>
            </w:pPr>
            <w:r w:rsidRPr="00262F3A">
              <w:t>$470,001 - $495,000</w:t>
            </w:r>
          </w:p>
        </w:tc>
        <w:tc>
          <w:tcPr>
            <w:tcW w:w="1134" w:type="dxa"/>
            <w:shd w:val="clear" w:color="auto" w:fill="auto"/>
            <w:vAlign w:val="center"/>
          </w:tcPr>
          <w:p w14:paraId="0D3A3707" w14:textId="77777777" w:rsidR="001D739F" w:rsidRPr="00262F3A" w:rsidRDefault="001D739F" w:rsidP="00C10E4F">
            <w:pPr>
              <w:pStyle w:val="Tableformat"/>
            </w:pPr>
            <w:r w:rsidRPr="00262F3A">
              <w:t xml:space="preserve">1 </w:t>
            </w:r>
          </w:p>
        </w:tc>
        <w:tc>
          <w:tcPr>
            <w:tcW w:w="1292" w:type="dxa"/>
            <w:shd w:val="clear" w:color="auto" w:fill="auto"/>
            <w:vAlign w:val="center"/>
          </w:tcPr>
          <w:p w14:paraId="0D5DACB6" w14:textId="77777777" w:rsidR="001D739F" w:rsidRPr="00262F3A" w:rsidRDefault="001D739F" w:rsidP="00C10E4F">
            <w:pPr>
              <w:pStyle w:val="Tableformat"/>
            </w:pPr>
            <w:r w:rsidRPr="00262F3A">
              <w:t xml:space="preserve">391,983 </w:t>
            </w:r>
          </w:p>
        </w:tc>
        <w:tc>
          <w:tcPr>
            <w:tcW w:w="1163" w:type="dxa"/>
            <w:vAlign w:val="center"/>
          </w:tcPr>
          <w:p w14:paraId="5DB77930" w14:textId="77777777" w:rsidR="001D739F" w:rsidRPr="00262F3A" w:rsidRDefault="001D739F" w:rsidP="00C10E4F">
            <w:pPr>
              <w:pStyle w:val="Tableformat"/>
            </w:pPr>
            <w:r w:rsidRPr="00262F3A">
              <w:t>-</w:t>
            </w:r>
          </w:p>
        </w:tc>
        <w:tc>
          <w:tcPr>
            <w:tcW w:w="1489" w:type="dxa"/>
            <w:shd w:val="clear" w:color="auto" w:fill="auto"/>
            <w:vAlign w:val="center"/>
          </w:tcPr>
          <w:p w14:paraId="62B113AE" w14:textId="77777777" w:rsidR="001D739F" w:rsidRPr="00262F3A" w:rsidRDefault="001D739F" w:rsidP="00C10E4F">
            <w:pPr>
              <w:pStyle w:val="Tableformat"/>
            </w:pPr>
            <w:r w:rsidRPr="00262F3A">
              <w:t xml:space="preserve">30,239 </w:t>
            </w:r>
          </w:p>
        </w:tc>
        <w:tc>
          <w:tcPr>
            <w:tcW w:w="1878" w:type="dxa"/>
            <w:shd w:val="clear" w:color="auto" w:fill="auto"/>
            <w:vAlign w:val="center"/>
          </w:tcPr>
          <w:p w14:paraId="3E4CF3F8" w14:textId="77777777" w:rsidR="001D739F" w:rsidRPr="00262F3A" w:rsidRDefault="001D739F" w:rsidP="00C10E4F">
            <w:pPr>
              <w:pStyle w:val="Tableformat"/>
            </w:pPr>
            <w:r w:rsidRPr="00262F3A">
              <w:t xml:space="preserve">60,365 </w:t>
            </w:r>
          </w:p>
        </w:tc>
        <w:tc>
          <w:tcPr>
            <w:tcW w:w="1380" w:type="dxa"/>
            <w:shd w:val="clear" w:color="auto" w:fill="auto"/>
            <w:vAlign w:val="center"/>
          </w:tcPr>
          <w:p w14:paraId="2938514E" w14:textId="77777777" w:rsidR="001D739F" w:rsidRPr="00262F3A" w:rsidRDefault="001D739F" w:rsidP="00C10E4F">
            <w:pPr>
              <w:pStyle w:val="Tableformat"/>
            </w:pPr>
            <w:r w:rsidRPr="00262F3A">
              <w:t xml:space="preserve">       -   </w:t>
            </w:r>
          </w:p>
        </w:tc>
        <w:tc>
          <w:tcPr>
            <w:tcW w:w="1588" w:type="dxa"/>
            <w:shd w:val="clear" w:color="auto" w:fill="auto"/>
            <w:vAlign w:val="center"/>
          </w:tcPr>
          <w:p w14:paraId="7093D980" w14:textId="77777777" w:rsidR="001D739F" w:rsidRPr="00262F3A" w:rsidRDefault="001D739F" w:rsidP="00C10E4F">
            <w:pPr>
              <w:pStyle w:val="Tableformat"/>
            </w:pPr>
            <w:r w:rsidRPr="00262F3A">
              <w:t xml:space="preserve">        -   </w:t>
            </w:r>
          </w:p>
        </w:tc>
        <w:tc>
          <w:tcPr>
            <w:tcW w:w="1416" w:type="dxa"/>
            <w:shd w:val="clear" w:color="auto" w:fill="auto"/>
            <w:vAlign w:val="center"/>
          </w:tcPr>
          <w:p w14:paraId="730BFE3B" w14:textId="77777777" w:rsidR="001D739F" w:rsidRPr="00262F3A" w:rsidRDefault="001D739F" w:rsidP="00C10E4F">
            <w:pPr>
              <w:pStyle w:val="Tableformat"/>
            </w:pPr>
            <w:r w:rsidRPr="00262F3A">
              <w:t xml:space="preserve"> -   </w:t>
            </w:r>
          </w:p>
        </w:tc>
        <w:tc>
          <w:tcPr>
            <w:tcW w:w="1449" w:type="dxa"/>
            <w:shd w:val="clear" w:color="auto" w:fill="auto"/>
            <w:vAlign w:val="center"/>
          </w:tcPr>
          <w:p w14:paraId="2E250BA8" w14:textId="77777777" w:rsidR="001D739F" w:rsidRPr="00262F3A" w:rsidRDefault="001D739F" w:rsidP="00C10E4F">
            <w:pPr>
              <w:pStyle w:val="Tableformat"/>
            </w:pPr>
            <w:r w:rsidRPr="00262F3A">
              <w:t xml:space="preserve">                 482,587 </w:t>
            </w:r>
          </w:p>
        </w:tc>
      </w:tr>
    </w:tbl>
    <w:p w14:paraId="6176C2F7" w14:textId="77777777" w:rsidR="00A706E7" w:rsidRPr="00262F3A" w:rsidRDefault="001D739F" w:rsidP="00561B3B">
      <w:r w:rsidRPr="00262F3A">
        <w:t>Notes</w:t>
      </w:r>
      <w:r w:rsidR="002358FE" w:rsidRPr="00262F3A">
        <w:t xml:space="preserve">: </w:t>
      </w:r>
    </w:p>
    <w:p w14:paraId="24226103" w14:textId="77777777" w:rsidR="001D739F" w:rsidRPr="00262F3A" w:rsidRDefault="001D739F" w:rsidP="006D2911">
      <w:pPr>
        <w:pStyle w:val="ListParagraph"/>
        <w:numPr>
          <w:ilvl w:val="0"/>
          <w:numId w:val="14"/>
        </w:numPr>
      </w:pPr>
      <w:r w:rsidRPr="00262F3A">
        <w:t>The Agency engages some senior executives through third party contract arrangements that include superannuation entitlements.  All direct contract-engaged senior executives’ total contract costs are included as short-term employee benefits.</w:t>
      </w:r>
    </w:p>
    <w:p w14:paraId="55F07D6A" w14:textId="5F90647F" w:rsidR="00A706E7" w:rsidRPr="00262F3A" w:rsidRDefault="00A706E7" w:rsidP="006D2911">
      <w:pPr>
        <w:pStyle w:val="ListParagraph"/>
        <w:numPr>
          <w:ilvl w:val="0"/>
          <w:numId w:val="14"/>
        </w:numPr>
      </w:pPr>
      <w:r w:rsidRPr="00262F3A">
        <w:lastRenderedPageBreak/>
        <w:t>The ‘Termination benefits’ column includes, but is not limited to, termination amounts (if any) pursuant to s</w:t>
      </w:r>
      <w:r w:rsidR="00AE6AE5">
        <w:t xml:space="preserve">ection </w:t>
      </w:r>
      <w:r w:rsidRPr="00262F3A">
        <w:t xml:space="preserve">29 </w:t>
      </w:r>
      <w:r w:rsidR="00AE6AE5">
        <w:t xml:space="preserve">of the </w:t>
      </w:r>
      <w:r w:rsidRPr="00AE6AE5">
        <w:rPr>
          <w:i/>
        </w:rPr>
        <w:t>Public Service Act 1999</w:t>
      </w:r>
      <w:r w:rsidRPr="00262F3A">
        <w:t xml:space="preserve"> (Cth) and amounts for acceptance of an Incentive to Retire (if any) under section 37 of that Act.</w:t>
      </w:r>
    </w:p>
    <w:p w14:paraId="04287B01" w14:textId="071487BC" w:rsidR="001D739F" w:rsidRPr="00262F3A" w:rsidRDefault="000A04E3" w:rsidP="008F00D1">
      <w:pPr>
        <w:pStyle w:val="Heading3"/>
      </w:pPr>
      <w:bookmarkStart w:id="169" w:name="_Toc51068008"/>
      <w:r w:rsidRPr="00262F3A">
        <w:t>Other h</w:t>
      </w:r>
      <w:r w:rsidR="001D739F" w:rsidRPr="00262F3A">
        <w:t xml:space="preserve">ighly </w:t>
      </w:r>
      <w:r w:rsidRPr="00262F3A">
        <w:t>paid s</w:t>
      </w:r>
      <w:r w:rsidR="001D739F" w:rsidRPr="00262F3A">
        <w:t>taff</w:t>
      </w:r>
      <w:bookmarkEnd w:id="169"/>
      <w:r w:rsidR="001D739F" w:rsidRPr="00262F3A">
        <w:t xml:space="preserve"> </w:t>
      </w:r>
    </w:p>
    <w:p w14:paraId="20038B64" w14:textId="77777777" w:rsidR="001D739F" w:rsidRPr="00262F3A" w:rsidRDefault="001D739F" w:rsidP="00561B3B">
      <w:r w:rsidRPr="00262F3A">
        <w:t>Other highly paid staff are officials, including contractors and consultants prescribed as officials:</w:t>
      </w:r>
    </w:p>
    <w:p w14:paraId="43072D61" w14:textId="5792F723" w:rsidR="001D739F" w:rsidRPr="00262F3A" w:rsidRDefault="001D739F" w:rsidP="006D2911">
      <w:pPr>
        <w:pStyle w:val="ListParagraph"/>
        <w:numPr>
          <w:ilvl w:val="0"/>
          <w:numId w:val="11"/>
        </w:numPr>
      </w:pPr>
      <w:r w:rsidRPr="00262F3A">
        <w:t xml:space="preserve">who are neither </w:t>
      </w:r>
      <w:r w:rsidR="00AE6AE5">
        <w:t>KMP</w:t>
      </w:r>
      <w:r w:rsidRPr="00262F3A">
        <w:t xml:space="preserve"> nor senior executives</w:t>
      </w:r>
    </w:p>
    <w:p w14:paraId="0564C8F8" w14:textId="77777777" w:rsidR="001D739F" w:rsidRPr="00262F3A" w:rsidRDefault="001D739F" w:rsidP="006D2911">
      <w:pPr>
        <w:pStyle w:val="ListParagraph"/>
        <w:numPr>
          <w:ilvl w:val="0"/>
          <w:numId w:val="11"/>
        </w:numPr>
      </w:pPr>
      <w:r w:rsidRPr="00262F3A">
        <w:t>whose total remuneration exceeds $225,000.</w:t>
      </w:r>
    </w:p>
    <w:p w14:paraId="067E86B2" w14:textId="77777777" w:rsidR="005D5BCA" w:rsidRPr="00262F3A" w:rsidRDefault="001D739F" w:rsidP="00561B3B">
      <w:r w:rsidRPr="00262F3A">
        <w:t>The average remuneration received or due to be received for each of the Agency’s other highly paid staff for the year ended 30 June 2020 is summarised in the table below.</w:t>
      </w:r>
    </w:p>
    <w:p w14:paraId="3F0221C5" w14:textId="77777777" w:rsidR="001D739F" w:rsidRPr="00262F3A" w:rsidRDefault="005D5BCA" w:rsidP="00901595">
      <w:pPr>
        <w:keepNext/>
        <w:ind w:left="720"/>
      </w:pPr>
      <w:r w:rsidRPr="00262F3A">
        <w:rPr>
          <w:b/>
        </w:rPr>
        <w:t>Table 5.6.4A</w:t>
      </w:r>
      <w:r w:rsidRPr="00B63CEB">
        <w:rPr>
          <w:b/>
        </w:rPr>
        <w:t>:</w:t>
      </w:r>
      <w:r w:rsidRPr="00262F3A">
        <w:t xml:space="preserve"> Average remuneration for other highly paid staff</w:t>
      </w:r>
      <w:r w:rsidR="001D739F" w:rsidRPr="00262F3A">
        <w:t xml:space="preserve"> </w:t>
      </w:r>
    </w:p>
    <w:tbl>
      <w:tblPr>
        <w:tblW w:w="139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134"/>
        <w:gridCol w:w="993"/>
        <w:gridCol w:w="992"/>
        <w:gridCol w:w="1271"/>
        <w:gridCol w:w="1814"/>
        <w:gridCol w:w="1275"/>
        <w:gridCol w:w="1418"/>
        <w:gridCol w:w="1417"/>
        <w:gridCol w:w="1491"/>
      </w:tblGrid>
      <w:tr w:rsidR="001D739F" w:rsidRPr="00262F3A" w14:paraId="0D1CE6D6" w14:textId="77777777" w:rsidTr="002358FE">
        <w:tc>
          <w:tcPr>
            <w:tcW w:w="2160" w:type="dxa"/>
            <w:shd w:val="clear" w:color="auto" w:fill="7030A0"/>
            <w:vAlign w:val="center"/>
          </w:tcPr>
          <w:p w14:paraId="4FD66ADE" w14:textId="77777777" w:rsidR="001D739F" w:rsidRPr="00262F3A" w:rsidRDefault="001D739F" w:rsidP="00AC60F9">
            <w:pPr>
              <w:pStyle w:val="Tableformat"/>
              <w:rPr>
                <w:color w:val="FFFFFF" w:themeColor="background1"/>
              </w:rPr>
            </w:pPr>
          </w:p>
        </w:tc>
        <w:tc>
          <w:tcPr>
            <w:tcW w:w="1134" w:type="dxa"/>
            <w:shd w:val="clear" w:color="auto" w:fill="7030A0"/>
            <w:vAlign w:val="center"/>
          </w:tcPr>
          <w:p w14:paraId="6FCE9A7E" w14:textId="77777777" w:rsidR="001D739F" w:rsidRPr="00262F3A" w:rsidRDefault="001D739F" w:rsidP="00AC60F9">
            <w:pPr>
              <w:pStyle w:val="Tableformat"/>
              <w:rPr>
                <w:color w:val="FFFFFF" w:themeColor="background1"/>
              </w:rPr>
            </w:pPr>
          </w:p>
        </w:tc>
        <w:tc>
          <w:tcPr>
            <w:tcW w:w="3256" w:type="dxa"/>
            <w:gridSpan w:val="3"/>
            <w:shd w:val="clear" w:color="auto" w:fill="7030A0"/>
            <w:vAlign w:val="center"/>
          </w:tcPr>
          <w:p w14:paraId="6409B76D" w14:textId="77777777" w:rsidR="001D739F" w:rsidRPr="00262F3A" w:rsidRDefault="001D739F" w:rsidP="00AC60F9">
            <w:pPr>
              <w:pStyle w:val="Tableformat"/>
              <w:rPr>
                <w:color w:val="FFFFFF" w:themeColor="background1"/>
              </w:rPr>
            </w:pPr>
            <w:r w:rsidRPr="00262F3A">
              <w:rPr>
                <w:color w:val="FFFFFF" w:themeColor="background1"/>
              </w:rPr>
              <w:t>Short</w:t>
            </w:r>
            <w:r w:rsidRPr="00262F3A">
              <w:rPr>
                <w:color w:val="FFFFFF" w:themeColor="background1"/>
              </w:rPr>
              <w:noBreakHyphen/>
              <w:t>term benefits</w:t>
            </w:r>
          </w:p>
        </w:tc>
        <w:tc>
          <w:tcPr>
            <w:tcW w:w="1814" w:type="dxa"/>
            <w:shd w:val="clear" w:color="auto" w:fill="7030A0"/>
            <w:vAlign w:val="center"/>
          </w:tcPr>
          <w:p w14:paraId="63CEC0EA" w14:textId="77777777" w:rsidR="001D739F" w:rsidRPr="00262F3A" w:rsidRDefault="001D739F" w:rsidP="00AC60F9">
            <w:pPr>
              <w:pStyle w:val="Tableformat"/>
              <w:rPr>
                <w:color w:val="FFFFFF" w:themeColor="background1"/>
              </w:rPr>
            </w:pPr>
            <w:r w:rsidRPr="00262F3A">
              <w:rPr>
                <w:color w:val="FFFFFF" w:themeColor="background1"/>
              </w:rPr>
              <w:t>Post</w:t>
            </w:r>
            <w:r w:rsidRPr="00262F3A">
              <w:rPr>
                <w:color w:val="FFFFFF" w:themeColor="background1"/>
              </w:rPr>
              <w:noBreakHyphen/>
              <w:t>employment benefits</w:t>
            </w:r>
          </w:p>
        </w:tc>
        <w:tc>
          <w:tcPr>
            <w:tcW w:w="2693" w:type="dxa"/>
            <w:gridSpan w:val="2"/>
            <w:shd w:val="clear" w:color="auto" w:fill="7030A0"/>
            <w:vAlign w:val="center"/>
          </w:tcPr>
          <w:p w14:paraId="0DCBB591" w14:textId="77777777" w:rsidR="001D739F" w:rsidRPr="00262F3A" w:rsidRDefault="001D739F" w:rsidP="00AC60F9">
            <w:pPr>
              <w:pStyle w:val="Tableformat"/>
              <w:rPr>
                <w:color w:val="FFFFFF" w:themeColor="background1"/>
              </w:rPr>
            </w:pPr>
            <w:r w:rsidRPr="00262F3A">
              <w:rPr>
                <w:color w:val="FFFFFF" w:themeColor="background1"/>
              </w:rPr>
              <w:t>Other long</w:t>
            </w:r>
            <w:r w:rsidRPr="00262F3A">
              <w:rPr>
                <w:color w:val="FFFFFF" w:themeColor="background1"/>
              </w:rPr>
              <w:noBreakHyphen/>
              <w:t>term benefits</w:t>
            </w:r>
          </w:p>
        </w:tc>
        <w:tc>
          <w:tcPr>
            <w:tcW w:w="1417" w:type="dxa"/>
            <w:shd w:val="clear" w:color="auto" w:fill="7030A0"/>
            <w:vAlign w:val="center"/>
          </w:tcPr>
          <w:p w14:paraId="5B012602" w14:textId="77777777" w:rsidR="001D739F" w:rsidRPr="00262F3A" w:rsidRDefault="001D739F" w:rsidP="00AC60F9">
            <w:pPr>
              <w:pStyle w:val="Tableformat"/>
              <w:rPr>
                <w:color w:val="FFFFFF" w:themeColor="background1"/>
              </w:rPr>
            </w:pPr>
            <w:r w:rsidRPr="00262F3A">
              <w:rPr>
                <w:color w:val="FFFFFF" w:themeColor="background1"/>
              </w:rPr>
              <w:t>Termination benefits</w:t>
            </w:r>
          </w:p>
        </w:tc>
        <w:tc>
          <w:tcPr>
            <w:tcW w:w="1491" w:type="dxa"/>
            <w:shd w:val="clear" w:color="auto" w:fill="7030A0"/>
            <w:vAlign w:val="center"/>
          </w:tcPr>
          <w:p w14:paraId="561C0C9E" w14:textId="77777777" w:rsidR="001D739F" w:rsidRPr="00262F3A" w:rsidRDefault="001D739F" w:rsidP="00AC60F9">
            <w:pPr>
              <w:pStyle w:val="Tableformat"/>
              <w:rPr>
                <w:color w:val="FFFFFF" w:themeColor="background1"/>
              </w:rPr>
            </w:pPr>
            <w:r w:rsidRPr="00262F3A">
              <w:rPr>
                <w:color w:val="FFFFFF" w:themeColor="background1"/>
              </w:rPr>
              <w:t>Total remuneration</w:t>
            </w:r>
          </w:p>
        </w:tc>
      </w:tr>
      <w:tr w:rsidR="001D739F" w:rsidRPr="00262F3A" w14:paraId="36C1A475" w14:textId="77777777" w:rsidTr="002358FE">
        <w:tc>
          <w:tcPr>
            <w:tcW w:w="2160" w:type="dxa"/>
            <w:shd w:val="clear" w:color="auto" w:fill="7030A0"/>
            <w:vAlign w:val="center"/>
          </w:tcPr>
          <w:p w14:paraId="28D066A0" w14:textId="77777777" w:rsidR="001D739F" w:rsidRPr="00262F3A" w:rsidRDefault="001D739F" w:rsidP="00AC60F9">
            <w:pPr>
              <w:pStyle w:val="Tableformat"/>
              <w:rPr>
                <w:color w:val="FFFFFF" w:themeColor="background1"/>
              </w:rPr>
            </w:pPr>
            <w:r w:rsidRPr="00262F3A">
              <w:rPr>
                <w:color w:val="FFFFFF" w:themeColor="background1"/>
              </w:rPr>
              <w:t>Total remuneration bands</w:t>
            </w:r>
          </w:p>
        </w:tc>
        <w:tc>
          <w:tcPr>
            <w:tcW w:w="1134" w:type="dxa"/>
            <w:shd w:val="clear" w:color="auto" w:fill="7030A0"/>
            <w:vAlign w:val="center"/>
          </w:tcPr>
          <w:p w14:paraId="5DFDDB85" w14:textId="77777777" w:rsidR="001D739F" w:rsidRPr="00262F3A" w:rsidRDefault="001D739F" w:rsidP="00AC60F9">
            <w:pPr>
              <w:pStyle w:val="Tableformat"/>
              <w:rPr>
                <w:color w:val="FFFFFF" w:themeColor="background1"/>
              </w:rPr>
            </w:pPr>
            <w:r w:rsidRPr="00262F3A">
              <w:rPr>
                <w:color w:val="FFFFFF" w:themeColor="background1"/>
              </w:rPr>
              <w:t>Number of other highly paid staff</w:t>
            </w:r>
          </w:p>
        </w:tc>
        <w:tc>
          <w:tcPr>
            <w:tcW w:w="993" w:type="dxa"/>
            <w:shd w:val="clear" w:color="auto" w:fill="7030A0"/>
            <w:vAlign w:val="center"/>
          </w:tcPr>
          <w:p w14:paraId="6EDB5D86" w14:textId="77777777" w:rsidR="001D739F" w:rsidRPr="00262F3A" w:rsidRDefault="001D739F" w:rsidP="00AC60F9">
            <w:pPr>
              <w:pStyle w:val="Tableformat"/>
              <w:rPr>
                <w:color w:val="FFFFFF" w:themeColor="background1"/>
              </w:rPr>
            </w:pPr>
            <w:r w:rsidRPr="00262F3A">
              <w:rPr>
                <w:color w:val="FFFFFF" w:themeColor="background1"/>
              </w:rPr>
              <w:t xml:space="preserve">Average base salary </w:t>
            </w:r>
          </w:p>
        </w:tc>
        <w:tc>
          <w:tcPr>
            <w:tcW w:w="992" w:type="dxa"/>
            <w:shd w:val="clear" w:color="auto" w:fill="7030A0"/>
            <w:vAlign w:val="center"/>
          </w:tcPr>
          <w:p w14:paraId="709FC035" w14:textId="77777777" w:rsidR="001D739F" w:rsidRPr="00262F3A" w:rsidRDefault="001D739F" w:rsidP="00AC60F9">
            <w:pPr>
              <w:pStyle w:val="Tableformat"/>
              <w:rPr>
                <w:color w:val="FFFFFF" w:themeColor="background1"/>
              </w:rPr>
            </w:pPr>
            <w:r w:rsidRPr="00262F3A">
              <w:rPr>
                <w:color w:val="FFFFFF" w:themeColor="background1"/>
              </w:rPr>
              <w:t>Average bonuses</w:t>
            </w:r>
          </w:p>
        </w:tc>
        <w:tc>
          <w:tcPr>
            <w:tcW w:w="1271" w:type="dxa"/>
            <w:shd w:val="clear" w:color="auto" w:fill="7030A0"/>
            <w:vAlign w:val="center"/>
          </w:tcPr>
          <w:p w14:paraId="3B9DAC10" w14:textId="77777777" w:rsidR="001D739F" w:rsidRPr="00262F3A" w:rsidRDefault="001D739F" w:rsidP="00AC60F9">
            <w:pPr>
              <w:pStyle w:val="Tableformat"/>
              <w:rPr>
                <w:color w:val="FFFFFF" w:themeColor="background1"/>
              </w:rPr>
            </w:pPr>
            <w:r w:rsidRPr="00262F3A">
              <w:rPr>
                <w:color w:val="FFFFFF" w:themeColor="background1"/>
              </w:rPr>
              <w:t>Average</w:t>
            </w:r>
            <w:r w:rsidR="002358FE" w:rsidRPr="00262F3A">
              <w:rPr>
                <w:color w:val="FFFFFF" w:themeColor="background1"/>
              </w:rPr>
              <w:t xml:space="preserve"> other benefits and allowances</w:t>
            </w:r>
          </w:p>
        </w:tc>
        <w:tc>
          <w:tcPr>
            <w:tcW w:w="1814" w:type="dxa"/>
            <w:shd w:val="clear" w:color="auto" w:fill="7030A0"/>
            <w:vAlign w:val="center"/>
          </w:tcPr>
          <w:p w14:paraId="2ADEB090" w14:textId="77777777" w:rsidR="001D739F" w:rsidRPr="00262F3A" w:rsidRDefault="001D739F" w:rsidP="00AC60F9">
            <w:pPr>
              <w:pStyle w:val="Tableformat"/>
              <w:rPr>
                <w:color w:val="FFFFFF" w:themeColor="background1"/>
              </w:rPr>
            </w:pPr>
            <w:r w:rsidRPr="00262F3A">
              <w:rPr>
                <w:color w:val="FFFFFF" w:themeColor="background1"/>
              </w:rPr>
              <w:t>Aver</w:t>
            </w:r>
            <w:r w:rsidR="002358FE" w:rsidRPr="00262F3A">
              <w:rPr>
                <w:color w:val="FFFFFF" w:themeColor="background1"/>
              </w:rPr>
              <w:t>age superannuation contribution</w:t>
            </w:r>
          </w:p>
        </w:tc>
        <w:tc>
          <w:tcPr>
            <w:tcW w:w="1275" w:type="dxa"/>
            <w:shd w:val="clear" w:color="auto" w:fill="7030A0"/>
            <w:vAlign w:val="center"/>
          </w:tcPr>
          <w:p w14:paraId="3C285A7B" w14:textId="77777777" w:rsidR="001D739F" w:rsidRPr="00262F3A" w:rsidRDefault="001D739F" w:rsidP="00AC60F9">
            <w:pPr>
              <w:pStyle w:val="Tableformat"/>
              <w:rPr>
                <w:color w:val="FFFFFF" w:themeColor="background1"/>
              </w:rPr>
            </w:pPr>
            <w:r w:rsidRPr="00262F3A">
              <w:rPr>
                <w:color w:val="FFFFFF" w:themeColor="background1"/>
              </w:rPr>
              <w:t>Average long service leave</w:t>
            </w:r>
          </w:p>
        </w:tc>
        <w:tc>
          <w:tcPr>
            <w:tcW w:w="1418" w:type="dxa"/>
            <w:shd w:val="clear" w:color="auto" w:fill="7030A0"/>
            <w:vAlign w:val="center"/>
          </w:tcPr>
          <w:p w14:paraId="7323F62D" w14:textId="77777777" w:rsidR="001D739F" w:rsidRPr="00262F3A" w:rsidRDefault="001D739F" w:rsidP="00AC60F9">
            <w:pPr>
              <w:pStyle w:val="Tableformat"/>
              <w:rPr>
                <w:color w:val="FFFFFF" w:themeColor="background1"/>
              </w:rPr>
            </w:pPr>
            <w:r w:rsidRPr="00262F3A">
              <w:rPr>
                <w:color w:val="FFFFFF" w:themeColor="background1"/>
              </w:rPr>
              <w:t>Average other long</w:t>
            </w:r>
            <w:r w:rsidRPr="00262F3A">
              <w:rPr>
                <w:color w:val="FFFFFF" w:themeColor="background1"/>
              </w:rPr>
              <w:noBreakHyphen/>
              <w:t>term benefits</w:t>
            </w:r>
          </w:p>
        </w:tc>
        <w:tc>
          <w:tcPr>
            <w:tcW w:w="1417" w:type="dxa"/>
            <w:shd w:val="clear" w:color="auto" w:fill="7030A0"/>
            <w:vAlign w:val="center"/>
          </w:tcPr>
          <w:p w14:paraId="45A7FFDA" w14:textId="77777777" w:rsidR="001D739F" w:rsidRPr="00262F3A" w:rsidRDefault="001D739F" w:rsidP="00AC60F9">
            <w:pPr>
              <w:pStyle w:val="Tableformat"/>
              <w:rPr>
                <w:color w:val="FFFFFF" w:themeColor="background1"/>
              </w:rPr>
            </w:pPr>
            <w:r w:rsidRPr="00262F3A">
              <w:rPr>
                <w:color w:val="FFFFFF" w:themeColor="background1"/>
              </w:rPr>
              <w:t xml:space="preserve">Average termination benefits </w:t>
            </w:r>
          </w:p>
        </w:tc>
        <w:tc>
          <w:tcPr>
            <w:tcW w:w="1491" w:type="dxa"/>
            <w:shd w:val="clear" w:color="auto" w:fill="7030A0"/>
            <w:vAlign w:val="center"/>
          </w:tcPr>
          <w:p w14:paraId="590F306D" w14:textId="77777777" w:rsidR="001D739F" w:rsidRPr="00262F3A" w:rsidRDefault="002358FE" w:rsidP="00AC60F9">
            <w:pPr>
              <w:pStyle w:val="Tableformat"/>
              <w:rPr>
                <w:color w:val="FFFFFF" w:themeColor="background1"/>
              </w:rPr>
            </w:pPr>
            <w:r w:rsidRPr="00262F3A">
              <w:rPr>
                <w:color w:val="FFFFFF" w:themeColor="background1"/>
              </w:rPr>
              <w:t>Average total remuneration</w:t>
            </w:r>
          </w:p>
        </w:tc>
      </w:tr>
      <w:tr w:rsidR="001D739F" w:rsidRPr="00262F3A" w14:paraId="7B5118F9" w14:textId="77777777" w:rsidTr="002358FE">
        <w:trPr>
          <w:trHeight w:val="397"/>
        </w:trPr>
        <w:tc>
          <w:tcPr>
            <w:tcW w:w="2160" w:type="dxa"/>
            <w:shd w:val="clear" w:color="auto" w:fill="auto"/>
            <w:vAlign w:val="center"/>
          </w:tcPr>
          <w:p w14:paraId="3DCEF4B2" w14:textId="4D1C6474" w:rsidR="001D739F" w:rsidRPr="00262F3A" w:rsidRDefault="001D739F" w:rsidP="00AC60F9">
            <w:pPr>
              <w:pStyle w:val="Tableformat"/>
            </w:pPr>
            <w:r w:rsidRPr="00262F3A">
              <w:t xml:space="preserve">$225,000-$250,000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8E227C" w14:textId="77777777" w:rsidR="001D739F" w:rsidRPr="00262F3A" w:rsidRDefault="001D739F" w:rsidP="00AC60F9">
            <w:pPr>
              <w:pStyle w:val="Tableformat"/>
            </w:pPr>
            <w:r w:rsidRPr="00262F3A">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CDD660" w14:textId="77777777" w:rsidR="001D739F" w:rsidRPr="00262F3A" w:rsidRDefault="001D739F" w:rsidP="00AC60F9">
            <w:pPr>
              <w:pStyle w:val="Tableformat"/>
            </w:pPr>
            <w:r w:rsidRPr="00262F3A">
              <w:t>102,379</w:t>
            </w:r>
          </w:p>
        </w:tc>
        <w:tc>
          <w:tcPr>
            <w:tcW w:w="992" w:type="dxa"/>
            <w:tcBorders>
              <w:top w:val="single" w:sz="4" w:space="0" w:color="auto"/>
              <w:left w:val="single" w:sz="4" w:space="0" w:color="auto"/>
              <w:bottom w:val="single" w:sz="4" w:space="0" w:color="auto"/>
              <w:right w:val="single" w:sz="4" w:space="0" w:color="auto"/>
            </w:tcBorders>
            <w:vAlign w:val="center"/>
          </w:tcPr>
          <w:p w14:paraId="1DA5E6DC" w14:textId="77777777" w:rsidR="001D739F" w:rsidRPr="00262F3A" w:rsidRDefault="001D739F" w:rsidP="00AC60F9">
            <w:pPr>
              <w:pStyle w:val="Tableformat"/>
            </w:pPr>
            <w:r w:rsidRPr="00262F3A">
              <w:t>-</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096526E" w14:textId="77777777" w:rsidR="001D739F" w:rsidRPr="00262F3A" w:rsidRDefault="001D739F" w:rsidP="00AC60F9">
            <w:pPr>
              <w:pStyle w:val="Tableformat"/>
            </w:pPr>
            <w:r w:rsidRPr="00262F3A">
              <w:t>57,514</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1E4E489" w14:textId="77777777" w:rsidR="001D739F" w:rsidRPr="00262F3A" w:rsidRDefault="001D739F" w:rsidP="00AC60F9">
            <w:pPr>
              <w:pStyle w:val="Tableformat"/>
            </w:pPr>
            <w:r w:rsidRPr="00262F3A">
              <w:t>23,164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201371" w14:textId="77777777" w:rsidR="001D739F" w:rsidRPr="00262F3A" w:rsidRDefault="001D739F" w:rsidP="00AC60F9">
            <w:pPr>
              <w:pStyle w:val="Tableformat"/>
            </w:pPr>
            <w:r w:rsidRPr="00262F3A">
              <w:t>2,826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96B9D2" w14:textId="77777777" w:rsidR="001D739F" w:rsidRPr="00262F3A" w:rsidRDefault="001D739F" w:rsidP="00AC60F9">
            <w:pPr>
              <w:pStyle w:val="Tableformat"/>
            </w:pPr>
            <w:r w:rsidRPr="00262F3A">
              <w:t xml:space="preserve">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636E54" w14:textId="77777777" w:rsidR="001D739F" w:rsidRPr="00262F3A" w:rsidRDefault="001D739F" w:rsidP="00AC60F9">
            <w:pPr>
              <w:pStyle w:val="Tableformat"/>
            </w:pPr>
            <w:r w:rsidRPr="00262F3A">
              <w:t>46,231</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tcPr>
          <w:p w14:paraId="388C5978" w14:textId="77777777" w:rsidR="001D739F" w:rsidRPr="00262F3A" w:rsidRDefault="001D739F" w:rsidP="00AC60F9">
            <w:pPr>
              <w:pStyle w:val="Tableformat"/>
            </w:pPr>
            <w:r w:rsidRPr="00262F3A">
              <w:t>232,114</w:t>
            </w:r>
          </w:p>
        </w:tc>
      </w:tr>
      <w:tr w:rsidR="001D739F" w:rsidRPr="00262F3A" w14:paraId="3772B1BF" w14:textId="77777777" w:rsidTr="002358FE">
        <w:trPr>
          <w:trHeight w:val="397"/>
        </w:trPr>
        <w:tc>
          <w:tcPr>
            <w:tcW w:w="2160" w:type="dxa"/>
            <w:shd w:val="clear" w:color="auto" w:fill="auto"/>
            <w:vAlign w:val="center"/>
          </w:tcPr>
          <w:p w14:paraId="7137F420" w14:textId="55469500" w:rsidR="001D739F" w:rsidRPr="00262F3A" w:rsidRDefault="001D739F" w:rsidP="00AC60F9">
            <w:pPr>
              <w:pStyle w:val="Tableformat"/>
            </w:pPr>
            <w:r w:rsidRPr="00262F3A">
              <w:t xml:space="preserve">$250,001-$275,000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9D7095" w14:textId="77777777" w:rsidR="001D739F" w:rsidRPr="00262F3A" w:rsidRDefault="001D739F" w:rsidP="00AC60F9">
            <w:pPr>
              <w:pStyle w:val="Tableformat"/>
            </w:pPr>
            <w:r w:rsidRPr="00262F3A">
              <w:t>1</w:t>
            </w:r>
          </w:p>
        </w:tc>
        <w:tc>
          <w:tcPr>
            <w:tcW w:w="993" w:type="dxa"/>
            <w:tcBorders>
              <w:top w:val="nil"/>
              <w:left w:val="single" w:sz="4" w:space="0" w:color="auto"/>
              <w:bottom w:val="single" w:sz="4" w:space="0" w:color="auto"/>
              <w:right w:val="single" w:sz="4" w:space="0" w:color="auto"/>
            </w:tcBorders>
            <w:shd w:val="clear" w:color="auto" w:fill="auto"/>
            <w:vAlign w:val="center"/>
          </w:tcPr>
          <w:p w14:paraId="54F4A878" w14:textId="77777777" w:rsidR="001D739F" w:rsidRPr="00262F3A" w:rsidRDefault="001D739F" w:rsidP="00AC60F9">
            <w:pPr>
              <w:pStyle w:val="Tableformat"/>
            </w:pPr>
            <w:r w:rsidRPr="00262F3A">
              <w:t>124,761</w:t>
            </w:r>
          </w:p>
        </w:tc>
        <w:tc>
          <w:tcPr>
            <w:tcW w:w="992" w:type="dxa"/>
            <w:tcBorders>
              <w:top w:val="single" w:sz="4" w:space="0" w:color="auto"/>
              <w:left w:val="single" w:sz="4" w:space="0" w:color="auto"/>
              <w:bottom w:val="single" w:sz="4" w:space="0" w:color="auto"/>
              <w:right w:val="single" w:sz="4" w:space="0" w:color="auto"/>
            </w:tcBorders>
            <w:vAlign w:val="center"/>
          </w:tcPr>
          <w:p w14:paraId="48EFE11B" w14:textId="77777777" w:rsidR="001D739F" w:rsidRPr="00262F3A" w:rsidRDefault="001D739F" w:rsidP="00AC60F9">
            <w:pPr>
              <w:pStyle w:val="Tableformat"/>
            </w:pPr>
            <w:r w:rsidRPr="00262F3A">
              <w:t>-</w:t>
            </w:r>
          </w:p>
        </w:tc>
        <w:tc>
          <w:tcPr>
            <w:tcW w:w="1271" w:type="dxa"/>
            <w:tcBorders>
              <w:top w:val="nil"/>
              <w:left w:val="single" w:sz="4" w:space="0" w:color="auto"/>
              <w:bottom w:val="single" w:sz="4" w:space="0" w:color="auto"/>
              <w:right w:val="single" w:sz="4" w:space="0" w:color="auto"/>
            </w:tcBorders>
            <w:shd w:val="clear" w:color="auto" w:fill="auto"/>
            <w:vAlign w:val="center"/>
          </w:tcPr>
          <w:p w14:paraId="359B96A9" w14:textId="77777777" w:rsidR="001D739F" w:rsidRPr="00262F3A" w:rsidRDefault="001D739F" w:rsidP="00AC60F9">
            <w:pPr>
              <w:pStyle w:val="Tableformat"/>
            </w:pPr>
            <w:r w:rsidRPr="00262F3A">
              <w:t>104,305</w:t>
            </w:r>
          </w:p>
        </w:tc>
        <w:tc>
          <w:tcPr>
            <w:tcW w:w="1814" w:type="dxa"/>
            <w:tcBorders>
              <w:top w:val="nil"/>
              <w:left w:val="single" w:sz="4" w:space="0" w:color="auto"/>
              <w:bottom w:val="single" w:sz="4" w:space="0" w:color="auto"/>
              <w:right w:val="single" w:sz="4" w:space="0" w:color="auto"/>
            </w:tcBorders>
            <w:shd w:val="clear" w:color="auto" w:fill="auto"/>
            <w:vAlign w:val="center"/>
          </w:tcPr>
          <w:p w14:paraId="2CEFA0AC" w14:textId="77777777" w:rsidR="001D739F" w:rsidRPr="00262F3A" w:rsidRDefault="001D739F" w:rsidP="00AC60F9">
            <w:pPr>
              <w:pStyle w:val="Tableformat"/>
            </w:pPr>
            <w:r w:rsidRPr="00262F3A">
              <w:t>29,873</w:t>
            </w:r>
          </w:p>
        </w:tc>
        <w:tc>
          <w:tcPr>
            <w:tcW w:w="1275" w:type="dxa"/>
            <w:tcBorders>
              <w:top w:val="nil"/>
              <w:left w:val="single" w:sz="4" w:space="0" w:color="auto"/>
              <w:bottom w:val="single" w:sz="4" w:space="0" w:color="auto"/>
              <w:right w:val="single" w:sz="4" w:space="0" w:color="auto"/>
            </w:tcBorders>
            <w:shd w:val="clear" w:color="auto" w:fill="auto"/>
            <w:vAlign w:val="center"/>
          </w:tcPr>
          <w:p w14:paraId="7FF3A0B3" w14:textId="77777777" w:rsidR="001D739F" w:rsidRPr="00262F3A" w:rsidRDefault="001D739F" w:rsidP="00AC60F9">
            <w:pPr>
              <w:pStyle w:val="Tableformat"/>
            </w:pPr>
            <w:r w:rsidRPr="00262F3A">
              <w:t>3,175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68F866" w14:textId="77777777" w:rsidR="001D739F" w:rsidRPr="00262F3A" w:rsidRDefault="001D739F" w:rsidP="00AC60F9">
            <w:pPr>
              <w:pStyle w:val="Tableformat"/>
            </w:pPr>
            <w:r w:rsidRPr="00262F3A">
              <w:t xml:space="preserve">        -   </w:t>
            </w:r>
          </w:p>
        </w:tc>
        <w:tc>
          <w:tcPr>
            <w:tcW w:w="1417" w:type="dxa"/>
            <w:tcBorders>
              <w:top w:val="nil"/>
              <w:left w:val="single" w:sz="4" w:space="0" w:color="auto"/>
              <w:bottom w:val="single" w:sz="4" w:space="0" w:color="auto"/>
              <w:right w:val="single" w:sz="4" w:space="0" w:color="auto"/>
            </w:tcBorders>
            <w:shd w:val="clear" w:color="auto" w:fill="auto"/>
            <w:vAlign w:val="center"/>
          </w:tcPr>
          <w:p w14:paraId="160E472F" w14:textId="77777777" w:rsidR="001D739F" w:rsidRPr="00262F3A" w:rsidRDefault="001D739F" w:rsidP="00AC60F9">
            <w:pPr>
              <w:pStyle w:val="Tableformat"/>
            </w:pPr>
            <w:r w:rsidRPr="00262F3A">
              <w:t>-</w:t>
            </w:r>
          </w:p>
        </w:tc>
        <w:tc>
          <w:tcPr>
            <w:tcW w:w="1491" w:type="dxa"/>
            <w:tcBorders>
              <w:top w:val="nil"/>
              <w:left w:val="single" w:sz="4" w:space="0" w:color="auto"/>
              <w:bottom w:val="single" w:sz="4" w:space="0" w:color="auto"/>
              <w:right w:val="single" w:sz="4" w:space="0" w:color="auto"/>
            </w:tcBorders>
            <w:shd w:val="clear" w:color="auto" w:fill="auto"/>
            <w:vAlign w:val="center"/>
          </w:tcPr>
          <w:p w14:paraId="3CCD9FA8" w14:textId="77777777" w:rsidR="001D739F" w:rsidRPr="00262F3A" w:rsidRDefault="001D739F" w:rsidP="00AC60F9">
            <w:pPr>
              <w:pStyle w:val="Tableformat"/>
            </w:pPr>
            <w:r w:rsidRPr="00262F3A">
              <w:t>262,114</w:t>
            </w:r>
          </w:p>
        </w:tc>
      </w:tr>
      <w:tr w:rsidR="001D739F" w:rsidRPr="00262F3A" w14:paraId="43CCD56C" w14:textId="77777777" w:rsidTr="002358FE">
        <w:trPr>
          <w:trHeight w:val="397"/>
        </w:trPr>
        <w:tc>
          <w:tcPr>
            <w:tcW w:w="2160" w:type="dxa"/>
            <w:shd w:val="clear" w:color="auto" w:fill="auto"/>
            <w:vAlign w:val="center"/>
          </w:tcPr>
          <w:p w14:paraId="4619AB54" w14:textId="0FCEF932" w:rsidR="001D739F" w:rsidRPr="00262F3A" w:rsidRDefault="001D739F" w:rsidP="00AC60F9">
            <w:pPr>
              <w:pStyle w:val="Tableformat"/>
            </w:pPr>
            <w:r w:rsidRPr="00262F3A">
              <w:t xml:space="preserve">$275,001-$300,000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CE7F2B" w14:textId="77777777" w:rsidR="001D739F" w:rsidRPr="00262F3A" w:rsidRDefault="001D739F" w:rsidP="00AC60F9">
            <w:pPr>
              <w:pStyle w:val="Tableformat"/>
            </w:pPr>
            <w:r w:rsidRPr="00262F3A">
              <w:t>2</w:t>
            </w:r>
          </w:p>
        </w:tc>
        <w:tc>
          <w:tcPr>
            <w:tcW w:w="993" w:type="dxa"/>
            <w:tcBorders>
              <w:top w:val="nil"/>
              <w:left w:val="single" w:sz="4" w:space="0" w:color="auto"/>
              <w:bottom w:val="single" w:sz="4" w:space="0" w:color="auto"/>
              <w:right w:val="single" w:sz="4" w:space="0" w:color="auto"/>
            </w:tcBorders>
            <w:shd w:val="clear" w:color="auto" w:fill="auto"/>
            <w:vAlign w:val="center"/>
          </w:tcPr>
          <w:p w14:paraId="49F183AA" w14:textId="77777777" w:rsidR="001D739F" w:rsidRPr="00262F3A" w:rsidRDefault="001D739F" w:rsidP="00AC60F9">
            <w:pPr>
              <w:pStyle w:val="Tableformat"/>
            </w:pPr>
            <w:r w:rsidRPr="00262F3A">
              <w:t>117,454</w:t>
            </w:r>
          </w:p>
        </w:tc>
        <w:tc>
          <w:tcPr>
            <w:tcW w:w="992" w:type="dxa"/>
            <w:tcBorders>
              <w:top w:val="single" w:sz="4" w:space="0" w:color="auto"/>
              <w:left w:val="single" w:sz="4" w:space="0" w:color="auto"/>
              <w:bottom w:val="single" w:sz="4" w:space="0" w:color="auto"/>
              <w:right w:val="single" w:sz="4" w:space="0" w:color="auto"/>
            </w:tcBorders>
            <w:vAlign w:val="center"/>
          </w:tcPr>
          <w:p w14:paraId="5154F1F0" w14:textId="77777777" w:rsidR="001D739F" w:rsidRPr="00262F3A" w:rsidRDefault="001D739F" w:rsidP="00AC60F9">
            <w:pPr>
              <w:pStyle w:val="Tableformat"/>
            </w:pPr>
            <w:r w:rsidRPr="00262F3A">
              <w:t>-</w:t>
            </w:r>
          </w:p>
        </w:tc>
        <w:tc>
          <w:tcPr>
            <w:tcW w:w="1271" w:type="dxa"/>
            <w:tcBorders>
              <w:top w:val="nil"/>
              <w:left w:val="single" w:sz="4" w:space="0" w:color="auto"/>
              <w:bottom w:val="single" w:sz="4" w:space="0" w:color="auto"/>
              <w:right w:val="single" w:sz="4" w:space="0" w:color="auto"/>
            </w:tcBorders>
            <w:shd w:val="clear" w:color="auto" w:fill="auto"/>
            <w:vAlign w:val="center"/>
          </w:tcPr>
          <w:p w14:paraId="42D27495" w14:textId="77777777" w:rsidR="001D739F" w:rsidRPr="00262F3A" w:rsidRDefault="001D739F" w:rsidP="00AC60F9">
            <w:pPr>
              <w:pStyle w:val="Tableformat"/>
            </w:pPr>
            <w:r w:rsidRPr="00262F3A">
              <w:t>55,346</w:t>
            </w:r>
          </w:p>
        </w:tc>
        <w:tc>
          <w:tcPr>
            <w:tcW w:w="1814" w:type="dxa"/>
            <w:tcBorders>
              <w:top w:val="nil"/>
              <w:left w:val="single" w:sz="4" w:space="0" w:color="auto"/>
              <w:bottom w:val="single" w:sz="4" w:space="0" w:color="auto"/>
              <w:right w:val="single" w:sz="4" w:space="0" w:color="auto"/>
            </w:tcBorders>
            <w:shd w:val="clear" w:color="auto" w:fill="auto"/>
            <w:vAlign w:val="center"/>
          </w:tcPr>
          <w:p w14:paraId="1ECF3D4A" w14:textId="77777777" w:rsidR="001D739F" w:rsidRPr="00262F3A" w:rsidRDefault="001D739F" w:rsidP="00AC60F9">
            <w:pPr>
              <w:pStyle w:val="Tableformat"/>
            </w:pPr>
            <w:r w:rsidRPr="00262F3A">
              <w:t>33,585</w:t>
            </w:r>
          </w:p>
        </w:tc>
        <w:tc>
          <w:tcPr>
            <w:tcW w:w="1275" w:type="dxa"/>
            <w:tcBorders>
              <w:top w:val="nil"/>
              <w:left w:val="single" w:sz="4" w:space="0" w:color="auto"/>
              <w:bottom w:val="single" w:sz="4" w:space="0" w:color="auto"/>
              <w:right w:val="single" w:sz="4" w:space="0" w:color="auto"/>
            </w:tcBorders>
            <w:shd w:val="clear" w:color="auto" w:fill="auto"/>
            <w:vAlign w:val="center"/>
          </w:tcPr>
          <w:p w14:paraId="0F6F0C76" w14:textId="77777777" w:rsidR="001D739F" w:rsidRPr="00262F3A" w:rsidRDefault="001D739F" w:rsidP="00AC60F9">
            <w:pPr>
              <w:pStyle w:val="Tableformat"/>
            </w:pPr>
            <w:r w:rsidRPr="00262F3A">
              <w:t>3,288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3DD6C5" w14:textId="77777777" w:rsidR="001D739F" w:rsidRPr="00262F3A" w:rsidRDefault="001D739F" w:rsidP="00AC60F9">
            <w:pPr>
              <w:pStyle w:val="Tableformat"/>
            </w:pPr>
            <w:r w:rsidRPr="00262F3A">
              <w:t xml:space="preserve">        -   </w:t>
            </w:r>
          </w:p>
        </w:tc>
        <w:tc>
          <w:tcPr>
            <w:tcW w:w="1417" w:type="dxa"/>
            <w:tcBorders>
              <w:top w:val="nil"/>
              <w:left w:val="single" w:sz="4" w:space="0" w:color="auto"/>
              <w:bottom w:val="single" w:sz="4" w:space="0" w:color="auto"/>
              <w:right w:val="single" w:sz="4" w:space="0" w:color="auto"/>
            </w:tcBorders>
            <w:shd w:val="clear" w:color="auto" w:fill="auto"/>
            <w:vAlign w:val="center"/>
          </w:tcPr>
          <w:p w14:paraId="09651D7C" w14:textId="77777777" w:rsidR="001D739F" w:rsidRPr="00262F3A" w:rsidRDefault="001D739F" w:rsidP="00AC60F9">
            <w:pPr>
              <w:pStyle w:val="Tableformat"/>
            </w:pPr>
            <w:r w:rsidRPr="00262F3A">
              <w:t>70,230</w:t>
            </w:r>
          </w:p>
        </w:tc>
        <w:tc>
          <w:tcPr>
            <w:tcW w:w="1491" w:type="dxa"/>
            <w:tcBorders>
              <w:top w:val="nil"/>
              <w:left w:val="single" w:sz="4" w:space="0" w:color="auto"/>
              <w:bottom w:val="single" w:sz="4" w:space="0" w:color="auto"/>
              <w:right w:val="single" w:sz="4" w:space="0" w:color="auto"/>
            </w:tcBorders>
            <w:shd w:val="clear" w:color="auto" w:fill="auto"/>
            <w:vAlign w:val="center"/>
          </w:tcPr>
          <w:p w14:paraId="0728D054" w14:textId="77777777" w:rsidR="001D739F" w:rsidRPr="00262F3A" w:rsidRDefault="001D739F" w:rsidP="00AC60F9">
            <w:pPr>
              <w:pStyle w:val="Tableformat"/>
            </w:pPr>
            <w:r w:rsidRPr="00262F3A">
              <w:t>279,903</w:t>
            </w:r>
          </w:p>
        </w:tc>
      </w:tr>
    </w:tbl>
    <w:p w14:paraId="24245ED6" w14:textId="77777777" w:rsidR="001D739F" w:rsidRPr="00262F3A" w:rsidRDefault="001D739F" w:rsidP="00561B3B"/>
    <w:p w14:paraId="2256FFFA" w14:textId="77777777" w:rsidR="001D739F" w:rsidRPr="00262F3A" w:rsidRDefault="001D739F" w:rsidP="00561B3B">
      <w:pPr>
        <w:sectPr w:rsidR="001D739F" w:rsidRPr="00262F3A" w:rsidSect="001D739F">
          <w:pgSz w:w="16838" w:h="11906" w:orient="landscape"/>
          <w:pgMar w:top="964" w:right="1021" w:bottom="907" w:left="1440" w:header="709" w:footer="709" w:gutter="0"/>
          <w:cols w:space="708"/>
          <w:docGrid w:linePitch="360"/>
        </w:sectPr>
      </w:pPr>
    </w:p>
    <w:p w14:paraId="7EA6D130" w14:textId="77777777" w:rsidR="001D739F" w:rsidRPr="00262F3A" w:rsidRDefault="001D739F" w:rsidP="008F00D1">
      <w:pPr>
        <w:pStyle w:val="Heading2"/>
      </w:pPr>
      <w:bookmarkStart w:id="170" w:name="_Toc51068009"/>
      <w:r w:rsidRPr="00262F3A">
        <w:lastRenderedPageBreak/>
        <w:t>Report</w:t>
      </w:r>
      <w:r w:rsidR="000D3A39" w:rsidRPr="00262F3A">
        <w:t>s by parliamentary committees</w:t>
      </w:r>
      <w:bookmarkEnd w:id="170"/>
      <w:r w:rsidR="000D3A39" w:rsidRPr="00262F3A">
        <w:t xml:space="preserve"> </w:t>
      </w:r>
    </w:p>
    <w:p w14:paraId="60B4278E" w14:textId="77777777" w:rsidR="000D3A39" w:rsidRPr="00262F3A" w:rsidRDefault="000D3A39" w:rsidP="008F00D1">
      <w:pPr>
        <w:pStyle w:val="Heading4"/>
      </w:pPr>
      <w:r w:rsidRPr="00262F3A">
        <w:t>Joint Standing Committee on the National Disability Insurance Scheme</w:t>
      </w:r>
    </w:p>
    <w:p w14:paraId="7A5E5C02" w14:textId="77777777" w:rsidR="000D3A39" w:rsidRPr="00262F3A" w:rsidRDefault="000D3A39" w:rsidP="005D7395">
      <w:r w:rsidRPr="00262F3A">
        <w:t xml:space="preserve">In 2019–20, the </w:t>
      </w:r>
      <w:r w:rsidR="009D0822" w:rsidRPr="00262F3A">
        <w:t>Agency</w:t>
      </w:r>
      <w:r w:rsidRPr="00262F3A">
        <w:t xml:space="preserve"> was involved in two inquiries by the Parliamentary Joint Standing Committee on the National Disability Insurance Scheme: Inquiry into NDIS Planning, and Inquiry into Supported Independent Living.</w:t>
      </w:r>
    </w:p>
    <w:p w14:paraId="10FCA85F" w14:textId="77777777" w:rsidR="000D3A39" w:rsidRPr="00262F3A" w:rsidRDefault="000D3A39" w:rsidP="00561B3B">
      <w:r w:rsidRPr="00262F3A">
        <w:t xml:space="preserve">The Joint Standing Committee on the National Disability Insurance Scheme is tasked with inquiring into: </w:t>
      </w:r>
    </w:p>
    <w:p w14:paraId="47D410DD" w14:textId="6D2B976B" w:rsidR="000D3A39" w:rsidRPr="00262F3A" w:rsidRDefault="000D3A39" w:rsidP="006D2911">
      <w:pPr>
        <w:pStyle w:val="ListParagraph"/>
        <w:numPr>
          <w:ilvl w:val="0"/>
          <w:numId w:val="12"/>
        </w:numPr>
        <w:rPr>
          <w:rFonts w:eastAsiaTheme="minorHAnsi"/>
          <w:lang w:eastAsia="en-US"/>
        </w:rPr>
      </w:pPr>
      <w:r w:rsidRPr="00262F3A">
        <w:rPr>
          <w:rFonts w:eastAsiaTheme="minorHAnsi"/>
          <w:lang w:eastAsia="en-US"/>
        </w:rPr>
        <w:t>the implementation, perform</w:t>
      </w:r>
      <w:r w:rsidR="007E1D14">
        <w:rPr>
          <w:rFonts w:eastAsiaTheme="minorHAnsi"/>
          <w:lang w:eastAsia="en-US"/>
        </w:rPr>
        <w:t>ance and governance of the NDIS</w:t>
      </w:r>
    </w:p>
    <w:p w14:paraId="2D97CBA6" w14:textId="7A1A8D9E" w:rsidR="000D3A39" w:rsidRPr="00262F3A" w:rsidRDefault="000D3A39" w:rsidP="006D2911">
      <w:pPr>
        <w:pStyle w:val="ListParagraph"/>
        <w:numPr>
          <w:ilvl w:val="0"/>
          <w:numId w:val="12"/>
        </w:numPr>
        <w:rPr>
          <w:rFonts w:eastAsiaTheme="minorHAnsi"/>
          <w:lang w:eastAsia="en-US"/>
        </w:rPr>
      </w:pPr>
      <w:r w:rsidRPr="00262F3A">
        <w:rPr>
          <w:rFonts w:eastAsiaTheme="minorHAnsi"/>
          <w:lang w:eastAsia="en-US"/>
        </w:rPr>
        <w:t xml:space="preserve">the administration and expenditure of the NDIS </w:t>
      </w:r>
    </w:p>
    <w:p w14:paraId="336C5F38" w14:textId="77777777" w:rsidR="000D3A39" w:rsidRPr="00262F3A" w:rsidRDefault="000D3A39" w:rsidP="006D2911">
      <w:pPr>
        <w:pStyle w:val="ListParagraph"/>
        <w:numPr>
          <w:ilvl w:val="0"/>
          <w:numId w:val="12"/>
        </w:numPr>
        <w:rPr>
          <w:rFonts w:eastAsiaTheme="minorHAnsi"/>
          <w:lang w:eastAsia="en-US"/>
        </w:rPr>
      </w:pPr>
      <w:r w:rsidRPr="00262F3A">
        <w:rPr>
          <w:rFonts w:eastAsiaTheme="minorHAnsi"/>
          <w:lang w:eastAsia="en-US"/>
        </w:rPr>
        <w:t>such other matters in relation to the NDIS as may be referred to it by either House of the Parliament.</w:t>
      </w:r>
    </w:p>
    <w:p w14:paraId="5F8DBEDC" w14:textId="77777777" w:rsidR="000D3A39" w:rsidRPr="00262F3A" w:rsidRDefault="000D3A39" w:rsidP="00561B3B">
      <w:r w:rsidRPr="00262F3A">
        <w:t xml:space="preserve">The </w:t>
      </w:r>
      <w:r w:rsidR="009D0822" w:rsidRPr="00262F3A">
        <w:t>Agency</w:t>
      </w:r>
      <w:r w:rsidRPr="00262F3A">
        <w:t xml:space="preserve"> attended three public hearings with the Joint Standing Committee on the National Disability Insurance Scheme on 19 November 2019, 21 November 2019 and 13 February 2020. The </w:t>
      </w:r>
      <w:r w:rsidR="009D0822" w:rsidRPr="00262F3A">
        <w:t>Agency</w:t>
      </w:r>
      <w:r w:rsidRPr="00262F3A">
        <w:t xml:space="preserve"> also made submissions to the two Joint Standing Committee inquiries; both submissions were made on 11 September 2019.</w:t>
      </w:r>
    </w:p>
    <w:p w14:paraId="5BDFDDC1" w14:textId="033B03A8" w:rsidR="000D3A39" w:rsidRPr="00262F3A" w:rsidRDefault="000D3A39" w:rsidP="00561B3B">
      <w:r w:rsidRPr="00262F3A">
        <w:t>On 3 December 2019, the committee tabled the Inquiry into NDIS Planning (In</w:t>
      </w:r>
      <w:r w:rsidR="00B944D5" w:rsidRPr="00262F3A">
        <w:t>terim Report), listed in table 5.7A</w:t>
      </w:r>
      <w:r w:rsidRPr="00262F3A">
        <w:t xml:space="preserve">. The report and Government response </w:t>
      </w:r>
      <w:r w:rsidR="007E1D14">
        <w:t>are</w:t>
      </w:r>
      <w:r w:rsidRPr="00262F3A">
        <w:t xml:space="preserve"> published on the Australian Parliament House website.</w:t>
      </w:r>
    </w:p>
    <w:p w14:paraId="364B1B2B" w14:textId="7E7A3F52" w:rsidR="000D3A39" w:rsidRPr="00262F3A" w:rsidRDefault="000D3A39" w:rsidP="00561B3B">
      <w:r w:rsidRPr="00262F3A">
        <w:t xml:space="preserve">On 13 May 2020, the committee tabled the Inquiry into Supported Independent Living Report, listed in table </w:t>
      </w:r>
      <w:r w:rsidR="00B944D5" w:rsidRPr="00262F3A">
        <w:t>5.7A</w:t>
      </w:r>
      <w:r w:rsidRPr="00262F3A">
        <w:t xml:space="preserve">. The report is published on the Australian Parliament House </w:t>
      </w:r>
      <w:r w:rsidR="007E1D14">
        <w:t>w</w:t>
      </w:r>
      <w:r w:rsidRPr="00262F3A">
        <w:t xml:space="preserve">ebsite. The Government response will be </w:t>
      </w:r>
      <w:r w:rsidR="0041328B">
        <w:t>tabled</w:t>
      </w:r>
      <w:r w:rsidR="0041328B" w:rsidRPr="00262F3A">
        <w:t xml:space="preserve"> </w:t>
      </w:r>
      <w:r w:rsidR="0041328B">
        <w:t>in August</w:t>
      </w:r>
      <w:r w:rsidRPr="00262F3A">
        <w:t xml:space="preserve"> 2020.</w:t>
      </w:r>
    </w:p>
    <w:p w14:paraId="7A5E033B" w14:textId="77777777" w:rsidR="000D3A39" w:rsidRPr="00262F3A" w:rsidRDefault="005D5BCA" w:rsidP="00901595">
      <w:pPr>
        <w:keepNext/>
        <w:rPr>
          <w:i/>
          <w:color w:val="0070C0"/>
        </w:rPr>
      </w:pPr>
      <w:r w:rsidRPr="00262F3A">
        <w:rPr>
          <w:b/>
        </w:rPr>
        <w:t>Table 5.7A</w:t>
      </w:r>
      <w:r w:rsidR="000D3A39" w:rsidRPr="00262F3A">
        <w:rPr>
          <w:b/>
        </w:rPr>
        <w:t>:</w:t>
      </w:r>
      <w:r w:rsidR="000D3A39" w:rsidRPr="00262F3A">
        <w:t xml:space="preserve"> </w:t>
      </w:r>
      <w:r w:rsidR="000D3A39" w:rsidRPr="00262F3A">
        <w:rPr>
          <w:rFonts w:eastAsiaTheme="minorHAnsi"/>
          <w:lang w:eastAsia="en-US"/>
        </w:rPr>
        <w:t>Joint Standing Committee on the NDIS inquiry reports tabled</w:t>
      </w:r>
      <w:r w:rsidR="000D3A39" w:rsidRPr="00262F3A">
        <w:t xml:space="preserve"> in 2019–20 </w:t>
      </w:r>
    </w:p>
    <w:tbl>
      <w:tblPr>
        <w:tblStyle w:val="TableGrid"/>
        <w:tblW w:w="0" w:type="auto"/>
        <w:tblInd w:w="607" w:type="dxa"/>
        <w:tblLook w:val="0420" w:firstRow="1" w:lastRow="0" w:firstColumn="0" w:lastColumn="0" w:noHBand="0" w:noVBand="1"/>
        <w:tblCaption w:val="Table B1: Parliamentary committee inquiries tabled in 2017-18"/>
        <w:tblDescription w:val="This table details inquiries by Parliamentary committees that were tabled in the Parliament during 2017-18. The table identifies each inquiry and the date that the report tabled. "/>
      </w:tblPr>
      <w:tblGrid>
        <w:gridCol w:w="4390"/>
        <w:gridCol w:w="2835"/>
      </w:tblGrid>
      <w:tr w:rsidR="000D3A39" w:rsidRPr="00262F3A" w14:paraId="1788D10D" w14:textId="77777777" w:rsidTr="00AC60F9">
        <w:trPr>
          <w:tblHeader/>
        </w:trPr>
        <w:tc>
          <w:tcPr>
            <w:tcW w:w="4390" w:type="dxa"/>
            <w:shd w:val="clear" w:color="auto" w:fill="7030A0"/>
          </w:tcPr>
          <w:p w14:paraId="03AEDAA2" w14:textId="77777777" w:rsidR="000D3A39" w:rsidRPr="00262F3A" w:rsidRDefault="000D3A39" w:rsidP="00A706E7">
            <w:pPr>
              <w:pStyle w:val="Tableformat"/>
              <w:rPr>
                <w:color w:val="FFFFFF" w:themeColor="background1"/>
              </w:rPr>
            </w:pPr>
            <w:r w:rsidRPr="00262F3A">
              <w:rPr>
                <w:color w:val="FFFFFF" w:themeColor="background1"/>
              </w:rPr>
              <w:t xml:space="preserve">Inquiry </w:t>
            </w:r>
          </w:p>
        </w:tc>
        <w:tc>
          <w:tcPr>
            <w:tcW w:w="2835" w:type="dxa"/>
            <w:shd w:val="clear" w:color="auto" w:fill="7030A0"/>
          </w:tcPr>
          <w:p w14:paraId="6606376A" w14:textId="77777777" w:rsidR="000D3A39" w:rsidRPr="00262F3A" w:rsidRDefault="000D3A39" w:rsidP="00A706E7">
            <w:pPr>
              <w:pStyle w:val="Tableformat"/>
              <w:rPr>
                <w:color w:val="FFFFFF" w:themeColor="background1"/>
              </w:rPr>
            </w:pPr>
            <w:r w:rsidRPr="00262F3A">
              <w:rPr>
                <w:color w:val="FFFFFF" w:themeColor="background1"/>
              </w:rPr>
              <w:t xml:space="preserve">Date report tabled </w:t>
            </w:r>
          </w:p>
        </w:tc>
      </w:tr>
      <w:tr w:rsidR="000D3A39" w:rsidRPr="00262F3A" w14:paraId="50B0CDE3" w14:textId="77777777" w:rsidTr="000D3A39">
        <w:trPr>
          <w:trHeight w:val="324"/>
        </w:trPr>
        <w:tc>
          <w:tcPr>
            <w:tcW w:w="4390" w:type="dxa"/>
          </w:tcPr>
          <w:p w14:paraId="76C896A4" w14:textId="77777777" w:rsidR="000D3A39" w:rsidRPr="00262F3A" w:rsidRDefault="000D3A39" w:rsidP="00A706E7">
            <w:pPr>
              <w:pStyle w:val="Tableformat"/>
              <w:rPr>
                <w:rFonts w:eastAsiaTheme="minorHAnsi"/>
                <w:lang w:eastAsia="en-US"/>
              </w:rPr>
            </w:pPr>
            <w:r w:rsidRPr="00262F3A">
              <w:rPr>
                <w:rFonts w:eastAsiaTheme="minorHAnsi"/>
                <w:lang w:eastAsia="en-US"/>
              </w:rPr>
              <w:t>Inquiry into NDIS Planning (Interim Report)</w:t>
            </w:r>
          </w:p>
        </w:tc>
        <w:tc>
          <w:tcPr>
            <w:tcW w:w="2835" w:type="dxa"/>
          </w:tcPr>
          <w:p w14:paraId="08481741" w14:textId="77777777" w:rsidR="000D3A39" w:rsidRPr="00262F3A" w:rsidRDefault="000D3A39" w:rsidP="00A706E7">
            <w:pPr>
              <w:pStyle w:val="Tableformat"/>
              <w:rPr>
                <w:rFonts w:eastAsiaTheme="minorHAnsi"/>
                <w:lang w:eastAsia="en-US"/>
              </w:rPr>
            </w:pPr>
            <w:r w:rsidRPr="00262F3A">
              <w:rPr>
                <w:rFonts w:eastAsiaTheme="minorHAnsi"/>
                <w:lang w:eastAsia="en-US"/>
              </w:rPr>
              <w:t>3 December 2019</w:t>
            </w:r>
          </w:p>
        </w:tc>
      </w:tr>
      <w:tr w:rsidR="000D3A39" w:rsidRPr="00262F3A" w14:paraId="232FB4EB" w14:textId="77777777" w:rsidTr="000D3A39">
        <w:trPr>
          <w:trHeight w:val="331"/>
        </w:trPr>
        <w:tc>
          <w:tcPr>
            <w:tcW w:w="4390" w:type="dxa"/>
          </w:tcPr>
          <w:p w14:paraId="29D75CED" w14:textId="77777777" w:rsidR="000D3A39" w:rsidRPr="00262F3A" w:rsidRDefault="000D3A39" w:rsidP="00A706E7">
            <w:pPr>
              <w:pStyle w:val="Tableformat"/>
            </w:pPr>
            <w:r w:rsidRPr="00262F3A">
              <w:t>Inquiry into Supported Independent Living</w:t>
            </w:r>
          </w:p>
        </w:tc>
        <w:tc>
          <w:tcPr>
            <w:tcW w:w="2835" w:type="dxa"/>
          </w:tcPr>
          <w:p w14:paraId="4614B34F" w14:textId="77777777" w:rsidR="000D3A39" w:rsidRPr="00262F3A" w:rsidRDefault="000D3A39" w:rsidP="00A706E7">
            <w:pPr>
              <w:pStyle w:val="Tableformat"/>
            </w:pPr>
            <w:r w:rsidRPr="00262F3A">
              <w:t>13 May 2020</w:t>
            </w:r>
          </w:p>
        </w:tc>
      </w:tr>
    </w:tbl>
    <w:p w14:paraId="783C5F54" w14:textId="77777777" w:rsidR="000D3A39" w:rsidRPr="00262F3A" w:rsidRDefault="000D3A39" w:rsidP="008F00D1">
      <w:pPr>
        <w:pStyle w:val="Heading4"/>
      </w:pPr>
      <w:r w:rsidRPr="00262F3A">
        <w:t>Senate Select Committee on COVID-19</w:t>
      </w:r>
    </w:p>
    <w:p w14:paraId="3F22100D" w14:textId="2E648CC8" w:rsidR="000D3A39" w:rsidRPr="00262F3A" w:rsidRDefault="000D3A39" w:rsidP="00561B3B">
      <w:r w:rsidRPr="00262F3A">
        <w:t xml:space="preserve">On 8 April 2020, the Senate established the Select Committee on COVID-19. The </w:t>
      </w:r>
      <w:r w:rsidR="007E1D14">
        <w:t>c</w:t>
      </w:r>
      <w:r w:rsidRPr="00262F3A">
        <w:t>ommittee is tasked with inquiring into the Australian Government's response to the COVID-19 pandemic and any related matters. The committee is to present its final report on or before 30 June 2022.</w:t>
      </w:r>
    </w:p>
    <w:p w14:paraId="18CEAA5A" w14:textId="77777777" w:rsidR="000D3A39" w:rsidRPr="00262F3A" w:rsidRDefault="000D3A39" w:rsidP="00561B3B">
      <w:r w:rsidRPr="00262F3A">
        <w:t xml:space="preserve">The </w:t>
      </w:r>
      <w:r w:rsidR="009D0822" w:rsidRPr="00262F3A">
        <w:t>Agency</w:t>
      </w:r>
      <w:r w:rsidRPr="00262F3A">
        <w:t xml:space="preserve"> appeared at one public hearing before the Select Committee on COVID-19 on 30 April 2020. </w:t>
      </w:r>
    </w:p>
    <w:p w14:paraId="4B69FA30" w14:textId="77777777" w:rsidR="000D3A39" w:rsidRPr="00262F3A" w:rsidRDefault="000D3A39" w:rsidP="008F00D1">
      <w:pPr>
        <w:pStyle w:val="Heading4"/>
      </w:pPr>
      <w:r w:rsidRPr="00262F3A">
        <w:t xml:space="preserve">Senate Standing Committee on Community Affairs – References Committee </w:t>
      </w:r>
    </w:p>
    <w:p w14:paraId="3BAFE5D2" w14:textId="670E4D9B" w:rsidR="000D3A39" w:rsidRPr="00262F3A" w:rsidRDefault="000D3A39" w:rsidP="00561B3B">
      <w:r w:rsidRPr="00262F3A">
        <w:t>On 9 September 2019, the Senate referred an inquiry into effective approaches to prevention and diagnosis of Fetal Alcohol Spectrum Disorder (FASD) and strategies for optimising life outcomes for people with FASD to the Senate Community Affairs References Committee for inquiry and report. The Senate Community Affairs References Committee is made up</w:t>
      </w:r>
      <w:r w:rsidR="007E1D14">
        <w:t xml:space="preserve"> of</w:t>
      </w:r>
      <w:r w:rsidRPr="00262F3A">
        <w:t xml:space="preserve"> six Senators. The </w:t>
      </w:r>
      <w:r w:rsidR="007E1D14">
        <w:t>c</w:t>
      </w:r>
      <w:r w:rsidRPr="00262F3A">
        <w:t>ommittee is due to report on 2 December 2020.</w:t>
      </w:r>
    </w:p>
    <w:p w14:paraId="66106FB8" w14:textId="0DF06D10" w:rsidR="000D3A39" w:rsidRPr="00262F3A" w:rsidRDefault="000D3A39" w:rsidP="00561B3B">
      <w:r w:rsidRPr="00262F3A">
        <w:t xml:space="preserve">The </w:t>
      </w:r>
      <w:r w:rsidR="009D0822" w:rsidRPr="00262F3A">
        <w:t>Agency</w:t>
      </w:r>
      <w:r w:rsidRPr="00262F3A">
        <w:t xml:space="preserve"> appeared at one public hearing before the </w:t>
      </w:r>
      <w:r w:rsidR="007E1D14">
        <w:t>c</w:t>
      </w:r>
      <w:r w:rsidRPr="00262F3A">
        <w:t>ommittee on 24 June 2020 and made a submission to the inquiry on 15 June 2020.</w:t>
      </w:r>
    </w:p>
    <w:p w14:paraId="1F9ADC28" w14:textId="77777777" w:rsidR="001D739F" w:rsidRPr="00262F3A" w:rsidRDefault="001D739F" w:rsidP="008F00D1">
      <w:pPr>
        <w:pStyle w:val="Heading2"/>
      </w:pPr>
      <w:bookmarkStart w:id="171" w:name="_Toc23603198"/>
      <w:bookmarkStart w:id="172" w:name="_Toc51068010"/>
      <w:r w:rsidRPr="00262F3A">
        <w:lastRenderedPageBreak/>
        <w:t>Judicial decisions and external reviews</w:t>
      </w:r>
      <w:bookmarkEnd w:id="171"/>
      <w:bookmarkEnd w:id="172"/>
    </w:p>
    <w:p w14:paraId="12FCBD1B" w14:textId="77777777" w:rsidR="00456D00" w:rsidRPr="00262F3A" w:rsidRDefault="00456D00" w:rsidP="00561B3B">
      <w:bookmarkStart w:id="173" w:name="_Toc23603199"/>
      <w:r w:rsidRPr="00262F3A">
        <w:t xml:space="preserve">The operations of the </w:t>
      </w:r>
      <w:r w:rsidR="009D0822" w:rsidRPr="00262F3A">
        <w:t>Agency</w:t>
      </w:r>
      <w:r w:rsidRPr="00262F3A">
        <w:t xml:space="preserve"> and decisions made in the delivery of the NDIS are subject to scrutiny by external entities.</w:t>
      </w:r>
    </w:p>
    <w:p w14:paraId="04EF6EBB" w14:textId="77777777" w:rsidR="00456D00" w:rsidRPr="00262F3A" w:rsidRDefault="00456D00" w:rsidP="008F00D1">
      <w:pPr>
        <w:pStyle w:val="Heading4"/>
      </w:pPr>
      <w:r w:rsidRPr="00262F3A">
        <w:t xml:space="preserve">The Australian Human Rights Commission </w:t>
      </w:r>
    </w:p>
    <w:p w14:paraId="7077BF11" w14:textId="77777777" w:rsidR="00456D00" w:rsidRPr="00262F3A" w:rsidRDefault="00456D00" w:rsidP="00561B3B">
      <w:r w:rsidRPr="00262F3A">
        <w:t xml:space="preserve">The Australian Human Rights Commission </w:t>
      </w:r>
      <w:r w:rsidR="009D0822" w:rsidRPr="00262F3A">
        <w:t xml:space="preserve">(AHRC) </w:t>
      </w:r>
      <w:r w:rsidRPr="00262F3A">
        <w:t>is an independent third party which investigates complaints about discrimination and human rights breaches.</w:t>
      </w:r>
    </w:p>
    <w:p w14:paraId="3CE9E5CA" w14:textId="77777777" w:rsidR="00456D00" w:rsidRPr="00262F3A" w:rsidRDefault="00456D00" w:rsidP="00561B3B">
      <w:r w:rsidRPr="00262F3A">
        <w:t xml:space="preserve">In 2019–20, the </w:t>
      </w:r>
      <w:r w:rsidR="009D0822" w:rsidRPr="00262F3A">
        <w:t>AHRC</w:t>
      </w:r>
      <w:r w:rsidRPr="00262F3A">
        <w:t xml:space="preserve"> received four applications relating to employment in the </w:t>
      </w:r>
      <w:r w:rsidR="009D0822" w:rsidRPr="00262F3A">
        <w:t>Agency</w:t>
      </w:r>
      <w:r w:rsidRPr="00262F3A">
        <w:t xml:space="preserve">.  Applications were made by two labour hire contractors and two Australian Public Service employees. Three applications are closed and one was awaiting formal closure by the </w:t>
      </w:r>
      <w:r w:rsidR="009D0822" w:rsidRPr="00262F3A">
        <w:t>AHRC</w:t>
      </w:r>
      <w:r w:rsidRPr="00262F3A">
        <w:t xml:space="preserve"> as at 30 June 2020.</w:t>
      </w:r>
    </w:p>
    <w:p w14:paraId="74213E89" w14:textId="123A9EA0" w:rsidR="00456D00" w:rsidRPr="00262F3A" w:rsidRDefault="00456D00" w:rsidP="008F00D1">
      <w:pPr>
        <w:pStyle w:val="Heading4"/>
      </w:pPr>
      <w:r w:rsidRPr="00262F3A">
        <w:t>Administrative Appeals Tribunal reviews</w:t>
      </w:r>
    </w:p>
    <w:p w14:paraId="3A690AE7" w14:textId="5795C702" w:rsidR="00456D00" w:rsidRPr="00262F3A" w:rsidRDefault="00456D00" w:rsidP="00561B3B">
      <w:r w:rsidRPr="00262F3A">
        <w:t>The Administrative Appeals Tribunal</w:t>
      </w:r>
      <w:r w:rsidR="000A04E3" w:rsidRPr="00262F3A">
        <w:t xml:space="preserve"> (AAT)</w:t>
      </w:r>
      <w:r w:rsidRPr="00262F3A">
        <w:t xml:space="preserve"> is responsible for independently reviewing a range of decisions made under the NDIS Act, including decisions about whether a person meets the access criteria to become a participant in the Scheme, and the supports provided under the Scheme. In 2019–20, 1,744 applications for review were received. The majority were finalised without a substantive hearing required. At 30 June 2020, 960 matters remained open.</w:t>
      </w:r>
    </w:p>
    <w:p w14:paraId="6AD40094" w14:textId="17ECD676" w:rsidR="00456D00" w:rsidRPr="00262F3A" w:rsidRDefault="00456D00" w:rsidP="00561B3B">
      <w:r w:rsidRPr="00262F3A">
        <w:t xml:space="preserve">The </w:t>
      </w:r>
      <w:r w:rsidR="000A04E3" w:rsidRPr="00262F3A">
        <w:t>AAT</w:t>
      </w:r>
      <w:r w:rsidRPr="00262F3A">
        <w:t xml:space="preserve"> handed down 30 hearing decisions in 2019–20</w:t>
      </w:r>
      <w:r w:rsidR="007E1D14">
        <w:t>. T</w:t>
      </w:r>
      <w:r w:rsidRPr="00262F3A">
        <w:t>he AAT affirmed five decisions, varied four decision</w:t>
      </w:r>
      <w:r w:rsidR="007E1D14">
        <w:t>s</w:t>
      </w:r>
      <w:r w:rsidRPr="00262F3A">
        <w:t>, and set aside eight decisions. Eight decisions related to jurisdictional issues, four decisions related to practice and procedural issues and one related to an extension of time application. A summary of AAT decisions for 2019-20 that have had, or may have</w:t>
      </w:r>
      <w:r w:rsidR="007E1D14">
        <w:t xml:space="preserve"> had</w:t>
      </w:r>
      <w:r w:rsidRPr="00262F3A">
        <w:t xml:space="preserve">, a significant effect on the operations of the Agency is included at Appendix </w:t>
      </w:r>
      <w:r w:rsidR="004F0890" w:rsidRPr="00262F3A">
        <w:t>5.9</w:t>
      </w:r>
      <w:r w:rsidRPr="00262F3A">
        <w:t>.</w:t>
      </w:r>
    </w:p>
    <w:p w14:paraId="6227249A" w14:textId="6DE42116" w:rsidR="00456D00" w:rsidRPr="00262F3A" w:rsidRDefault="00456D00" w:rsidP="008F00D1">
      <w:pPr>
        <w:pStyle w:val="Heading4"/>
      </w:pPr>
      <w:r w:rsidRPr="00262F3A">
        <w:t xml:space="preserve">Federal Court of Australia – </w:t>
      </w:r>
      <w:r w:rsidR="007E1D14">
        <w:t xml:space="preserve">Administrative Appeals </w:t>
      </w:r>
      <w:r w:rsidRPr="00262F3A">
        <w:t>Tribunal appeals</w:t>
      </w:r>
    </w:p>
    <w:p w14:paraId="12B40516" w14:textId="5C8E11D9" w:rsidR="00456D00" w:rsidRPr="00262F3A" w:rsidRDefault="00456D00" w:rsidP="00561B3B">
      <w:r w:rsidRPr="00262F3A">
        <w:t xml:space="preserve">A large number of the Agency’s decisions are subject to merit review by the </w:t>
      </w:r>
      <w:r w:rsidR="00174C4F">
        <w:t>AAT</w:t>
      </w:r>
      <w:r w:rsidRPr="00262F3A">
        <w:t xml:space="preserve">. In 2019–20, there were three Full Federal Court appeals from </w:t>
      </w:r>
      <w:r w:rsidR="00174C4F">
        <w:t>AAT</w:t>
      </w:r>
      <w:r w:rsidRPr="00262F3A">
        <w:t xml:space="preserve"> decisions. The appeal in National Disability Insurance Agency v WRMF </w:t>
      </w:r>
      <w:r w:rsidR="00174C4F">
        <w:t>([2020] FCAFC 79)</w:t>
      </w:r>
      <w:r w:rsidRPr="00262F3A">
        <w:t xml:space="preserve"> concerned the </w:t>
      </w:r>
      <w:r w:rsidR="00174C4F">
        <w:t xml:space="preserve">AAT’s </w:t>
      </w:r>
      <w:r w:rsidRPr="00262F3A">
        <w:t xml:space="preserve">decision to approve ‘sex therapy’ as a reasonable and necessary support. The Full Federal Court dismissed the Agency’s appeal. There </w:t>
      </w:r>
      <w:r w:rsidR="00174C4F">
        <w:t>have</w:t>
      </w:r>
      <w:r w:rsidRPr="00262F3A">
        <w:t xml:space="preserve"> been two appeals filed in the matter of </w:t>
      </w:r>
      <w:r w:rsidRPr="00174C4F">
        <w:rPr>
          <w:i/>
        </w:rPr>
        <w:t>Klewer and the National Disability Insurance Agency</w:t>
      </w:r>
      <w:r w:rsidRPr="00262F3A">
        <w:t xml:space="preserve"> (NSD2077/2019 and NSD216/2020). Both appeals are in relation to the </w:t>
      </w:r>
      <w:r w:rsidR="00174C4F">
        <w:t>AAT’s</w:t>
      </w:r>
      <w:r w:rsidRPr="00262F3A">
        <w:t xml:space="preserve"> decision to make interlocutory orders requiring the appointment of a litigation guardian. The Federal </w:t>
      </w:r>
      <w:r w:rsidR="00174C4F">
        <w:t>C</w:t>
      </w:r>
      <w:r w:rsidRPr="00262F3A">
        <w:t xml:space="preserve">ourt dismissed the </w:t>
      </w:r>
      <w:r w:rsidR="00174C4F">
        <w:t>a</w:t>
      </w:r>
      <w:r w:rsidRPr="00262F3A">
        <w:t xml:space="preserve">pplicant’s first application and recommended the </w:t>
      </w:r>
      <w:r w:rsidR="00174C4F">
        <w:t>a</w:t>
      </w:r>
      <w:r w:rsidRPr="00262F3A">
        <w:t>pplicant apply under s</w:t>
      </w:r>
      <w:r w:rsidR="00174C4F">
        <w:t xml:space="preserve">ection </w:t>
      </w:r>
      <w:r w:rsidRPr="00262F3A">
        <w:t xml:space="preserve">39B of the </w:t>
      </w:r>
      <w:r w:rsidRPr="00174C4F">
        <w:rPr>
          <w:i/>
        </w:rPr>
        <w:t>Judiciary Act 1903</w:t>
      </w:r>
      <w:r w:rsidRPr="00262F3A">
        <w:t xml:space="preserve"> ([2020] FCA 161). The </w:t>
      </w:r>
      <w:r w:rsidR="00174C4F">
        <w:t>a</w:t>
      </w:r>
      <w:r w:rsidRPr="00262F3A">
        <w:t>pplic</w:t>
      </w:r>
      <w:r w:rsidR="00174C4F">
        <w:t xml:space="preserve">ant filed an application under section </w:t>
      </w:r>
      <w:r w:rsidRPr="00262F3A">
        <w:t xml:space="preserve">39B of the </w:t>
      </w:r>
      <w:r w:rsidRPr="00174C4F">
        <w:rPr>
          <w:i/>
        </w:rPr>
        <w:t>Judiciary Act 1903</w:t>
      </w:r>
      <w:r w:rsidRPr="00262F3A">
        <w:t xml:space="preserve"> on 2 March 2020, which was ongoing as at 30 June 2020.</w:t>
      </w:r>
    </w:p>
    <w:p w14:paraId="1F33C801" w14:textId="77777777" w:rsidR="00456D00" w:rsidRPr="00262F3A" w:rsidRDefault="00456D00" w:rsidP="008F00D1">
      <w:pPr>
        <w:pStyle w:val="Heading4"/>
        <w:rPr>
          <w:color w:val="0070C0"/>
        </w:rPr>
      </w:pPr>
      <w:r w:rsidRPr="00262F3A">
        <w:t xml:space="preserve">Reports by Australian National Audit Office </w:t>
      </w:r>
    </w:p>
    <w:p w14:paraId="208C8BE2" w14:textId="32131498" w:rsidR="00456D00" w:rsidRPr="00262F3A" w:rsidRDefault="00733021" w:rsidP="00561B3B">
      <w:r w:rsidRPr="00262F3A">
        <w:rPr>
          <w:color w:val="000000"/>
        </w:rPr>
        <w:t xml:space="preserve">The ANAO conducts performance audits of the efficiency and effectiveness of the </w:t>
      </w:r>
      <w:r w:rsidR="009D0822" w:rsidRPr="00262F3A">
        <w:rPr>
          <w:color w:val="000000"/>
        </w:rPr>
        <w:t>Agency’s</w:t>
      </w:r>
      <w:r w:rsidRPr="00262F3A">
        <w:rPr>
          <w:color w:val="000000"/>
        </w:rPr>
        <w:t xml:space="preserve"> operations and financial audits of </w:t>
      </w:r>
      <w:r w:rsidR="009D0822" w:rsidRPr="00262F3A">
        <w:rPr>
          <w:color w:val="000000"/>
        </w:rPr>
        <w:t>Agency</w:t>
      </w:r>
      <w:r w:rsidRPr="00262F3A">
        <w:rPr>
          <w:color w:val="000000"/>
        </w:rPr>
        <w:t xml:space="preserve"> financial statements. In 2019–20, the ANAO released one performance audit report involving the </w:t>
      </w:r>
      <w:r w:rsidR="009D0822" w:rsidRPr="00262F3A">
        <w:rPr>
          <w:color w:val="000000"/>
        </w:rPr>
        <w:t>Agency</w:t>
      </w:r>
      <w:r w:rsidRPr="00262F3A">
        <w:rPr>
          <w:color w:val="000000"/>
        </w:rPr>
        <w:t xml:space="preserve">. This was the </w:t>
      </w:r>
      <w:r w:rsidRPr="00262F3A">
        <w:t xml:space="preserve">audit of the Bilateral Agreement Arrangements between Services Australia and Other Entities, tabled in Parliament in April 2020. The </w:t>
      </w:r>
      <w:r w:rsidR="009D0822" w:rsidRPr="00262F3A">
        <w:t>Agency</w:t>
      </w:r>
      <w:r w:rsidRPr="00262F3A">
        <w:t xml:space="preserve"> agreed with all three recommendations which were directed at Services Australia and the other audited entities</w:t>
      </w:r>
      <w:r w:rsidR="00456D00" w:rsidRPr="00262F3A">
        <w:t xml:space="preserve"> </w:t>
      </w:r>
    </w:p>
    <w:p w14:paraId="4ADF1573" w14:textId="77777777" w:rsidR="00456D00" w:rsidRPr="00262F3A" w:rsidRDefault="00456D00" w:rsidP="00561B3B">
      <w:r w:rsidRPr="00262F3A">
        <w:lastRenderedPageBreak/>
        <w:t>All ANAO recommendations, from both the performance and financial audits, are actively monitored and addressed within the necessary timelines with both executive and Board oversight.</w:t>
      </w:r>
    </w:p>
    <w:p w14:paraId="6B46A707" w14:textId="77777777" w:rsidR="00456D00" w:rsidRPr="00262F3A" w:rsidRDefault="00456D00" w:rsidP="008F00D1">
      <w:pPr>
        <w:pStyle w:val="Heading4"/>
      </w:pPr>
      <w:r w:rsidRPr="00262F3A">
        <w:t xml:space="preserve">Commonwealth Ombudsman </w:t>
      </w:r>
    </w:p>
    <w:p w14:paraId="1082B7F9" w14:textId="14297F8E" w:rsidR="00456D00" w:rsidRPr="00262F3A" w:rsidRDefault="00456D00" w:rsidP="00561B3B">
      <w:r w:rsidRPr="00262F3A">
        <w:t xml:space="preserve">The </w:t>
      </w:r>
      <w:r w:rsidR="00095152" w:rsidRPr="00262F3A">
        <w:t>Agency</w:t>
      </w:r>
      <w:r w:rsidRPr="00262F3A">
        <w:t xml:space="preserve"> is a prescribed authority for the purposes of the </w:t>
      </w:r>
      <w:r w:rsidRPr="00262F3A">
        <w:rPr>
          <w:i/>
        </w:rPr>
        <w:t>Ombudsman Act 1976</w:t>
      </w:r>
      <w:r w:rsidRPr="00262F3A">
        <w:t xml:space="preserve">. Accordingly, the </w:t>
      </w:r>
      <w:r w:rsidR="000A04E3" w:rsidRPr="00262F3A">
        <w:t xml:space="preserve">Office of the Commonwealth Ombudsman (OCO) </w:t>
      </w:r>
      <w:r w:rsidRPr="00262F3A">
        <w:t xml:space="preserve">may investigate complaints from individuals, groups or organisations about the administrative actions of the </w:t>
      </w:r>
      <w:r w:rsidR="009D0822" w:rsidRPr="00262F3A">
        <w:t>Agency</w:t>
      </w:r>
      <w:r w:rsidRPr="00262F3A">
        <w:t xml:space="preserve">. There are four types of primary contact that the </w:t>
      </w:r>
      <w:r w:rsidR="009D0822" w:rsidRPr="00262F3A">
        <w:t>Agency</w:t>
      </w:r>
      <w:r w:rsidRPr="00262F3A">
        <w:t xml:space="preserve"> will generally receive from the </w:t>
      </w:r>
      <w:r w:rsidR="000A04E3" w:rsidRPr="00262F3A">
        <w:t>OCO</w:t>
      </w:r>
      <w:r w:rsidRPr="00262F3A">
        <w:t xml:space="preserve">: complaint transfers, section 7A preliminary inquiries, section 8 investigations, and section 12 finalisations of investigation. More detail on these is provided below. </w:t>
      </w:r>
    </w:p>
    <w:p w14:paraId="01D88BD3" w14:textId="6BEA82AF" w:rsidR="00456D00" w:rsidRPr="00262F3A" w:rsidRDefault="00456D00" w:rsidP="00561B3B">
      <w:r w:rsidRPr="00262F3A">
        <w:t xml:space="preserve">In some cases, the OCO will decline to investigate a complaint and will transfer it to the </w:t>
      </w:r>
      <w:r w:rsidR="009D0822" w:rsidRPr="00262F3A">
        <w:t>Agency</w:t>
      </w:r>
      <w:r w:rsidRPr="00262F3A">
        <w:t xml:space="preserve">. This decision is made where the OCO believes the matter can be better dealt with by the </w:t>
      </w:r>
      <w:r w:rsidR="009D0822" w:rsidRPr="00262F3A">
        <w:t>Agency</w:t>
      </w:r>
      <w:r w:rsidRPr="00262F3A">
        <w:t xml:space="preserve"> and where the complainant needs OCO assistance in raising the matter with the </w:t>
      </w:r>
      <w:r w:rsidR="00174C4F">
        <w:t>A</w:t>
      </w:r>
      <w:r w:rsidRPr="00262F3A">
        <w:t xml:space="preserve">gency. In 2019–20, there were 150 complaint transfers from the Commonwealth Ombudsman to the </w:t>
      </w:r>
      <w:r w:rsidR="009D0822" w:rsidRPr="00262F3A">
        <w:t>Agency</w:t>
      </w:r>
      <w:r w:rsidRPr="00262F3A">
        <w:t>.</w:t>
      </w:r>
    </w:p>
    <w:p w14:paraId="6B78D240" w14:textId="5B42935F" w:rsidR="00456D00" w:rsidRPr="00262F3A" w:rsidRDefault="00456D00" w:rsidP="00561B3B">
      <w:r w:rsidRPr="00262F3A">
        <w:t xml:space="preserve">Section 7A of the Ombudsman Act enables the OCO to conduct preliminary inquiries and request information from the </w:t>
      </w:r>
      <w:r w:rsidR="009D0822" w:rsidRPr="00262F3A">
        <w:t>Agency</w:t>
      </w:r>
      <w:r w:rsidRPr="00262F3A">
        <w:t xml:space="preserve">. The information requested as part of a preliminary inquiry assists the OCO to determine if the matter needs to be investigated or can be resolved in another way. </w:t>
      </w:r>
      <w:r w:rsidR="00174C4F">
        <w:t>During 2019–20, there were 131 s</w:t>
      </w:r>
      <w:r w:rsidRPr="00262F3A">
        <w:t xml:space="preserve">ection 7A preliminary investigations received by the </w:t>
      </w:r>
      <w:r w:rsidR="009D0822" w:rsidRPr="00262F3A">
        <w:t>Agency</w:t>
      </w:r>
      <w:r w:rsidRPr="00262F3A">
        <w:t>.</w:t>
      </w:r>
    </w:p>
    <w:p w14:paraId="1526CEBA" w14:textId="2A6D72EF" w:rsidR="00456D00" w:rsidRPr="00262F3A" w:rsidRDefault="00174C4F" w:rsidP="00561B3B">
      <w:r>
        <w:t>A s</w:t>
      </w:r>
      <w:r w:rsidR="00456D00" w:rsidRPr="00262F3A">
        <w:t xml:space="preserve">ection 8 investigation occurs when the OCO initiates an investigation. The OCO will provide the </w:t>
      </w:r>
      <w:r w:rsidR="009D0822" w:rsidRPr="00262F3A">
        <w:t>Agency</w:t>
      </w:r>
      <w:r w:rsidR="00456D00" w:rsidRPr="00262F3A">
        <w:t xml:space="preserve"> with background to the complaint, and request that the </w:t>
      </w:r>
      <w:r w:rsidR="009D0822" w:rsidRPr="00262F3A">
        <w:t>Agency</w:t>
      </w:r>
      <w:r w:rsidR="00456D00" w:rsidRPr="00262F3A">
        <w:t xml:space="preserve"> respond to a number of questions. The OCO investigated 138 complaints about the </w:t>
      </w:r>
      <w:r w:rsidR="009D0822" w:rsidRPr="00262F3A">
        <w:t>Agency</w:t>
      </w:r>
      <w:r w:rsidR="00456D00" w:rsidRPr="00262F3A">
        <w:t xml:space="preserve"> during 2019–20. As at 30 June 2020, 134 of these investigations have been closed. </w:t>
      </w:r>
    </w:p>
    <w:p w14:paraId="0CD56826" w14:textId="082EF68B" w:rsidR="00456D00" w:rsidRPr="00262F3A" w:rsidRDefault="00456D00" w:rsidP="00561B3B">
      <w:r w:rsidRPr="00262F3A">
        <w:t xml:space="preserve">In 2019–20, the </w:t>
      </w:r>
      <w:r w:rsidR="009D0822" w:rsidRPr="00262F3A">
        <w:t>Agency</w:t>
      </w:r>
      <w:r w:rsidRPr="00262F3A">
        <w:t xml:space="preserve"> continued to provide the OCO with information regarding recommendations arising from the OCO report on the </w:t>
      </w:r>
      <w:r w:rsidR="009D0822" w:rsidRPr="00262F3A">
        <w:t>Agency</w:t>
      </w:r>
      <w:r w:rsidRPr="00262F3A">
        <w:t xml:space="preserve">’s handling of reviews, which was published in May 2018.  A new report was published by the OCO in February 2020 following an investigation of the actions of the </w:t>
      </w:r>
      <w:r w:rsidR="009D0822" w:rsidRPr="00262F3A">
        <w:t>Agency</w:t>
      </w:r>
      <w:r w:rsidR="000A04E3" w:rsidRPr="00262F3A">
        <w:t xml:space="preserve"> in relation to Mr </w:t>
      </w:r>
      <w:r w:rsidRPr="00262F3A">
        <w:t xml:space="preserve">C. This report notes improvements already made by the </w:t>
      </w:r>
      <w:r w:rsidR="009D0822" w:rsidRPr="00262F3A">
        <w:t>Agency</w:t>
      </w:r>
      <w:r w:rsidRPr="00262F3A">
        <w:t xml:space="preserve"> as well as five recommendations for further improvement.</w:t>
      </w:r>
    </w:p>
    <w:p w14:paraId="72094495" w14:textId="77777777" w:rsidR="00456D00" w:rsidRPr="00262F3A" w:rsidRDefault="00456D00" w:rsidP="008F00D1">
      <w:pPr>
        <w:pStyle w:val="Heading4"/>
      </w:pPr>
      <w:r w:rsidRPr="00262F3A">
        <w:t>New South Wales Ageing and Disability Commission</w:t>
      </w:r>
    </w:p>
    <w:p w14:paraId="6898EC9B" w14:textId="7AA7B6EF" w:rsidR="00456D00" w:rsidRPr="00262F3A" w:rsidRDefault="00456D00" w:rsidP="00561B3B">
      <w:r w:rsidRPr="00262F3A">
        <w:t xml:space="preserve">From July 2016, the NSW Ombudsman’s office has had a standing inquiry into allegations of abuse and neglect of adults with disability in the community, such as in the family home. The </w:t>
      </w:r>
      <w:r w:rsidR="000A04E3" w:rsidRPr="00262F3A">
        <w:t>NSW</w:t>
      </w:r>
      <w:r w:rsidRPr="00262F3A">
        <w:t xml:space="preserve"> Ageing and Disability Commission has now been established, and from 1 July 2019 has been the appropriate oversight body to better protect adults with disability and older people from abuse, neglect and exploitation in home and community settings. In 2019–20, the </w:t>
      </w:r>
      <w:r w:rsidR="009D0822" w:rsidRPr="00262F3A">
        <w:t>Agency</w:t>
      </w:r>
      <w:r w:rsidRPr="00262F3A">
        <w:t xml:space="preserve"> received 73 requests from the NSW Ageing and Disability Commission.</w:t>
      </w:r>
    </w:p>
    <w:p w14:paraId="4DB9E67A" w14:textId="77777777" w:rsidR="00456D00" w:rsidRPr="00262F3A" w:rsidRDefault="00456D00" w:rsidP="008F00D1">
      <w:pPr>
        <w:pStyle w:val="Heading4"/>
      </w:pPr>
      <w:r w:rsidRPr="00262F3A">
        <w:t>NDIS Quality and Safeguards Commission</w:t>
      </w:r>
    </w:p>
    <w:p w14:paraId="6FCBACEF" w14:textId="793C9216" w:rsidR="00456D00" w:rsidRPr="00262F3A" w:rsidRDefault="00456D00" w:rsidP="00561B3B">
      <w:r w:rsidRPr="00262F3A">
        <w:t xml:space="preserve">From 1 July </w:t>
      </w:r>
      <w:r w:rsidR="00441166" w:rsidRPr="00262F3A">
        <w:t>20</w:t>
      </w:r>
      <w:r w:rsidR="00441166">
        <w:t>19</w:t>
      </w:r>
      <w:r w:rsidRPr="00262F3A">
        <w:t xml:space="preserve">, the NDIS Quality and Safeguards Commission expanded operations from NSW and SA to include </w:t>
      </w:r>
      <w:r w:rsidR="00FF144A">
        <w:t>Vic</w:t>
      </w:r>
      <w:r w:rsidRPr="00262F3A">
        <w:t xml:space="preserve">, </w:t>
      </w:r>
      <w:r w:rsidR="00FF144A">
        <w:t>Tas</w:t>
      </w:r>
      <w:r w:rsidRPr="00262F3A">
        <w:t xml:space="preserve">, ACT, </w:t>
      </w:r>
      <w:r w:rsidR="00FF144A">
        <w:t>Qld</w:t>
      </w:r>
      <w:r w:rsidR="00FF144A" w:rsidRPr="00262F3A">
        <w:t xml:space="preserve"> </w:t>
      </w:r>
      <w:r w:rsidRPr="00262F3A">
        <w:t xml:space="preserve">and NT. It is now the appropriate oversight body for concerns raised about disability service providers in all states except WA. In 2019–20, the </w:t>
      </w:r>
      <w:r w:rsidR="009D0822" w:rsidRPr="00262F3A">
        <w:t>Agency</w:t>
      </w:r>
      <w:r w:rsidRPr="00262F3A">
        <w:t xml:space="preserve"> received 93 enquiries from the NDIS Quality and Safeguards Commission across these jurisdictions.</w:t>
      </w:r>
    </w:p>
    <w:p w14:paraId="73B64C20" w14:textId="02000B27" w:rsidR="00456D00" w:rsidRPr="00262F3A" w:rsidRDefault="00456D00" w:rsidP="008F00D1">
      <w:pPr>
        <w:pStyle w:val="Heading4"/>
      </w:pPr>
      <w:r w:rsidRPr="00262F3A">
        <w:lastRenderedPageBreak/>
        <w:t xml:space="preserve">Freedom of </w:t>
      </w:r>
      <w:r w:rsidR="00174C4F">
        <w:t>i</w:t>
      </w:r>
      <w:r w:rsidRPr="00262F3A">
        <w:t xml:space="preserve">nformation </w:t>
      </w:r>
    </w:p>
    <w:p w14:paraId="339358D8" w14:textId="77777777" w:rsidR="00B52E9A" w:rsidRPr="00262F3A" w:rsidRDefault="00456D00" w:rsidP="00561B3B">
      <w:r w:rsidRPr="00262F3A">
        <w:t xml:space="preserve">Under the </w:t>
      </w:r>
      <w:r w:rsidRPr="00262F3A">
        <w:rPr>
          <w:i/>
        </w:rPr>
        <w:t>Freedom of Information Act 1982</w:t>
      </w:r>
      <w:r w:rsidRPr="00262F3A">
        <w:t xml:space="preserve"> (FOI Act), a person may request access to information that is held by the </w:t>
      </w:r>
      <w:r w:rsidR="009D0822" w:rsidRPr="00262F3A">
        <w:t>Agency</w:t>
      </w:r>
      <w:r w:rsidRPr="00262F3A">
        <w:t xml:space="preserve">. In 2019–20, the </w:t>
      </w:r>
      <w:r w:rsidR="009D0822" w:rsidRPr="00262F3A">
        <w:t>Agency</w:t>
      </w:r>
      <w:r w:rsidRPr="00262F3A">
        <w:t xml:space="preserve"> received 1,517 primary requests under the FOI Act. There were 30 requests for internal review of an access decision. The </w:t>
      </w:r>
      <w:r w:rsidR="009D0822" w:rsidRPr="00262F3A">
        <w:t>Agency</w:t>
      </w:r>
      <w:r w:rsidRPr="00262F3A">
        <w:t xml:space="preserve"> received notification that 12 requests were subject to a review by the Office of the Australian Information Commissioner.</w:t>
      </w:r>
    </w:p>
    <w:p w14:paraId="36C41BA1" w14:textId="1BB8BC8C" w:rsidR="001D739F" w:rsidRPr="00262F3A" w:rsidRDefault="001D739F" w:rsidP="008F00D1">
      <w:pPr>
        <w:pStyle w:val="Heading2"/>
      </w:pPr>
      <w:bookmarkStart w:id="174" w:name="_Toc51068011"/>
      <w:r w:rsidRPr="00262F3A">
        <w:t>Administrative Appeals Tribunal reviews and decisions</w:t>
      </w:r>
      <w:bookmarkEnd w:id="173"/>
      <w:bookmarkEnd w:id="174"/>
    </w:p>
    <w:p w14:paraId="1C64BC11" w14:textId="16681939" w:rsidR="00561B3B" w:rsidRPr="00262F3A" w:rsidRDefault="00561B3B" w:rsidP="00901595">
      <w:pPr>
        <w:keepNext/>
      </w:pPr>
      <w:bookmarkStart w:id="175" w:name="_Toc23603200"/>
      <w:r w:rsidRPr="00262F3A">
        <w:rPr>
          <w:b/>
        </w:rPr>
        <w:t xml:space="preserve">Table </w:t>
      </w:r>
      <w:r w:rsidR="005D5BCA" w:rsidRPr="00262F3A">
        <w:rPr>
          <w:b/>
        </w:rPr>
        <w:t>5.9A</w:t>
      </w:r>
      <w:r w:rsidR="005D5BCA" w:rsidRPr="00B63CEB">
        <w:rPr>
          <w:b/>
        </w:rPr>
        <w:t>:</w:t>
      </w:r>
      <w:r w:rsidRPr="00262F3A">
        <w:t xml:space="preserve"> Decisions of the Federal Court of Australia: </w:t>
      </w:r>
      <w:r w:rsidR="00FF144A">
        <w:t>AAT</w:t>
      </w:r>
      <w:r w:rsidR="00FF144A" w:rsidRPr="00262F3A">
        <w:t xml:space="preserve"> </w:t>
      </w:r>
      <w:r w:rsidRPr="00262F3A">
        <w:t>appeals in 2019–20</w:t>
      </w:r>
    </w:p>
    <w:tbl>
      <w:tblPr>
        <w:tblStyle w:val="PlainTable1"/>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E1: AAT reviews and decisions 2017-18"/>
        <w:tblDescription w:val="This table provides information about decisions made by the Administrative Appeals Tribunal (AAT) during 2017-18 in relation to the NDIS. The table identifies each matter, the subject of the review and the decision made by the AAT.  "/>
      </w:tblPr>
      <w:tblGrid>
        <w:gridCol w:w="2127"/>
        <w:gridCol w:w="4111"/>
        <w:gridCol w:w="2835"/>
      </w:tblGrid>
      <w:tr w:rsidR="00561B3B" w:rsidRPr="00262F3A" w14:paraId="7AE88FF6" w14:textId="77777777" w:rsidTr="00D97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shd w:val="clear" w:color="auto" w:fill="7030A0"/>
          </w:tcPr>
          <w:p w14:paraId="5F8FA414" w14:textId="77777777" w:rsidR="00561B3B" w:rsidRPr="00262F3A" w:rsidRDefault="00561B3B" w:rsidP="00561B3B">
            <w:pPr>
              <w:pStyle w:val="NoSpacing"/>
              <w:spacing w:before="60" w:after="60" w:line="276" w:lineRule="auto"/>
              <w:rPr>
                <w:b w:val="0"/>
                <w:color w:val="FFFFFF" w:themeColor="background1"/>
              </w:rPr>
            </w:pPr>
            <w:r w:rsidRPr="00262F3A">
              <w:rPr>
                <w:b w:val="0"/>
                <w:color w:val="FFFFFF" w:themeColor="background1"/>
              </w:rPr>
              <w:t>Matter</w:t>
            </w:r>
          </w:p>
        </w:tc>
        <w:tc>
          <w:tcPr>
            <w:tcW w:w="4111" w:type="dxa"/>
            <w:shd w:val="clear" w:color="auto" w:fill="7030A0"/>
          </w:tcPr>
          <w:p w14:paraId="24966D2E" w14:textId="77777777" w:rsidR="00561B3B" w:rsidRPr="00262F3A" w:rsidRDefault="00561B3B" w:rsidP="00561B3B">
            <w:pPr>
              <w:pStyle w:val="NoSpacing"/>
              <w:spacing w:before="60" w:after="60"/>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62F3A">
              <w:rPr>
                <w:b w:val="0"/>
                <w:color w:val="FFFFFF" w:themeColor="background1"/>
              </w:rPr>
              <w:t>Decision under review</w:t>
            </w:r>
          </w:p>
        </w:tc>
        <w:tc>
          <w:tcPr>
            <w:tcW w:w="2835" w:type="dxa"/>
            <w:shd w:val="clear" w:color="auto" w:fill="7030A0"/>
          </w:tcPr>
          <w:p w14:paraId="39E7565A" w14:textId="1533156B" w:rsidR="00561B3B" w:rsidRPr="00262F3A" w:rsidRDefault="00561B3B" w:rsidP="00561B3B">
            <w:pPr>
              <w:pStyle w:val="NoSpacing"/>
              <w:spacing w:before="60" w:after="60"/>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62F3A">
              <w:rPr>
                <w:b w:val="0"/>
                <w:color w:val="FFFFFF" w:themeColor="background1"/>
              </w:rPr>
              <w:t xml:space="preserve">Federal Court </w:t>
            </w:r>
            <w:r w:rsidR="00A5180D">
              <w:rPr>
                <w:b w:val="0"/>
                <w:color w:val="FFFFFF" w:themeColor="background1"/>
              </w:rPr>
              <w:t>d</w:t>
            </w:r>
            <w:r w:rsidRPr="00262F3A">
              <w:rPr>
                <w:b w:val="0"/>
                <w:color w:val="FFFFFF" w:themeColor="background1"/>
              </w:rPr>
              <w:t>ecision</w:t>
            </w:r>
          </w:p>
        </w:tc>
      </w:tr>
      <w:tr w:rsidR="00561B3B" w:rsidRPr="00262F3A" w14:paraId="74CE72BF"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6E7C555" w14:textId="77777777" w:rsidR="00561B3B" w:rsidRPr="00262F3A" w:rsidRDefault="00561B3B" w:rsidP="00561B3B">
            <w:pPr>
              <w:pStyle w:val="NoSpacing"/>
              <w:spacing w:before="60" w:after="60" w:line="276" w:lineRule="auto"/>
              <w:rPr>
                <w:b w:val="0"/>
              </w:rPr>
            </w:pPr>
            <w:r w:rsidRPr="00262F3A">
              <w:rPr>
                <w:b w:val="0"/>
              </w:rPr>
              <w:t>National Disability Insurance Agency v WRMF [2020] FCAFC 79</w:t>
            </w:r>
          </w:p>
          <w:p w14:paraId="448A162F" w14:textId="77777777" w:rsidR="00561B3B" w:rsidRPr="00262F3A" w:rsidRDefault="00561B3B" w:rsidP="00561B3B">
            <w:pPr>
              <w:pStyle w:val="NoSpacing"/>
              <w:spacing w:before="60" w:after="60" w:line="276" w:lineRule="auto"/>
              <w:rPr>
                <w:b w:val="0"/>
              </w:rPr>
            </w:pPr>
            <w:r w:rsidRPr="00262F3A">
              <w:rPr>
                <w:b w:val="0"/>
              </w:rPr>
              <w:t>(12 May 2020)</w:t>
            </w:r>
          </w:p>
        </w:tc>
        <w:tc>
          <w:tcPr>
            <w:tcW w:w="4111" w:type="dxa"/>
            <w:shd w:val="clear" w:color="auto" w:fill="auto"/>
          </w:tcPr>
          <w:p w14:paraId="0081EDC8" w14:textId="3243B57F" w:rsidR="00561B3B" w:rsidRPr="00262F3A" w:rsidRDefault="00561B3B" w:rsidP="00174C4F">
            <w:pPr>
              <w:pStyle w:val="NoSpacing"/>
              <w:spacing w:before="60" w:after="60"/>
              <w:cnfStyle w:val="000000100000" w:firstRow="0" w:lastRow="0" w:firstColumn="0" w:lastColumn="0" w:oddVBand="0" w:evenVBand="0" w:oddHBand="1" w:evenHBand="0" w:firstRowFirstColumn="0" w:firstRowLastColumn="0" w:lastRowFirstColumn="0" w:lastRowLastColumn="0"/>
            </w:pPr>
            <w:r w:rsidRPr="00262F3A">
              <w:t>Whether the AAT had erred in its decision that a sex therapist was a r</w:t>
            </w:r>
            <w:r w:rsidR="00174C4F">
              <w:t>easonable and necessary support,</w:t>
            </w:r>
            <w:r w:rsidRPr="00262F3A">
              <w:t xml:space="preserve"> </w:t>
            </w:r>
            <w:r w:rsidR="00174C4F">
              <w:t>p</w:t>
            </w:r>
            <w:r w:rsidRPr="00262F3A">
              <w:t xml:space="preserve">articularly whether the </w:t>
            </w:r>
            <w:r w:rsidR="00174C4F">
              <w:t>AAT had</w:t>
            </w:r>
            <w:r w:rsidRPr="00262F3A">
              <w:t xml:space="preserve"> failed to accord the </w:t>
            </w:r>
            <w:r w:rsidR="00174C4F">
              <w:t>a</w:t>
            </w:r>
            <w:r w:rsidRPr="00262F3A">
              <w:t>pplicant procedural fairness, failed to perform its statutory task, made findings of fact that were not open to it, erred in construing and applying provisions of the Act and/or failed to provide adequate reasons.</w:t>
            </w:r>
          </w:p>
        </w:tc>
        <w:tc>
          <w:tcPr>
            <w:tcW w:w="2835" w:type="dxa"/>
            <w:shd w:val="clear" w:color="auto" w:fill="auto"/>
          </w:tcPr>
          <w:p w14:paraId="138BC9EE" w14:textId="77777777" w:rsidR="00561B3B" w:rsidRPr="00262F3A" w:rsidRDefault="00561B3B" w:rsidP="00561B3B">
            <w:pPr>
              <w:pStyle w:val="NoSpacing"/>
              <w:spacing w:before="60" w:after="60"/>
              <w:cnfStyle w:val="000000100000" w:firstRow="0" w:lastRow="0" w:firstColumn="0" w:lastColumn="0" w:oddVBand="0" w:evenVBand="0" w:oddHBand="1" w:evenHBand="0" w:firstRowFirstColumn="0" w:firstRowLastColumn="0" w:lastRowFirstColumn="0" w:lastRowLastColumn="0"/>
            </w:pPr>
            <w:r w:rsidRPr="00262F3A">
              <w:t>The Full Federal Court dismissed the appeal.</w:t>
            </w:r>
          </w:p>
        </w:tc>
      </w:tr>
    </w:tbl>
    <w:p w14:paraId="2F14F313" w14:textId="329C5548" w:rsidR="00561B3B" w:rsidRPr="00262F3A" w:rsidRDefault="00561B3B" w:rsidP="00901595">
      <w:pPr>
        <w:keepNext/>
      </w:pPr>
      <w:r w:rsidRPr="00262F3A">
        <w:rPr>
          <w:b/>
        </w:rPr>
        <w:t xml:space="preserve">Table </w:t>
      </w:r>
      <w:r w:rsidR="005D5BCA" w:rsidRPr="00262F3A">
        <w:rPr>
          <w:b/>
        </w:rPr>
        <w:t>5.9B</w:t>
      </w:r>
      <w:r w:rsidR="005D5BCA" w:rsidRPr="00B63CEB">
        <w:rPr>
          <w:b/>
        </w:rPr>
        <w:t>:</w:t>
      </w:r>
      <w:r w:rsidRPr="00262F3A">
        <w:t xml:space="preserve"> Decisions in the </w:t>
      </w:r>
      <w:r w:rsidR="00FF144A">
        <w:t>AAT</w:t>
      </w:r>
      <w:r w:rsidRPr="00262F3A">
        <w:t>, NDIS Division, in 2019–20</w:t>
      </w:r>
    </w:p>
    <w:tbl>
      <w:tblPr>
        <w:tblStyle w:val="TableGrid"/>
        <w:tblW w:w="0" w:type="auto"/>
        <w:tblInd w:w="-147" w:type="dxa"/>
        <w:tblLook w:val="04A0" w:firstRow="1" w:lastRow="0" w:firstColumn="1" w:lastColumn="0" w:noHBand="0" w:noVBand="1"/>
        <w:tblDescription w:val="Decisions in the AAT, NDIS Division, in 2019–20"/>
      </w:tblPr>
      <w:tblGrid>
        <w:gridCol w:w="2127"/>
        <w:gridCol w:w="2693"/>
        <w:gridCol w:w="4343"/>
      </w:tblGrid>
      <w:tr w:rsidR="00233C3C" w:rsidRPr="00262F3A" w14:paraId="7EFBAB44" w14:textId="77777777" w:rsidTr="00233C3C">
        <w:trPr>
          <w:tblHeader/>
        </w:trPr>
        <w:tc>
          <w:tcPr>
            <w:tcW w:w="2127" w:type="dxa"/>
            <w:shd w:val="clear" w:color="auto" w:fill="7030A0"/>
          </w:tcPr>
          <w:p w14:paraId="6D0BF570" w14:textId="1FC91262" w:rsidR="00233C3C" w:rsidRPr="00262F3A" w:rsidRDefault="00233C3C" w:rsidP="00233C3C">
            <w:pPr>
              <w:pStyle w:val="Tableformat"/>
              <w:rPr>
                <w:color w:val="FFFFFF" w:themeColor="background1"/>
              </w:rPr>
            </w:pPr>
            <w:r w:rsidRPr="00262F3A">
              <w:rPr>
                <w:color w:val="FFFFFF" w:themeColor="background1"/>
              </w:rPr>
              <w:t>Matter</w:t>
            </w:r>
          </w:p>
        </w:tc>
        <w:tc>
          <w:tcPr>
            <w:tcW w:w="2693" w:type="dxa"/>
            <w:shd w:val="clear" w:color="auto" w:fill="7030A0"/>
          </w:tcPr>
          <w:p w14:paraId="7ED3BFFF" w14:textId="7FD2FFE1" w:rsidR="00233C3C" w:rsidRPr="00262F3A" w:rsidRDefault="00233C3C" w:rsidP="00233C3C">
            <w:pPr>
              <w:pStyle w:val="Tableformat"/>
              <w:rPr>
                <w:color w:val="FFFFFF" w:themeColor="background1"/>
              </w:rPr>
            </w:pPr>
            <w:r w:rsidRPr="00262F3A">
              <w:rPr>
                <w:color w:val="FFFFFF" w:themeColor="background1"/>
              </w:rPr>
              <w:t>Decision under review</w:t>
            </w:r>
          </w:p>
        </w:tc>
        <w:tc>
          <w:tcPr>
            <w:tcW w:w="4343" w:type="dxa"/>
            <w:shd w:val="clear" w:color="auto" w:fill="7030A0"/>
          </w:tcPr>
          <w:p w14:paraId="1C7992A6" w14:textId="5CAF697A" w:rsidR="00233C3C" w:rsidRPr="00262F3A" w:rsidRDefault="00233C3C" w:rsidP="00233C3C">
            <w:pPr>
              <w:pStyle w:val="Tableformat"/>
              <w:rPr>
                <w:color w:val="FFFFFF" w:themeColor="background1"/>
              </w:rPr>
            </w:pPr>
            <w:r w:rsidRPr="00262F3A">
              <w:rPr>
                <w:color w:val="FFFFFF" w:themeColor="background1"/>
              </w:rPr>
              <w:t>Administrative Appeals Tribunal</w:t>
            </w:r>
            <w:r w:rsidRPr="00262F3A">
              <w:rPr>
                <w:rFonts w:cstheme="minorBidi"/>
                <w:color w:val="FFFFFF" w:themeColor="background1"/>
              </w:rPr>
              <w:t xml:space="preserve"> decision.</w:t>
            </w:r>
          </w:p>
        </w:tc>
      </w:tr>
      <w:tr w:rsidR="00233C3C" w:rsidRPr="00262F3A" w14:paraId="6ADFD954" w14:textId="77777777" w:rsidTr="00233C3C">
        <w:tc>
          <w:tcPr>
            <w:tcW w:w="2127" w:type="dxa"/>
          </w:tcPr>
          <w:p w14:paraId="17E63C0D" w14:textId="506E4835" w:rsidR="00233C3C" w:rsidRPr="00262F3A" w:rsidRDefault="00233C3C" w:rsidP="00233C3C">
            <w:pPr>
              <w:pStyle w:val="Tableformat"/>
            </w:pPr>
            <w:r w:rsidRPr="00262F3A">
              <w:t>NNXF and the National Disability Insurance Agency [2019] AATA 5552 (23 December 2019)</w:t>
            </w:r>
          </w:p>
        </w:tc>
        <w:tc>
          <w:tcPr>
            <w:tcW w:w="2693" w:type="dxa"/>
          </w:tcPr>
          <w:p w14:paraId="769A8B5F" w14:textId="31D4FFC2" w:rsidR="00233C3C" w:rsidRPr="00262F3A" w:rsidRDefault="00233C3C" w:rsidP="00233C3C">
            <w:pPr>
              <w:pStyle w:val="Tableformat"/>
            </w:pPr>
            <w:r w:rsidRPr="00262F3A">
              <w:t>Jurisdiction</w:t>
            </w:r>
          </w:p>
        </w:tc>
        <w:tc>
          <w:tcPr>
            <w:tcW w:w="4343" w:type="dxa"/>
          </w:tcPr>
          <w:p w14:paraId="53647B89" w14:textId="5F9BA925" w:rsidR="00233C3C" w:rsidRPr="00262F3A" w:rsidRDefault="00174C4F" w:rsidP="00233C3C">
            <w:pPr>
              <w:pStyle w:val="Tableformat"/>
            </w:pPr>
            <w:r>
              <w:t>A three-member panel (t</w:t>
            </w:r>
            <w:r w:rsidR="00233C3C" w:rsidRPr="00262F3A">
              <w:t xml:space="preserve">he Hon. Justice D G Thomas; Deputy President S A Forgie; Deputy President Britten-Jones) of the </w:t>
            </w:r>
            <w:r>
              <w:t xml:space="preserve">AAT </w:t>
            </w:r>
            <w:r w:rsidR="00233C3C" w:rsidRPr="00262F3A">
              <w:t xml:space="preserve">considered whether the </w:t>
            </w:r>
            <w:r>
              <w:t xml:space="preserve">AAT </w:t>
            </w:r>
            <w:r w:rsidR="00233C3C" w:rsidRPr="00262F3A">
              <w:t>has jurisdiction in circumstances where the Agency has not made a reviewable internal review decision as soon as ‘reasonably practicable’.</w:t>
            </w:r>
          </w:p>
          <w:p w14:paraId="21E1B4BF" w14:textId="00A46BAA" w:rsidR="00233C3C" w:rsidRPr="00262F3A" w:rsidRDefault="00233C3C" w:rsidP="00174C4F">
            <w:pPr>
              <w:pStyle w:val="Tableformat"/>
            </w:pPr>
            <w:r w:rsidRPr="00262F3A">
              <w:t xml:space="preserve">A majority of the three-member panel found that the </w:t>
            </w:r>
            <w:r w:rsidR="00174C4F">
              <w:t xml:space="preserve">AAT </w:t>
            </w:r>
            <w:r w:rsidRPr="00262F3A">
              <w:t>had jurisdiction, on the basis that the Agency was ‘deemed’ to have made a reviewable decision by operation of s</w:t>
            </w:r>
            <w:r w:rsidR="00174C4F">
              <w:t xml:space="preserve">ection </w:t>
            </w:r>
            <w:r w:rsidRPr="00262F3A">
              <w:t xml:space="preserve">25 of the </w:t>
            </w:r>
            <w:r w:rsidRPr="00262F3A">
              <w:rPr>
                <w:i/>
              </w:rPr>
              <w:t>Administrative Appeals Tribunal Act 1975</w:t>
            </w:r>
            <w:r w:rsidRPr="00262F3A">
              <w:t xml:space="preserve"> (AAT Act).</w:t>
            </w:r>
          </w:p>
        </w:tc>
      </w:tr>
      <w:tr w:rsidR="00233C3C" w:rsidRPr="00262F3A" w14:paraId="2B3B55A5" w14:textId="77777777" w:rsidTr="00233C3C">
        <w:tc>
          <w:tcPr>
            <w:tcW w:w="2127" w:type="dxa"/>
          </w:tcPr>
          <w:p w14:paraId="5769AD56" w14:textId="77777777" w:rsidR="00233C3C" w:rsidRPr="00262F3A" w:rsidRDefault="00233C3C" w:rsidP="00233C3C">
            <w:pPr>
              <w:pStyle w:val="Tableformat"/>
              <w:rPr>
                <w:bCs/>
              </w:rPr>
            </w:pPr>
            <w:r w:rsidRPr="00262F3A">
              <w:t>WRMF and National Disability Insurance Agency [2019] AATA 1771 (8 July 2019)</w:t>
            </w:r>
          </w:p>
          <w:p w14:paraId="28A15278" w14:textId="63C95733" w:rsidR="00233C3C" w:rsidRPr="00262F3A" w:rsidRDefault="00233C3C" w:rsidP="00233C3C">
            <w:pPr>
              <w:pStyle w:val="Tableformat"/>
            </w:pPr>
            <w:r w:rsidRPr="00262F3A">
              <w:t xml:space="preserve">Deputy President </w:t>
            </w:r>
            <w:r w:rsidR="0094785E">
              <w:br/>
            </w:r>
            <w:r w:rsidRPr="00262F3A">
              <w:t>BW Rayment OAM QC</w:t>
            </w:r>
          </w:p>
        </w:tc>
        <w:tc>
          <w:tcPr>
            <w:tcW w:w="2693" w:type="dxa"/>
          </w:tcPr>
          <w:p w14:paraId="4FE58F3F" w14:textId="6BD7A194" w:rsidR="00233C3C" w:rsidRPr="00262F3A" w:rsidRDefault="00233C3C" w:rsidP="00233C3C">
            <w:pPr>
              <w:pStyle w:val="Tableformat"/>
            </w:pPr>
            <w:r w:rsidRPr="00262F3A">
              <w:t>Planning: whether the services of a sex therapist is a reasonable and necessary support (s</w:t>
            </w:r>
            <w:r w:rsidR="00174C4F">
              <w:t xml:space="preserve">ection </w:t>
            </w:r>
            <w:r w:rsidRPr="00262F3A">
              <w:t>34).</w:t>
            </w:r>
          </w:p>
        </w:tc>
        <w:tc>
          <w:tcPr>
            <w:tcW w:w="4343" w:type="dxa"/>
          </w:tcPr>
          <w:p w14:paraId="3B4D1FB1" w14:textId="77777777" w:rsidR="00233C3C" w:rsidRPr="00262F3A" w:rsidRDefault="00233C3C" w:rsidP="00233C3C">
            <w:pPr>
              <w:pStyle w:val="Tableformat"/>
            </w:pPr>
            <w:r w:rsidRPr="00262F3A">
              <w:t>Agency decision set aside.</w:t>
            </w:r>
          </w:p>
          <w:p w14:paraId="34B552EE" w14:textId="5B2CFF52" w:rsidR="00233C3C" w:rsidRPr="00262F3A" w:rsidRDefault="00233C3C" w:rsidP="00174C4F">
            <w:pPr>
              <w:pStyle w:val="Tableformat"/>
            </w:pPr>
            <w:r w:rsidRPr="00262F3A">
              <w:t xml:space="preserve">Sexual therapy services provided once a month is a reasonable and necessary support. The </w:t>
            </w:r>
            <w:r w:rsidR="00174C4F">
              <w:t>AAT</w:t>
            </w:r>
            <w:r w:rsidRPr="00262F3A">
              <w:t xml:space="preserve"> distinguished ‘sex therapist’ from ‘sex worker’. The </w:t>
            </w:r>
            <w:r w:rsidR="00174C4F">
              <w:t xml:space="preserve">AAT </w:t>
            </w:r>
            <w:r w:rsidRPr="00262F3A">
              <w:t>found the support would help the applicant ‘realise her potential for social and emotional development and to participate in social life’ (s</w:t>
            </w:r>
            <w:r w:rsidR="00174C4F">
              <w:t xml:space="preserve">ection </w:t>
            </w:r>
            <w:r w:rsidRPr="00262F3A">
              <w:t>4(1)) which goes to whether the support is reasonable and necessary.</w:t>
            </w:r>
          </w:p>
        </w:tc>
      </w:tr>
      <w:tr w:rsidR="00233C3C" w:rsidRPr="00262F3A" w14:paraId="79F2A8B8" w14:textId="77777777" w:rsidTr="00233C3C">
        <w:tc>
          <w:tcPr>
            <w:tcW w:w="2127" w:type="dxa"/>
          </w:tcPr>
          <w:p w14:paraId="72C55A17" w14:textId="77777777" w:rsidR="00233C3C" w:rsidRPr="00262F3A" w:rsidRDefault="00233C3C" w:rsidP="00233C3C">
            <w:pPr>
              <w:pStyle w:val="Tableformat"/>
            </w:pPr>
            <w:r w:rsidRPr="00262F3A">
              <w:t xml:space="preserve">Klewer and National Disability Insurance Agency [2019] AATA </w:t>
            </w:r>
            <w:r w:rsidRPr="00262F3A">
              <w:lastRenderedPageBreak/>
              <w:t>4974 (25 November 2019)</w:t>
            </w:r>
          </w:p>
          <w:p w14:paraId="1E5164F9" w14:textId="181E1786" w:rsidR="00233C3C" w:rsidRPr="00262F3A" w:rsidRDefault="00233C3C" w:rsidP="00233C3C">
            <w:pPr>
              <w:pStyle w:val="Tableformat"/>
            </w:pPr>
            <w:r w:rsidRPr="00262F3A">
              <w:rPr>
                <w:bCs/>
              </w:rPr>
              <w:t>Deputy President John Pascoe</w:t>
            </w:r>
          </w:p>
        </w:tc>
        <w:tc>
          <w:tcPr>
            <w:tcW w:w="2693" w:type="dxa"/>
          </w:tcPr>
          <w:p w14:paraId="339B699E" w14:textId="5DE1378F" w:rsidR="00233C3C" w:rsidRPr="00262F3A" w:rsidRDefault="00233C3C" w:rsidP="00233C3C">
            <w:pPr>
              <w:pStyle w:val="Tableformat"/>
            </w:pPr>
            <w:r w:rsidRPr="00262F3A">
              <w:rPr>
                <w:shd w:val="clear" w:color="auto" w:fill="FFFFFF"/>
              </w:rPr>
              <w:lastRenderedPageBreak/>
              <w:t>Decision: whether to appoint a Guardian Ad Litem</w:t>
            </w:r>
            <w:r w:rsidR="0094785E">
              <w:rPr>
                <w:shd w:val="clear" w:color="auto" w:fill="FFFFFF"/>
              </w:rPr>
              <w:t>.</w:t>
            </w:r>
          </w:p>
        </w:tc>
        <w:tc>
          <w:tcPr>
            <w:tcW w:w="4343" w:type="dxa"/>
          </w:tcPr>
          <w:p w14:paraId="6C2F9EF9" w14:textId="203EEE3F" w:rsidR="00233C3C" w:rsidRPr="00262F3A" w:rsidRDefault="00233C3C" w:rsidP="00174C4F">
            <w:pPr>
              <w:pStyle w:val="Tableformat"/>
            </w:pPr>
            <w:r w:rsidRPr="00262F3A">
              <w:t xml:space="preserve">The decision was to hold the matter in abeyance pending the appointment </w:t>
            </w:r>
            <w:r w:rsidR="00174C4F">
              <w:t>of a Guardian Ad Litem for the a</w:t>
            </w:r>
            <w:r w:rsidRPr="00262F3A">
              <w:t xml:space="preserve">pplicant. The </w:t>
            </w:r>
            <w:r w:rsidR="00174C4F">
              <w:t>AAT</w:t>
            </w:r>
            <w:r w:rsidRPr="00262F3A">
              <w:t xml:space="preserve"> </w:t>
            </w:r>
            <w:r w:rsidRPr="00262F3A">
              <w:lastRenderedPageBreak/>
              <w:t>relied on the wide powers set out in paragraph 33(1)(a) of the AAT Act.</w:t>
            </w:r>
          </w:p>
        </w:tc>
      </w:tr>
      <w:tr w:rsidR="00233C3C" w:rsidRPr="00262F3A" w14:paraId="79528D00" w14:textId="77777777" w:rsidTr="00233C3C">
        <w:tc>
          <w:tcPr>
            <w:tcW w:w="2127" w:type="dxa"/>
          </w:tcPr>
          <w:p w14:paraId="61989100" w14:textId="77777777" w:rsidR="00233C3C" w:rsidRPr="00262F3A" w:rsidRDefault="00233C3C" w:rsidP="00233C3C">
            <w:pPr>
              <w:pStyle w:val="Tableformat"/>
            </w:pPr>
            <w:r w:rsidRPr="00262F3A">
              <w:lastRenderedPageBreak/>
              <w:t>Williamson and National Disability Insurance Agency [2019] AATA 2944 (20 August 2019)</w:t>
            </w:r>
          </w:p>
          <w:p w14:paraId="6D3F9B32" w14:textId="34FF9E71" w:rsidR="00233C3C" w:rsidRPr="00262F3A" w:rsidRDefault="00233C3C" w:rsidP="00233C3C">
            <w:pPr>
              <w:pStyle w:val="Tableformat"/>
            </w:pPr>
            <w:r w:rsidRPr="00262F3A">
              <w:t>Deputy President S A Forgie</w:t>
            </w:r>
          </w:p>
        </w:tc>
        <w:tc>
          <w:tcPr>
            <w:tcW w:w="2693" w:type="dxa"/>
          </w:tcPr>
          <w:p w14:paraId="3C31ACD9" w14:textId="0AED5CAD" w:rsidR="00233C3C" w:rsidRPr="00262F3A" w:rsidRDefault="00233C3C" w:rsidP="00233C3C">
            <w:pPr>
              <w:pStyle w:val="Tableformat"/>
            </w:pPr>
            <w:r w:rsidRPr="00262F3A">
              <w:rPr>
                <w:shd w:val="clear" w:color="auto" w:fill="FFFFFF"/>
              </w:rPr>
              <w:t>Issue: whether power to make a decision in relation to the terms agreed upon by the parties was effective by means of s</w:t>
            </w:r>
            <w:r w:rsidR="00174C4F">
              <w:rPr>
                <w:shd w:val="clear" w:color="auto" w:fill="FFFFFF"/>
              </w:rPr>
              <w:t>ection</w:t>
            </w:r>
            <w:r w:rsidRPr="00262F3A">
              <w:rPr>
                <w:shd w:val="clear" w:color="auto" w:fill="FFFFFF"/>
              </w:rPr>
              <w:t xml:space="preserve"> 26 of the AAT Act, s</w:t>
            </w:r>
            <w:r w:rsidR="00174C4F">
              <w:rPr>
                <w:shd w:val="clear" w:color="auto" w:fill="FFFFFF"/>
              </w:rPr>
              <w:t>ection</w:t>
            </w:r>
            <w:r w:rsidRPr="00262F3A">
              <w:rPr>
                <w:shd w:val="clear" w:color="auto" w:fill="FFFFFF"/>
              </w:rPr>
              <w:t>s 42C(1) and (3) or 42D of the AAT Act.</w:t>
            </w:r>
          </w:p>
        </w:tc>
        <w:tc>
          <w:tcPr>
            <w:tcW w:w="4343" w:type="dxa"/>
          </w:tcPr>
          <w:p w14:paraId="58C0D905" w14:textId="681E0A69" w:rsidR="00233C3C" w:rsidRPr="00262F3A" w:rsidRDefault="00233C3C" w:rsidP="00233C3C">
            <w:pPr>
              <w:pStyle w:val="Tableformat"/>
            </w:pPr>
            <w:r w:rsidRPr="00262F3A">
              <w:t>Sections 42C(1) and (3) do not provide the appropriate vehicle to achieve the result that the parties seek. The most appropriate vehicle is provided by s</w:t>
            </w:r>
            <w:r w:rsidR="00174C4F">
              <w:t>ection</w:t>
            </w:r>
            <w:r w:rsidRPr="00262F3A">
              <w:t xml:space="preserve"> 42D.</w:t>
            </w:r>
          </w:p>
        </w:tc>
      </w:tr>
    </w:tbl>
    <w:p w14:paraId="69BB3468" w14:textId="775ABBF1" w:rsidR="001D739F" w:rsidRPr="00262F3A" w:rsidRDefault="001D739F" w:rsidP="008F00D1">
      <w:pPr>
        <w:pStyle w:val="Heading2"/>
      </w:pPr>
      <w:bookmarkStart w:id="176" w:name="_Toc51068012"/>
      <w:r w:rsidRPr="00262F3A">
        <w:t>Other PGPA reportable items</w:t>
      </w:r>
      <w:bookmarkEnd w:id="175"/>
      <w:bookmarkEnd w:id="176"/>
    </w:p>
    <w:p w14:paraId="4DD66C4F" w14:textId="77777777" w:rsidR="00CC1DB0" w:rsidRPr="00262F3A" w:rsidRDefault="001D739F" w:rsidP="008F00D1">
      <w:pPr>
        <w:pStyle w:val="Heading4"/>
      </w:pPr>
      <w:bookmarkStart w:id="177" w:name="_Toc23603201"/>
      <w:r w:rsidRPr="00262F3A">
        <w:t xml:space="preserve">Ministerial directions and government policy orders </w:t>
      </w:r>
    </w:p>
    <w:p w14:paraId="3605F1DC" w14:textId="77777777" w:rsidR="001D739F" w:rsidRPr="00262F3A" w:rsidRDefault="001D739F" w:rsidP="00561B3B">
      <w:r w:rsidRPr="00262F3A">
        <w:t xml:space="preserve">The Agency did not receive any government policy orders or ministerial directions from the Minister for the NDIS in 2019–20. </w:t>
      </w:r>
    </w:p>
    <w:p w14:paraId="1D1C52A0" w14:textId="087B6367" w:rsidR="001D739F" w:rsidRPr="00262F3A" w:rsidRDefault="001D739F" w:rsidP="00561B3B">
      <w:r w:rsidRPr="00262F3A">
        <w:t>No instances of significant non-compliance with finance law were reported to the responsible Minister under paragraph 19(1)(e) of the PGPA Act in 2019–20</w:t>
      </w:r>
      <w:r w:rsidR="00D51120">
        <w:t>.</w:t>
      </w:r>
    </w:p>
    <w:p w14:paraId="629A8576" w14:textId="79D7711A" w:rsidR="00CC1DB0" w:rsidRPr="00262F3A" w:rsidRDefault="00CC1DB0" w:rsidP="008F00D1">
      <w:pPr>
        <w:pStyle w:val="Heading4"/>
      </w:pPr>
      <w:r w:rsidRPr="00262F3A">
        <w:t>17BE (l)</w:t>
      </w:r>
      <w:r w:rsidR="00276349">
        <w:t xml:space="preserve"> - </w:t>
      </w:r>
      <w:r w:rsidRPr="00262F3A">
        <w:t>Outline of the location of major activities or facilities</w:t>
      </w:r>
    </w:p>
    <w:p w14:paraId="5CFEE8B1" w14:textId="0AF310BE" w:rsidR="00CC1DB0" w:rsidRPr="00262F3A" w:rsidRDefault="00CC1DB0" w:rsidP="00CC1DB0">
      <w:r w:rsidRPr="00262F3A">
        <w:rPr>
          <w:color w:val="000000"/>
        </w:rPr>
        <w:t xml:space="preserve">The </w:t>
      </w:r>
      <w:r w:rsidR="009D0822" w:rsidRPr="00262F3A">
        <w:rPr>
          <w:color w:val="000000"/>
        </w:rPr>
        <w:t>Agency</w:t>
      </w:r>
      <w:r w:rsidRPr="00262F3A">
        <w:rPr>
          <w:color w:val="000000"/>
        </w:rPr>
        <w:t xml:space="preserve"> has completed the rollout of </w:t>
      </w:r>
      <w:r w:rsidR="00276349">
        <w:rPr>
          <w:color w:val="000000"/>
        </w:rPr>
        <w:t>s</w:t>
      </w:r>
      <w:r w:rsidRPr="00262F3A">
        <w:rPr>
          <w:color w:val="000000"/>
        </w:rPr>
        <w:t xml:space="preserve">ervice </w:t>
      </w:r>
      <w:r w:rsidR="00276349">
        <w:rPr>
          <w:color w:val="000000"/>
        </w:rPr>
        <w:t>d</w:t>
      </w:r>
      <w:r w:rsidRPr="00262F3A">
        <w:rPr>
          <w:color w:val="000000"/>
        </w:rPr>
        <w:t xml:space="preserve">elivery sites across Australia.   </w:t>
      </w:r>
      <w:r w:rsidRPr="00262F3A">
        <w:t xml:space="preserve">As </w:t>
      </w:r>
      <w:r w:rsidR="0096331A" w:rsidRPr="00262F3A">
        <w:t>at</w:t>
      </w:r>
      <w:r w:rsidRPr="00262F3A">
        <w:t xml:space="preserve"> 30 June 2020, the </w:t>
      </w:r>
      <w:r w:rsidR="009D0822" w:rsidRPr="00262F3A">
        <w:t>Agency</w:t>
      </w:r>
      <w:r w:rsidRPr="00262F3A">
        <w:t xml:space="preserve"> has staff members located in 188 sites, of which 83 sites are managed directly by the </w:t>
      </w:r>
      <w:r w:rsidR="009D0822" w:rsidRPr="00262F3A">
        <w:t>Agency</w:t>
      </w:r>
      <w:r w:rsidRPr="00262F3A">
        <w:t xml:space="preserve"> and 105 sites are managed through co-location arrangements with other government entities. </w:t>
      </w:r>
    </w:p>
    <w:p w14:paraId="3A31AC90" w14:textId="16D8CBC9" w:rsidR="00CC1DB0" w:rsidRPr="00262F3A" w:rsidRDefault="00CC1DB0" w:rsidP="00CC1DB0">
      <w:r w:rsidRPr="00262F3A">
        <w:t xml:space="preserve">The Minister for Government Services and the </w:t>
      </w:r>
      <w:r w:rsidR="00FF144A">
        <w:t>NDIS</w:t>
      </w:r>
      <w:r w:rsidRPr="00262F3A">
        <w:t xml:space="preserve"> (Hon Stuart Robert MP) has advised that entities within the Social Services portfolio should consolidate and standardise service delivery sites where possible to achieve an alignment of </w:t>
      </w:r>
      <w:r w:rsidR="00276349">
        <w:t>w</w:t>
      </w:r>
      <w:r w:rsidRPr="00262F3A">
        <w:t>hole-of-</w:t>
      </w:r>
      <w:r w:rsidR="00276349">
        <w:t>g</w:t>
      </w:r>
      <w:r w:rsidRPr="00262F3A">
        <w:t xml:space="preserve">overnment service offerings. This is included as a strategic objective in the 2019–2025 </w:t>
      </w:r>
      <w:r w:rsidR="009D0822" w:rsidRPr="00262F3A">
        <w:t>Agency</w:t>
      </w:r>
      <w:r w:rsidRPr="00262F3A">
        <w:t xml:space="preserve"> Strategic Property Plan.</w:t>
      </w:r>
    </w:p>
    <w:p w14:paraId="1EB5D71F" w14:textId="77777777" w:rsidR="00CC1DB0" w:rsidRPr="00262F3A" w:rsidRDefault="00CC1DB0" w:rsidP="008F00D1">
      <w:pPr>
        <w:pStyle w:val="Heading4"/>
      </w:pPr>
      <w:r w:rsidRPr="00262F3A">
        <w:t>Related entity transactions</w:t>
      </w:r>
    </w:p>
    <w:p w14:paraId="410A8CB0" w14:textId="285C21C8" w:rsidR="001D739F" w:rsidRPr="00262F3A" w:rsidRDefault="00CC1DB0" w:rsidP="00561B3B">
      <w:r w:rsidRPr="00262F3A">
        <w:t>A</w:t>
      </w:r>
      <w:r w:rsidR="001D739F" w:rsidRPr="00262F3A">
        <w:t xml:space="preserve">re addressed in the </w:t>
      </w:r>
      <w:r w:rsidR="00276349">
        <w:t xml:space="preserve">NDIA </w:t>
      </w:r>
      <w:r w:rsidR="001D739F" w:rsidRPr="00262F3A">
        <w:t xml:space="preserve">Financial Statements. </w:t>
      </w:r>
    </w:p>
    <w:p w14:paraId="4CC42044" w14:textId="77777777" w:rsidR="00CC1DB0" w:rsidRPr="00262F3A" w:rsidRDefault="001D739F" w:rsidP="008F00D1">
      <w:pPr>
        <w:pStyle w:val="Heading4"/>
      </w:pPr>
      <w:r w:rsidRPr="00262F3A">
        <w:t>Obtaining</w:t>
      </w:r>
      <w:r w:rsidR="00CC1DB0" w:rsidRPr="00262F3A">
        <w:t xml:space="preserve"> information from subsidiaries</w:t>
      </w:r>
    </w:p>
    <w:p w14:paraId="1B16B2DD" w14:textId="25731920" w:rsidR="001D739F" w:rsidRPr="00262F3A" w:rsidRDefault="001D739F" w:rsidP="00561B3B">
      <w:r w:rsidRPr="00262F3A">
        <w:t>Not applicable</w:t>
      </w:r>
      <w:r w:rsidR="00276349">
        <w:t xml:space="preserve"> - </w:t>
      </w:r>
      <w:r w:rsidRPr="00262F3A">
        <w:t xml:space="preserve">the </w:t>
      </w:r>
      <w:r w:rsidR="000B619D" w:rsidRPr="00262F3A">
        <w:t>Agency</w:t>
      </w:r>
      <w:r w:rsidRPr="00262F3A">
        <w:t xml:space="preserve"> has no subsidiaries.</w:t>
      </w:r>
    </w:p>
    <w:p w14:paraId="50D879D0" w14:textId="77777777" w:rsidR="00CC1DB0" w:rsidRPr="00262F3A" w:rsidRDefault="001D739F" w:rsidP="008F00D1">
      <w:pPr>
        <w:pStyle w:val="Heading4"/>
      </w:pPr>
      <w:r w:rsidRPr="00262F3A">
        <w:t>Indemnities and insurance premiums</w:t>
      </w:r>
    </w:p>
    <w:p w14:paraId="1BC5FCE0" w14:textId="160E965E" w:rsidR="00C272D9" w:rsidRPr="00262F3A" w:rsidRDefault="001D739F" w:rsidP="00561B3B">
      <w:r w:rsidRPr="00262F3A">
        <w:t xml:space="preserve">The </w:t>
      </w:r>
      <w:r w:rsidR="000B619D" w:rsidRPr="00262F3A">
        <w:t>Agency</w:t>
      </w:r>
      <w:r w:rsidRPr="00262F3A">
        <w:t xml:space="preserve"> purchased directors’ and officers’ liability cover from Comcover (the Commonwealth’s self-insurance fund). The premium paid in 2019–20 for this cover was $603,950.50</w:t>
      </w:r>
      <w:r w:rsidR="00C272D9" w:rsidRPr="00262F3A">
        <w:t>.</w:t>
      </w:r>
    </w:p>
    <w:p w14:paraId="1582EED3" w14:textId="77777777" w:rsidR="001D739F" w:rsidRPr="00262F3A" w:rsidRDefault="001D739F" w:rsidP="008F00D1">
      <w:pPr>
        <w:pStyle w:val="Heading2"/>
      </w:pPr>
      <w:bookmarkStart w:id="178" w:name="_Toc51068013"/>
      <w:bookmarkStart w:id="179" w:name="_Toc23603203"/>
      <w:bookmarkEnd w:id="177"/>
      <w:r w:rsidRPr="00262F3A">
        <w:t>Advertising and market research</w:t>
      </w:r>
      <w:bookmarkEnd w:id="178"/>
    </w:p>
    <w:p w14:paraId="5B10D923" w14:textId="77777777" w:rsidR="001D739F" w:rsidRPr="00262F3A" w:rsidRDefault="001D739F" w:rsidP="00561B3B">
      <w:bookmarkStart w:id="180" w:name="_Toc23603204"/>
      <w:bookmarkEnd w:id="179"/>
      <w:r w:rsidRPr="00262F3A">
        <w:t xml:space="preserve">The following information is provided in accordance with section 311A of the </w:t>
      </w:r>
      <w:r w:rsidRPr="00276349">
        <w:rPr>
          <w:i/>
        </w:rPr>
        <w:t>Commonwealth Electoral Act 1918</w:t>
      </w:r>
      <w:r w:rsidRPr="00262F3A">
        <w:t xml:space="preserve">, and discloses payments above $14,000.00 </w:t>
      </w:r>
      <w:r w:rsidRPr="00262F3A">
        <w:lastRenderedPageBreak/>
        <w:t>(including GST) for advertising and market research services provided during 2019–20.</w:t>
      </w:r>
    </w:p>
    <w:p w14:paraId="3066EE4E" w14:textId="77777777" w:rsidR="00F450CC" w:rsidRPr="00262F3A" w:rsidRDefault="005D5BCA" w:rsidP="00901595">
      <w:pPr>
        <w:keepNext/>
      </w:pPr>
      <w:r w:rsidRPr="00262F3A">
        <w:rPr>
          <w:b/>
        </w:rPr>
        <w:t>Table 5.11A</w:t>
      </w:r>
      <w:r w:rsidR="00F450CC" w:rsidRPr="00B63CEB">
        <w:rPr>
          <w:b/>
        </w:rPr>
        <w:t>:</w:t>
      </w:r>
      <w:r w:rsidR="00F450CC" w:rsidRPr="00262F3A">
        <w:t xml:space="preserve"> Payments to media advertising organisations in 2019–20</w:t>
      </w:r>
    </w:p>
    <w:tbl>
      <w:tblPr>
        <w:tblStyle w:val="GridTable2-Accent3"/>
        <w:tblW w:w="0" w:type="auto"/>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694"/>
        <w:gridCol w:w="4394"/>
        <w:gridCol w:w="1928"/>
      </w:tblGrid>
      <w:tr w:rsidR="00F450CC" w:rsidRPr="00262F3A" w14:paraId="09E3306D" w14:textId="77777777" w:rsidTr="00F450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vAlign w:val="bottom"/>
          </w:tcPr>
          <w:p w14:paraId="77D0F0F6" w14:textId="77777777" w:rsidR="00F450CC" w:rsidRPr="00262F3A" w:rsidRDefault="00F450CC" w:rsidP="00F450CC">
            <w:pPr>
              <w:pStyle w:val="Tableformat"/>
              <w:rPr>
                <w:color w:val="FFFFFF" w:themeColor="background1"/>
              </w:rPr>
            </w:pPr>
            <w:r w:rsidRPr="00262F3A">
              <w:rPr>
                <w:color w:val="FFFFFF" w:themeColor="background1"/>
              </w:rPr>
              <w:t>Organisation</w:t>
            </w:r>
          </w:p>
        </w:tc>
        <w:tc>
          <w:tcPr>
            <w:tcW w:w="4394" w:type="dxa"/>
            <w:shd w:val="clear" w:color="auto" w:fill="7030A0"/>
            <w:vAlign w:val="bottom"/>
          </w:tcPr>
          <w:p w14:paraId="25B90A46"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Service provided </w:t>
            </w:r>
          </w:p>
        </w:tc>
        <w:tc>
          <w:tcPr>
            <w:tcW w:w="1928" w:type="dxa"/>
            <w:shd w:val="clear" w:color="auto" w:fill="7030A0"/>
          </w:tcPr>
          <w:p w14:paraId="46CBF17A"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Amount paid </w:t>
            </w:r>
          </w:p>
          <w:p w14:paraId="18FBAB31"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 $ (including GST)</w:t>
            </w:r>
          </w:p>
        </w:tc>
      </w:tr>
      <w:tr w:rsidR="00F450CC" w:rsidRPr="00262F3A" w14:paraId="4CB43FCA"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6BC56CDC" w14:textId="77777777" w:rsidR="00F450CC" w:rsidRPr="00262F3A" w:rsidRDefault="00F450CC" w:rsidP="00F450CC">
            <w:pPr>
              <w:pStyle w:val="Tableformat"/>
              <w:rPr>
                <w:b w:val="0"/>
              </w:rPr>
            </w:pPr>
            <w:r w:rsidRPr="00262F3A">
              <w:rPr>
                <w:b w:val="0"/>
              </w:rPr>
              <w:t>Big Fat Productions Pty Ltd</w:t>
            </w:r>
          </w:p>
        </w:tc>
        <w:tc>
          <w:tcPr>
            <w:tcW w:w="4394" w:type="dxa"/>
            <w:shd w:val="clear" w:color="auto" w:fill="auto"/>
          </w:tcPr>
          <w:p w14:paraId="0FEE14A8" w14:textId="4A6308C0" w:rsidR="00F450CC" w:rsidRPr="00262F3A" w:rsidRDefault="00F450CC" w:rsidP="00276349">
            <w:pPr>
              <w:pStyle w:val="Tableformat"/>
              <w:cnfStyle w:val="000000100000" w:firstRow="0" w:lastRow="0" w:firstColumn="0" w:lastColumn="0" w:oddVBand="0" w:evenVBand="0" w:oddHBand="1" w:evenHBand="0" w:firstRowFirstColumn="0" w:firstRowLastColumn="0" w:lastRowFirstColumn="0" w:lastRowLastColumn="0"/>
            </w:pPr>
            <w:r w:rsidRPr="00262F3A">
              <w:t xml:space="preserve">Creation of </w:t>
            </w:r>
            <w:r w:rsidR="00095152" w:rsidRPr="00262F3A">
              <w:t>Agency</w:t>
            </w:r>
            <w:r w:rsidRPr="00262F3A">
              <w:t xml:space="preserve"> participant story in </w:t>
            </w:r>
            <w:r w:rsidR="00276349">
              <w:t>a</w:t>
            </w:r>
            <w:r w:rsidRPr="00262F3A">
              <w:t>nimation for Indigenous communities for easy translation into language</w:t>
            </w:r>
          </w:p>
        </w:tc>
        <w:tc>
          <w:tcPr>
            <w:tcW w:w="1928" w:type="dxa"/>
            <w:shd w:val="clear" w:color="auto" w:fill="auto"/>
          </w:tcPr>
          <w:p w14:paraId="3B9B37B0"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$110,000.00</w:t>
            </w:r>
          </w:p>
        </w:tc>
      </w:tr>
      <w:tr w:rsidR="00F450CC" w:rsidRPr="00262F3A" w14:paraId="336B2168" w14:textId="77777777" w:rsidTr="00DE5C7F">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3A0014F4" w14:textId="77777777" w:rsidR="00F450CC" w:rsidRPr="00262F3A" w:rsidRDefault="00F450CC" w:rsidP="00F450CC">
            <w:pPr>
              <w:pStyle w:val="Tableformat"/>
              <w:rPr>
                <w:b w:val="0"/>
              </w:rPr>
            </w:pPr>
            <w:r w:rsidRPr="00262F3A">
              <w:rPr>
                <w:b w:val="0"/>
              </w:rPr>
              <w:t>Universal McCann</w:t>
            </w:r>
          </w:p>
        </w:tc>
        <w:tc>
          <w:tcPr>
            <w:tcW w:w="4394" w:type="dxa"/>
            <w:shd w:val="clear" w:color="auto" w:fill="auto"/>
          </w:tcPr>
          <w:p w14:paraId="3030B60C"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Advertising services</w:t>
            </w:r>
          </w:p>
        </w:tc>
        <w:tc>
          <w:tcPr>
            <w:tcW w:w="1928" w:type="dxa"/>
            <w:shd w:val="clear" w:color="auto" w:fill="auto"/>
          </w:tcPr>
          <w:p w14:paraId="57C4C94B"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 xml:space="preserve">$274,838.24 </w:t>
            </w:r>
          </w:p>
        </w:tc>
      </w:tr>
      <w:tr w:rsidR="00F41C83" w:rsidRPr="00262F3A" w14:paraId="276ED1DC"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2FED607C" w14:textId="77777777" w:rsidR="00F41C83" w:rsidRPr="00262F3A" w:rsidRDefault="00F41C83" w:rsidP="00F41C83">
            <w:pPr>
              <w:pStyle w:val="Tableformat"/>
            </w:pPr>
            <w:r w:rsidRPr="00262F3A">
              <w:rPr>
                <w:b w:val="0"/>
              </w:rPr>
              <w:t>Universal McCann</w:t>
            </w:r>
          </w:p>
        </w:tc>
        <w:tc>
          <w:tcPr>
            <w:tcW w:w="4394" w:type="dxa"/>
            <w:shd w:val="clear" w:color="auto" w:fill="auto"/>
          </w:tcPr>
          <w:p w14:paraId="409B3662" w14:textId="30C5908C" w:rsidR="00F41C83" w:rsidRPr="00262F3A" w:rsidRDefault="00F41C83" w:rsidP="00F41C83">
            <w:pPr>
              <w:pStyle w:val="Tableformat"/>
              <w:cnfStyle w:val="000000100000" w:firstRow="0" w:lastRow="0" w:firstColumn="0" w:lastColumn="0" w:oddVBand="0" w:evenVBand="0" w:oddHBand="1" w:evenHBand="0" w:firstRowFirstColumn="0" w:firstRowLastColumn="0" w:lastRowFirstColumn="0" w:lastRowLastColumn="0"/>
            </w:pPr>
            <w:r w:rsidRPr="00262F3A">
              <w:t>Recruitment advertising</w:t>
            </w:r>
          </w:p>
        </w:tc>
        <w:tc>
          <w:tcPr>
            <w:tcW w:w="1928" w:type="dxa"/>
            <w:shd w:val="clear" w:color="auto" w:fill="auto"/>
          </w:tcPr>
          <w:p w14:paraId="1D82366E" w14:textId="11B3E013" w:rsidR="00F41C83" w:rsidRPr="00262F3A" w:rsidRDefault="00F41C83" w:rsidP="00F41C83">
            <w:pPr>
              <w:pStyle w:val="Tableformat"/>
              <w:cnfStyle w:val="000000100000" w:firstRow="0" w:lastRow="0" w:firstColumn="0" w:lastColumn="0" w:oddVBand="0" w:evenVBand="0" w:oddHBand="1" w:evenHBand="0" w:firstRowFirstColumn="0" w:firstRowLastColumn="0" w:lastRowFirstColumn="0" w:lastRowLastColumn="0"/>
            </w:pPr>
            <w:r w:rsidRPr="00262F3A">
              <w:t>$73,501.48</w:t>
            </w:r>
          </w:p>
        </w:tc>
      </w:tr>
      <w:tr w:rsidR="00F41C83" w:rsidRPr="00262F3A" w14:paraId="5383B9FB" w14:textId="77777777" w:rsidTr="00DE5C7F">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6175ABBA" w14:textId="77777777" w:rsidR="00F41C83" w:rsidRPr="00262F3A" w:rsidRDefault="00F41C83" w:rsidP="00F41C83">
            <w:pPr>
              <w:pStyle w:val="Tableformat"/>
            </w:pPr>
            <w:r w:rsidRPr="00262F3A">
              <w:rPr>
                <w:b w:val="0"/>
              </w:rPr>
              <w:t>Universal McCann</w:t>
            </w:r>
          </w:p>
        </w:tc>
        <w:tc>
          <w:tcPr>
            <w:tcW w:w="4394" w:type="dxa"/>
            <w:shd w:val="clear" w:color="auto" w:fill="auto"/>
          </w:tcPr>
          <w:p w14:paraId="7A49F15B" w14:textId="2A09D4B1" w:rsidR="00F41C83" w:rsidRPr="00262F3A" w:rsidRDefault="00F41C83" w:rsidP="00F41C83">
            <w:pPr>
              <w:pStyle w:val="Tableformat"/>
              <w:cnfStyle w:val="000000000000" w:firstRow="0" w:lastRow="0" w:firstColumn="0" w:lastColumn="0" w:oddVBand="0" w:evenVBand="0" w:oddHBand="0" w:evenHBand="0" w:firstRowFirstColumn="0" w:firstRowLastColumn="0" w:lastRowFirstColumn="0" w:lastRowLastColumn="0"/>
            </w:pPr>
            <w:r w:rsidRPr="00262F3A">
              <w:t>Recruitment advertising</w:t>
            </w:r>
          </w:p>
        </w:tc>
        <w:tc>
          <w:tcPr>
            <w:tcW w:w="1928" w:type="dxa"/>
            <w:shd w:val="clear" w:color="auto" w:fill="auto"/>
          </w:tcPr>
          <w:p w14:paraId="01BD3AC1" w14:textId="102E0C48" w:rsidR="00F41C83" w:rsidRPr="00262F3A" w:rsidRDefault="00F41C83" w:rsidP="00276349">
            <w:pPr>
              <w:pStyle w:val="Tableformat"/>
              <w:cnfStyle w:val="000000000000" w:firstRow="0" w:lastRow="0" w:firstColumn="0" w:lastColumn="0" w:oddVBand="0" w:evenVBand="0" w:oddHBand="0" w:evenHBand="0" w:firstRowFirstColumn="0" w:firstRowLastColumn="0" w:lastRowFirstColumn="0" w:lastRowLastColumn="0"/>
            </w:pPr>
            <w:r w:rsidRPr="00262F3A">
              <w:t>$101,982.74</w:t>
            </w:r>
          </w:p>
        </w:tc>
      </w:tr>
      <w:tr w:rsidR="00F450CC" w:rsidRPr="00262F3A" w14:paraId="167B41BD"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7F82B10B" w14:textId="77777777" w:rsidR="00F450CC" w:rsidRPr="00262F3A" w:rsidRDefault="00F450CC" w:rsidP="00F450CC">
            <w:pPr>
              <w:pStyle w:val="Tableformat"/>
              <w:rPr>
                <w:b w:val="0"/>
              </w:rPr>
            </w:pPr>
            <w:r w:rsidRPr="00262F3A">
              <w:rPr>
                <w:b w:val="0"/>
              </w:rPr>
              <w:t xml:space="preserve">Wellmark Pty Ltd </w:t>
            </w:r>
          </w:p>
        </w:tc>
        <w:tc>
          <w:tcPr>
            <w:tcW w:w="4394" w:type="dxa"/>
            <w:shd w:val="clear" w:color="auto" w:fill="auto"/>
          </w:tcPr>
          <w:p w14:paraId="53CEE230"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Campaign consultancy and resources </w:t>
            </w:r>
          </w:p>
        </w:tc>
        <w:tc>
          <w:tcPr>
            <w:tcW w:w="1928" w:type="dxa"/>
            <w:shd w:val="clear" w:color="auto" w:fill="auto"/>
          </w:tcPr>
          <w:p w14:paraId="42C83A8E"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$112,716.80</w:t>
            </w:r>
          </w:p>
        </w:tc>
      </w:tr>
    </w:tbl>
    <w:p w14:paraId="1195B592" w14:textId="77777777" w:rsidR="00F450CC" w:rsidRPr="00262F3A" w:rsidRDefault="00F450CC" w:rsidP="00901595">
      <w:pPr>
        <w:keepNext/>
      </w:pPr>
      <w:r w:rsidRPr="00262F3A">
        <w:rPr>
          <w:b/>
        </w:rPr>
        <w:t xml:space="preserve">Table </w:t>
      </w:r>
      <w:r w:rsidR="005D5BCA" w:rsidRPr="00262F3A">
        <w:rPr>
          <w:b/>
        </w:rPr>
        <w:t>5.11B</w:t>
      </w:r>
      <w:r w:rsidRPr="00B63CEB">
        <w:rPr>
          <w:b/>
        </w:rPr>
        <w:t>:</w:t>
      </w:r>
      <w:r w:rsidRPr="00262F3A">
        <w:t xml:space="preserve"> Payments to market research organisations in 2019–20</w:t>
      </w:r>
    </w:p>
    <w:tbl>
      <w:tblPr>
        <w:tblStyle w:val="GridTable2-Accent3"/>
        <w:tblW w:w="0" w:type="auto"/>
        <w:tblLook w:val="04A0" w:firstRow="1" w:lastRow="0" w:firstColumn="1" w:lastColumn="0" w:noHBand="0" w:noVBand="1"/>
        <w:tblCaption w:val="Table I2: Payment to market research organisations in 2017-18"/>
        <w:tblDescription w:val="This table provides that information on payments above $13,200 (including GST) to market research organisations in 2017-18. It includes the name of the organisation, the service that was provided and the amount that was paid."/>
      </w:tblPr>
      <w:tblGrid>
        <w:gridCol w:w="2751"/>
        <w:gridCol w:w="4337"/>
        <w:gridCol w:w="1938"/>
      </w:tblGrid>
      <w:tr w:rsidR="00F450CC" w:rsidRPr="00262F3A" w14:paraId="5FC5BB22" w14:textId="77777777" w:rsidTr="00F450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1" w:type="dxa"/>
            <w:shd w:val="clear" w:color="auto" w:fill="7030A0"/>
            <w:vAlign w:val="bottom"/>
          </w:tcPr>
          <w:p w14:paraId="37636793" w14:textId="77777777" w:rsidR="00F450CC" w:rsidRPr="00262F3A" w:rsidRDefault="00F450CC" w:rsidP="00F450CC">
            <w:pPr>
              <w:pStyle w:val="Tableformat"/>
              <w:rPr>
                <w:color w:val="FFFFFF" w:themeColor="background1"/>
              </w:rPr>
            </w:pPr>
            <w:r w:rsidRPr="00262F3A">
              <w:rPr>
                <w:color w:val="FFFFFF" w:themeColor="background1"/>
              </w:rPr>
              <w:t>Organisation</w:t>
            </w:r>
          </w:p>
        </w:tc>
        <w:tc>
          <w:tcPr>
            <w:tcW w:w="4337" w:type="dxa"/>
            <w:shd w:val="clear" w:color="auto" w:fill="7030A0"/>
            <w:vAlign w:val="bottom"/>
          </w:tcPr>
          <w:p w14:paraId="7B893B74"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Service provided </w:t>
            </w:r>
          </w:p>
        </w:tc>
        <w:tc>
          <w:tcPr>
            <w:tcW w:w="1938" w:type="dxa"/>
            <w:shd w:val="clear" w:color="auto" w:fill="7030A0"/>
          </w:tcPr>
          <w:p w14:paraId="5ABAD52A"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Amount paid </w:t>
            </w:r>
          </w:p>
          <w:p w14:paraId="4C908832"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 $ (including GST)</w:t>
            </w:r>
          </w:p>
        </w:tc>
      </w:tr>
      <w:tr w:rsidR="00F450CC" w:rsidRPr="00262F3A" w14:paraId="4ACFC787"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3FA8E071" w14:textId="77777777" w:rsidR="00F450CC" w:rsidRPr="00262F3A" w:rsidRDefault="00F450CC" w:rsidP="00F450CC">
            <w:pPr>
              <w:pStyle w:val="Tableformat"/>
              <w:rPr>
                <w:b w:val="0"/>
              </w:rPr>
            </w:pPr>
            <w:r w:rsidRPr="00262F3A">
              <w:rPr>
                <w:b w:val="0"/>
              </w:rPr>
              <w:t xml:space="preserve">National Ethnic Disability Alliance </w:t>
            </w:r>
          </w:p>
        </w:tc>
        <w:tc>
          <w:tcPr>
            <w:tcW w:w="4337" w:type="dxa"/>
            <w:shd w:val="clear" w:color="auto" w:fill="auto"/>
            <w:vAlign w:val="center"/>
          </w:tcPr>
          <w:p w14:paraId="4CB727C4"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Phase One and Phase Two deliverables of a joint community radio campaign project</w:t>
            </w:r>
          </w:p>
        </w:tc>
        <w:tc>
          <w:tcPr>
            <w:tcW w:w="1938" w:type="dxa"/>
            <w:shd w:val="clear" w:color="auto" w:fill="auto"/>
          </w:tcPr>
          <w:p w14:paraId="297D6671"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$187,000.00</w:t>
            </w:r>
          </w:p>
        </w:tc>
      </w:tr>
      <w:tr w:rsidR="00F450CC" w:rsidRPr="00262F3A" w14:paraId="332C0445" w14:textId="77777777" w:rsidTr="00DE5C7F">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20267504" w14:textId="77777777" w:rsidR="00F450CC" w:rsidRPr="00262F3A" w:rsidRDefault="00F450CC" w:rsidP="00F450CC">
            <w:pPr>
              <w:pStyle w:val="Tableformat"/>
              <w:rPr>
                <w:b w:val="0"/>
              </w:rPr>
            </w:pPr>
            <w:r w:rsidRPr="00262F3A">
              <w:rPr>
                <w:b w:val="0"/>
              </w:rPr>
              <w:t xml:space="preserve">Newgate Communications Pty Ltd </w:t>
            </w:r>
          </w:p>
        </w:tc>
        <w:tc>
          <w:tcPr>
            <w:tcW w:w="4337" w:type="dxa"/>
            <w:shd w:val="clear" w:color="auto" w:fill="auto"/>
            <w:vAlign w:val="center"/>
          </w:tcPr>
          <w:p w14:paraId="7E63CE4D"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Social media audit</w:t>
            </w:r>
          </w:p>
        </w:tc>
        <w:tc>
          <w:tcPr>
            <w:tcW w:w="1938" w:type="dxa"/>
            <w:shd w:val="clear" w:color="auto" w:fill="auto"/>
          </w:tcPr>
          <w:p w14:paraId="55EE547C"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$37,620.00</w:t>
            </w:r>
          </w:p>
        </w:tc>
      </w:tr>
      <w:tr w:rsidR="00F450CC" w:rsidRPr="00262F3A" w14:paraId="2D921CA1"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3AACA222" w14:textId="77777777" w:rsidR="00F450CC" w:rsidRPr="00262F3A" w:rsidRDefault="00F450CC" w:rsidP="00F450CC">
            <w:pPr>
              <w:pStyle w:val="Tableformat"/>
              <w:rPr>
                <w:b w:val="0"/>
              </w:rPr>
            </w:pPr>
            <w:r w:rsidRPr="00262F3A">
              <w:rPr>
                <w:b w:val="0"/>
              </w:rPr>
              <w:t>Hall and Partners</w:t>
            </w:r>
          </w:p>
        </w:tc>
        <w:tc>
          <w:tcPr>
            <w:tcW w:w="4337" w:type="dxa"/>
            <w:shd w:val="clear" w:color="auto" w:fill="auto"/>
            <w:vAlign w:val="center"/>
          </w:tcPr>
          <w:p w14:paraId="0BD4CEBE"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Qualitative research </w:t>
            </w:r>
          </w:p>
        </w:tc>
        <w:tc>
          <w:tcPr>
            <w:tcW w:w="1938" w:type="dxa"/>
            <w:shd w:val="clear" w:color="auto" w:fill="auto"/>
          </w:tcPr>
          <w:p w14:paraId="7E0C0112"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$243,839.86</w:t>
            </w:r>
          </w:p>
        </w:tc>
      </w:tr>
      <w:tr w:rsidR="00F450CC" w:rsidRPr="00262F3A" w14:paraId="7F5AC44D" w14:textId="77777777" w:rsidTr="00DE5C7F">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6DA0BB0C" w14:textId="77777777" w:rsidR="00F450CC" w:rsidRPr="00262F3A" w:rsidRDefault="00F450CC" w:rsidP="00F450CC">
            <w:pPr>
              <w:pStyle w:val="Tableformat"/>
              <w:rPr>
                <w:b w:val="0"/>
              </w:rPr>
            </w:pPr>
            <w:r w:rsidRPr="00262F3A">
              <w:rPr>
                <w:b w:val="0"/>
              </w:rPr>
              <w:t xml:space="preserve">Australia and New Zealand School of Government </w:t>
            </w:r>
          </w:p>
        </w:tc>
        <w:tc>
          <w:tcPr>
            <w:tcW w:w="4337" w:type="dxa"/>
            <w:shd w:val="clear" w:color="auto" w:fill="auto"/>
            <w:vAlign w:val="center"/>
          </w:tcPr>
          <w:p w14:paraId="4A34B92A" w14:textId="104C2540"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 xml:space="preserve">Specialist </w:t>
            </w:r>
            <w:r w:rsidR="000E3811" w:rsidRPr="00262F3A">
              <w:t xml:space="preserve">research and </w:t>
            </w:r>
            <w:r w:rsidRPr="00262F3A">
              <w:t>design support for the ILC Individual Capacity Building program and Technical Specialist Hub</w:t>
            </w:r>
          </w:p>
        </w:tc>
        <w:tc>
          <w:tcPr>
            <w:tcW w:w="1938" w:type="dxa"/>
            <w:shd w:val="clear" w:color="auto" w:fill="auto"/>
          </w:tcPr>
          <w:p w14:paraId="63B05932"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$32,472.00</w:t>
            </w:r>
          </w:p>
        </w:tc>
      </w:tr>
      <w:tr w:rsidR="00F450CC" w:rsidRPr="00262F3A" w14:paraId="4943012A"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5829C8D0" w14:textId="77777777" w:rsidR="00F450CC" w:rsidRPr="00262F3A" w:rsidRDefault="00F450CC" w:rsidP="00F450CC">
            <w:pPr>
              <w:pStyle w:val="Tableformat"/>
              <w:rPr>
                <w:b w:val="0"/>
              </w:rPr>
            </w:pPr>
            <w:r w:rsidRPr="00262F3A">
              <w:rPr>
                <w:b w:val="0"/>
              </w:rPr>
              <w:t xml:space="preserve">Australia and New Zealand School of Government </w:t>
            </w:r>
          </w:p>
        </w:tc>
        <w:tc>
          <w:tcPr>
            <w:tcW w:w="4337" w:type="dxa"/>
            <w:shd w:val="clear" w:color="auto" w:fill="auto"/>
            <w:vAlign w:val="center"/>
          </w:tcPr>
          <w:p w14:paraId="5609C3BB" w14:textId="1BCE83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Specialist </w:t>
            </w:r>
            <w:r w:rsidR="000E3811" w:rsidRPr="00262F3A">
              <w:t xml:space="preserve">research and </w:t>
            </w:r>
            <w:r w:rsidRPr="00262F3A">
              <w:t>design support for the ILC Individual Capacity Building program and Technical Specialist Hub</w:t>
            </w:r>
          </w:p>
        </w:tc>
        <w:tc>
          <w:tcPr>
            <w:tcW w:w="1938" w:type="dxa"/>
            <w:shd w:val="clear" w:color="auto" w:fill="auto"/>
          </w:tcPr>
          <w:p w14:paraId="4FA6B38D"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$59,300.00 </w:t>
            </w:r>
            <w:r w:rsidRPr="00262F3A">
              <w:br/>
              <w:t>(GST free)</w:t>
            </w:r>
          </w:p>
        </w:tc>
      </w:tr>
      <w:tr w:rsidR="00F450CC" w:rsidRPr="00262F3A" w14:paraId="60535555" w14:textId="77777777" w:rsidTr="00DE5C7F">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2A90730A" w14:textId="77777777" w:rsidR="00F450CC" w:rsidRPr="00262F3A" w:rsidRDefault="00F450CC" w:rsidP="00F450CC">
            <w:pPr>
              <w:pStyle w:val="Tableformat"/>
              <w:rPr>
                <w:b w:val="0"/>
              </w:rPr>
            </w:pPr>
            <w:r w:rsidRPr="00262F3A">
              <w:rPr>
                <w:b w:val="0"/>
              </w:rPr>
              <w:t xml:space="preserve">Australian Centre for Social Innovation </w:t>
            </w:r>
          </w:p>
        </w:tc>
        <w:tc>
          <w:tcPr>
            <w:tcW w:w="4337" w:type="dxa"/>
            <w:shd w:val="clear" w:color="auto" w:fill="auto"/>
            <w:vAlign w:val="center"/>
          </w:tcPr>
          <w:p w14:paraId="029A04C1" w14:textId="6270B557" w:rsidR="00F450CC" w:rsidRPr="00262F3A" w:rsidRDefault="000B2820" w:rsidP="000B2820">
            <w:pPr>
              <w:pStyle w:val="Tableformat"/>
              <w:cnfStyle w:val="000000000000" w:firstRow="0" w:lastRow="0" w:firstColumn="0" w:lastColumn="0" w:oddVBand="0" w:evenVBand="0" w:oddHBand="0" w:evenHBand="0" w:firstRowFirstColumn="0" w:firstRowLastColumn="0" w:lastRowFirstColumn="0" w:lastRowLastColumn="0"/>
            </w:pPr>
            <w:r w:rsidRPr="00262F3A">
              <w:t xml:space="preserve">Research and policy development for </w:t>
            </w:r>
            <w:r w:rsidR="00276349">
              <w:t>Individual Living Options Co-</w:t>
            </w:r>
            <w:r w:rsidR="00F450CC" w:rsidRPr="00262F3A">
              <w:t>design</w:t>
            </w:r>
            <w:r w:rsidR="00F10306" w:rsidRPr="00262F3A">
              <w:t xml:space="preserve"> </w:t>
            </w:r>
          </w:p>
        </w:tc>
        <w:tc>
          <w:tcPr>
            <w:tcW w:w="1938" w:type="dxa"/>
            <w:shd w:val="clear" w:color="auto" w:fill="auto"/>
          </w:tcPr>
          <w:p w14:paraId="69B5037A"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 xml:space="preserve">$224,859.37 </w:t>
            </w:r>
          </w:p>
        </w:tc>
      </w:tr>
      <w:tr w:rsidR="00F450CC" w:rsidRPr="00262F3A" w14:paraId="34548711"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77FD91F1" w14:textId="77777777" w:rsidR="00F450CC" w:rsidRPr="00262F3A" w:rsidRDefault="00F450CC" w:rsidP="00F450CC">
            <w:pPr>
              <w:pStyle w:val="Tableformat"/>
              <w:rPr>
                <w:b w:val="0"/>
              </w:rPr>
            </w:pPr>
            <w:r w:rsidRPr="00262F3A">
              <w:rPr>
                <w:b w:val="0"/>
              </w:rPr>
              <w:t xml:space="preserve">Australian Centre for Social Innovation </w:t>
            </w:r>
          </w:p>
        </w:tc>
        <w:tc>
          <w:tcPr>
            <w:tcW w:w="4337" w:type="dxa"/>
            <w:shd w:val="clear" w:color="auto" w:fill="auto"/>
            <w:vAlign w:val="center"/>
          </w:tcPr>
          <w:p w14:paraId="55D4B240" w14:textId="5DC3B47B" w:rsidR="00F450CC" w:rsidRPr="00262F3A" w:rsidRDefault="000B2820" w:rsidP="00F450CC">
            <w:pPr>
              <w:pStyle w:val="Tableformat"/>
              <w:cnfStyle w:val="000000100000" w:firstRow="0" w:lastRow="0" w:firstColumn="0" w:lastColumn="0" w:oddVBand="0" w:evenVBand="0" w:oddHBand="1" w:evenHBand="0" w:firstRowFirstColumn="0" w:firstRowLastColumn="0" w:lastRowFirstColumn="0" w:lastRowLastColumn="0"/>
            </w:pPr>
            <w:r w:rsidRPr="00262F3A">
              <w:t>Research and policy development f</w:t>
            </w:r>
            <w:r w:rsidR="00276349">
              <w:t>or Individual Living Options Co-</w:t>
            </w:r>
            <w:r w:rsidRPr="00262F3A">
              <w:t>design</w:t>
            </w:r>
          </w:p>
        </w:tc>
        <w:tc>
          <w:tcPr>
            <w:tcW w:w="1938" w:type="dxa"/>
            <w:shd w:val="clear" w:color="auto" w:fill="auto"/>
          </w:tcPr>
          <w:p w14:paraId="5BC72A13"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$71,535.00</w:t>
            </w:r>
          </w:p>
          <w:p w14:paraId="02A5F92B"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(GST free) </w:t>
            </w:r>
          </w:p>
        </w:tc>
      </w:tr>
      <w:tr w:rsidR="00F450CC" w:rsidRPr="00262F3A" w14:paraId="25E7A609" w14:textId="77777777" w:rsidTr="00DE5C7F">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29CE639B" w14:textId="77777777" w:rsidR="00F450CC" w:rsidRPr="00262F3A" w:rsidRDefault="00F450CC" w:rsidP="00F450CC">
            <w:pPr>
              <w:pStyle w:val="Tableformat"/>
              <w:rPr>
                <w:b w:val="0"/>
              </w:rPr>
            </w:pPr>
            <w:r w:rsidRPr="00262F3A">
              <w:rPr>
                <w:b w:val="0"/>
              </w:rPr>
              <w:t xml:space="preserve">Essence Communications Pty Ltd  </w:t>
            </w:r>
          </w:p>
        </w:tc>
        <w:tc>
          <w:tcPr>
            <w:tcW w:w="4337" w:type="dxa"/>
            <w:shd w:val="clear" w:color="auto" w:fill="auto"/>
            <w:vAlign w:val="center"/>
          </w:tcPr>
          <w:p w14:paraId="608DAAE2" w14:textId="4A3EB23D" w:rsidR="00F450CC" w:rsidRPr="00262F3A" w:rsidRDefault="00F450CC" w:rsidP="00243B92">
            <w:pPr>
              <w:pStyle w:val="Tableformat"/>
              <w:cnfStyle w:val="000000000000" w:firstRow="0" w:lastRow="0" w:firstColumn="0" w:lastColumn="0" w:oddVBand="0" w:evenVBand="0" w:oddHBand="0" w:evenHBand="0" w:firstRowFirstColumn="0" w:firstRowLastColumn="0" w:lastRowFirstColumn="0" w:lastRowLastColumn="0"/>
            </w:pPr>
            <w:r w:rsidRPr="00262F3A">
              <w:t>Industry and Participant surveys and Strategy and Summary document, including facilitation and presentation materials</w:t>
            </w:r>
          </w:p>
        </w:tc>
        <w:tc>
          <w:tcPr>
            <w:tcW w:w="1938" w:type="dxa"/>
            <w:shd w:val="clear" w:color="auto" w:fill="auto"/>
          </w:tcPr>
          <w:p w14:paraId="35E178E4" w14:textId="77777777" w:rsidR="00F450CC" w:rsidRPr="00262F3A" w:rsidRDefault="00F450CC" w:rsidP="00F450CC">
            <w:pPr>
              <w:pStyle w:val="Tableformat"/>
              <w:cnfStyle w:val="000000000000" w:firstRow="0" w:lastRow="0" w:firstColumn="0" w:lastColumn="0" w:oddVBand="0" w:evenVBand="0" w:oddHBand="0" w:evenHBand="0" w:firstRowFirstColumn="0" w:firstRowLastColumn="0" w:lastRowFirstColumn="0" w:lastRowLastColumn="0"/>
            </w:pPr>
            <w:r w:rsidRPr="00262F3A">
              <w:t>$26,950.00</w:t>
            </w:r>
          </w:p>
        </w:tc>
      </w:tr>
      <w:tr w:rsidR="00F450CC" w:rsidRPr="00262F3A" w14:paraId="4CFE3E9E" w14:textId="77777777" w:rsidTr="0042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vAlign w:val="center"/>
          </w:tcPr>
          <w:p w14:paraId="42D96DA1" w14:textId="77777777" w:rsidR="00F450CC" w:rsidRPr="00262F3A" w:rsidRDefault="00F450CC" w:rsidP="00F450CC">
            <w:pPr>
              <w:pStyle w:val="Tableformat"/>
              <w:rPr>
                <w:b w:val="0"/>
                <w:highlight w:val="magenta"/>
              </w:rPr>
            </w:pPr>
            <w:r w:rsidRPr="00262F3A">
              <w:rPr>
                <w:b w:val="0"/>
              </w:rPr>
              <w:t xml:space="preserve">McNair yellowSquares Pty Ltd </w:t>
            </w:r>
          </w:p>
        </w:tc>
        <w:tc>
          <w:tcPr>
            <w:tcW w:w="4337" w:type="dxa"/>
            <w:shd w:val="clear" w:color="auto" w:fill="auto"/>
            <w:vAlign w:val="center"/>
          </w:tcPr>
          <w:p w14:paraId="474D0C49" w14:textId="34C38BD4" w:rsidR="00F450CC" w:rsidRPr="00262F3A" w:rsidRDefault="00F450CC" w:rsidP="00243B92">
            <w:pPr>
              <w:pStyle w:val="Tableformat"/>
              <w:cnfStyle w:val="000000100000" w:firstRow="0" w:lastRow="0" w:firstColumn="0" w:lastColumn="0" w:oddVBand="0" w:evenVBand="0" w:oddHBand="1" w:evenHBand="0" w:firstRowFirstColumn="0" w:firstRowLastColumn="0" w:lastRowFirstColumn="0" w:lastRowLastColumn="0"/>
            </w:pPr>
            <w:r w:rsidRPr="00262F3A">
              <w:t>National Contact Centre</w:t>
            </w:r>
            <w:r w:rsidR="00243B92" w:rsidRPr="00262F3A">
              <w:t xml:space="preserve"> - </w:t>
            </w:r>
            <w:r w:rsidRPr="00262F3A">
              <w:t>Customer Satisfaction Survey</w:t>
            </w:r>
          </w:p>
        </w:tc>
        <w:tc>
          <w:tcPr>
            <w:tcW w:w="1938" w:type="dxa"/>
            <w:shd w:val="clear" w:color="auto" w:fill="auto"/>
          </w:tcPr>
          <w:p w14:paraId="71DD2C6D" w14:textId="3BCDBEF8" w:rsidR="00F450CC" w:rsidRPr="00262F3A" w:rsidRDefault="00065867" w:rsidP="00065867">
            <w:pPr>
              <w:pStyle w:val="Tableformat"/>
              <w:cnfStyle w:val="000000100000" w:firstRow="0" w:lastRow="0" w:firstColumn="0" w:lastColumn="0" w:oddVBand="0" w:evenVBand="0" w:oddHBand="1" w:evenHBand="0" w:firstRowFirstColumn="0" w:firstRowLastColumn="0" w:lastRowFirstColumn="0" w:lastRowLastColumn="0"/>
            </w:pPr>
            <w:r w:rsidRPr="00262F3A">
              <w:t>$284,84</w:t>
            </w:r>
            <w:r w:rsidR="00F450CC" w:rsidRPr="00262F3A">
              <w:t>9.66</w:t>
            </w:r>
          </w:p>
        </w:tc>
      </w:tr>
    </w:tbl>
    <w:p w14:paraId="50B51853" w14:textId="77777777" w:rsidR="00F450CC" w:rsidRPr="00262F3A" w:rsidRDefault="00F450CC" w:rsidP="00901595">
      <w:pPr>
        <w:keepNext/>
      </w:pPr>
      <w:r w:rsidRPr="00262F3A">
        <w:rPr>
          <w:b/>
        </w:rPr>
        <w:lastRenderedPageBreak/>
        <w:t xml:space="preserve">Table </w:t>
      </w:r>
      <w:r w:rsidR="008822EE" w:rsidRPr="00262F3A">
        <w:rPr>
          <w:b/>
        </w:rPr>
        <w:t>5.11C</w:t>
      </w:r>
      <w:r w:rsidRPr="00262F3A">
        <w:rPr>
          <w:b/>
        </w:rPr>
        <w:t>:</w:t>
      </w:r>
      <w:r w:rsidRPr="00262F3A">
        <w:t xml:space="preserve"> Payments to polling organisations in 2019–20</w:t>
      </w:r>
    </w:p>
    <w:tbl>
      <w:tblPr>
        <w:tblStyle w:val="GridTable2-Accent3"/>
        <w:tblW w:w="0" w:type="auto"/>
        <w:tblLook w:val="04A0" w:firstRow="1" w:lastRow="0" w:firstColumn="1" w:lastColumn="0" w:noHBand="0" w:noVBand="1"/>
        <w:tblCaption w:val="Table I3: Payments to polling organisations in 2017-18 "/>
        <w:tblDescription w:val="This table provides the information on payments above $13,200 (including GST) to polling organisations in 2017-18."/>
      </w:tblPr>
      <w:tblGrid>
        <w:gridCol w:w="2694"/>
        <w:gridCol w:w="4394"/>
        <w:gridCol w:w="1928"/>
      </w:tblGrid>
      <w:tr w:rsidR="00F450CC" w:rsidRPr="00262F3A" w14:paraId="6246B0A1" w14:textId="77777777" w:rsidTr="00F450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vAlign w:val="bottom"/>
          </w:tcPr>
          <w:p w14:paraId="4E731BB1" w14:textId="77777777" w:rsidR="00F450CC" w:rsidRPr="00262F3A" w:rsidRDefault="00F450CC" w:rsidP="00F450CC">
            <w:pPr>
              <w:pStyle w:val="Tableformat"/>
              <w:rPr>
                <w:color w:val="FFFFFF" w:themeColor="background1"/>
              </w:rPr>
            </w:pPr>
            <w:r w:rsidRPr="00262F3A">
              <w:rPr>
                <w:color w:val="FFFFFF" w:themeColor="background1"/>
              </w:rPr>
              <w:t>Organisation</w:t>
            </w:r>
          </w:p>
        </w:tc>
        <w:tc>
          <w:tcPr>
            <w:tcW w:w="4394" w:type="dxa"/>
            <w:shd w:val="clear" w:color="auto" w:fill="7030A0"/>
            <w:vAlign w:val="bottom"/>
          </w:tcPr>
          <w:p w14:paraId="30FA3296"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Service provided </w:t>
            </w:r>
          </w:p>
        </w:tc>
        <w:tc>
          <w:tcPr>
            <w:tcW w:w="1928" w:type="dxa"/>
            <w:shd w:val="clear" w:color="auto" w:fill="7030A0"/>
          </w:tcPr>
          <w:p w14:paraId="097383CE"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Amount paid </w:t>
            </w:r>
          </w:p>
          <w:p w14:paraId="2F942B1C"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 $ (including GST)</w:t>
            </w:r>
          </w:p>
        </w:tc>
      </w:tr>
      <w:tr w:rsidR="00F450CC" w:rsidRPr="00262F3A" w14:paraId="65D339D2"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4CF2FA10" w14:textId="77777777" w:rsidR="00F450CC" w:rsidRPr="00262F3A" w:rsidRDefault="00F450CC" w:rsidP="00F450CC">
            <w:pPr>
              <w:pStyle w:val="Tableformat"/>
              <w:rPr>
                <w:b w:val="0"/>
              </w:rPr>
            </w:pPr>
            <w:r w:rsidRPr="00262F3A">
              <w:rPr>
                <w:b w:val="0"/>
              </w:rPr>
              <w:t xml:space="preserve">Nil </w:t>
            </w:r>
          </w:p>
        </w:tc>
        <w:tc>
          <w:tcPr>
            <w:tcW w:w="4394" w:type="dxa"/>
            <w:shd w:val="clear" w:color="auto" w:fill="auto"/>
          </w:tcPr>
          <w:p w14:paraId="20700F08"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p>
        </w:tc>
        <w:tc>
          <w:tcPr>
            <w:tcW w:w="1928" w:type="dxa"/>
            <w:shd w:val="clear" w:color="auto" w:fill="auto"/>
          </w:tcPr>
          <w:p w14:paraId="05FD69DF"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p>
        </w:tc>
      </w:tr>
    </w:tbl>
    <w:p w14:paraId="735E14C3" w14:textId="77777777" w:rsidR="00F450CC" w:rsidRPr="00262F3A" w:rsidRDefault="00F450CC" w:rsidP="00901595">
      <w:pPr>
        <w:keepNext/>
      </w:pPr>
      <w:r w:rsidRPr="00262F3A">
        <w:rPr>
          <w:b/>
        </w:rPr>
        <w:t xml:space="preserve">Table </w:t>
      </w:r>
      <w:r w:rsidR="008822EE" w:rsidRPr="00262F3A">
        <w:rPr>
          <w:b/>
        </w:rPr>
        <w:t>5.11D</w:t>
      </w:r>
      <w:r w:rsidRPr="00262F3A">
        <w:rPr>
          <w:b/>
        </w:rPr>
        <w:t>:</w:t>
      </w:r>
      <w:r w:rsidRPr="00262F3A">
        <w:t xml:space="preserve"> Payments to direct mail organisations in 2019–20</w:t>
      </w:r>
    </w:p>
    <w:tbl>
      <w:tblPr>
        <w:tblStyle w:val="GridTable2-Accent3"/>
        <w:tblW w:w="0" w:type="auto"/>
        <w:tblLook w:val="04A0" w:firstRow="1" w:lastRow="0" w:firstColumn="1" w:lastColumn="0" w:noHBand="0" w:noVBand="1"/>
        <w:tblCaption w:val="Table I4: Payments to direct mail organisations in 2017-18"/>
        <w:tblDescription w:val="This table provides that information on payments above $13,200 (including GST) to direct mail organisations in 2017-18. It includes the name of the organisation, the service that was provided and the amount that was paid."/>
      </w:tblPr>
      <w:tblGrid>
        <w:gridCol w:w="2694"/>
        <w:gridCol w:w="4394"/>
        <w:gridCol w:w="1928"/>
      </w:tblGrid>
      <w:tr w:rsidR="00F450CC" w:rsidRPr="00262F3A" w14:paraId="590CC56B" w14:textId="77777777" w:rsidTr="00F450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vAlign w:val="bottom"/>
          </w:tcPr>
          <w:p w14:paraId="7B4F771F" w14:textId="77777777" w:rsidR="00F450CC" w:rsidRPr="00262F3A" w:rsidRDefault="00F450CC" w:rsidP="00F450CC">
            <w:pPr>
              <w:pStyle w:val="Tableformat"/>
              <w:rPr>
                <w:color w:val="FFFFFF" w:themeColor="background1"/>
              </w:rPr>
            </w:pPr>
            <w:r w:rsidRPr="00262F3A">
              <w:rPr>
                <w:color w:val="FFFFFF" w:themeColor="background1"/>
              </w:rPr>
              <w:t>Organisation</w:t>
            </w:r>
          </w:p>
        </w:tc>
        <w:tc>
          <w:tcPr>
            <w:tcW w:w="4394" w:type="dxa"/>
            <w:shd w:val="clear" w:color="auto" w:fill="7030A0"/>
            <w:vAlign w:val="bottom"/>
          </w:tcPr>
          <w:p w14:paraId="3299CAE3"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Service provided </w:t>
            </w:r>
          </w:p>
        </w:tc>
        <w:tc>
          <w:tcPr>
            <w:tcW w:w="1928" w:type="dxa"/>
            <w:shd w:val="clear" w:color="auto" w:fill="7030A0"/>
          </w:tcPr>
          <w:p w14:paraId="51092C39"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Amount paid </w:t>
            </w:r>
          </w:p>
          <w:p w14:paraId="67F264AA"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 $ (including GST)</w:t>
            </w:r>
          </w:p>
        </w:tc>
      </w:tr>
      <w:tr w:rsidR="00F450CC" w:rsidRPr="00262F3A" w14:paraId="50C68678"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59FE76C8" w14:textId="77777777" w:rsidR="00F450CC" w:rsidRPr="00262F3A" w:rsidRDefault="00F450CC" w:rsidP="00F450CC">
            <w:pPr>
              <w:pStyle w:val="Tableformat"/>
              <w:rPr>
                <w:b w:val="0"/>
              </w:rPr>
            </w:pPr>
            <w:r w:rsidRPr="00262F3A">
              <w:rPr>
                <w:b w:val="0"/>
              </w:rPr>
              <w:t xml:space="preserve">National Mailing and Marketing </w:t>
            </w:r>
          </w:p>
        </w:tc>
        <w:tc>
          <w:tcPr>
            <w:tcW w:w="4394" w:type="dxa"/>
            <w:shd w:val="clear" w:color="auto" w:fill="auto"/>
          </w:tcPr>
          <w:p w14:paraId="121FB97D"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 xml:space="preserve">Warehousing and distribution </w:t>
            </w:r>
          </w:p>
        </w:tc>
        <w:tc>
          <w:tcPr>
            <w:tcW w:w="1928" w:type="dxa"/>
            <w:shd w:val="clear" w:color="auto" w:fill="auto"/>
          </w:tcPr>
          <w:p w14:paraId="661BBA4A" w14:textId="77777777"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r w:rsidRPr="00262F3A">
              <w:t>$247,186.32</w:t>
            </w:r>
          </w:p>
        </w:tc>
      </w:tr>
    </w:tbl>
    <w:p w14:paraId="6B217E69" w14:textId="77777777" w:rsidR="00F450CC" w:rsidRPr="00262F3A" w:rsidRDefault="00F450CC" w:rsidP="00901595">
      <w:pPr>
        <w:keepNext/>
      </w:pPr>
      <w:r w:rsidRPr="00262F3A">
        <w:rPr>
          <w:b/>
        </w:rPr>
        <w:t xml:space="preserve">Table </w:t>
      </w:r>
      <w:r w:rsidR="008822EE" w:rsidRPr="00262F3A">
        <w:rPr>
          <w:b/>
        </w:rPr>
        <w:t>5.11E</w:t>
      </w:r>
      <w:r w:rsidRPr="000E12A8">
        <w:rPr>
          <w:b/>
        </w:rPr>
        <w:t>:</w:t>
      </w:r>
      <w:r w:rsidRPr="00262F3A">
        <w:t xml:space="preserve"> Payments to direct media advertising organisations in 2019–20</w:t>
      </w:r>
    </w:p>
    <w:tbl>
      <w:tblPr>
        <w:tblStyle w:val="GridTable2-Accent3"/>
        <w:tblW w:w="0" w:type="auto"/>
        <w:tblLook w:val="04A0" w:firstRow="1" w:lastRow="0" w:firstColumn="1" w:lastColumn="0" w:noHBand="0" w:noVBand="1"/>
        <w:tblCaption w:val="Table I5: Payments to direct media advertising organisations in 2017-18"/>
        <w:tblDescription w:val="This table provides that information on payments above $13,200 (including GST) to direct media advertising organisations in 2017-18. It includes the name of the organisation, the service that was provided and the amount that was paid."/>
      </w:tblPr>
      <w:tblGrid>
        <w:gridCol w:w="2694"/>
        <w:gridCol w:w="4389"/>
        <w:gridCol w:w="1933"/>
      </w:tblGrid>
      <w:tr w:rsidR="00F450CC" w:rsidRPr="00262F3A" w14:paraId="2B295E21" w14:textId="77777777" w:rsidTr="00F450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vAlign w:val="bottom"/>
          </w:tcPr>
          <w:p w14:paraId="7EFB73A8" w14:textId="77777777" w:rsidR="00F450CC" w:rsidRPr="00262F3A" w:rsidRDefault="00F450CC" w:rsidP="00F450CC">
            <w:pPr>
              <w:pStyle w:val="Tableformat"/>
              <w:rPr>
                <w:color w:val="FFFFFF" w:themeColor="background1"/>
              </w:rPr>
            </w:pPr>
            <w:r w:rsidRPr="00262F3A">
              <w:rPr>
                <w:color w:val="FFFFFF" w:themeColor="background1"/>
              </w:rPr>
              <w:t>Organisation</w:t>
            </w:r>
          </w:p>
        </w:tc>
        <w:tc>
          <w:tcPr>
            <w:tcW w:w="4389" w:type="dxa"/>
            <w:shd w:val="clear" w:color="auto" w:fill="7030A0"/>
            <w:vAlign w:val="bottom"/>
          </w:tcPr>
          <w:p w14:paraId="0F90FB6E"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Service provided </w:t>
            </w:r>
          </w:p>
        </w:tc>
        <w:tc>
          <w:tcPr>
            <w:tcW w:w="1933" w:type="dxa"/>
            <w:shd w:val="clear" w:color="auto" w:fill="7030A0"/>
          </w:tcPr>
          <w:p w14:paraId="480A6721"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Amount paid </w:t>
            </w:r>
          </w:p>
          <w:p w14:paraId="5223315B" w14:textId="77777777" w:rsidR="00F450CC" w:rsidRPr="00262F3A" w:rsidRDefault="00F450CC" w:rsidP="00F450CC">
            <w:pPr>
              <w:pStyle w:val="Tableformat"/>
              <w:cnfStyle w:val="100000000000" w:firstRow="1" w:lastRow="0" w:firstColumn="0" w:lastColumn="0" w:oddVBand="0" w:evenVBand="0" w:oddHBand="0" w:evenHBand="0" w:firstRowFirstColumn="0" w:firstRowLastColumn="0" w:lastRowFirstColumn="0" w:lastRowLastColumn="0"/>
              <w:rPr>
                <w:color w:val="FFFFFF" w:themeColor="background1"/>
              </w:rPr>
            </w:pPr>
            <w:r w:rsidRPr="00262F3A">
              <w:rPr>
                <w:color w:val="FFFFFF" w:themeColor="background1"/>
              </w:rPr>
              <w:t xml:space="preserve"> $ (including GST)</w:t>
            </w:r>
          </w:p>
        </w:tc>
      </w:tr>
      <w:tr w:rsidR="00F450CC" w:rsidRPr="00262F3A" w14:paraId="372B32F9" w14:textId="77777777" w:rsidTr="00DE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vAlign w:val="center"/>
          </w:tcPr>
          <w:p w14:paraId="6D0CEB4E" w14:textId="54B5DD55" w:rsidR="00F450CC" w:rsidRPr="00262F3A" w:rsidRDefault="00C004E8" w:rsidP="00C004E8">
            <w:pPr>
              <w:pStyle w:val="Tableformat"/>
              <w:rPr>
                <w:b w:val="0"/>
              </w:rPr>
            </w:pPr>
            <w:r w:rsidRPr="00262F3A">
              <w:rPr>
                <w:b w:val="0"/>
              </w:rPr>
              <w:t>Nil</w:t>
            </w:r>
          </w:p>
        </w:tc>
        <w:tc>
          <w:tcPr>
            <w:tcW w:w="4389" w:type="dxa"/>
            <w:shd w:val="clear" w:color="auto" w:fill="auto"/>
            <w:vAlign w:val="center"/>
          </w:tcPr>
          <w:p w14:paraId="23AC0EF1" w14:textId="37469C88"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p>
        </w:tc>
        <w:tc>
          <w:tcPr>
            <w:tcW w:w="1933" w:type="dxa"/>
            <w:shd w:val="clear" w:color="auto" w:fill="auto"/>
          </w:tcPr>
          <w:p w14:paraId="1AC5F3EB" w14:textId="07525591" w:rsidR="00F450CC" w:rsidRPr="00262F3A" w:rsidRDefault="00F450CC" w:rsidP="00F450CC">
            <w:pPr>
              <w:pStyle w:val="Tableformat"/>
              <w:cnfStyle w:val="000000100000" w:firstRow="0" w:lastRow="0" w:firstColumn="0" w:lastColumn="0" w:oddVBand="0" w:evenVBand="0" w:oddHBand="1" w:evenHBand="0" w:firstRowFirstColumn="0" w:firstRowLastColumn="0" w:lastRowFirstColumn="0" w:lastRowLastColumn="0"/>
            </w:pPr>
          </w:p>
        </w:tc>
      </w:tr>
    </w:tbl>
    <w:p w14:paraId="0F4F4191" w14:textId="4C6C0554" w:rsidR="001D739F" w:rsidRPr="00262F3A" w:rsidRDefault="001D739F" w:rsidP="008F00D1">
      <w:pPr>
        <w:pStyle w:val="Heading2"/>
      </w:pPr>
      <w:bookmarkStart w:id="181" w:name="_Toc51068014"/>
      <w:r w:rsidRPr="00262F3A">
        <w:t>Ecologically sustainable development and environmental performance</w:t>
      </w:r>
      <w:bookmarkEnd w:id="180"/>
      <w:bookmarkEnd w:id="181"/>
      <w:r w:rsidRPr="00262F3A">
        <w:t xml:space="preserve"> </w:t>
      </w:r>
    </w:p>
    <w:p w14:paraId="6E93199C" w14:textId="4390DB3B" w:rsidR="00F450CC" w:rsidRPr="00262F3A" w:rsidRDefault="00F450CC" w:rsidP="00F450CC">
      <w:pPr>
        <w:autoSpaceDE w:val="0"/>
        <w:autoSpaceDN w:val="0"/>
        <w:adjustRightInd w:val="0"/>
        <w:spacing w:before="100" w:line="191" w:lineRule="atLeast"/>
      </w:pPr>
      <w:bookmarkStart w:id="182" w:name="_Toc23603205"/>
      <w:r w:rsidRPr="00262F3A">
        <w:t xml:space="preserve">In March 2019, the </w:t>
      </w:r>
      <w:r w:rsidR="00095152" w:rsidRPr="00262F3A">
        <w:t>Agency</w:t>
      </w:r>
      <w:r w:rsidRPr="00262F3A">
        <w:t xml:space="preserve"> opened its </w:t>
      </w:r>
      <w:r w:rsidR="00276349">
        <w:t>n</w:t>
      </w:r>
      <w:r w:rsidRPr="00262F3A">
        <w:t xml:space="preserve">ational </w:t>
      </w:r>
      <w:r w:rsidR="00276349">
        <w:t>o</w:t>
      </w:r>
      <w:r w:rsidRPr="00262F3A">
        <w:t>ffice in Geelong</w:t>
      </w:r>
      <w:r w:rsidR="00276349">
        <w:t>.  T</w:t>
      </w:r>
      <w:r w:rsidRPr="00262F3A">
        <w:t xml:space="preserve">his state-of-the-art building leads the way in ecologically sustainable development and environmental performance. </w:t>
      </w:r>
    </w:p>
    <w:p w14:paraId="1C4A6FE2" w14:textId="77777777" w:rsidR="00F450CC" w:rsidRPr="00262F3A" w:rsidRDefault="00F450CC" w:rsidP="00F450CC">
      <w:pPr>
        <w:autoSpaceDE w:val="0"/>
        <w:autoSpaceDN w:val="0"/>
        <w:adjustRightInd w:val="0"/>
        <w:spacing w:before="100" w:line="191" w:lineRule="atLeast"/>
      </w:pPr>
      <w:r w:rsidRPr="00262F3A">
        <w:t>Some examples of these initiatives include:</w:t>
      </w:r>
    </w:p>
    <w:p w14:paraId="6EB2EE77" w14:textId="76AB9BD2" w:rsidR="00F450CC" w:rsidRPr="00262F3A" w:rsidRDefault="00FF144A" w:rsidP="006D2911">
      <w:pPr>
        <w:pStyle w:val="ListParagraph"/>
        <w:numPr>
          <w:ilvl w:val="0"/>
          <w:numId w:val="15"/>
        </w:numPr>
        <w:autoSpaceDE w:val="0"/>
        <w:autoSpaceDN w:val="0"/>
        <w:adjustRightInd w:val="0"/>
        <w:spacing w:before="100" w:line="191" w:lineRule="atLeast"/>
      </w:pPr>
      <w:r>
        <w:t>r</w:t>
      </w:r>
      <w:r w:rsidRPr="00262F3A">
        <w:t>ain</w:t>
      </w:r>
      <w:r>
        <w:t xml:space="preserve"> </w:t>
      </w:r>
      <w:r w:rsidR="00F450CC" w:rsidRPr="00262F3A">
        <w:t>water harvesting systems and grey water systems, which support amenities. In addition, all taps throughout the building have sensors ins</w:t>
      </w:r>
      <w:r w:rsidR="00276349">
        <w:t>talled for increased efficiency</w:t>
      </w:r>
    </w:p>
    <w:p w14:paraId="6173425D" w14:textId="4FE2B0D7" w:rsidR="00F450CC" w:rsidRPr="00262F3A" w:rsidRDefault="00276349" w:rsidP="006D2911">
      <w:pPr>
        <w:pStyle w:val="ListParagraph"/>
        <w:numPr>
          <w:ilvl w:val="0"/>
          <w:numId w:val="15"/>
        </w:numPr>
        <w:autoSpaceDE w:val="0"/>
        <w:autoSpaceDN w:val="0"/>
        <w:adjustRightInd w:val="0"/>
        <w:spacing w:before="100" w:line="191" w:lineRule="atLeast"/>
      </w:pPr>
      <w:r>
        <w:t>g</w:t>
      </w:r>
      <w:r w:rsidR="00F450CC" w:rsidRPr="00262F3A">
        <w:t>rid power to supplementary systems through solar panels on the roof</w:t>
      </w:r>
      <w:r w:rsidR="001B0A3B">
        <w:t>;</w:t>
      </w:r>
      <w:r w:rsidR="00F450CC" w:rsidRPr="00262F3A">
        <w:t xml:space="preserve"> this</w:t>
      </w:r>
      <w:r>
        <w:t xml:space="preserve"> is</w:t>
      </w:r>
      <w:r w:rsidR="00F450CC" w:rsidRPr="00262F3A">
        <w:t xml:space="preserve"> further assisted by co-generation of power by t</w:t>
      </w:r>
      <w:r>
        <w:t>he lift car/elevator system</w:t>
      </w:r>
    </w:p>
    <w:p w14:paraId="1DC5E2CC" w14:textId="7ED34D1D" w:rsidR="00F450CC" w:rsidRPr="00262F3A" w:rsidRDefault="00276349" w:rsidP="006D2911">
      <w:pPr>
        <w:pStyle w:val="ListParagraph"/>
        <w:numPr>
          <w:ilvl w:val="0"/>
          <w:numId w:val="15"/>
        </w:numPr>
        <w:autoSpaceDE w:val="0"/>
        <w:autoSpaceDN w:val="0"/>
        <w:adjustRightInd w:val="0"/>
        <w:spacing w:before="100" w:line="191" w:lineRule="atLeast"/>
      </w:pPr>
      <w:r>
        <w:t>t</w:t>
      </w:r>
      <w:r w:rsidR="00F450CC" w:rsidRPr="00262F3A">
        <w:t xml:space="preserve">hermochromic glass that utilises light harvesting to assist with temperature control throughout. </w:t>
      </w:r>
    </w:p>
    <w:p w14:paraId="4B9A6CFF" w14:textId="153A182B" w:rsidR="00F450CC" w:rsidRPr="00262F3A" w:rsidRDefault="00F450CC" w:rsidP="00F450CC">
      <w:pPr>
        <w:autoSpaceDE w:val="0"/>
        <w:autoSpaceDN w:val="0"/>
        <w:adjustRightInd w:val="0"/>
        <w:spacing w:before="100" w:line="191" w:lineRule="atLeast"/>
      </w:pPr>
      <w:r w:rsidRPr="00262F3A">
        <w:t xml:space="preserve">Across the </w:t>
      </w:r>
      <w:r w:rsidR="00095152" w:rsidRPr="00262F3A">
        <w:t>Agency</w:t>
      </w:r>
      <w:r w:rsidRPr="00262F3A">
        <w:t xml:space="preserve"> </w:t>
      </w:r>
      <w:r w:rsidR="00276349">
        <w:t>p</w:t>
      </w:r>
      <w:r w:rsidRPr="00262F3A">
        <w:t xml:space="preserve">roperty </w:t>
      </w:r>
      <w:r w:rsidR="00276349">
        <w:t>p</w:t>
      </w:r>
      <w:r w:rsidRPr="00262F3A">
        <w:t>ortfolio, the following features are installed:</w:t>
      </w:r>
    </w:p>
    <w:p w14:paraId="7E545803" w14:textId="627E9AE6" w:rsidR="00F450CC" w:rsidRPr="00262F3A" w:rsidRDefault="00276349" w:rsidP="006D2911">
      <w:pPr>
        <w:pStyle w:val="ListParagraph"/>
        <w:numPr>
          <w:ilvl w:val="0"/>
          <w:numId w:val="15"/>
        </w:numPr>
        <w:autoSpaceDE w:val="0"/>
        <w:autoSpaceDN w:val="0"/>
        <w:adjustRightInd w:val="0"/>
        <w:spacing w:before="100" w:line="191" w:lineRule="atLeast"/>
      </w:pPr>
      <w:r>
        <w:t>e</w:t>
      </w:r>
      <w:r w:rsidR="00F450CC" w:rsidRPr="00262F3A">
        <w:t>nergy-efficient T5 fluorescent lights and light emitting diode (LED) lighting in all open-plan areas and meeting room</w:t>
      </w:r>
      <w:r>
        <w:t>s, coupled with sensor controls</w:t>
      </w:r>
    </w:p>
    <w:p w14:paraId="04C16214" w14:textId="7D65DFAE" w:rsidR="00F450CC" w:rsidRPr="00262F3A" w:rsidRDefault="00276349" w:rsidP="006D2911">
      <w:pPr>
        <w:pStyle w:val="ListParagraph"/>
        <w:numPr>
          <w:ilvl w:val="0"/>
          <w:numId w:val="15"/>
        </w:numPr>
        <w:autoSpaceDE w:val="0"/>
        <w:autoSpaceDN w:val="0"/>
        <w:adjustRightInd w:val="0"/>
        <w:spacing w:before="100" w:line="191" w:lineRule="atLeast"/>
      </w:pPr>
      <w:r>
        <w:t>e</w:t>
      </w:r>
      <w:r w:rsidR="00F450CC" w:rsidRPr="00262F3A">
        <w:t>nergy-efficient variable refrigerant flow air-conditioning systems t</w:t>
      </w:r>
      <w:r>
        <w:t>hat are operated via time clock</w:t>
      </w:r>
    </w:p>
    <w:p w14:paraId="09DC5DD4" w14:textId="0C965EB5" w:rsidR="00F450CC" w:rsidRPr="00262F3A" w:rsidRDefault="00276349" w:rsidP="006D2911">
      <w:pPr>
        <w:pStyle w:val="ListParagraph"/>
        <w:numPr>
          <w:ilvl w:val="0"/>
          <w:numId w:val="15"/>
        </w:numPr>
        <w:autoSpaceDE w:val="0"/>
        <w:autoSpaceDN w:val="0"/>
        <w:adjustRightInd w:val="0"/>
        <w:spacing w:before="100" w:line="191" w:lineRule="atLeast"/>
      </w:pPr>
      <w:r>
        <w:t>low-flow sanitary fixtures</w:t>
      </w:r>
    </w:p>
    <w:p w14:paraId="66084935" w14:textId="46A6FD4D" w:rsidR="00F450CC" w:rsidRPr="00262F3A" w:rsidRDefault="00276349" w:rsidP="006D2911">
      <w:pPr>
        <w:pStyle w:val="ListParagraph"/>
        <w:numPr>
          <w:ilvl w:val="0"/>
          <w:numId w:val="15"/>
        </w:numPr>
        <w:autoSpaceDE w:val="0"/>
        <w:autoSpaceDN w:val="0"/>
        <w:adjustRightInd w:val="0"/>
        <w:spacing w:before="100" w:line="191" w:lineRule="atLeast"/>
      </w:pPr>
      <w:r>
        <w:t>g</w:t>
      </w:r>
      <w:r w:rsidR="00F450CC" w:rsidRPr="00262F3A">
        <w:t>eneral waste and recyclable bins to suit the size of the tenancy.</w:t>
      </w:r>
    </w:p>
    <w:p w14:paraId="66ED631F" w14:textId="54AFF0EC" w:rsidR="00F450CC" w:rsidRPr="00262F3A" w:rsidRDefault="00F450CC" w:rsidP="00F450CC">
      <w:pPr>
        <w:autoSpaceDE w:val="0"/>
        <w:autoSpaceDN w:val="0"/>
        <w:adjustRightInd w:val="0"/>
        <w:spacing w:before="100" w:line="191" w:lineRule="atLeast"/>
      </w:pPr>
      <w:r w:rsidRPr="00262F3A">
        <w:t xml:space="preserve">In addition to the above, the Agency has been proactive in introducing ecologically sustainable measures to its </w:t>
      </w:r>
      <w:r w:rsidR="00276349">
        <w:t>f</w:t>
      </w:r>
      <w:r w:rsidRPr="00262F3A">
        <w:t xml:space="preserve">leet </w:t>
      </w:r>
      <w:r w:rsidR="00276349">
        <w:t>p</w:t>
      </w:r>
      <w:r w:rsidRPr="00262F3A">
        <w:t>ortfolio, with a view to move to a wholly hybrid passenger vehicle base. Fleet management have introduced a program</w:t>
      </w:r>
      <w:r w:rsidR="00276349">
        <w:t xml:space="preserve"> under which</w:t>
      </w:r>
      <w:r w:rsidRPr="00262F3A">
        <w:t xml:space="preserve"> the current model of sport utility vehicles (Nissan X-Trail) will be replaced by a hybrid counterpart. Currently, the four-wheel drive market is limited to petrol and diesel options</w:t>
      </w:r>
      <w:r w:rsidR="00276349">
        <w:t>;</w:t>
      </w:r>
      <w:r w:rsidRPr="00262F3A">
        <w:t xml:space="preserve"> however</w:t>
      </w:r>
      <w:r w:rsidR="00276349">
        <w:t>,</w:t>
      </w:r>
      <w:r w:rsidRPr="00262F3A">
        <w:t xml:space="preserve"> the Agency continues to endeavour to take sustainable action where possible. </w:t>
      </w:r>
    </w:p>
    <w:p w14:paraId="3C00998B" w14:textId="7B2642C0" w:rsidR="008822EE" w:rsidRPr="00262F3A" w:rsidRDefault="00F450CC" w:rsidP="00F450CC">
      <w:pPr>
        <w:autoSpaceDE w:val="0"/>
        <w:autoSpaceDN w:val="0"/>
        <w:adjustRightInd w:val="0"/>
        <w:spacing w:before="100" w:line="191" w:lineRule="atLeast"/>
      </w:pPr>
      <w:r w:rsidRPr="00262F3A">
        <w:lastRenderedPageBreak/>
        <w:t xml:space="preserve">As of 30 June 2020, hybrid vehicles make up </w:t>
      </w:r>
      <w:r w:rsidR="00276349">
        <w:t xml:space="preserve">65 </w:t>
      </w:r>
      <w:r w:rsidRPr="00262F3A">
        <w:t xml:space="preserve">per cent of the Agency’s fleet portfolio. </w:t>
      </w:r>
    </w:p>
    <w:p w14:paraId="7E0F37F1" w14:textId="4C4336D2" w:rsidR="00F450CC" w:rsidRPr="00262F3A" w:rsidRDefault="008822EE" w:rsidP="00901595">
      <w:pPr>
        <w:keepNext/>
        <w:autoSpaceDE w:val="0"/>
        <w:autoSpaceDN w:val="0"/>
        <w:adjustRightInd w:val="0"/>
        <w:spacing w:before="100" w:line="191" w:lineRule="atLeast"/>
      </w:pPr>
      <w:r w:rsidRPr="00262F3A">
        <w:rPr>
          <w:b/>
        </w:rPr>
        <w:t>Table 5.12A</w:t>
      </w:r>
      <w:r w:rsidRPr="000E12A8">
        <w:rPr>
          <w:b/>
        </w:rPr>
        <w:t>:</w:t>
      </w:r>
      <w:r w:rsidRPr="00262F3A">
        <w:t xml:space="preserve"> B</w:t>
      </w:r>
      <w:r w:rsidR="00F450CC" w:rsidRPr="00262F3A">
        <w:t xml:space="preserve">reakdown of the 2019–20 </w:t>
      </w:r>
      <w:r w:rsidR="00095152" w:rsidRPr="00262F3A">
        <w:t>Agency</w:t>
      </w:r>
      <w:r w:rsidR="00F450CC" w:rsidRPr="00262F3A">
        <w:t xml:space="preserve"> </w:t>
      </w:r>
      <w:r w:rsidR="00276349">
        <w:t>f</w:t>
      </w:r>
      <w:r w:rsidR="00F450CC" w:rsidRPr="00262F3A">
        <w:t xml:space="preserve">leet </w:t>
      </w:r>
      <w:r w:rsidR="00276349">
        <w:t>p</w:t>
      </w:r>
      <w:r w:rsidR="00F450CC" w:rsidRPr="00262F3A">
        <w:t xml:space="preserve">ortfolio </w:t>
      </w:r>
    </w:p>
    <w:tbl>
      <w:tblPr>
        <w:tblW w:w="0" w:type="auto"/>
        <w:tblInd w:w="699" w:type="dxa"/>
        <w:tblCellMar>
          <w:left w:w="0" w:type="dxa"/>
          <w:right w:w="0" w:type="dxa"/>
        </w:tblCellMar>
        <w:tblLook w:val="04A0" w:firstRow="1" w:lastRow="0" w:firstColumn="1" w:lastColumn="0" w:noHBand="0" w:noVBand="1"/>
      </w:tblPr>
      <w:tblGrid>
        <w:gridCol w:w="6237"/>
        <w:gridCol w:w="2070"/>
      </w:tblGrid>
      <w:tr w:rsidR="00F450CC" w:rsidRPr="00262F3A" w14:paraId="05E20A2C" w14:textId="77777777" w:rsidTr="00917052">
        <w:trPr>
          <w:tblHeader/>
        </w:trPr>
        <w:tc>
          <w:tcPr>
            <w:tcW w:w="8307" w:type="dxa"/>
            <w:gridSpan w:val="2"/>
            <w:tcBorders>
              <w:top w:val="single" w:sz="8" w:space="0" w:color="auto"/>
              <w:left w:val="single" w:sz="8" w:space="0" w:color="auto"/>
              <w:bottom w:val="single" w:sz="8" w:space="0" w:color="auto"/>
              <w:right w:val="single" w:sz="8" w:space="0" w:color="auto"/>
            </w:tcBorders>
            <w:shd w:val="clear" w:color="auto" w:fill="7030A0"/>
            <w:tcMar>
              <w:top w:w="0" w:type="dxa"/>
              <w:left w:w="108" w:type="dxa"/>
              <w:bottom w:w="0" w:type="dxa"/>
              <w:right w:w="108" w:type="dxa"/>
            </w:tcMar>
            <w:hideMark/>
          </w:tcPr>
          <w:p w14:paraId="28E21F93" w14:textId="69CE0931" w:rsidR="00F450CC" w:rsidRPr="00262F3A" w:rsidRDefault="00F450CC" w:rsidP="00276349">
            <w:pPr>
              <w:pStyle w:val="Tableformat"/>
              <w:jc w:val="center"/>
              <w:rPr>
                <w:color w:val="FFFFFF" w:themeColor="background1"/>
              </w:rPr>
            </w:pPr>
            <w:r w:rsidRPr="00262F3A">
              <w:rPr>
                <w:color w:val="FFFFFF" w:themeColor="background1"/>
              </w:rPr>
              <w:t xml:space="preserve">2019–20 </w:t>
            </w:r>
            <w:r w:rsidR="00095152" w:rsidRPr="00262F3A">
              <w:rPr>
                <w:color w:val="FFFFFF" w:themeColor="background1"/>
              </w:rPr>
              <w:t>Agency</w:t>
            </w:r>
            <w:r w:rsidRPr="00262F3A">
              <w:rPr>
                <w:color w:val="FFFFFF" w:themeColor="background1"/>
              </w:rPr>
              <w:t xml:space="preserve"> </w:t>
            </w:r>
            <w:r w:rsidR="00276349">
              <w:rPr>
                <w:color w:val="FFFFFF" w:themeColor="background1"/>
              </w:rPr>
              <w:t>f</w:t>
            </w:r>
            <w:r w:rsidRPr="00262F3A">
              <w:rPr>
                <w:color w:val="FFFFFF" w:themeColor="background1"/>
              </w:rPr>
              <w:t xml:space="preserve">leet </w:t>
            </w:r>
            <w:r w:rsidR="00276349">
              <w:rPr>
                <w:color w:val="FFFFFF" w:themeColor="background1"/>
              </w:rPr>
              <w:t>p</w:t>
            </w:r>
            <w:r w:rsidRPr="00262F3A">
              <w:rPr>
                <w:color w:val="FFFFFF" w:themeColor="background1"/>
              </w:rPr>
              <w:t>ortfolio</w:t>
            </w:r>
          </w:p>
        </w:tc>
      </w:tr>
      <w:tr w:rsidR="00F450CC" w:rsidRPr="00262F3A" w14:paraId="6B455A3F" w14:textId="77777777" w:rsidTr="00917052">
        <w:trPr>
          <w:tblHeader/>
        </w:trPr>
        <w:tc>
          <w:tcPr>
            <w:tcW w:w="6237" w:type="dxa"/>
            <w:tcBorders>
              <w:top w:val="nil"/>
              <w:left w:val="single" w:sz="8" w:space="0" w:color="auto"/>
              <w:bottom w:val="single" w:sz="8" w:space="0" w:color="auto"/>
              <w:right w:val="single" w:sz="8" w:space="0" w:color="auto"/>
            </w:tcBorders>
            <w:shd w:val="clear" w:color="auto" w:fill="7030A0"/>
            <w:tcMar>
              <w:top w:w="0" w:type="dxa"/>
              <w:left w:w="108" w:type="dxa"/>
              <w:bottom w:w="0" w:type="dxa"/>
              <w:right w:w="108" w:type="dxa"/>
            </w:tcMar>
            <w:hideMark/>
          </w:tcPr>
          <w:p w14:paraId="4BACDD33" w14:textId="77777777" w:rsidR="00F450CC" w:rsidRPr="00262F3A" w:rsidRDefault="00F450CC" w:rsidP="00F450CC">
            <w:pPr>
              <w:pStyle w:val="Tableformat"/>
              <w:rPr>
                <w:color w:val="FFFFFF" w:themeColor="background1"/>
              </w:rPr>
            </w:pPr>
            <w:r w:rsidRPr="00262F3A">
              <w:rPr>
                <w:color w:val="FFFFFF" w:themeColor="background1"/>
              </w:rPr>
              <w:t>Fleet Vehicle Type</w:t>
            </w:r>
          </w:p>
        </w:tc>
        <w:tc>
          <w:tcPr>
            <w:tcW w:w="207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hideMark/>
          </w:tcPr>
          <w:p w14:paraId="41AED59A" w14:textId="77777777" w:rsidR="00F450CC" w:rsidRPr="00262F3A" w:rsidRDefault="00F450CC" w:rsidP="00F450CC">
            <w:pPr>
              <w:pStyle w:val="Tableformat"/>
              <w:rPr>
                <w:color w:val="FFFFFF" w:themeColor="background1"/>
              </w:rPr>
            </w:pPr>
            <w:r w:rsidRPr="00262F3A">
              <w:rPr>
                <w:color w:val="FFFFFF" w:themeColor="background1"/>
              </w:rPr>
              <w:t>Number</w:t>
            </w:r>
          </w:p>
        </w:tc>
      </w:tr>
      <w:tr w:rsidR="00F450CC" w:rsidRPr="00262F3A" w14:paraId="685E9C6B"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412E7" w14:textId="3085D056" w:rsidR="00F450CC" w:rsidRPr="00262F3A" w:rsidRDefault="00F450CC" w:rsidP="00FF144A">
            <w:pPr>
              <w:pStyle w:val="Tableformat"/>
            </w:pPr>
            <w:r w:rsidRPr="00262F3A">
              <w:t>Toyota Corolla Hybrid</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7761709" w14:textId="77777777" w:rsidR="00F450CC" w:rsidRPr="00262F3A" w:rsidRDefault="00F450CC" w:rsidP="00F450CC">
            <w:pPr>
              <w:pStyle w:val="Tableformat"/>
            </w:pPr>
            <w:r w:rsidRPr="00262F3A">
              <w:t>140</w:t>
            </w:r>
          </w:p>
        </w:tc>
      </w:tr>
      <w:tr w:rsidR="00F450CC" w:rsidRPr="00262F3A" w14:paraId="260FB8E1"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3A125" w14:textId="18962F43" w:rsidR="00F450CC" w:rsidRPr="00262F3A" w:rsidRDefault="00F450CC" w:rsidP="00FF144A">
            <w:pPr>
              <w:pStyle w:val="Tableformat"/>
            </w:pPr>
            <w:r w:rsidRPr="00262F3A">
              <w:t>Toyota Camry Hybrid</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7069CDF9" w14:textId="77777777" w:rsidR="00F450CC" w:rsidRPr="00262F3A" w:rsidRDefault="00F450CC" w:rsidP="00F450CC">
            <w:pPr>
              <w:pStyle w:val="Tableformat"/>
            </w:pPr>
            <w:r w:rsidRPr="00262F3A">
              <w:t>2</w:t>
            </w:r>
          </w:p>
        </w:tc>
      </w:tr>
      <w:tr w:rsidR="00F450CC" w:rsidRPr="00262F3A" w14:paraId="17D37060"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4471C" w14:textId="77777777" w:rsidR="00F450CC" w:rsidRPr="00262F3A" w:rsidRDefault="00F450CC" w:rsidP="00F450CC">
            <w:pPr>
              <w:pStyle w:val="Tableformat"/>
            </w:pPr>
            <w:r w:rsidRPr="00262F3A">
              <w:t>Toyota Rav-4 Hybrid</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2498DFEE" w14:textId="77777777" w:rsidR="00F450CC" w:rsidRPr="00262F3A" w:rsidRDefault="00F450CC" w:rsidP="00F450CC">
            <w:pPr>
              <w:pStyle w:val="Tableformat"/>
            </w:pPr>
            <w:r w:rsidRPr="00262F3A">
              <w:t>1</w:t>
            </w:r>
          </w:p>
        </w:tc>
      </w:tr>
      <w:tr w:rsidR="00F450CC" w:rsidRPr="00262F3A" w14:paraId="3E422A0F"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ACE38" w14:textId="77777777" w:rsidR="00F450CC" w:rsidRPr="00262F3A" w:rsidRDefault="00F450CC" w:rsidP="00F450CC">
            <w:pPr>
              <w:pStyle w:val="Tableformat"/>
            </w:pPr>
            <w:r w:rsidRPr="00262F3A">
              <w:t>Toyota Landcruiser Prado</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9160EC9" w14:textId="77777777" w:rsidR="00F450CC" w:rsidRPr="00262F3A" w:rsidRDefault="00F450CC" w:rsidP="00F450CC">
            <w:pPr>
              <w:pStyle w:val="Tableformat"/>
            </w:pPr>
            <w:r w:rsidRPr="00262F3A">
              <w:t>40</w:t>
            </w:r>
          </w:p>
        </w:tc>
      </w:tr>
      <w:tr w:rsidR="00F450CC" w:rsidRPr="00262F3A" w14:paraId="659D1F80"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450A7" w14:textId="549FE3C6" w:rsidR="00F450CC" w:rsidRPr="00262F3A" w:rsidRDefault="00F450CC" w:rsidP="00FF144A">
            <w:pPr>
              <w:pStyle w:val="Tableformat"/>
            </w:pPr>
            <w:r w:rsidRPr="00262F3A">
              <w:t>Nissan X-Trail</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3CA6C9EB" w14:textId="77777777" w:rsidR="00F450CC" w:rsidRPr="00262F3A" w:rsidRDefault="00F450CC" w:rsidP="00F450CC">
            <w:pPr>
              <w:pStyle w:val="Tableformat"/>
            </w:pPr>
            <w:r w:rsidRPr="00262F3A">
              <w:t>37</w:t>
            </w:r>
          </w:p>
        </w:tc>
      </w:tr>
      <w:tr w:rsidR="00F450CC" w:rsidRPr="00262F3A" w14:paraId="7B11B3CB" w14:textId="77777777" w:rsidTr="00243E64">
        <w:tc>
          <w:tcPr>
            <w:tcW w:w="62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E5740" w14:textId="77777777" w:rsidR="00F450CC" w:rsidRPr="00262F3A" w:rsidRDefault="00F450CC" w:rsidP="00F450CC">
            <w:pPr>
              <w:pStyle w:val="Tableformat"/>
            </w:pPr>
            <w:r w:rsidRPr="00262F3A">
              <w:t>TOTAL</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21F625B7" w14:textId="77777777" w:rsidR="00F450CC" w:rsidRPr="00262F3A" w:rsidRDefault="00F450CC" w:rsidP="00F450CC">
            <w:pPr>
              <w:pStyle w:val="Tableformat"/>
            </w:pPr>
            <w:r w:rsidRPr="00262F3A">
              <w:t>220</w:t>
            </w:r>
          </w:p>
        </w:tc>
      </w:tr>
    </w:tbl>
    <w:p w14:paraId="712B7C89" w14:textId="77777777" w:rsidR="001D739F" w:rsidRPr="00262F3A" w:rsidRDefault="001D739F" w:rsidP="008F00D1">
      <w:pPr>
        <w:pStyle w:val="Heading2"/>
      </w:pPr>
      <w:bookmarkStart w:id="183" w:name="_Toc51068015"/>
      <w:r w:rsidRPr="00262F3A">
        <w:t>Compliance with Carer Recognition Act</w:t>
      </w:r>
      <w:bookmarkEnd w:id="182"/>
      <w:bookmarkEnd w:id="183"/>
      <w:r w:rsidRPr="00262F3A">
        <w:t xml:space="preserve"> </w:t>
      </w:r>
    </w:p>
    <w:p w14:paraId="2C559579" w14:textId="77777777" w:rsidR="001D739F" w:rsidRPr="00262F3A" w:rsidRDefault="001D739F" w:rsidP="00561B3B">
      <w:r w:rsidRPr="00262F3A">
        <w:t xml:space="preserve">Through the </w:t>
      </w:r>
      <w:r w:rsidRPr="00276349">
        <w:rPr>
          <w:i/>
        </w:rPr>
        <w:t>Carer Recognition Act 2010</w:t>
      </w:r>
      <w:r w:rsidRPr="00262F3A">
        <w:t xml:space="preserve">, the Australian Government recognises the exceptional contribution made by unpaid carers. The </w:t>
      </w:r>
      <w:r w:rsidRPr="00276349">
        <w:rPr>
          <w:i/>
        </w:rPr>
        <w:t>Carer Recognition Act 2010</w:t>
      </w:r>
      <w:r w:rsidRPr="00262F3A">
        <w:t xml:space="preserve"> stipulates that carers should have the same rights, choices and opportunities as other Australians.</w:t>
      </w:r>
    </w:p>
    <w:p w14:paraId="6A54069D" w14:textId="77777777" w:rsidR="001D739F" w:rsidRPr="00262F3A" w:rsidRDefault="001D739F" w:rsidP="00561B3B">
      <w:r w:rsidRPr="00262F3A">
        <w:t xml:space="preserve">To help achieve this, the </w:t>
      </w:r>
      <w:r w:rsidRPr="00276349">
        <w:rPr>
          <w:i/>
        </w:rPr>
        <w:t>Carer Recognition Act 2010</w:t>
      </w:r>
      <w:r w:rsidRPr="00262F3A">
        <w:t xml:space="preserve"> sets out reporting and consultation obligations for Australian Public Service agencies with responsibilities towards carers. The following information has been prepared in accordance with </w:t>
      </w:r>
      <w:r w:rsidRPr="00276349">
        <w:rPr>
          <w:i/>
        </w:rPr>
        <w:t>Carer Recognition Act 2010</w:t>
      </w:r>
      <w:r w:rsidRPr="00262F3A">
        <w:t xml:space="preserve"> requirements.</w:t>
      </w:r>
    </w:p>
    <w:p w14:paraId="348EB610" w14:textId="683F83A6" w:rsidR="001D739F" w:rsidRPr="00262F3A" w:rsidRDefault="001D739F" w:rsidP="008F00D1">
      <w:pPr>
        <w:pStyle w:val="Heading4"/>
      </w:pPr>
      <w:r w:rsidRPr="00262F3A">
        <w:t xml:space="preserve">Subsection 7(1) – </w:t>
      </w:r>
      <w:r w:rsidR="00FF144A">
        <w:t>e</w:t>
      </w:r>
      <w:r w:rsidR="00FF144A" w:rsidRPr="00262F3A">
        <w:t xml:space="preserve">ach </w:t>
      </w:r>
      <w:r w:rsidRPr="00262F3A">
        <w:t>public service agency is to take all practicable measures to ensure that its employees and agents have an awareness and understanding of the Statement for Australia’s Carers.</w:t>
      </w:r>
    </w:p>
    <w:p w14:paraId="61EB5568" w14:textId="77777777" w:rsidR="001D739F" w:rsidRPr="00262F3A" w:rsidRDefault="001D739F" w:rsidP="00561B3B">
      <w:r w:rsidRPr="00262F3A">
        <w:t xml:space="preserve">The </w:t>
      </w:r>
      <w:r w:rsidR="000B619D" w:rsidRPr="00262F3A">
        <w:t>Agency</w:t>
      </w:r>
      <w:r w:rsidRPr="00262F3A">
        <w:t xml:space="preserve"> promotes staff awareness and understanding of the principles contained within the </w:t>
      </w:r>
      <w:r w:rsidRPr="00276349">
        <w:rPr>
          <w:i/>
        </w:rPr>
        <w:t>Carer Recognition Act 2010</w:t>
      </w:r>
      <w:r w:rsidRPr="00262F3A">
        <w:t xml:space="preserve"> and the Statement through online tools and resources, including guides on the support available to employees with caring responsibilities and also those who support people with caring responsibilities.</w:t>
      </w:r>
    </w:p>
    <w:p w14:paraId="1C386F91" w14:textId="67AA781B" w:rsidR="001D739F" w:rsidRPr="00262F3A" w:rsidRDefault="001D739F" w:rsidP="008F00D1">
      <w:pPr>
        <w:pStyle w:val="Heading4"/>
      </w:pPr>
      <w:r w:rsidRPr="00262F3A">
        <w:t xml:space="preserve">Subsection 7(2) – </w:t>
      </w:r>
      <w:r w:rsidR="00FF144A">
        <w:t>e</w:t>
      </w:r>
      <w:r w:rsidR="00FF144A" w:rsidRPr="00262F3A">
        <w:t xml:space="preserve">ach </w:t>
      </w:r>
      <w:r w:rsidRPr="00262F3A">
        <w:t>public service agency’s internal human resources policies, so far as they may significantly affect an employee’s caring role, are to be developed having due regard to the Statement for Australia’s Carers.</w:t>
      </w:r>
    </w:p>
    <w:p w14:paraId="3C1CE006" w14:textId="77777777" w:rsidR="001D739F" w:rsidRPr="00262F3A" w:rsidRDefault="001D739F" w:rsidP="00561B3B">
      <w:r w:rsidRPr="00262F3A">
        <w:t xml:space="preserve">The </w:t>
      </w:r>
      <w:r w:rsidR="000B619D" w:rsidRPr="00262F3A">
        <w:t>Agency</w:t>
      </w:r>
      <w:r w:rsidRPr="00262F3A">
        <w:t xml:space="preserve"> complies with its obligations under the </w:t>
      </w:r>
      <w:r w:rsidRPr="00276349">
        <w:rPr>
          <w:i/>
        </w:rPr>
        <w:t>Carer Recognition Act 2010</w:t>
      </w:r>
      <w:r w:rsidRPr="00262F3A">
        <w:t xml:space="preserve"> and adheres to the principles of the Statement for Australia’s Carers. The </w:t>
      </w:r>
      <w:r w:rsidR="000B619D" w:rsidRPr="00262F3A">
        <w:t>Agency</w:t>
      </w:r>
      <w:r w:rsidRPr="00262F3A">
        <w:t xml:space="preserve"> Enterprise Agreements (2016–2019 and 2020–2023) and internal human resources policies are also developed with due regard to the Statement for Australia’s Carers, in areas that may significantly affect an employee’s caring role.</w:t>
      </w:r>
    </w:p>
    <w:p w14:paraId="3ACB118F" w14:textId="77777777" w:rsidR="001D739F" w:rsidRPr="00262F3A" w:rsidRDefault="001D739F" w:rsidP="00561B3B">
      <w:r w:rsidRPr="00262F3A">
        <w:t xml:space="preserve">The Agency supports carers in the workplace through its employment policies, including flexible hours and access to carers leave. Flexible working arrangements have increased significantly in the last 12 months. The types of flexible working arrangements available to </w:t>
      </w:r>
      <w:r w:rsidR="000B619D" w:rsidRPr="00262F3A">
        <w:t>Agency</w:t>
      </w:r>
      <w:r w:rsidRPr="00262F3A">
        <w:t xml:space="preserve"> staff to support carers include:</w:t>
      </w:r>
    </w:p>
    <w:p w14:paraId="1B6D6A73" w14:textId="77777777" w:rsidR="001D739F" w:rsidRPr="00262F3A" w:rsidRDefault="001D739F" w:rsidP="006D2911">
      <w:pPr>
        <w:pStyle w:val="ListParagraph"/>
        <w:numPr>
          <w:ilvl w:val="0"/>
          <w:numId w:val="16"/>
        </w:numPr>
      </w:pPr>
      <w:r w:rsidRPr="00262F3A">
        <w:lastRenderedPageBreak/>
        <w:t>part-time work agreements</w:t>
      </w:r>
    </w:p>
    <w:p w14:paraId="4F998CE7" w14:textId="77777777" w:rsidR="001D739F" w:rsidRPr="00262F3A" w:rsidRDefault="001D739F" w:rsidP="006D2911">
      <w:pPr>
        <w:pStyle w:val="ListParagraph"/>
        <w:numPr>
          <w:ilvl w:val="0"/>
          <w:numId w:val="16"/>
        </w:numPr>
      </w:pPr>
      <w:r w:rsidRPr="00262F3A">
        <w:t>work from home/remote work arrangements</w:t>
      </w:r>
    </w:p>
    <w:p w14:paraId="50BF4C90" w14:textId="77777777" w:rsidR="001D739F" w:rsidRPr="00262F3A" w:rsidRDefault="001D739F" w:rsidP="006D2911">
      <w:pPr>
        <w:pStyle w:val="ListParagraph"/>
        <w:numPr>
          <w:ilvl w:val="0"/>
          <w:numId w:val="16"/>
        </w:numPr>
      </w:pPr>
      <w:r w:rsidRPr="00262F3A">
        <w:t>job share arrangements</w:t>
      </w:r>
    </w:p>
    <w:p w14:paraId="55E91790" w14:textId="77777777" w:rsidR="001D739F" w:rsidRPr="00262F3A" w:rsidRDefault="001D739F" w:rsidP="006D2911">
      <w:pPr>
        <w:pStyle w:val="ListParagraph"/>
        <w:numPr>
          <w:ilvl w:val="0"/>
          <w:numId w:val="16"/>
        </w:numPr>
      </w:pPr>
      <w:r w:rsidRPr="00262F3A">
        <w:t>individual flexibility arrangements</w:t>
      </w:r>
    </w:p>
    <w:p w14:paraId="6A39D4B0" w14:textId="77777777" w:rsidR="001D739F" w:rsidRPr="00262F3A" w:rsidRDefault="001D739F" w:rsidP="006D2911">
      <w:pPr>
        <w:pStyle w:val="ListParagraph"/>
        <w:numPr>
          <w:ilvl w:val="0"/>
          <w:numId w:val="16"/>
        </w:numPr>
      </w:pPr>
      <w:r w:rsidRPr="00262F3A">
        <w:t>purchased leave schemes</w:t>
      </w:r>
    </w:p>
    <w:p w14:paraId="47A15AEC" w14:textId="77777777" w:rsidR="001D739F" w:rsidRPr="00262F3A" w:rsidRDefault="001D739F" w:rsidP="006D2911">
      <w:pPr>
        <w:pStyle w:val="ListParagraph"/>
        <w:numPr>
          <w:ilvl w:val="0"/>
          <w:numId w:val="16"/>
        </w:numPr>
      </w:pPr>
      <w:r w:rsidRPr="00262F3A">
        <w:t>flex leave.</w:t>
      </w:r>
    </w:p>
    <w:p w14:paraId="1429FAA9" w14:textId="11CE86DE" w:rsidR="001D739F" w:rsidRPr="00262F3A" w:rsidRDefault="001D739F" w:rsidP="008F00D1">
      <w:pPr>
        <w:pStyle w:val="Heading4"/>
      </w:pPr>
      <w:r w:rsidRPr="00262F3A">
        <w:t xml:space="preserve">Subsection 8(1) – </w:t>
      </w:r>
      <w:r w:rsidR="00FF144A">
        <w:t>e</w:t>
      </w:r>
      <w:r w:rsidR="00FF144A" w:rsidRPr="00262F3A">
        <w:t xml:space="preserve">ach </w:t>
      </w:r>
      <w:r w:rsidRPr="00262F3A">
        <w:t>public service care agency is to take all practicable measures to ensure that it, and its employees and agents, take action to reflect the principles of the Statement for Australia’s Carers in developing, implementing, providing or evaluating care supports.</w:t>
      </w:r>
    </w:p>
    <w:p w14:paraId="2981E097" w14:textId="77777777" w:rsidR="001D739F" w:rsidRPr="00262F3A" w:rsidRDefault="001D739F" w:rsidP="00561B3B">
      <w:r w:rsidRPr="00262F3A">
        <w:t xml:space="preserve">The role of carers is recognised by the </w:t>
      </w:r>
      <w:r w:rsidR="000B619D" w:rsidRPr="00262F3A">
        <w:t>Agency</w:t>
      </w:r>
      <w:r w:rsidRPr="00262F3A">
        <w:t xml:space="preserve"> as an important factor in developing participant plans. Carers are included in the planning process, and are recognised in participant plans through the informal care sections of plans. Participant plans are developed with a focus on capacity building and social and economic inclusion for participants.</w:t>
      </w:r>
    </w:p>
    <w:p w14:paraId="7691C75C" w14:textId="77777777" w:rsidR="001D739F" w:rsidRPr="00262F3A" w:rsidRDefault="001D739F" w:rsidP="00561B3B">
      <w:r w:rsidRPr="00262F3A">
        <w:t>At the request of the person they care for, carers can help with goal setting, assessment and the planning process. Carers can include a carer statement as part of the participant’s plan development, and this statement is recorded in the plan.</w:t>
      </w:r>
    </w:p>
    <w:p w14:paraId="519A11B4" w14:textId="77777777" w:rsidR="001D739F" w:rsidRPr="00262F3A" w:rsidRDefault="001D739F" w:rsidP="00561B3B">
      <w:r w:rsidRPr="00262F3A">
        <w:t xml:space="preserve">Increasing the capacity of the community to help people with disability, and increasing the social and economic participation of people with disability, improves the situation of carers. The </w:t>
      </w:r>
      <w:r w:rsidR="000B619D" w:rsidRPr="00262F3A">
        <w:t>Agency</w:t>
      </w:r>
      <w:r w:rsidRPr="00262F3A">
        <w:t xml:space="preserve"> encourages feedback from carers to inform improvements to the way the Scheme supports their needs.</w:t>
      </w:r>
    </w:p>
    <w:p w14:paraId="1EA5F4D8" w14:textId="3B18AB12" w:rsidR="001D739F" w:rsidRPr="00262F3A" w:rsidRDefault="001D739F" w:rsidP="008F00D1">
      <w:pPr>
        <w:pStyle w:val="Heading4"/>
      </w:pPr>
      <w:r w:rsidRPr="00262F3A">
        <w:t xml:space="preserve">Subsection 8(2) – </w:t>
      </w:r>
      <w:r w:rsidR="00FF144A">
        <w:t>e</w:t>
      </w:r>
      <w:r w:rsidR="00FF144A" w:rsidRPr="00262F3A">
        <w:t xml:space="preserve">ach </w:t>
      </w:r>
      <w:r w:rsidRPr="00262F3A">
        <w:t>public service care agency is to consult carers, or bodies that represent carers, when developing or evaluating care supports.</w:t>
      </w:r>
    </w:p>
    <w:p w14:paraId="5FAEBCC3" w14:textId="3C67A2C3" w:rsidR="001D739F" w:rsidRPr="00262F3A" w:rsidRDefault="001D739F" w:rsidP="00561B3B">
      <w:r w:rsidRPr="00262F3A">
        <w:t xml:space="preserve">As a respected stakeholder of the </w:t>
      </w:r>
      <w:r w:rsidR="000B619D" w:rsidRPr="00262F3A">
        <w:t>Agency</w:t>
      </w:r>
      <w:r w:rsidRPr="00262F3A">
        <w:t xml:space="preserve">, Carers Australia is consulted and engaged through the Agency’s Stakeholder Engagement Management model, as a member of the </w:t>
      </w:r>
      <w:r w:rsidR="000B619D" w:rsidRPr="00262F3A">
        <w:t>Agency</w:t>
      </w:r>
      <w:r w:rsidRPr="00262F3A">
        <w:t xml:space="preserve">’s CEO Forum, as an Expert Advisor to the </w:t>
      </w:r>
      <w:r w:rsidR="00FF144A">
        <w:t>IAC</w:t>
      </w:r>
      <w:r w:rsidRPr="00262F3A">
        <w:t>, and through a variety of key projects as a trusted expert.</w:t>
      </w:r>
    </w:p>
    <w:p w14:paraId="4D8C6AD1" w14:textId="057E279D" w:rsidR="001D739F" w:rsidRPr="00262F3A" w:rsidRDefault="001D739F" w:rsidP="00561B3B">
      <w:r w:rsidRPr="00262F3A">
        <w:t xml:space="preserve">Carers Australia was one of several stakeholders consulted in the development of a series of ‘disability snapshots’, including one specifically focused on carers. The carer snapshot aims to improve staff and partner awareness of carers, and ultimately improve the participant experience through the planning process. The snapshot series contains a concise summary of information to support </w:t>
      </w:r>
      <w:r w:rsidR="00FF144A">
        <w:t>LAC</w:t>
      </w:r>
      <w:r w:rsidRPr="00262F3A">
        <w:t xml:space="preserve"> Partners and </w:t>
      </w:r>
      <w:r w:rsidR="00FF144A">
        <w:t xml:space="preserve">ECEI </w:t>
      </w:r>
      <w:r w:rsidRPr="00262F3A">
        <w:t>Partners and planners, and provides a list of references to further detailed information.</w:t>
      </w:r>
    </w:p>
    <w:p w14:paraId="1EEAB5EF" w14:textId="77777777" w:rsidR="001D739F" w:rsidRPr="00262F3A" w:rsidRDefault="001D739F" w:rsidP="00561B3B">
      <w:r w:rsidRPr="00262F3A">
        <w:t>The Agency acknowledges the importance of providing carers, like all families, with the opportunity to take a break from time to time, and continues to work with Carers Australia on the implementation of this advice to planners.</w:t>
      </w:r>
    </w:p>
    <w:p w14:paraId="2D525BC8" w14:textId="77777777" w:rsidR="001D739F" w:rsidRPr="00262F3A" w:rsidRDefault="001D739F" w:rsidP="008F00D1">
      <w:pPr>
        <w:pStyle w:val="Heading2"/>
      </w:pPr>
      <w:bookmarkStart w:id="184" w:name="_Toc23603206"/>
      <w:bookmarkStart w:id="185" w:name="_Toc51068016"/>
      <w:r w:rsidRPr="00262F3A">
        <w:t>Information on other specific statutory provisions</w:t>
      </w:r>
      <w:bookmarkEnd w:id="184"/>
      <w:bookmarkEnd w:id="185"/>
    </w:p>
    <w:p w14:paraId="4B97C5D9" w14:textId="77777777" w:rsidR="001D739F" w:rsidRPr="00262F3A" w:rsidRDefault="001D739F" w:rsidP="00561B3B">
      <w:r w:rsidRPr="00262F3A">
        <w:t>The following information addresses other reportable items required by specific statutory provisions.</w:t>
      </w:r>
    </w:p>
    <w:p w14:paraId="188DE688" w14:textId="7E9237A0" w:rsidR="00243E64" w:rsidRPr="00262F3A" w:rsidRDefault="001D739F" w:rsidP="008F00D1">
      <w:pPr>
        <w:pStyle w:val="Heading4"/>
      </w:pPr>
      <w:r w:rsidRPr="00262F3A">
        <w:t>National Disability Insura</w:t>
      </w:r>
      <w:r w:rsidR="00243E64" w:rsidRPr="00262F3A">
        <w:t xml:space="preserve">nce Scheme Act 2013 </w:t>
      </w:r>
    </w:p>
    <w:p w14:paraId="16D1BAF0" w14:textId="48F35735" w:rsidR="001D739F" w:rsidRPr="00262F3A" w:rsidRDefault="001D739F" w:rsidP="00561B3B">
      <w:r w:rsidRPr="00262F3A">
        <w:t xml:space="preserve">No directions or ministerial statements were given to the </w:t>
      </w:r>
      <w:r w:rsidR="000B619D" w:rsidRPr="00262F3A">
        <w:t>Agency</w:t>
      </w:r>
      <w:r w:rsidRPr="00262F3A">
        <w:t xml:space="preserve"> under sections 121 and 125 of the NDIS Act, and no legislative inst</w:t>
      </w:r>
      <w:r w:rsidR="00D51120">
        <w:t>ruments were made during 2019–</w:t>
      </w:r>
      <w:r w:rsidRPr="00262F3A">
        <w:t>20.</w:t>
      </w:r>
    </w:p>
    <w:p w14:paraId="06FD4043" w14:textId="77777777" w:rsidR="001D739F" w:rsidRPr="00262F3A" w:rsidRDefault="001D739F" w:rsidP="008F00D1">
      <w:pPr>
        <w:pStyle w:val="Heading4"/>
      </w:pPr>
      <w:r w:rsidRPr="00262F3A">
        <w:lastRenderedPageBreak/>
        <w:t>Privacy Act 1988</w:t>
      </w:r>
    </w:p>
    <w:p w14:paraId="3C971139" w14:textId="77777777" w:rsidR="001D739F" w:rsidRPr="00262F3A" w:rsidRDefault="001D739F" w:rsidP="00561B3B">
      <w:r w:rsidRPr="00262F3A">
        <w:t xml:space="preserve">The </w:t>
      </w:r>
      <w:r w:rsidR="000B619D" w:rsidRPr="00262F3A">
        <w:t>Agency</w:t>
      </w:r>
      <w:r w:rsidRPr="00262F3A">
        <w:t xml:space="preserve"> complies with its privacy obligations as required under both the</w:t>
      </w:r>
      <w:r w:rsidRPr="00262F3A">
        <w:rPr>
          <w:i/>
        </w:rPr>
        <w:t xml:space="preserve"> Privacy Act 1988</w:t>
      </w:r>
      <w:r w:rsidRPr="00262F3A">
        <w:t xml:space="preserve"> and the NDIS Act.</w:t>
      </w:r>
    </w:p>
    <w:p w14:paraId="0A7C8B1B" w14:textId="24EE1435" w:rsidR="001D739F" w:rsidRPr="00262F3A" w:rsidRDefault="001D739F" w:rsidP="00561B3B">
      <w:r w:rsidRPr="00262F3A">
        <w:t xml:space="preserve">Compliance includes the </w:t>
      </w:r>
      <w:r w:rsidR="000B619D" w:rsidRPr="00262F3A">
        <w:t>Agency</w:t>
      </w:r>
      <w:r w:rsidRPr="00262F3A">
        <w:t xml:space="preserve"> ensuring its practices and procedures are consistent with requirements under the Australian Privacy Principles, the Notifiable Data Breaches Scheme and the Australian Government Agencies Privacy Code, such as having an established privacy policy</w:t>
      </w:r>
      <w:r w:rsidR="00276349">
        <w:t xml:space="preserve"> and</w:t>
      </w:r>
      <w:r w:rsidRPr="00262F3A">
        <w:t xml:space="preserve"> privacy management plan, and maintaining privacy incident and privacy impact assessment registers. </w:t>
      </w:r>
    </w:p>
    <w:p w14:paraId="66F144A7" w14:textId="77777777" w:rsidR="001D739F" w:rsidRPr="00262F3A" w:rsidRDefault="001D739F" w:rsidP="00561B3B">
      <w:r w:rsidRPr="00262F3A">
        <w:t xml:space="preserve">The </w:t>
      </w:r>
      <w:r w:rsidR="000B619D" w:rsidRPr="00262F3A">
        <w:t>Agency</w:t>
      </w:r>
      <w:r w:rsidRPr="00262F3A">
        <w:t xml:space="preserve"> actively promotes privacy awareness through the appointment of a Privacy Champion and Privacy Officer, and through the ongoing development of training materials for </w:t>
      </w:r>
      <w:r w:rsidR="000B619D" w:rsidRPr="00262F3A">
        <w:t>Agency</w:t>
      </w:r>
      <w:r w:rsidRPr="00262F3A">
        <w:t xml:space="preserve"> staff. Advice is also provided to staff regarding the </w:t>
      </w:r>
      <w:r w:rsidR="000B619D" w:rsidRPr="00262F3A">
        <w:t>Agency</w:t>
      </w:r>
      <w:r w:rsidRPr="00262F3A">
        <w:t>’s privacy obligations under law, particularly as it relates to ensuring promotion of one of the general principles guiding actions under the NDIS Act, which is to ensure that people with disability have their privacy and dignity respected.</w:t>
      </w:r>
    </w:p>
    <w:p w14:paraId="50E39D33" w14:textId="5A80A8D2" w:rsidR="001D739F" w:rsidRPr="00262F3A" w:rsidRDefault="001D739F" w:rsidP="00561B3B">
      <w:r w:rsidRPr="00262F3A">
        <w:t xml:space="preserve">In 2019–20, the </w:t>
      </w:r>
      <w:r w:rsidR="000B619D" w:rsidRPr="00262F3A">
        <w:t>Agency</w:t>
      </w:r>
      <w:r w:rsidRPr="00262F3A">
        <w:t xml:space="preserve"> received six privacy complaints lodged with the Office of the Australian Information Commissioner, and </w:t>
      </w:r>
      <w:r w:rsidR="00545C21" w:rsidRPr="00262F3A">
        <w:t>seven</w:t>
      </w:r>
      <w:r w:rsidRPr="00262F3A">
        <w:t xml:space="preserve"> complaints were resolved during that period.</w:t>
      </w:r>
    </w:p>
    <w:p w14:paraId="471281E6" w14:textId="77777777" w:rsidR="001D739F" w:rsidRPr="00262F3A" w:rsidRDefault="001D739F" w:rsidP="008F00D1">
      <w:pPr>
        <w:pStyle w:val="Heading4"/>
      </w:pPr>
      <w:r w:rsidRPr="00262F3A">
        <w:t xml:space="preserve">Freedom of Information Act 1982 </w:t>
      </w:r>
    </w:p>
    <w:p w14:paraId="2C0E1C43" w14:textId="1BFACC6D" w:rsidR="001D739F" w:rsidRPr="00262F3A" w:rsidRDefault="001D739F" w:rsidP="00561B3B">
      <w:r w:rsidRPr="00262F3A">
        <w:t xml:space="preserve">Agencies subject to the </w:t>
      </w:r>
      <w:r w:rsidR="00276349" w:rsidRPr="00276349">
        <w:t>FOI Act</w:t>
      </w:r>
      <w:r w:rsidRPr="00262F3A">
        <w:t xml:space="preserve"> are required to make information publicly available as part of the Information Publication Scheme. </w:t>
      </w:r>
    </w:p>
    <w:p w14:paraId="345F09A9" w14:textId="77777777" w:rsidR="001D739F" w:rsidRPr="00262F3A" w:rsidRDefault="001D739F" w:rsidP="00561B3B">
      <w:r w:rsidRPr="00262F3A">
        <w:t xml:space="preserve">Each agency must display on its website a plan showing what information it publishes in accordance with the Information Publication Scheme requirements. To see the </w:t>
      </w:r>
      <w:r w:rsidR="000B619D" w:rsidRPr="00262F3A">
        <w:t>Agency</w:t>
      </w:r>
      <w:r w:rsidRPr="00262F3A">
        <w:t>’s plan, go to www.ndis.gov.au.</w:t>
      </w:r>
    </w:p>
    <w:p w14:paraId="3D0271A2" w14:textId="77777777" w:rsidR="001D739F" w:rsidRPr="00262F3A" w:rsidRDefault="001D739F" w:rsidP="008F00D1">
      <w:pPr>
        <w:pStyle w:val="Heading2"/>
      </w:pPr>
      <w:bookmarkStart w:id="186" w:name="_Toc23603207"/>
      <w:bookmarkStart w:id="187" w:name="_Toc51068017"/>
      <w:r w:rsidRPr="00262F3A">
        <w:t>Glossary</w:t>
      </w:r>
      <w:bookmarkEnd w:id="186"/>
      <w:bookmarkEnd w:id="187"/>
    </w:p>
    <w:p w14:paraId="21CE3A81" w14:textId="77777777" w:rsidR="007B0C8F" w:rsidRPr="00262F3A" w:rsidRDefault="007B0C8F" w:rsidP="008F00D1">
      <w:pPr>
        <w:pStyle w:val="Heading3"/>
      </w:pPr>
      <w:bookmarkStart w:id="188" w:name="_Toc51068018"/>
      <w:r w:rsidRPr="00262F3A">
        <w:t>Definitions</w:t>
      </w:r>
      <w:bookmarkEnd w:id="188"/>
    </w:p>
    <w:tbl>
      <w:tblPr>
        <w:tblW w:w="8789" w:type="dxa"/>
        <w:tblInd w:w="612" w:type="dxa"/>
        <w:tblLayout w:type="fixed"/>
        <w:tblLook w:val="04A0" w:firstRow="1" w:lastRow="0" w:firstColumn="1" w:lastColumn="0" w:noHBand="0" w:noVBand="1"/>
      </w:tblPr>
      <w:tblGrid>
        <w:gridCol w:w="2547"/>
        <w:gridCol w:w="6242"/>
      </w:tblGrid>
      <w:tr w:rsidR="001D739F" w:rsidRPr="00262F3A" w14:paraId="3BC2FABB" w14:textId="77777777" w:rsidTr="00D1680B">
        <w:trPr>
          <w:tblHeader/>
        </w:trPr>
        <w:tc>
          <w:tcPr>
            <w:tcW w:w="2547" w:type="dxa"/>
            <w:shd w:val="clear" w:color="auto" w:fill="7030A0"/>
          </w:tcPr>
          <w:p w14:paraId="7FA73ADB" w14:textId="77777777" w:rsidR="001D739F" w:rsidRPr="00262F3A" w:rsidRDefault="001D739F" w:rsidP="00503140">
            <w:pPr>
              <w:pStyle w:val="Tableformat"/>
              <w:rPr>
                <w:color w:val="FFFFFF" w:themeColor="background1"/>
              </w:rPr>
            </w:pPr>
            <w:r w:rsidRPr="00262F3A">
              <w:rPr>
                <w:color w:val="FFFFFF" w:themeColor="background1"/>
              </w:rPr>
              <w:t>Term</w:t>
            </w:r>
          </w:p>
        </w:tc>
        <w:tc>
          <w:tcPr>
            <w:tcW w:w="6242" w:type="dxa"/>
            <w:shd w:val="clear" w:color="auto" w:fill="7030A0"/>
          </w:tcPr>
          <w:p w14:paraId="4D89D526" w14:textId="77777777" w:rsidR="001D739F" w:rsidRPr="00262F3A" w:rsidRDefault="001D739F" w:rsidP="00503140">
            <w:pPr>
              <w:pStyle w:val="Tableformat"/>
              <w:rPr>
                <w:color w:val="FFFFFF" w:themeColor="background1"/>
              </w:rPr>
            </w:pPr>
            <w:r w:rsidRPr="00262F3A">
              <w:rPr>
                <w:color w:val="FFFFFF" w:themeColor="background1"/>
              </w:rPr>
              <w:t>Definition</w:t>
            </w:r>
          </w:p>
        </w:tc>
      </w:tr>
      <w:tr w:rsidR="001D739F" w:rsidRPr="00262F3A" w14:paraId="7DE6A8F0" w14:textId="77777777" w:rsidTr="00D1680B">
        <w:tc>
          <w:tcPr>
            <w:tcW w:w="2547" w:type="dxa"/>
          </w:tcPr>
          <w:p w14:paraId="4219AF4D" w14:textId="77777777" w:rsidR="001D739F" w:rsidRPr="00262F3A" w:rsidRDefault="001D739F" w:rsidP="00503140">
            <w:pPr>
              <w:pStyle w:val="Tableformat"/>
            </w:pPr>
            <w:r w:rsidRPr="00262F3A">
              <w:t xml:space="preserve">Administrative Appeals Tribunal (AAT) </w:t>
            </w:r>
          </w:p>
        </w:tc>
        <w:tc>
          <w:tcPr>
            <w:tcW w:w="6242" w:type="dxa"/>
          </w:tcPr>
          <w:p w14:paraId="6E66EEDE" w14:textId="77777777" w:rsidR="001D739F" w:rsidRPr="00262F3A" w:rsidRDefault="001D739F" w:rsidP="00503140">
            <w:pPr>
              <w:pStyle w:val="Tableformat"/>
            </w:pPr>
            <w:r w:rsidRPr="00262F3A">
              <w:t>An independent body that conducts reviews of administrative decisions made under Commonwealth laws.</w:t>
            </w:r>
          </w:p>
        </w:tc>
      </w:tr>
      <w:tr w:rsidR="001D739F" w:rsidRPr="00262F3A" w14:paraId="61F26DFF" w14:textId="77777777" w:rsidTr="00D1680B">
        <w:tc>
          <w:tcPr>
            <w:tcW w:w="2547" w:type="dxa"/>
          </w:tcPr>
          <w:p w14:paraId="232EE264" w14:textId="77777777" w:rsidR="001D739F" w:rsidRPr="00262F3A" w:rsidRDefault="001D739F" w:rsidP="00503140">
            <w:pPr>
              <w:pStyle w:val="Tableformat"/>
            </w:pPr>
            <w:r w:rsidRPr="00262F3A">
              <w:t xml:space="preserve">Bilateral Agreement </w:t>
            </w:r>
          </w:p>
          <w:p w14:paraId="58AFD9FD" w14:textId="77777777" w:rsidR="001D739F" w:rsidRPr="00262F3A" w:rsidRDefault="001D739F" w:rsidP="00503140">
            <w:pPr>
              <w:pStyle w:val="Tableformat"/>
            </w:pPr>
          </w:p>
        </w:tc>
        <w:tc>
          <w:tcPr>
            <w:tcW w:w="6242" w:type="dxa"/>
          </w:tcPr>
          <w:p w14:paraId="6D4A9992" w14:textId="77777777" w:rsidR="001D739F" w:rsidRPr="00262F3A" w:rsidRDefault="001D739F" w:rsidP="00503140">
            <w:pPr>
              <w:pStyle w:val="Tableformat"/>
            </w:pPr>
            <w:r w:rsidRPr="00262F3A">
              <w:t>An agreement between the Commonwealth and a state or territory that formalises the commitments of each party during Scheme rollout.</w:t>
            </w:r>
          </w:p>
        </w:tc>
      </w:tr>
      <w:tr w:rsidR="001D739F" w:rsidRPr="00262F3A" w14:paraId="0CDFEE67" w14:textId="77777777" w:rsidTr="00D1680B">
        <w:tc>
          <w:tcPr>
            <w:tcW w:w="2547" w:type="dxa"/>
          </w:tcPr>
          <w:p w14:paraId="2C72C87F" w14:textId="55F2F50E" w:rsidR="001D739F" w:rsidRPr="00262F3A" w:rsidRDefault="001D739F" w:rsidP="00503140">
            <w:pPr>
              <w:pStyle w:val="Tableformat"/>
            </w:pPr>
            <w:r w:rsidRPr="00262F3A">
              <w:t>Bilateral estimates</w:t>
            </w:r>
          </w:p>
        </w:tc>
        <w:tc>
          <w:tcPr>
            <w:tcW w:w="6242" w:type="dxa"/>
          </w:tcPr>
          <w:p w14:paraId="4A828973" w14:textId="77777777" w:rsidR="001D739F" w:rsidRPr="00262F3A" w:rsidRDefault="001D739F" w:rsidP="00503140">
            <w:pPr>
              <w:pStyle w:val="Tableformat"/>
            </w:pPr>
            <w:r w:rsidRPr="00262F3A">
              <w:t>Estimates for the number of people expected to enter the NDIS by quarter in each state and territory over the next three years. These figures are estimates only.</w:t>
            </w:r>
          </w:p>
        </w:tc>
      </w:tr>
      <w:tr w:rsidR="001D739F" w:rsidRPr="00262F3A" w14:paraId="7844A637" w14:textId="77777777" w:rsidTr="00D1680B">
        <w:tc>
          <w:tcPr>
            <w:tcW w:w="2547" w:type="dxa"/>
          </w:tcPr>
          <w:p w14:paraId="05C98EEF" w14:textId="77777777" w:rsidR="001D739F" w:rsidRPr="00262F3A" w:rsidRDefault="001D739F" w:rsidP="00503140">
            <w:pPr>
              <w:pStyle w:val="Tableformat"/>
            </w:pPr>
            <w:r w:rsidRPr="00262F3A">
              <w:t>Disability sector</w:t>
            </w:r>
          </w:p>
        </w:tc>
        <w:tc>
          <w:tcPr>
            <w:tcW w:w="6242" w:type="dxa"/>
          </w:tcPr>
          <w:p w14:paraId="207D0C11" w14:textId="77777777" w:rsidR="001D739F" w:rsidRPr="00262F3A" w:rsidRDefault="001D739F" w:rsidP="00503140">
            <w:pPr>
              <w:pStyle w:val="Tableformat"/>
            </w:pPr>
            <w:r w:rsidRPr="00262F3A">
              <w:t>Refers to organisations and sole traders who deliver disability support services and the peak bodies that represent them.</w:t>
            </w:r>
          </w:p>
        </w:tc>
      </w:tr>
      <w:tr w:rsidR="001D5520" w:rsidRPr="00262F3A" w14:paraId="3A901ECB" w14:textId="77777777" w:rsidTr="00D1680B">
        <w:tc>
          <w:tcPr>
            <w:tcW w:w="2547" w:type="dxa"/>
          </w:tcPr>
          <w:p w14:paraId="185FECD9" w14:textId="12C6D289" w:rsidR="001D5520" w:rsidRPr="00262F3A" w:rsidRDefault="001D5520" w:rsidP="00503140">
            <w:pPr>
              <w:pStyle w:val="Tableformat"/>
            </w:pPr>
            <w:r w:rsidRPr="001D5520">
              <w:t>Early Childhood Early Intervention (ECEI) Approach</w:t>
            </w:r>
          </w:p>
        </w:tc>
        <w:tc>
          <w:tcPr>
            <w:tcW w:w="6242" w:type="dxa"/>
          </w:tcPr>
          <w:p w14:paraId="330DFC2D" w14:textId="69B66364" w:rsidR="001D5520" w:rsidRPr="00262F3A" w:rsidRDefault="001D5520" w:rsidP="00503140">
            <w:pPr>
              <w:pStyle w:val="Tableformat"/>
            </w:pPr>
            <w:r w:rsidRPr="001D5520">
              <w:t>This is the approach delivered by the NDIS to support children aged under seven years with developmental delay or disability and their families/carers to achieve better long-term outcomes through support services in their local community, regardless of diagnosis. The ECEI Approach is based on the principles of best practice in early childhood intervention and allows for access to timely, targeted and individualised early childhood intervention supports for children.</w:t>
            </w:r>
          </w:p>
        </w:tc>
      </w:tr>
      <w:tr w:rsidR="001D5520" w:rsidRPr="00262F3A" w14:paraId="4B3EFC85" w14:textId="77777777" w:rsidTr="00D1680B">
        <w:tc>
          <w:tcPr>
            <w:tcW w:w="2547" w:type="dxa"/>
          </w:tcPr>
          <w:p w14:paraId="6FD3191C" w14:textId="4170064E" w:rsidR="001D5520" w:rsidRPr="001D5520" w:rsidRDefault="001D5520" w:rsidP="00503140">
            <w:pPr>
              <w:pStyle w:val="Tableformat"/>
            </w:pPr>
            <w:r w:rsidRPr="001D5520">
              <w:lastRenderedPageBreak/>
              <w:t>Individual living options (ILOs)</w:t>
            </w:r>
          </w:p>
        </w:tc>
        <w:tc>
          <w:tcPr>
            <w:tcW w:w="6242" w:type="dxa"/>
          </w:tcPr>
          <w:p w14:paraId="1077492D" w14:textId="7646E918" w:rsidR="001D5520" w:rsidRPr="001D5520" w:rsidRDefault="001D5520" w:rsidP="00503140">
            <w:pPr>
              <w:pStyle w:val="Tableformat"/>
            </w:pPr>
            <w:r>
              <w:t>L</w:t>
            </w:r>
            <w:r w:rsidRPr="001D5520">
              <w:t>iving arrangements that focus o</w:t>
            </w:r>
            <w:r>
              <w:t>n the individual. They include living alone, co-residency, host arrangements and living t</w:t>
            </w:r>
            <w:r w:rsidRPr="001D5520">
              <w:t>ogether options. They are an alternative to group home services.</w:t>
            </w:r>
          </w:p>
        </w:tc>
      </w:tr>
      <w:tr w:rsidR="001D5520" w:rsidRPr="00262F3A" w14:paraId="564AF751" w14:textId="77777777" w:rsidTr="00D1680B">
        <w:tc>
          <w:tcPr>
            <w:tcW w:w="2547" w:type="dxa"/>
          </w:tcPr>
          <w:p w14:paraId="052DE9E8" w14:textId="07FD58D6" w:rsidR="001D5520" w:rsidRPr="001D5520" w:rsidRDefault="001D5520" w:rsidP="001D5520">
            <w:pPr>
              <w:pStyle w:val="Tableformat"/>
            </w:pPr>
            <w:r w:rsidRPr="001B26F1">
              <w:t xml:space="preserve">Information, Linkages and Capacity Building (ILC) </w:t>
            </w:r>
          </w:p>
        </w:tc>
        <w:tc>
          <w:tcPr>
            <w:tcW w:w="6242" w:type="dxa"/>
          </w:tcPr>
          <w:p w14:paraId="4D732B25" w14:textId="2F69F609" w:rsidR="001D5520" w:rsidRDefault="001D5520" w:rsidP="001D5520">
            <w:pPr>
              <w:pStyle w:val="Tableformat"/>
            </w:pPr>
            <w:r>
              <w:t>T</w:t>
            </w:r>
            <w:r w:rsidRPr="001D5520">
              <w:t>he part of the NDIS that provides information, linkages and referrals to connect people with disability, their families and carers, with broader systems of support.</w:t>
            </w:r>
          </w:p>
        </w:tc>
      </w:tr>
      <w:tr w:rsidR="001D739F" w:rsidRPr="00262F3A" w14:paraId="38CECA66" w14:textId="77777777" w:rsidTr="00D1680B">
        <w:tc>
          <w:tcPr>
            <w:tcW w:w="2547" w:type="dxa"/>
          </w:tcPr>
          <w:p w14:paraId="7CA9751A" w14:textId="77777777" w:rsidR="001D739F" w:rsidRPr="00262F3A" w:rsidRDefault="001D739F" w:rsidP="00503140">
            <w:pPr>
              <w:pStyle w:val="Tableformat"/>
            </w:pPr>
            <w:r w:rsidRPr="00262F3A">
              <w:t>Insurance approach</w:t>
            </w:r>
          </w:p>
        </w:tc>
        <w:tc>
          <w:tcPr>
            <w:tcW w:w="6242" w:type="dxa"/>
          </w:tcPr>
          <w:p w14:paraId="0BFE60A8" w14:textId="77777777" w:rsidR="001D739F" w:rsidRPr="00262F3A" w:rsidRDefault="001D739F" w:rsidP="00503140">
            <w:pPr>
              <w:pStyle w:val="Tableformat"/>
            </w:pPr>
            <w:r w:rsidRPr="00262F3A">
              <w:t>Sharing the costs of disability services and supports across the community. Placing emphasis on making up-front investments that reduce participants’ calls on the Scheme into the future, including investments in measuring lifetime costs, research and innovation, and community capability development.</w:t>
            </w:r>
          </w:p>
        </w:tc>
      </w:tr>
      <w:tr w:rsidR="001D739F" w:rsidRPr="00262F3A" w14:paraId="49F6D988" w14:textId="77777777" w:rsidTr="00D1680B">
        <w:tc>
          <w:tcPr>
            <w:tcW w:w="2547" w:type="dxa"/>
          </w:tcPr>
          <w:p w14:paraId="1CC5B369" w14:textId="0C9E70B5" w:rsidR="001D739F" w:rsidRPr="00262F3A" w:rsidRDefault="001D739F" w:rsidP="00503140">
            <w:pPr>
              <w:pStyle w:val="Tableformat"/>
            </w:pPr>
            <w:r w:rsidRPr="00262F3A">
              <w:t>Local Area Coordinators</w:t>
            </w:r>
            <w:r w:rsidR="00552FFD" w:rsidRPr="00262F3A">
              <w:t xml:space="preserve"> </w:t>
            </w:r>
            <w:r w:rsidRPr="00262F3A">
              <w:t xml:space="preserve">/Coordination (LACs/LAC) </w:t>
            </w:r>
          </w:p>
        </w:tc>
        <w:tc>
          <w:tcPr>
            <w:tcW w:w="6242" w:type="dxa"/>
          </w:tcPr>
          <w:p w14:paraId="67808EE5" w14:textId="77777777" w:rsidR="001D739F" w:rsidRPr="00262F3A" w:rsidRDefault="001D739F" w:rsidP="00503140">
            <w:pPr>
              <w:pStyle w:val="Tableformat"/>
            </w:pPr>
            <w:r w:rsidRPr="00262F3A">
              <w:t xml:space="preserve">Local organisations working in partnership with the </w:t>
            </w:r>
            <w:r w:rsidR="000B619D" w:rsidRPr="00262F3A">
              <w:t>Agency</w:t>
            </w:r>
            <w:r w:rsidRPr="00262F3A">
              <w:t>, to help participants, their families and carers access the NDIS.</w:t>
            </w:r>
          </w:p>
        </w:tc>
      </w:tr>
      <w:tr w:rsidR="001D5520" w:rsidRPr="00262F3A" w14:paraId="0E8436FC" w14:textId="77777777" w:rsidTr="00D1680B">
        <w:tc>
          <w:tcPr>
            <w:tcW w:w="2547" w:type="dxa"/>
          </w:tcPr>
          <w:p w14:paraId="136B0BD4" w14:textId="2C83FDDF" w:rsidR="001D5520" w:rsidRPr="00262F3A" w:rsidRDefault="001D5520" w:rsidP="00503140">
            <w:pPr>
              <w:pStyle w:val="Tableformat"/>
            </w:pPr>
            <w:r w:rsidRPr="001D5520">
              <w:t>Partners in the Community (</w:t>
            </w:r>
            <w:r w:rsidR="0050536B">
              <w:t>PITC</w:t>
            </w:r>
            <w:r w:rsidRPr="001D5520">
              <w:t>)</w:t>
            </w:r>
          </w:p>
        </w:tc>
        <w:tc>
          <w:tcPr>
            <w:tcW w:w="6242" w:type="dxa"/>
          </w:tcPr>
          <w:p w14:paraId="0CB1728D" w14:textId="75B450BC" w:rsidR="001D5520" w:rsidRPr="00262F3A" w:rsidRDefault="001D5520" w:rsidP="00503140">
            <w:pPr>
              <w:pStyle w:val="Tableformat"/>
            </w:pPr>
            <w:r>
              <w:t>C</w:t>
            </w:r>
            <w:r w:rsidRPr="001D5520">
              <w:t>ommunity-based organisations who work with the NDIA to deliver the NDIS. People between the ages of 7 and 64 years of age will work with the local area coordinator partner in their local government area. Children under 7 years of age who have a developmental delay or disability will work with the early childhood partner in their local government area.</w:t>
            </w:r>
          </w:p>
        </w:tc>
      </w:tr>
      <w:tr w:rsidR="001B0A3B" w:rsidRPr="00262F3A" w14:paraId="7C936339" w14:textId="77777777" w:rsidTr="007E69B1">
        <w:tc>
          <w:tcPr>
            <w:tcW w:w="2547" w:type="dxa"/>
          </w:tcPr>
          <w:p w14:paraId="4FE3754C" w14:textId="77777777" w:rsidR="001B0A3B" w:rsidRPr="00262F3A" w:rsidRDefault="001B0A3B" w:rsidP="007E69B1">
            <w:pPr>
              <w:pStyle w:val="Tableformat"/>
            </w:pPr>
            <w:r w:rsidRPr="00262F3A">
              <w:t>Plan</w:t>
            </w:r>
          </w:p>
        </w:tc>
        <w:tc>
          <w:tcPr>
            <w:tcW w:w="6242" w:type="dxa"/>
          </w:tcPr>
          <w:p w14:paraId="6417B54E" w14:textId="77777777" w:rsidR="001B0A3B" w:rsidRPr="00262F3A" w:rsidRDefault="001B0A3B" w:rsidP="007E69B1">
            <w:pPr>
              <w:pStyle w:val="Tableformat"/>
            </w:pPr>
            <w:r w:rsidRPr="00262F3A">
              <w:t xml:space="preserve">A written agreement worked out with the participant, stating their goals and needs, and the reasonable and necessary supports the NDIS will fund for them. Each participant has their own individual plan. </w:t>
            </w:r>
          </w:p>
        </w:tc>
      </w:tr>
      <w:tr w:rsidR="001D5520" w:rsidRPr="00262F3A" w14:paraId="6B5D1B5E" w14:textId="77777777" w:rsidTr="007E69B1">
        <w:tc>
          <w:tcPr>
            <w:tcW w:w="2547" w:type="dxa"/>
          </w:tcPr>
          <w:p w14:paraId="0CCE1BE9" w14:textId="5B8C7F81" w:rsidR="001D5520" w:rsidRPr="00262F3A" w:rsidRDefault="001D5520" w:rsidP="007E69B1">
            <w:pPr>
              <w:pStyle w:val="Tableformat"/>
            </w:pPr>
            <w:r w:rsidRPr="001D5520">
              <w:t>Specialist disability accommodation (SDA)</w:t>
            </w:r>
          </w:p>
        </w:tc>
        <w:tc>
          <w:tcPr>
            <w:tcW w:w="6242" w:type="dxa"/>
          </w:tcPr>
          <w:p w14:paraId="5A117908" w14:textId="09A3234C" w:rsidR="001D5520" w:rsidRPr="00262F3A" w:rsidRDefault="001D5520" w:rsidP="007E69B1">
            <w:pPr>
              <w:pStyle w:val="Tableformat"/>
            </w:pPr>
            <w:r>
              <w:t>A</w:t>
            </w:r>
            <w:r w:rsidRPr="001D5520">
              <w:t xml:space="preserve"> range of housing designed for people with extreme functional impairment or very high needs.</w:t>
            </w:r>
          </w:p>
        </w:tc>
      </w:tr>
      <w:tr w:rsidR="001D5520" w:rsidRPr="00262F3A" w14:paraId="0568BA2F" w14:textId="77777777" w:rsidTr="007E69B1">
        <w:tc>
          <w:tcPr>
            <w:tcW w:w="2547" w:type="dxa"/>
          </w:tcPr>
          <w:p w14:paraId="104750F9" w14:textId="7786C3D4" w:rsidR="001D5520" w:rsidRPr="001D5520" w:rsidRDefault="001D5520" w:rsidP="007E69B1">
            <w:pPr>
              <w:pStyle w:val="Tableformat"/>
            </w:pPr>
            <w:r w:rsidRPr="001D5520">
              <w:t>Supported independent living (SIL)</w:t>
            </w:r>
          </w:p>
        </w:tc>
        <w:tc>
          <w:tcPr>
            <w:tcW w:w="6242" w:type="dxa"/>
          </w:tcPr>
          <w:p w14:paraId="1AFA0A45" w14:textId="594D969E" w:rsidR="001D5520" w:rsidRDefault="001D5520" w:rsidP="007E69B1">
            <w:pPr>
              <w:pStyle w:val="Tableformat"/>
            </w:pPr>
            <w:r>
              <w:t>O</w:t>
            </w:r>
            <w:r w:rsidRPr="001D5520">
              <w:t>ne type of help or supervision with daily tasks to help participants live as independently as possible, while building your skills.</w:t>
            </w:r>
          </w:p>
        </w:tc>
      </w:tr>
    </w:tbl>
    <w:p w14:paraId="3DC55CEB" w14:textId="66315026" w:rsidR="007B0C8F" w:rsidRPr="00262F3A" w:rsidRDefault="001D739F" w:rsidP="008F00D1">
      <w:pPr>
        <w:pStyle w:val="Heading3"/>
      </w:pPr>
      <w:bookmarkStart w:id="189" w:name="_Toc51068019"/>
      <w:r w:rsidRPr="00262F3A">
        <w:t>Acronyms</w:t>
      </w:r>
      <w:bookmarkEnd w:id="189"/>
      <w:r w:rsidRPr="00262F3A">
        <w:t xml:space="preserve"> </w:t>
      </w:r>
    </w:p>
    <w:p w14:paraId="3FE93DA7" w14:textId="77777777" w:rsidR="00276349" w:rsidRDefault="00276349" w:rsidP="00276349">
      <w:bookmarkStart w:id="190" w:name="_Toc23603209"/>
      <w:r>
        <w:t xml:space="preserve">AAG – Autism Advisory Group </w:t>
      </w:r>
    </w:p>
    <w:p w14:paraId="71EF12DF" w14:textId="77777777" w:rsidR="00276349" w:rsidRDefault="00276349" w:rsidP="00276349">
      <w:r>
        <w:t>AAT – Administrative Appeals Tribunal</w:t>
      </w:r>
    </w:p>
    <w:p w14:paraId="7BB3E1BB" w14:textId="77777777" w:rsidR="00276349" w:rsidRDefault="00276349" w:rsidP="00276349">
      <w:r>
        <w:t xml:space="preserve">AAT Act – </w:t>
      </w:r>
      <w:r w:rsidRPr="00E67366">
        <w:rPr>
          <w:i/>
        </w:rPr>
        <w:t>Administrative Appeals Tribunal Act 1975</w:t>
      </w:r>
    </w:p>
    <w:p w14:paraId="3EE7B25A" w14:textId="77777777" w:rsidR="00276349" w:rsidRDefault="00276349" w:rsidP="00276349">
      <w:r>
        <w:t>Agency – National Disability Insurance Agency</w:t>
      </w:r>
    </w:p>
    <w:p w14:paraId="59B2046E" w14:textId="77777777" w:rsidR="00276349" w:rsidRDefault="00276349" w:rsidP="00276349">
      <w:r>
        <w:t>AHRC – Australian Human Rights Commission</w:t>
      </w:r>
    </w:p>
    <w:p w14:paraId="1D60D2B8" w14:textId="77777777" w:rsidR="00276349" w:rsidRDefault="00276349" w:rsidP="00276349">
      <w:r>
        <w:t>AM  – Member of the Order of Australia</w:t>
      </w:r>
    </w:p>
    <w:p w14:paraId="26809FC2" w14:textId="77777777" w:rsidR="00276349" w:rsidRDefault="00276349" w:rsidP="00276349">
      <w:r>
        <w:t>ANAO – Australian National Audit Office</w:t>
      </w:r>
    </w:p>
    <w:p w14:paraId="2F7D90D2" w14:textId="77777777" w:rsidR="00276349" w:rsidRDefault="00276349" w:rsidP="00276349">
      <w:r>
        <w:t>AO – Order of Australia, Officer in the General Division</w:t>
      </w:r>
    </w:p>
    <w:p w14:paraId="7F299CBB" w14:textId="77777777" w:rsidR="00276349" w:rsidRDefault="00276349" w:rsidP="00276349">
      <w:r>
        <w:t>APIs – Application Programming Interfaces</w:t>
      </w:r>
    </w:p>
    <w:p w14:paraId="7A6EA6F8" w14:textId="77777777" w:rsidR="00276349" w:rsidRDefault="00276349" w:rsidP="00276349">
      <w:r>
        <w:t>APS  – Australian Public Service</w:t>
      </w:r>
    </w:p>
    <w:p w14:paraId="0F051523" w14:textId="77777777" w:rsidR="001B0A3B" w:rsidRDefault="001B0A3B" w:rsidP="00276349">
      <w:r>
        <w:t>APSC – Australian Public Service Commission</w:t>
      </w:r>
    </w:p>
    <w:p w14:paraId="02086DCF" w14:textId="3B5D8D5E" w:rsidR="00276349" w:rsidRDefault="00276349" w:rsidP="00276349">
      <w:r>
        <w:t xml:space="preserve">CALD – culturally and linguistically diverse </w:t>
      </w:r>
    </w:p>
    <w:p w14:paraId="18695F77" w14:textId="77777777" w:rsidR="00276349" w:rsidRDefault="00276349" w:rsidP="00276349">
      <w:r>
        <w:lastRenderedPageBreak/>
        <w:t>CEO – Chief Executive Officer</w:t>
      </w:r>
    </w:p>
    <w:p w14:paraId="1D8013BA" w14:textId="77777777" w:rsidR="00276349" w:rsidRDefault="00276349" w:rsidP="00276349">
      <w:r>
        <w:t>COAG – Council of Australian Governments</w:t>
      </w:r>
    </w:p>
    <w:p w14:paraId="7BD4B7AD" w14:textId="77777777" w:rsidR="001B0A3B" w:rsidRDefault="001B0A3B" w:rsidP="00276349">
      <w:r>
        <w:t>CRO – Chief Risk Officer</w:t>
      </w:r>
    </w:p>
    <w:p w14:paraId="209F0525" w14:textId="77777777" w:rsidR="001B0A3B" w:rsidRDefault="001B0A3B" w:rsidP="00276349">
      <w:r>
        <w:t>DSS – Department of Social Services</w:t>
      </w:r>
    </w:p>
    <w:p w14:paraId="55819997" w14:textId="67F44243" w:rsidR="00276349" w:rsidRDefault="00276349" w:rsidP="00276349">
      <w:r>
        <w:t xml:space="preserve">ECEI – Early Childhood Early Intervention </w:t>
      </w:r>
    </w:p>
    <w:p w14:paraId="67EE1995" w14:textId="77777777" w:rsidR="00276349" w:rsidRDefault="00276349" w:rsidP="00276349">
      <w:r>
        <w:t>ELT – Executive Leadership Team</w:t>
      </w:r>
    </w:p>
    <w:p w14:paraId="34586044" w14:textId="77777777" w:rsidR="00276349" w:rsidRDefault="00276349" w:rsidP="00276349">
      <w:r>
        <w:t>FASD – Fetal Alcohol Spectrum Disorder</w:t>
      </w:r>
    </w:p>
    <w:p w14:paraId="3D71E333" w14:textId="77777777" w:rsidR="00276349" w:rsidRDefault="00276349" w:rsidP="00276349">
      <w:r>
        <w:t>FOI – freedom of information</w:t>
      </w:r>
    </w:p>
    <w:p w14:paraId="5525F4D7" w14:textId="77777777" w:rsidR="00276349" w:rsidRDefault="00276349" w:rsidP="00276349">
      <w:r>
        <w:t xml:space="preserve">FOI Act – </w:t>
      </w:r>
      <w:r w:rsidRPr="00E67366">
        <w:rPr>
          <w:i/>
        </w:rPr>
        <w:t>Freedom of Information Act 1982</w:t>
      </w:r>
    </w:p>
    <w:p w14:paraId="2C2EC9BA" w14:textId="77777777" w:rsidR="00276349" w:rsidRDefault="00276349" w:rsidP="00276349">
      <w:r>
        <w:t xml:space="preserve">FTE – full time equivalent </w:t>
      </w:r>
    </w:p>
    <w:p w14:paraId="7C2DA3EC" w14:textId="77777777" w:rsidR="001B0A3B" w:rsidRDefault="001B0A3B" w:rsidP="00276349">
      <w:r>
        <w:t>GDP – Gross Domestic Product</w:t>
      </w:r>
    </w:p>
    <w:p w14:paraId="19FDB472" w14:textId="7018A2E2" w:rsidR="00276349" w:rsidRDefault="00276349" w:rsidP="00276349">
      <w:r>
        <w:t>GST – Goods and Services Tax</w:t>
      </w:r>
    </w:p>
    <w:p w14:paraId="35004505" w14:textId="77777777" w:rsidR="00276349" w:rsidRDefault="00276349" w:rsidP="00276349">
      <w:r>
        <w:t xml:space="preserve">HR – human resources </w:t>
      </w:r>
    </w:p>
    <w:p w14:paraId="66648EDB" w14:textId="77777777" w:rsidR="00276349" w:rsidRDefault="00276349" w:rsidP="00276349">
      <w:r>
        <w:t>IAC – Independent Advisory Council</w:t>
      </w:r>
    </w:p>
    <w:p w14:paraId="3AC950AF" w14:textId="77777777" w:rsidR="00276349" w:rsidRDefault="00276349" w:rsidP="00276349">
      <w:r>
        <w:t>ICT – information and communications technology</w:t>
      </w:r>
    </w:p>
    <w:p w14:paraId="58291D58" w14:textId="77777777" w:rsidR="00276349" w:rsidRDefault="00276349" w:rsidP="00276349">
      <w:r>
        <w:t>ILC – Information, Linkages and Capacity Building</w:t>
      </w:r>
    </w:p>
    <w:p w14:paraId="3C5795A8" w14:textId="77777777" w:rsidR="00276349" w:rsidRDefault="00276349" w:rsidP="00276349">
      <w:r>
        <w:t xml:space="preserve">ILOs – Individual Living Options </w:t>
      </w:r>
    </w:p>
    <w:p w14:paraId="07151BF6" w14:textId="77777777" w:rsidR="00276349" w:rsidRDefault="00276349" w:rsidP="00276349">
      <w:r>
        <w:t xml:space="preserve">IRG – Industry Reference Group </w:t>
      </w:r>
    </w:p>
    <w:p w14:paraId="4FDE5C3F" w14:textId="77777777" w:rsidR="00276349" w:rsidRDefault="00276349" w:rsidP="00276349">
      <w:r>
        <w:t>KMP – key management personnel</w:t>
      </w:r>
    </w:p>
    <w:p w14:paraId="1B08969D" w14:textId="77777777" w:rsidR="001B0A3B" w:rsidRDefault="001B0A3B" w:rsidP="00276349">
      <w:r>
        <w:t>LAC – Local Area Coordinator</w:t>
      </w:r>
    </w:p>
    <w:p w14:paraId="2085B95A" w14:textId="2C718BB0" w:rsidR="00276349" w:rsidRDefault="00276349" w:rsidP="00276349">
      <w:r>
        <w:t>LED – light emitting diode</w:t>
      </w:r>
    </w:p>
    <w:p w14:paraId="45246AB7" w14:textId="77777777" w:rsidR="00276349" w:rsidRDefault="00276349" w:rsidP="00276349">
      <w:r>
        <w:t>NCC – National Contact Centre</w:t>
      </w:r>
    </w:p>
    <w:p w14:paraId="211ED117" w14:textId="77777777" w:rsidR="00276349" w:rsidRDefault="00276349" w:rsidP="00276349">
      <w:r>
        <w:t>NDIA – National Disability Insurance Agency</w:t>
      </w:r>
    </w:p>
    <w:p w14:paraId="36481455" w14:textId="77777777" w:rsidR="00276349" w:rsidRDefault="00276349" w:rsidP="00276349">
      <w:r>
        <w:t>NDIS – National Disability Insurance Scheme</w:t>
      </w:r>
    </w:p>
    <w:p w14:paraId="0640C478" w14:textId="77777777" w:rsidR="00276349" w:rsidRDefault="00276349" w:rsidP="00276349">
      <w:r>
        <w:t xml:space="preserve">NDIS Act – </w:t>
      </w:r>
      <w:r w:rsidRPr="00E67366">
        <w:rPr>
          <w:i/>
        </w:rPr>
        <w:t>National Disability Insurance Scheme Act 2013</w:t>
      </w:r>
    </w:p>
    <w:p w14:paraId="4D2BB4FE" w14:textId="23B5D065" w:rsidR="001B0A3B" w:rsidRDefault="001B0A3B" w:rsidP="00276349">
      <w:r>
        <w:t>NED – Non-Executive Director</w:t>
      </w:r>
    </w:p>
    <w:p w14:paraId="7DBDDCEC" w14:textId="316D6796" w:rsidR="00276349" w:rsidRDefault="00276349" w:rsidP="00276349">
      <w:r>
        <w:t xml:space="preserve">NMHSRG – National Mental Health Sector Reference Group </w:t>
      </w:r>
    </w:p>
    <w:p w14:paraId="77D145D0" w14:textId="77777777" w:rsidR="00276349" w:rsidRDefault="00276349" w:rsidP="00276349">
      <w:r>
        <w:t>OCO – Office of the Commonwealth Ombudsman</w:t>
      </w:r>
    </w:p>
    <w:p w14:paraId="327034F9" w14:textId="77777777" w:rsidR="00276349" w:rsidRDefault="00276349" w:rsidP="00276349">
      <w:r>
        <w:t xml:space="preserve">PBS – Portfolio Budget Statements 2019–20 </w:t>
      </w:r>
    </w:p>
    <w:p w14:paraId="15AD0A67" w14:textId="77777777" w:rsidR="00276349" w:rsidRDefault="00276349" w:rsidP="00276349">
      <w:r>
        <w:t>PED – Participant Experience Delivery</w:t>
      </w:r>
    </w:p>
    <w:p w14:paraId="2A74D202" w14:textId="77777777" w:rsidR="00276349" w:rsidRDefault="00276349" w:rsidP="00276349">
      <w:r>
        <w:t xml:space="preserve">PGPA Act – </w:t>
      </w:r>
      <w:r w:rsidRPr="00E67366">
        <w:rPr>
          <w:i/>
        </w:rPr>
        <w:t>Public Governance, Performance and Accountability Act 2013</w:t>
      </w:r>
    </w:p>
    <w:p w14:paraId="5EA9603B" w14:textId="77777777" w:rsidR="00276349" w:rsidRDefault="00276349" w:rsidP="00276349">
      <w:r>
        <w:t>PGPA Rule – Public Governance, Performance and Accountability Rule 2014</w:t>
      </w:r>
    </w:p>
    <w:p w14:paraId="22DD988B" w14:textId="727FDFDB" w:rsidR="00276349" w:rsidRDefault="00276349" w:rsidP="00276349">
      <w:r>
        <w:t>P</w:t>
      </w:r>
      <w:r w:rsidR="00EB41AF">
        <w:t>I</w:t>
      </w:r>
      <w:r>
        <w:t>TC – partners in the community</w:t>
      </w:r>
    </w:p>
    <w:p w14:paraId="2A31CF8F" w14:textId="77777777" w:rsidR="00276349" w:rsidRDefault="00276349" w:rsidP="00276349">
      <w:r>
        <w:t xml:space="preserve">PPE – personal protective equipment </w:t>
      </w:r>
    </w:p>
    <w:p w14:paraId="53F46A3A" w14:textId="77777777" w:rsidR="00276349" w:rsidRDefault="00276349" w:rsidP="00276349">
      <w:r>
        <w:t>PRC – People and Remuneration Committee</w:t>
      </w:r>
    </w:p>
    <w:p w14:paraId="629C25A2" w14:textId="77777777" w:rsidR="00276349" w:rsidRDefault="00276349" w:rsidP="00276349">
      <w:r>
        <w:t xml:space="preserve">PRG – Participant Reference Group </w:t>
      </w:r>
    </w:p>
    <w:p w14:paraId="1B5CADA4" w14:textId="77777777" w:rsidR="00276349" w:rsidRDefault="00276349" w:rsidP="00276349">
      <w:r>
        <w:t xml:space="preserve">PSPF – Protective Security Policy Framework </w:t>
      </w:r>
    </w:p>
    <w:p w14:paraId="4D7E34BC" w14:textId="77777777" w:rsidR="00276349" w:rsidRDefault="00276349" w:rsidP="00276349">
      <w:r>
        <w:lastRenderedPageBreak/>
        <w:t xml:space="preserve">RoRDs – review of reviewable decisions </w:t>
      </w:r>
    </w:p>
    <w:p w14:paraId="7DB9E70F" w14:textId="77777777" w:rsidR="00276349" w:rsidRDefault="00276349" w:rsidP="00276349">
      <w:r>
        <w:t>Scheme – National Disability Insurance Scheme</w:t>
      </w:r>
    </w:p>
    <w:p w14:paraId="5FE237B0" w14:textId="77777777" w:rsidR="00276349" w:rsidRDefault="00276349" w:rsidP="00276349">
      <w:r>
        <w:t xml:space="preserve">SDA – specialist disability accommodation </w:t>
      </w:r>
    </w:p>
    <w:p w14:paraId="047F43EA" w14:textId="77777777" w:rsidR="00276349" w:rsidRDefault="00276349" w:rsidP="00276349">
      <w:r>
        <w:t>SES – Senior Executive Service</w:t>
      </w:r>
    </w:p>
    <w:p w14:paraId="215D2DD8" w14:textId="77777777" w:rsidR="00276349" w:rsidRDefault="00276349" w:rsidP="00276349">
      <w:r>
        <w:t xml:space="preserve">SIL – supported independent living </w:t>
      </w:r>
    </w:p>
    <w:p w14:paraId="0EB4760A" w14:textId="77777777" w:rsidR="00276349" w:rsidRDefault="00276349" w:rsidP="00276349">
      <w:r>
        <w:t xml:space="preserve">TTP – Temporary Transformation Payment </w:t>
      </w:r>
    </w:p>
    <w:p w14:paraId="3C210472" w14:textId="77777777" w:rsidR="00276349" w:rsidRDefault="00276349" w:rsidP="00276349">
      <w:r>
        <w:t>WHS – work health and safety</w:t>
      </w:r>
    </w:p>
    <w:p w14:paraId="0951C61E" w14:textId="59B466B3" w:rsidR="00B240DE" w:rsidRPr="00262F3A" w:rsidRDefault="00276349" w:rsidP="00276349">
      <w:r>
        <w:t xml:space="preserve">WHS Act – </w:t>
      </w:r>
      <w:r w:rsidRPr="00E67366">
        <w:rPr>
          <w:i/>
        </w:rPr>
        <w:t>Work Health and Safety Act 2011</w:t>
      </w:r>
    </w:p>
    <w:p w14:paraId="1A80E171" w14:textId="33742239" w:rsidR="00A42F23" w:rsidRPr="00262F3A" w:rsidRDefault="00A42F23" w:rsidP="0096331A">
      <w:pPr>
        <w:pStyle w:val="Heading1"/>
      </w:pPr>
      <w:bookmarkStart w:id="191" w:name="_Toc51068020"/>
      <w:r w:rsidRPr="00262F3A">
        <w:lastRenderedPageBreak/>
        <w:t>Index</w:t>
      </w:r>
      <w:bookmarkEnd w:id="191"/>
    </w:p>
    <w:p w14:paraId="5D557A0D" w14:textId="77777777" w:rsidR="00D142AB" w:rsidRPr="00262F3A" w:rsidRDefault="001D739F" w:rsidP="008F00D1">
      <w:pPr>
        <w:pStyle w:val="Heading2"/>
      </w:pPr>
      <w:bookmarkStart w:id="192" w:name="_Toc51068021"/>
      <w:r w:rsidRPr="00262F3A">
        <w:t>Compliance index</w:t>
      </w:r>
      <w:bookmarkEnd w:id="190"/>
      <w:bookmarkEnd w:id="192"/>
      <w:r w:rsidRPr="00262F3A">
        <w:t xml:space="preserve"> </w:t>
      </w:r>
    </w:p>
    <w:p w14:paraId="0B7AA62B" w14:textId="77777777" w:rsidR="001D739F" w:rsidRPr="00262F3A" w:rsidRDefault="001D739F" w:rsidP="00561B3B">
      <w:r w:rsidRPr="00262F3A">
        <w:t>The purpose of this Schedule is to set out, for the purposes of paragraph 17BE(u), the list of requirements to be included in a corporate Commonwealth entity’s annual report for a reporting period. This Schedule is made for the purposes of subsection 46(3) of the Act and Public Governance, Performance and Accountability Amendment (Annual Reporting) Rules 2019.</w:t>
      </w:r>
    </w:p>
    <w:tbl>
      <w:tblPr>
        <w:tblW w:w="5049" w:type="pct"/>
        <w:tblCellMar>
          <w:left w:w="0" w:type="dxa"/>
          <w:right w:w="0" w:type="dxa"/>
        </w:tblCellMar>
        <w:tblLook w:val="04A0" w:firstRow="1" w:lastRow="0" w:firstColumn="1" w:lastColumn="0" w:noHBand="0" w:noVBand="1"/>
      </w:tblPr>
      <w:tblGrid>
        <w:gridCol w:w="1920"/>
        <w:gridCol w:w="1530"/>
        <w:gridCol w:w="3518"/>
        <w:gridCol w:w="2126"/>
      </w:tblGrid>
      <w:tr w:rsidR="001D739F" w:rsidRPr="00262F3A" w14:paraId="76DF3525" w14:textId="77777777" w:rsidTr="00301F4C">
        <w:trPr>
          <w:trHeight w:val="361"/>
          <w:tblHeader/>
        </w:trPr>
        <w:tc>
          <w:tcPr>
            <w:tcW w:w="1056" w:type="pct"/>
            <w:tcBorders>
              <w:top w:val="single" w:sz="8" w:space="0" w:color="auto"/>
              <w:left w:val="single" w:sz="8" w:space="0" w:color="auto"/>
              <w:bottom w:val="single" w:sz="8" w:space="0" w:color="auto"/>
              <w:right w:val="single" w:sz="8" w:space="0" w:color="auto"/>
            </w:tcBorders>
            <w:shd w:val="clear" w:color="auto" w:fill="7030A0"/>
            <w:tcMar>
              <w:top w:w="0" w:type="dxa"/>
              <w:left w:w="108" w:type="dxa"/>
              <w:bottom w:w="0" w:type="dxa"/>
              <w:right w:w="108" w:type="dxa"/>
            </w:tcMar>
            <w:hideMark/>
          </w:tcPr>
          <w:p w14:paraId="7B457903" w14:textId="77777777" w:rsidR="001D739F" w:rsidRPr="00262F3A" w:rsidRDefault="001D739F" w:rsidP="00D142AB">
            <w:pPr>
              <w:pStyle w:val="Tableformat"/>
              <w:rPr>
                <w:color w:val="FFFFFF" w:themeColor="background1"/>
              </w:rPr>
            </w:pPr>
            <w:r w:rsidRPr="00262F3A">
              <w:rPr>
                <w:color w:val="FFFFFF" w:themeColor="background1"/>
              </w:rPr>
              <w:t>PGPA Rule Reference</w:t>
            </w:r>
          </w:p>
        </w:tc>
        <w:tc>
          <w:tcPr>
            <w:tcW w:w="841"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33406D8A" w14:textId="77777777" w:rsidR="001D739F" w:rsidRPr="00262F3A" w:rsidRDefault="001D739F" w:rsidP="00D142AB">
            <w:pPr>
              <w:pStyle w:val="Tableformat"/>
              <w:rPr>
                <w:color w:val="FFFFFF" w:themeColor="background1"/>
              </w:rPr>
            </w:pPr>
            <w:r w:rsidRPr="00262F3A">
              <w:rPr>
                <w:color w:val="FFFFFF" w:themeColor="background1"/>
              </w:rPr>
              <w:t>Part of Report</w:t>
            </w:r>
          </w:p>
        </w:tc>
        <w:tc>
          <w:tcPr>
            <w:tcW w:w="1934"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49B70DF1" w14:textId="77777777" w:rsidR="001D739F" w:rsidRPr="00262F3A" w:rsidRDefault="001D739F" w:rsidP="00D142AB">
            <w:pPr>
              <w:pStyle w:val="Tableformat"/>
              <w:rPr>
                <w:color w:val="FFFFFF" w:themeColor="background1"/>
              </w:rPr>
            </w:pPr>
            <w:r w:rsidRPr="00262F3A">
              <w:rPr>
                <w:color w:val="FFFFFF" w:themeColor="background1"/>
              </w:rPr>
              <w:t>Description</w:t>
            </w:r>
          </w:p>
        </w:tc>
        <w:tc>
          <w:tcPr>
            <w:tcW w:w="1169"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0E9EA2FB" w14:textId="77777777" w:rsidR="001D739F" w:rsidRPr="00262F3A" w:rsidRDefault="001D739F" w:rsidP="00D142AB">
            <w:pPr>
              <w:pStyle w:val="Tableformat"/>
              <w:rPr>
                <w:color w:val="FFFFFF" w:themeColor="background1"/>
              </w:rPr>
            </w:pPr>
            <w:r w:rsidRPr="00262F3A">
              <w:rPr>
                <w:color w:val="FFFFFF" w:themeColor="background1"/>
              </w:rPr>
              <w:t>Requirement</w:t>
            </w:r>
          </w:p>
        </w:tc>
      </w:tr>
      <w:tr w:rsidR="001D739F" w:rsidRPr="00262F3A" w14:paraId="74D59CFB"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6D4F5" w14:textId="77777777" w:rsidR="001D739F" w:rsidRPr="00262F3A" w:rsidRDefault="001D739F" w:rsidP="00D142AB">
            <w:pPr>
              <w:pStyle w:val="Tableformat"/>
            </w:pPr>
            <w:r w:rsidRPr="00262F3A">
              <w:t>17BE</w:t>
            </w:r>
          </w:p>
        </w:tc>
        <w:tc>
          <w:tcPr>
            <w:tcW w:w="277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24B968" w14:textId="77777777" w:rsidR="001D739F" w:rsidRPr="00262F3A" w:rsidRDefault="001D739F" w:rsidP="00D142AB">
            <w:pPr>
              <w:pStyle w:val="Tableformat"/>
            </w:pPr>
            <w:r w:rsidRPr="00262F3A">
              <w:t>Contents of annual report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64E9B51A" w14:textId="77777777" w:rsidR="001D739F" w:rsidRPr="00262F3A" w:rsidRDefault="001D739F" w:rsidP="00D142AB">
            <w:pPr>
              <w:pStyle w:val="Tableformat"/>
            </w:pPr>
            <w:r w:rsidRPr="00262F3A">
              <w:t> </w:t>
            </w:r>
          </w:p>
        </w:tc>
      </w:tr>
      <w:tr w:rsidR="00301F4C" w:rsidRPr="00262F3A" w14:paraId="6021BDF5"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430A9" w14:textId="77777777" w:rsidR="00301F4C" w:rsidRPr="00262F3A" w:rsidRDefault="00301F4C" w:rsidP="00301F4C">
            <w:pPr>
              <w:pStyle w:val="Tableformat"/>
            </w:pPr>
            <w:r w:rsidRPr="00262F3A">
              <w:t>17BE(a)</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4FFB9763" w14:textId="7AF90EBB" w:rsidR="00301F4C" w:rsidRPr="00262F3A" w:rsidRDefault="00301F4C" w:rsidP="00301F4C">
            <w:pPr>
              <w:pStyle w:val="Tableformat"/>
            </w:pPr>
            <w:r w:rsidRPr="00262F3A">
              <w:t xml:space="preserve"> 5.1 </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01EBA28F" w14:textId="77777777" w:rsidR="00301F4C" w:rsidRPr="00262F3A" w:rsidRDefault="00301F4C" w:rsidP="00301F4C">
            <w:pPr>
              <w:pStyle w:val="Tableformat"/>
            </w:pPr>
            <w:r w:rsidRPr="00262F3A">
              <w:t>Details of the legislation establishing the body</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47C80983" w14:textId="77777777" w:rsidR="00301F4C" w:rsidRPr="00262F3A" w:rsidRDefault="00301F4C" w:rsidP="00301F4C">
            <w:pPr>
              <w:pStyle w:val="Tableformat"/>
            </w:pPr>
            <w:r w:rsidRPr="00262F3A">
              <w:t>Mandatory</w:t>
            </w:r>
          </w:p>
        </w:tc>
      </w:tr>
      <w:tr w:rsidR="00301F4C" w:rsidRPr="00262F3A" w14:paraId="7C638935"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148E8" w14:textId="77777777" w:rsidR="00301F4C" w:rsidRPr="00262F3A" w:rsidRDefault="00301F4C" w:rsidP="00301F4C">
            <w:pPr>
              <w:pStyle w:val="Tableformat"/>
            </w:pPr>
            <w:r w:rsidRPr="00262F3A">
              <w:t>17BE(b)(i)</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FD6AB25" w14:textId="6DA86914" w:rsidR="00301F4C" w:rsidRPr="00262F3A" w:rsidRDefault="00301F4C" w:rsidP="00301F4C">
            <w:pPr>
              <w:pStyle w:val="Tableformat"/>
            </w:pPr>
            <w:r w:rsidRPr="00262F3A">
              <w:t> 3.3, 5.1</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2970937E" w14:textId="77777777" w:rsidR="00301F4C" w:rsidRPr="00262F3A" w:rsidRDefault="00301F4C" w:rsidP="00301F4C">
            <w:pPr>
              <w:pStyle w:val="Tableformat"/>
            </w:pPr>
            <w:r w:rsidRPr="00262F3A">
              <w:t>A summary of the objects and functions of the entity as set out in legislation</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5ED71593" w14:textId="77777777" w:rsidR="00301F4C" w:rsidRPr="00262F3A" w:rsidRDefault="00301F4C" w:rsidP="00301F4C">
            <w:pPr>
              <w:pStyle w:val="Tableformat"/>
            </w:pPr>
            <w:r w:rsidRPr="00262F3A">
              <w:t>Mandatory</w:t>
            </w:r>
          </w:p>
        </w:tc>
      </w:tr>
      <w:tr w:rsidR="00301F4C" w:rsidRPr="00262F3A" w14:paraId="2DB7AEFB"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3AA2C" w14:textId="77777777" w:rsidR="00301F4C" w:rsidRPr="00262F3A" w:rsidRDefault="00301F4C" w:rsidP="00301F4C">
            <w:pPr>
              <w:pStyle w:val="Tableformat"/>
            </w:pPr>
            <w:r w:rsidRPr="00262F3A">
              <w:t>17BE(b)(ii)</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68F40D75" w14:textId="1437908D" w:rsidR="00301F4C" w:rsidRPr="00262F3A" w:rsidRDefault="00301F4C" w:rsidP="00301F4C">
            <w:pPr>
              <w:pStyle w:val="Tableformat"/>
            </w:pPr>
            <w:r w:rsidRPr="00262F3A">
              <w:t xml:space="preserve"> 1.5, 3.3.2 </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75B53989" w14:textId="77777777" w:rsidR="00301F4C" w:rsidRPr="00262F3A" w:rsidRDefault="00301F4C" w:rsidP="00301F4C">
            <w:pPr>
              <w:pStyle w:val="Tableformat"/>
            </w:pPr>
            <w:r w:rsidRPr="00262F3A">
              <w:t>The purposes of the entity as included in the entity’s corporate plan for the reporting period</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446D3C86" w14:textId="77777777" w:rsidR="00301F4C" w:rsidRPr="00262F3A" w:rsidRDefault="00301F4C" w:rsidP="00301F4C">
            <w:pPr>
              <w:pStyle w:val="Tableformat"/>
            </w:pPr>
            <w:r w:rsidRPr="00262F3A">
              <w:t>Mandatory</w:t>
            </w:r>
          </w:p>
        </w:tc>
      </w:tr>
      <w:tr w:rsidR="00301F4C" w:rsidRPr="00262F3A" w14:paraId="09957870"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0A5E7" w14:textId="77777777" w:rsidR="00301F4C" w:rsidRPr="00262F3A" w:rsidRDefault="00301F4C" w:rsidP="00301F4C">
            <w:pPr>
              <w:pStyle w:val="Tableformat"/>
            </w:pPr>
            <w:r w:rsidRPr="00262F3A">
              <w:t>17BE(c)</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4BA97D23" w14:textId="5066BDDF" w:rsidR="00301F4C" w:rsidRPr="00262F3A" w:rsidRDefault="00301F4C" w:rsidP="00301F4C">
            <w:pPr>
              <w:pStyle w:val="Tableformat"/>
            </w:pPr>
            <w:r w:rsidRPr="00262F3A">
              <w:t> 4.1.1</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4032890C" w14:textId="77777777" w:rsidR="00301F4C" w:rsidRPr="00262F3A" w:rsidRDefault="00301F4C" w:rsidP="00301F4C">
            <w:pPr>
              <w:pStyle w:val="Tableformat"/>
            </w:pPr>
            <w:r w:rsidRPr="00262F3A">
              <w:t>The names of the persons holding the position of responsible Minister or responsible Ministers during the reporting period, and the titles of those responsible Ministers</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6DC06953" w14:textId="77777777" w:rsidR="00301F4C" w:rsidRPr="00262F3A" w:rsidRDefault="00301F4C" w:rsidP="00301F4C">
            <w:pPr>
              <w:pStyle w:val="Tableformat"/>
            </w:pPr>
            <w:r w:rsidRPr="00262F3A">
              <w:t>Mandatory</w:t>
            </w:r>
          </w:p>
        </w:tc>
      </w:tr>
      <w:tr w:rsidR="00301F4C" w:rsidRPr="00262F3A" w14:paraId="11D003BD"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A07BA" w14:textId="77777777" w:rsidR="00301F4C" w:rsidRPr="00262F3A" w:rsidRDefault="00301F4C" w:rsidP="00301F4C">
            <w:pPr>
              <w:pStyle w:val="Tableformat"/>
            </w:pPr>
            <w:r w:rsidRPr="00262F3A">
              <w:t>17BE(d)</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B473666" w14:textId="57EB42FC" w:rsidR="00301F4C" w:rsidRPr="00262F3A" w:rsidRDefault="00301F4C" w:rsidP="00301F4C">
            <w:pPr>
              <w:pStyle w:val="Tableformat"/>
            </w:pPr>
            <w:r w:rsidRPr="00262F3A">
              <w:t> 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35FEBA00" w14:textId="77777777" w:rsidR="00301F4C" w:rsidRPr="00262F3A" w:rsidRDefault="00301F4C" w:rsidP="00301F4C">
            <w:pPr>
              <w:pStyle w:val="Tableformat"/>
            </w:pPr>
            <w:r w:rsidRPr="00262F3A">
              <w:t>Directions given to the entity by the Minister under an Act or instrument during the reporting period</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8326EC4" w14:textId="77777777" w:rsidR="00301F4C" w:rsidRPr="00262F3A" w:rsidRDefault="00301F4C" w:rsidP="00301F4C">
            <w:pPr>
              <w:pStyle w:val="Tableformat"/>
            </w:pPr>
            <w:r w:rsidRPr="00262F3A">
              <w:t>If applicable, mandatory</w:t>
            </w:r>
          </w:p>
        </w:tc>
      </w:tr>
      <w:tr w:rsidR="00301F4C" w:rsidRPr="00262F3A" w14:paraId="7980F027"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C156A" w14:textId="77777777" w:rsidR="00301F4C" w:rsidRPr="00262F3A" w:rsidRDefault="00301F4C" w:rsidP="00301F4C">
            <w:pPr>
              <w:pStyle w:val="Tableformat"/>
            </w:pPr>
            <w:r w:rsidRPr="00262F3A">
              <w:t>17BE(e)</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5A3E86B5" w14:textId="76FDEE75" w:rsidR="00301F4C" w:rsidRPr="00262F3A" w:rsidRDefault="00301F4C" w:rsidP="00301F4C">
            <w:pPr>
              <w:pStyle w:val="Tableformat"/>
            </w:pPr>
            <w:r w:rsidRPr="00262F3A">
              <w:t> 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2BC2A9B1" w14:textId="77777777" w:rsidR="00301F4C" w:rsidRPr="00262F3A" w:rsidRDefault="00301F4C" w:rsidP="00301F4C">
            <w:pPr>
              <w:pStyle w:val="Tableformat"/>
            </w:pPr>
            <w:r w:rsidRPr="00262F3A">
              <w:t>Any government policy order that applied in relation to the entity during the reporting period under section 22 of the Act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65F4C044" w14:textId="77777777" w:rsidR="00301F4C" w:rsidRPr="00262F3A" w:rsidRDefault="00301F4C" w:rsidP="00301F4C">
            <w:pPr>
              <w:pStyle w:val="Tableformat"/>
            </w:pPr>
            <w:r w:rsidRPr="00262F3A">
              <w:t>If applicable, mandatory</w:t>
            </w:r>
          </w:p>
        </w:tc>
      </w:tr>
      <w:tr w:rsidR="00301F4C" w:rsidRPr="00262F3A" w14:paraId="493EC735"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A073F" w14:textId="77777777" w:rsidR="00301F4C" w:rsidRPr="00262F3A" w:rsidRDefault="00301F4C" w:rsidP="00301F4C">
            <w:pPr>
              <w:pStyle w:val="Tableformat"/>
            </w:pPr>
            <w:r w:rsidRPr="00262F3A">
              <w:t>17BE(f)</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6444D81F" w14:textId="76DE27FB" w:rsidR="00301F4C" w:rsidRPr="00262F3A" w:rsidRDefault="00301F4C" w:rsidP="00301F4C">
            <w:pPr>
              <w:pStyle w:val="Tableformat"/>
            </w:pPr>
            <w:r w:rsidRPr="00262F3A">
              <w:t> 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40240E1B" w14:textId="77777777" w:rsidR="00301F4C" w:rsidRPr="00262F3A" w:rsidRDefault="00301F4C" w:rsidP="00301F4C">
            <w:pPr>
              <w:pStyle w:val="Tableformat"/>
            </w:pPr>
            <w:r w:rsidRPr="00262F3A">
              <w:t>Particulars of non</w:t>
            </w:r>
            <w:r w:rsidRPr="00262F3A">
              <w:noBreakHyphen/>
              <w:t>compliance with:</w:t>
            </w:r>
          </w:p>
          <w:p w14:paraId="423DEA6A" w14:textId="77777777" w:rsidR="00301F4C" w:rsidRPr="00262F3A" w:rsidRDefault="00301F4C" w:rsidP="00301F4C">
            <w:pPr>
              <w:pStyle w:val="Tableformat"/>
            </w:pPr>
            <w:r w:rsidRPr="00262F3A">
              <w:t>(a) a direction given to the entity by the Minister under an Act or instrument during the reporting period, or</w:t>
            </w:r>
          </w:p>
          <w:p w14:paraId="5C56BEB8" w14:textId="77777777" w:rsidR="00301F4C" w:rsidRPr="00262F3A" w:rsidRDefault="00301F4C" w:rsidP="00301F4C">
            <w:pPr>
              <w:pStyle w:val="Tableformat"/>
            </w:pPr>
            <w:r w:rsidRPr="00262F3A">
              <w:t>(b) a government policy order that applied in relation to the entity during the reporting period under section 22 of the Act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6DF8D5C" w14:textId="77777777" w:rsidR="00301F4C" w:rsidRPr="00262F3A" w:rsidRDefault="00301F4C" w:rsidP="00301F4C">
            <w:pPr>
              <w:pStyle w:val="Tableformat"/>
            </w:pPr>
            <w:r w:rsidRPr="00262F3A">
              <w:t>If applicable, mandatory</w:t>
            </w:r>
          </w:p>
        </w:tc>
      </w:tr>
      <w:tr w:rsidR="00301F4C" w:rsidRPr="00262F3A" w14:paraId="1699A27A"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D0C5B" w14:textId="77777777" w:rsidR="00301F4C" w:rsidRPr="00262F3A" w:rsidRDefault="00301F4C" w:rsidP="00301F4C">
            <w:pPr>
              <w:pStyle w:val="Tableformat"/>
            </w:pPr>
            <w:r w:rsidRPr="00262F3A">
              <w:t>17BE(g)</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5A7FB934" w14:textId="45E8319B" w:rsidR="00301F4C" w:rsidRPr="00262F3A" w:rsidRDefault="00301F4C" w:rsidP="00301F4C">
            <w:pPr>
              <w:pStyle w:val="Tableformat"/>
            </w:pPr>
            <w:r w:rsidRPr="00262F3A">
              <w:t> 3.3</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70F0D7EE" w14:textId="77777777" w:rsidR="00301F4C" w:rsidRPr="00262F3A" w:rsidRDefault="00301F4C" w:rsidP="00301F4C">
            <w:pPr>
              <w:pStyle w:val="Tableformat"/>
            </w:pPr>
            <w:r w:rsidRPr="00262F3A">
              <w:t>Annual performance statements in accordance with paragraph 39(1)(b) of the Act and section 16F of the rule</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6298AFB5" w14:textId="77777777" w:rsidR="00301F4C" w:rsidRPr="00262F3A" w:rsidRDefault="00301F4C" w:rsidP="00301F4C">
            <w:pPr>
              <w:pStyle w:val="Tableformat"/>
            </w:pPr>
            <w:r w:rsidRPr="00262F3A">
              <w:t>Mandatory</w:t>
            </w:r>
          </w:p>
        </w:tc>
      </w:tr>
      <w:tr w:rsidR="00301F4C" w:rsidRPr="00262F3A" w14:paraId="48B70E68"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ACF21" w14:textId="77777777" w:rsidR="00301F4C" w:rsidRPr="00262F3A" w:rsidRDefault="00301F4C" w:rsidP="00301F4C">
            <w:pPr>
              <w:pStyle w:val="Tableformat"/>
            </w:pPr>
            <w:r w:rsidRPr="00262F3A">
              <w:lastRenderedPageBreak/>
              <w:t>17BE(h), 17BE(i)</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16E8F04B" w14:textId="33504192" w:rsidR="00301F4C" w:rsidRPr="00262F3A" w:rsidRDefault="00301F4C" w:rsidP="00301F4C">
            <w:pPr>
              <w:pStyle w:val="Tableformat"/>
            </w:pPr>
            <w:r w:rsidRPr="00262F3A">
              <w:t> 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015735C8" w14:textId="77777777" w:rsidR="00301F4C" w:rsidRPr="00262F3A" w:rsidRDefault="00301F4C" w:rsidP="00301F4C">
            <w:pPr>
              <w:pStyle w:val="Tableformat"/>
            </w:pPr>
            <w:r w:rsidRPr="00262F3A">
              <w:t>A statement of significant issues reported to the Minister under paragraph 19(1)(e) of the Act that relates to non</w:t>
            </w:r>
            <w:r w:rsidRPr="00262F3A">
              <w:noBreakHyphen/>
              <w:t>compliance with finance law and action taken to remedy non</w:t>
            </w:r>
            <w:r w:rsidRPr="00262F3A">
              <w:noBreakHyphen/>
              <w:t>compliance</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9B6E68B" w14:textId="77777777" w:rsidR="00301F4C" w:rsidRPr="00262F3A" w:rsidRDefault="00301F4C" w:rsidP="00301F4C">
            <w:pPr>
              <w:pStyle w:val="Tableformat"/>
            </w:pPr>
            <w:r w:rsidRPr="00262F3A">
              <w:t>If applicable, mandatory</w:t>
            </w:r>
          </w:p>
        </w:tc>
      </w:tr>
      <w:tr w:rsidR="00301F4C" w:rsidRPr="00262F3A" w14:paraId="75FB0E37"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07BB2" w14:textId="77777777" w:rsidR="00301F4C" w:rsidRPr="00262F3A" w:rsidRDefault="00301F4C" w:rsidP="00301F4C">
            <w:pPr>
              <w:pStyle w:val="Tableformat"/>
            </w:pPr>
            <w:r w:rsidRPr="00262F3A">
              <w:t>17BE(j)</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5A86179B" w14:textId="237A11AD" w:rsidR="00301F4C" w:rsidRPr="00262F3A" w:rsidRDefault="00301F4C" w:rsidP="00301F4C">
            <w:pPr>
              <w:pStyle w:val="Tableformat"/>
            </w:pPr>
            <w:r w:rsidRPr="00262F3A">
              <w:t> 4.2.2</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65447B22" w14:textId="77777777" w:rsidR="00301F4C" w:rsidRPr="00262F3A" w:rsidRDefault="00301F4C" w:rsidP="00301F4C">
            <w:pPr>
              <w:pStyle w:val="Tableformat"/>
            </w:pPr>
            <w:r w:rsidRPr="00262F3A">
              <w:t>Information on the accountable authority, or each member of the accountable authority, of the entity during the reporting period</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F34C1CA" w14:textId="77777777" w:rsidR="00301F4C" w:rsidRPr="00262F3A" w:rsidRDefault="00301F4C" w:rsidP="00301F4C">
            <w:pPr>
              <w:pStyle w:val="Tableformat"/>
            </w:pPr>
            <w:r w:rsidRPr="00262F3A">
              <w:t>Mandatory</w:t>
            </w:r>
          </w:p>
        </w:tc>
      </w:tr>
      <w:tr w:rsidR="00301F4C" w:rsidRPr="00262F3A" w14:paraId="59A63039"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D37C9" w14:textId="77777777" w:rsidR="00301F4C" w:rsidRPr="00262F3A" w:rsidRDefault="00301F4C" w:rsidP="00301F4C">
            <w:pPr>
              <w:pStyle w:val="Tableformat"/>
            </w:pPr>
            <w:r w:rsidRPr="00262F3A">
              <w:t>17BE(k)</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0231F1C4" w14:textId="5E4FE8EB" w:rsidR="00301F4C" w:rsidRPr="00262F3A" w:rsidRDefault="00301F4C" w:rsidP="00662983">
            <w:pPr>
              <w:pStyle w:val="Tableformat"/>
            </w:pPr>
            <w:r w:rsidRPr="00262F3A">
              <w:t> 4.</w:t>
            </w:r>
            <w:r w:rsidR="00662983">
              <w:t>4</w:t>
            </w:r>
            <w:r w:rsidRPr="00262F3A">
              <w:t>.2</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51149437" w14:textId="77777777" w:rsidR="00301F4C" w:rsidRPr="00262F3A" w:rsidRDefault="00301F4C" w:rsidP="00301F4C">
            <w:pPr>
              <w:pStyle w:val="Tableformat"/>
            </w:pPr>
            <w:r w:rsidRPr="00262F3A">
              <w:t>Outline of the organisational structure of the entity (including any subsidiaries of the entity)</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1D86DBAD" w14:textId="77777777" w:rsidR="00301F4C" w:rsidRPr="00262F3A" w:rsidRDefault="00301F4C" w:rsidP="00301F4C">
            <w:pPr>
              <w:pStyle w:val="Tableformat"/>
            </w:pPr>
            <w:r w:rsidRPr="00262F3A">
              <w:t>Mandatory</w:t>
            </w:r>
          </w:p>
        </w:tc>
      </w:tr>
      <w:tr w:rsidR="00301F4C" w:rsidRPr="00262F3A" w14:paraId="571F0526"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4D345" w14:textId="77777777" w:rsidR="00301F4C" w:rsidRPr="00262F3A" w:rsidRDefault="00301F4C" w:rsidP="00301F4C">
            <w:pPr>
              <w:pStyle w:val="Tableformat"/>
            </w:pPr>
            <w:r w:rsidRPr="00262F3A">
              <w:t>17BE(ka)</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0379F2BC" w14:textId="2485130E" w:rsidR="00301F4C" w:rsidRPr="00262F3A" w:rsidRDefault="00301F4C" w:rsidP="00301F4C">
            <w:pPr>
              <w:pStyle w:val="Tableformat"/>
            </w:pPr>
            <w:r w:rsidRPr="00262F3A">
              <w:t> 5.4</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7861C2A7" w14:textId="77777777" w:rsidR="00301F4C" w:rsidRPr="00262F3A" w:rsidRDefault="00301F4C" w:rsidP="00301F4C">
            <w:pPr>
              <w:pStyle w:val="Tableformat"/>
            </w:pPr>
            <w:r w:rsidRPr="00262F3A">
              <w:t>Statistics on the entity’s employees on an ongoing and non</w:t>
            </w:r>
            <w:r w:rsidRPr="00262F3A">
              <w:noBreakHyphen/>
              <w:t>ongoing basis, including the following:</w:t>
            </w:r>
          </w:p>
          <w:p w14:paraId="59756EE3" w14:textId="3AA77935" w:rsidR="00301F4C" w:rsidRPr="00262F3A" w:rsidRDefault="00301F4C" w:rsidP="00301F4C">
            <w:pPr>
              <w:pStyle w:val="Tableformat"/>
            </w:pPr>
            <w:r w:rsidRPr="00262F3A">
              <w:t>(a) statistics on full</w:t>
            </w:r>
            <w:r w:rsidR="001B0A3B">
              <w:t xml:space="preserve"> </w:t>
            </w:r>
            <w:r w:rsidRPr="00262F3A">
              <w:t>time employees</w:t>
            </w:r>
          </w:p>
          <w:p w14:paraId="092BDBCD" w14:textId="45E1A711" w:rsidR="00301F4C" w:rsidRPr="00262F3A" w:rsidRDefault="00301F4C" w:rsidP="00301F4C">
            <w:pPr>
              <w:pStyle w:val="Tableformat"/>
            </w:pPr>
            <w:r w:rsidRPr="00262F3A">
              <w:t>(b) statistics on part</w:t>
            </w:r>
            <w:r w:rsidR="001B0A3B">
              <w:t xml:space="preserve"> </w:t>
            </w:r>
            <w:r w:rsidRPr="00262F3A">
              <w:t>time employees</w:t>
            </w:r>
          </w:p>
          <w:p w14:paraId="729BF913" w14:textId="77777777" w:rsidR="00301F4C" w:rsidRPr="00262F3A" w:rsidRDefault="00301F4C" w:rsidP="00301F4C">
            <w:pPr>
              <w:pStyle w:val="Tableformat"/>
            </w:pPr>
            <w:r w:rsidRPr="00262F3A">
              <w:t>(c) statistics on gender</w:t>
            </w:r>
          </w:p>
          <w:p w14:paraId="64AF312E" w14:textId="77777777" w:rsidR="00301F4C" w:rsidRPr="00262F3A" w:rsidRDefault="00301F4C" w:rsidP="00301F4C">
            <w:pPr>
              <w:pStyle w:val="Tableformat"/>
            </w:pPr>
            <w:r w:rsidRPr="00262F3A">
              <w:t>(d) statistics on staff location</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2FFEA57A" w14:textId="77777777" w:rsidR="00301F4C" w:rsidRPr="00262F3A" w:rsidRDefault="00301F4C" w:rsidP="00301F4C">
            <w:pPr>
              <w:pStyle w:val="Tableformat"/>
            </w:pPr>
            <w:r w:rsidRPr="00262F3A">
              <w:t>Mandatory</w:t>
            </w:r>
          </w:p>
        </w:tc>
      </w:tr>
      <w:tr w:rsidR="00301F4C" w:rsidRPr="00262F3A" w14:paraId="635DEE75"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555C0" w14:textId="77777777" w:rsidR="00301F4C" w:rsidRPr="00262F3A" w:rsidRDefault="00301F4C" w:rsidP="00301F4C">
            <w:pPr>
              <w:pStyle w:val="Tableformat"/>
            </w:pPr>
            <w:r w:rsidRPr="00262F3A">
              <w:t>17BE(l)</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9878383" w14:textId="3AD766C7" w:rsidR="00301F4C" w:rsidRPr="00262F3A" w:rsidRDefault="00301F4C" w:rsidP="00301F4C">
            <w:pPr>
              <w:pStyle w:val="Tableformat"/>
            </w:pPr>
            <w:r w:rsidRPr="00262F3A">
              <w:t> 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1ECD0D7C" w14:textId="77777777" w:rsidR="00301F4C" w:rsidRPr="00262F3A" w:rsidRDefault="00301F4C" w:rsidP="00301F4C">
            <w:pPr>
              <w:pStyle w:val="Tableformat"/>
            </w:pPr>
            <w:r w:rsidRPr="00262F3A">
              <w:t>Outline of the location (whether or not in Australia) of major activities or facilities of the entity</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3B8B202B" w14:textId="77777777" w:rsidR="00301F4C" w:rsidRPr="00262F3A" w:rsidRDefault="00301F4C" w:rsidP="00301F4C">
            <w:pPr>
              <w:pStyle w:val="Tableformat"/>
            </w:pPr>
            <w:r w:rsidRPr="00262F3A">
              <w:t>Mandatory</w:t>
            </w:r>
          </w:p>
        </w:tc>
      </w:tr>
      <w:tr w:rsidR="00301F4C" w:rsidRPr="00262F3A" w14:paraId="24680D82"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1DA5E" w14:textId="77777777" w:rsidR="00301F4C" w:rsidRPr="00262F3A" w:rsidRDefault="00301F4C" w:rsidP="00301F4C">
            <w:pPr>
              <w:pStyle w:val="Tableformat"/>
            </w:pPr>
            <w:r w:rsidRPr="00262F3A">
              <w:t>17BE(m)</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67731626" w14:textId="7CD31595" w:rsidR="00301F4C" w:rsidRPr="00262F3A" w:rsidRDefault="00301F4C" w:rsidP="00662983">
            <w:pPr>
              <w:pStyle w:val="Tableformat"/>
            </w:pPr>
            <w:r w:rsidRPr="00262F3A">
              <w:t>4.1, 4.2.3, 4.</w:t>
            </w:r>
            <w:r w:rsidR="00662983">
              <w:t>6</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45258D04" w14:textId="77777777" w:rsidR="00301F4C" w:rsidRPr="00262F3A" w:rsidRDefault="00301F4C" w:rsidP="00301F4C">
            <w:pPr>
              <w:pStyle w:val="Tableformat"/>
            </w:pPr>
            <w:r w:rsidRPr="00262F3A">
              <w:t>Information relating to the main corporate governance practices used by the entity during the reporting period</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4C9FAACB" w14:textId="77777777" w:rsidR="00301F4C" w:rsidRPr="00262F3A" w:rsidRDefault="00301F4C" w:rsidP="00301F4C">
            <w:pPr>
              <w:pStyle w:val="Tableformat"/>
            </w:pPr>
            <w:r w:rsidRPr="00262F3A">
              <w:t>Mandatory</w:t>
            </w:r>
          </w:p>
        </w:tc>
      </w:tr>
      <w:tr w:rsidR="00301F4C" w:rsidRPr="00262F3A" w14:paraId="6BA673A2"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AECF2" w14:textId="77777777" w:rsidR="00301F4C" w:rsidRPr="00262F3A" w:rsidRDefault="00301F4C" w:rsidP="00301F4C">
            <w:pPr>
              <w:pStyle w:val="Tableformat"/>
            </w:pPr>
            <w:r w:rsidRPr="00262F3A">
              <w:t>17BE(n), 17BE(o)</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57C0ED02" w14:textId="48EFF03C" w:rsidR="00301F4C" w:rsidRPr="00262F3A" w:rsidRDefault="00301F4C" w:rsidP="00301F4C">
            <w:pPr>
              <w:pStyle w:val="Tableformat"/>
            </w:pPr>
            <w:r w:rsidRPr="00262F3A">
              <w:t> 3.</w:t>
            </w:r>
            <w:r w:rsidR="00662983">
              <w:t>1</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1F51518D" w14:textId="77777777" w:rsidR="00301F4C" w:rsidRPr="00262F3A" w:rsidRDefault="00301F4C" w:rsidP="00301F4C">
            <w:pPr>
              <w:pStyle w:val="Tableformat"/>
            </w:pPr>
            <w:r w:rsidRPr="00262F3A">
              <w:t>For transactions with a related Commonwealth entity or related company where the value of the transaction, or if there is more than one transaction, the aggregate of those transactions, is more than $10,000 (inclusive of GST):</w:t>
            </w:r>
          </w:p>
          <w:p w14:paraId="0DB25050" w14:textId="77777777" w:rsidR="00301F4C" w:rsidRPr="00262F3A" w:rsidRDefault="00301F4C" w:rsidP="00301F4C">
            <w:pPr>
              <w:pStyle w:val="Tableformat"/>
            </w:pPr>
            <w:r w:rsidRPr="00262F3A">
              <w:t>(a) the decision</w:t>
            </w:r>
            <w:r w:rsidRPr="00262F3A">
              <w:noBreakHyphen/>
              <w:t>making process undertaken by the accountable authority to approve the entity paying for a good or service from, or providing a grant to, the related Commonwealth entity or related company, and</w:t>
            </w:r>
          </w:p>
          <w:p w14:paraId="0CBFC87C" w14:textId="77777777" w:rsidR="00301F4C" w:rsidRPr="00262F3A" w:rsidRDefault="00301F4C" w:rsidP="00301F4C">
            <w:pPr>
              <w:pStyle w:val="Tableformat"/>
            </w:pPr>
            <w:r w:rsidRPr="00262F3A">
              <w:t>(b) the value of the transaction, or if there is more than one transaction, the number of transactions and the aggregate of value of the transactions</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347AF219" w14:textId="77777777" w:rsidR="00301F4C" w:rsidRPr="00262F3A" w:rsidRDefault="00301F4C" w:rsidP="00301F4C">
            <w:pPr>
              <w:pStyle w:val="Tableformat"/>
            </w:pPr>
            <w:r w:rsidRPr="00262F3A">
              <w:t>If applicable, mandatory</w:t>
            </w:r>
          </w:p>
        </w:tc>
      </w:tr>
      <w:tr w:rsidR="00301F4C" w:rsidRPr="00262F3A" w14:paraId="7A7232DE"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F03C9" w14:textId="77777777" w:rsidR="00301F4C" w:rsidRPr="00262F3A" w:rsidRDefault="00301F4C" w:rsidP="00301F4C">
            <w:pPr>
              <w:pStyle w:val="Tableformat"/>
            </w:pPr>
            <w:r w:rsidRPr="00262F3A">
              <w:lastRenderedPageBreak/>
              <w:t>17BE(p)</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43132A0" w14:textId="37E0186C" w:rsidR="00301F4C" w:rsidRPr="00262F3A" w:rsidRDefault="00272E13" w:rsidP="00272E13">
            <w:pPr>
              <w:pStyle w:val="Tableformat"/>
            </w:pPr>
            <w:r w:rsidRPr="00262F3A">
              <w:t>4.</w:t>
            </w:r>
            <w:r w:rsidR="00662983">
              <w:t>4</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5E7000A9" w14:textId="77777777" w:rsidR="00301F4C" w:rsidRPr="00262F3A" w:rsidRDefault="00301F4C" w:rsidP="00301F4C">
            <w:pPr>
              <w:pStyle w:val="Tableformat"/>
            </w:pPr>
            <w:r w:rsidRPr="00262F3A">
              <w:t>Any significant activities and changes that affected the operation or structure of the entity during the reporting period</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9D639C0" w14:textId="77777777" w:rsidR="00301F4C" w:rsidRPr="00262F3A" w:rsidRDefault="00301F4C" w:rsidP="00301F4C">
            <w:pPr>
              <w:pStyle w:val="Tableformat"/>
            </w:pPr>
            <w:r w:rsidRPr="00262F3A">
              <w:t>If applicable, mandatory</w:t>
            </w:r>
          </w:p>
        </w:tc>
      </w:tr>
      <w:tr w:rsidR="00301F4C" w:rsidRPr="00262F3A" w14:paraId="41338CE6"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670BA" w14:textId="77777777" w:rsidR="00301F4C" w:rsidRPr="00262F3A" w:rsidRDefault="00301F4C" w:rsidP="00301F4C">
            <w:pPr>
              <w:pStyle w:val="Tableformat"/>
            </w:pPr>
            <w:r w:rsidRPr="00262F3A">
              <w:t>17BE(q)</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19EF4FA3" w14:textId="16B683D8" w:rsidR="00301F4C" w:rsidRPr="00262F3A" w:rsidRDefault="00301F4C" w:rsidP="00301F4C">
            <w:pPr>
              <w:pStyle w:val="Tableformat"/>
            </w:pPr>
            <w:r w:rsidRPr="00262F3A">
              <w:t>5.8, 5.9</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0CCEDF4F" w14:textId="77777777" w:rsidR="00301F4C" w:rsidRPr="00262F3A" w:rsidRDefault="00301F4C" w:rsidP="00301F4C">
            <w:pPr>
              <w:pStyle w:val="Tableformat"/>
            </w:pPr>
            <w:r w:rsidRPr="00262F3A">
              <w:t>Particulars of judicial decisions or decisions of administrative tribunals that may have a significant effect on the operations of the entity</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77598AED" w14:textId="77777777" w:rsidR="00301F4C" w:rsidRPr="00262F3A" w:rsidRDefault="00301F4C" w:rsidP="00301F4C">
            <w:pPr>
              <w:pStyle w:val="Tableformat"/>
            </w:pPr>
            <w:r w:rsidRPr="00262F3A">
              <w:t>If applicable, mandatory</w:t>
            </w:r>
          </w:p>
        </w:tc>
      </w:tr>
      <w:tr w:rsidR="00301F4C" w:rsidRPr="00262F3A" w14:paraId="2D3CFB6B"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1357C" w14:textId="77777777" w:rsidR="00301F4C" w:rsidRPr="00262F3A" w:rsidRDefault="00301F4C" w:rsidP="00301F4C">
            <w:pPr>
              <w:pStyle w:val="Tableformat"/>
            </w:pPr>
            <w:r w:rsidRPr="00262F3A">
              <w:t>17BE(r)</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65DBF66" w14:textId="658EF2BC" w:rsidR="00301F4C" w:rsidRPr="00262F3A" w:rsidRDefault="00301F4C" w:rsidP="00301F4C">
            <w:pPr>
              <w:pStyle w:val="Tableformat"/>
            </w:pPr>
            <w:r w:rsidRPr="00262F3A">
              <w:t>5.7, 5.8, 5.14</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45846E84" w14:textId="77777777" w:rsidR="00301F4C" w:rsidRPr="00262F3A" w:rsidRDefault="00301F4C" w:rsidP="00301F4C">
            <w:pPr>
              <w:pStyle w:val="Tableformat"/>
            </w:pPr>
            <w:r w:rsidRPr="00262F3A">
              <w:t>Particulars of any reports on the entity given by:</w:t>
            </w:r>
          </w:p>
          <w:p w14:paraId="04909C38" w14:textId="77777777" w:rsidR="00301F4C" w:rsidRPr="00262F3A" w:rsidRDefault="00301F4C" w:rsidP="00301F4C">
            <w:pPr>
              <w:pStyle w:val="Tableformat"/>
            </w:pPr>
            <w:r w:rsidRPr="00262F3A">
              <w:t>(a) the Auditor</w:t>
            </w:r>
            <w:r w:rsidRPr="00262F3A">
              <w:noBreakHyphen/>
              <w:t>General (other than a report under section 43 of the Act), or</w:t>
            </w:r>
          </w:p>
          <w:p w14:paraId="3AC5B0CA" w14:textId="77777777" w:rsidR="00301F4C" w:rsidRPr="00262F3A" w:rsidRDefault="00301F4C" w:rsidP="00301F4C">
            <w:pPr>
              <w:pStyle w:val="Tableformat"/>
            </w:pPr>
            <w:r w:rsidRPr="00262F3A">
              <w:t>(b) a Parliamentary Committee, or</w:t>
            </w:r>
          </w:p>
          <w:p w14:paraId="4D1C01CF" w14:textId="77777777" w:rsidR="00301F4C" w:rsidRPr="00262F3A" w:rsidRDefault="00301F4C" w:rsidP="00301F4C">
            <w:pPr>
              <w:pStyle w:val="Tableformat"/>
            </w:pPr>
            <w:r w:rsidRPr="00262F3A">
              <w:t>(c) the Commonwealth Ombudsman, or</w:t>
            </w:r>
          </w:p>
          <w:p w14:paraId="467E4687" w14:textId="77777777" w:rsidR="00301F4C" w:rsidRPr="00262F3A" w:rsidRDefault="00301F4C" w:rsidP="00301F4C">
            <w:pPr>
              <w:pStyle w:val="Tableformat"/>
            </w:pPr>
            <w:r w:rsidRPr="00262F3A">
              <w:t>(d) the Office of the Australian Information Commissioner</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75648B32" w14:textId="77777777" w:rsidR="00301F4C" w:rsidRPr="00262F3A" w:rsidRDefault="00301F4C" w:rsidP="00301F4C">
            <w:pPr>
              <w:pStyle w:val="Tableformat"/>
            </w:pPr>
            <w:r w:rsidRPr="00262F3A">
              <w:t>If applicable, mandatory</w:t>
            </w:r>
          </w:p>
        </w:tc>
      </w:tr>
      <w:tr w:rsidR="00301F4C" w:rsidRPr="00262F3A" w14:paraId="490598D4"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61443" w14:textId="77777777" w:rsidR="00301F4C" w:rsidRPr="00262F3A" w:rsidRDefault="00301F4C" w:rsidP="00301F4C">
            <w:pPr>
              <w:pStyle w:val="Tableformat"/>
            </w:pPr>
            <w:r w:rsidRPr="00262F3A">
              <w:t>17BE(s)</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0DC40065" w14:textId="1D73BFD7" w:rsidR="00301F4C" w:rsidRPr="00262F3A" w:rsidRDefault="00301F4C" w:rsidP="00301F4C">
            <w:pPr>
              <w:pStyle w:val="Tableformat"/>
            </w:pPr>
            <w:r w:rsidRPr="00262F3A">
              <w:t>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334FE30E" w14:textId="77777777" w:rsidR="00301F4C" w:rsidRPr="00262F3A" w:rsidRDefault="00301F4C" w:rsidP="00301F4C">
            <w:pPr>
              <w:pStyle w:val="Tableformat"/>
            </w:pPr>
            <w:r w:rsidRPr="00262F3A">
              <w:t>An explanation of information not obtained from a subsidiary of the entity and the effect of not having the information on the annual report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1AC66B0D" w14:textId="77777777" w:rsidR="00301F4C" w:rsidRPr="00262F3A" w:rsidRDefault="00301F4C" w:rsidP="00301F4C">
            <w:pPr>
              <w:pStyle w:val="Tableformat"/>
            </w:pPr>
            <w:r w:rsidRPr="00262F3A">
              <w:t>If applicable, mandatory</w:t>
            </w:r>
          </w:p>
        </w:tc>
      </w:tr>
      <w:tr w:rsidR="00301F4C" w:rsidRPr="00262F3A" w14:paraId="07E57C79"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C4E550" w14:textId="77777777" w:rsidR="00301F4C" w:rsidRPr="00262F3A" w:rsidRDefault="00301F4C" w:rsidP="00301F4C">
            <w:pPr>
              <w:pStyle w:val="Tableformat"/>
            </w:pPr>
            <w:r w:rsidRPr="00262F3A">
              <w:t>17BE(t)</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7A9E2844" w14:textId="0C76A915" w:rsidR="00301F4C" w:rsidRPr="00262F3A" w:rsidRDefault="00301F4C" w:rsidP="00301F4C">
            <w:pPr>
              <w:pStyle w:val="Tableformat"/>
            </w:pPr>
            <w:r w:rsidRPr="00262F3A">
              <w:t>5.10</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207BC2CC" w14:textId="77777777" w:rsidR="00301F4C" w:rsidRPr="00262F3A" w:rsidRDefault="00301F4C" w:rsidP="00301F4C">
            <w:pPr>
              <w:pStyle w:val="Tableformat"/>
            </w:pPr>
            <w:r w:rsidRPr="00262F3A">
              <w:t>Details of any indemnity that applied during the reporting period to the accountable authority, any member of the accountable authority or officer of the entity against a liability (including premiums paid, or agreed to be paid, for insurance against the authority, member or officer’s liability for legal costs)</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46ECDCF5" w14:textId="77777777" w:rsidR="00301F4C" w:rsidRPr="00262F3A" w:rsidRDefault="00301F4C" w:rsidP="00301F4C">
            <w:pPr>
              <w:pStyle w:val="Tableformat"/>
            </w:pPr>
            <w:r w:rsidRPr="00262F3A">
              <w:t>If applicable, mandatory</w:t>
            </w:r>
          </w:p>
        </w:tc>
      </w:tr>
      <w:tr w:rsidR="00301F4C" w:rsidRPr="00262F3A" w14:paraId="7D4FDA70" w14:textId="77777777" w:rsidTr="00301F4C">
        <w:trPr>
          <w:cantSplit/>
          <w:trHeight w:val="50"/>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4DCCA" w14:textId="77777777" w:rsidR="00301F4C" w:rsidRPr="00262F3A" w:rsidRDefault="00301F4C" w:rsidP="00301F4C">
            <w:pPr>
              <w:pStyle w:val="Tableformat"/>
            </w:pPr>
            <w:r w:rsidRPr="00262F3A">
              <w:t>17BE(ta)</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2BF6F904" w14:textId="228A0CE4" w:rsidR="00301F4C" w:rsidRPr="00262F3A" w:rsidRDefault="00301F4C" w:rsidP="00301F4C">
            <w:pPr>
              <w:pStyle w:val="Tableformat"/>
            </w:pPr>
            <w:r w:rsidRPr="00262F3A">
              <w:t>5.6</w:t>
            </w:r>
          </w:p>
        </w:tc>
        <w:tc>
          <w:tcPr>
            <w:tcW w:w="1934" w:type="pct"/>
            <w:tcBorders>
              <w:top w:val="nil"/>
              <w:left w:val="nil"/>
              <w:bottom w:val="single" w:sz="8" w:space="0" w:color="auto"/>
              <w:right w:val="single" w:sz="8" w:space="0" w:color="auto"/>
            </w:tcBorders>
            <w:tcMar>
              <w:top w:w="0" w:type="dxa"/>
              <w:left w:w="108" w:type="dxa"/>
              <w:bottom w:w="0" w:type="dxa"/>
              <w:right w:w="108" w:type="dxa"/>
            </w:tcMar>
            <w:hideMark/>
          </w:tcPr>
          <w:p w14:paraId="3CBBDACE" w14:textId="77777777" w:rsidR="00301F4C" w:rsidRPr="00262F3A" w:rsidRDefault="00301F4C" w:rsidP="00301F4C">
            <w:pPr>
              <w:pStyle w:val="Tableformat"/>
            </w:pPr>
            <w:r w:rsidRPr="00262F3A">
              <w:t>Information about executive remuneration</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DC5EE33" w14:textId="77777777" w:rsidR="00301F4C" w:rsidRPr="00262F3A" w:rsidRDefault="00301F4C" w:rsidP="00301F4C">
            <w:pPr>
              <w:pStyle w:val="Tableformat"/>
            </w:pPr>
            <w:r w:rsidRPr="00262F3A">
              <w:t>Mandatory</w:t>
            </w:r>
          </w:p>
        </w:tc>
      </w:tr>
    </w:tbl>
    <w:p w14:paraId="7B7BF890" w14:textId="77777777" w:rsidR="001D739F" w:rsidRPr="00262F3A" w:rsidRDefault="001D739F" w:rsidP="008F00D1">
      <w:pPr>
        <w:pStyle w:val="Heading4"/>
      </w:pPr>
      <w:r w:rsidRPr="00262F3A">
        <w:t>The NDIS Act </w:t>
      </w:r>
      <w:bookmarkStart w:id="193" w:name="_Toc6318354"/>
    </w:p>
    <w:tbl>
      <w:tblPr>
        <w:tblW w:w="5000" w:type="pct"/>
        <w:tblLayout w:type="fixed"/>
        <w:tblLook w:val="0480" w:firstRow="0"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697"/>
        <w:gridCol w:w="1131"/>
        <w:gridCol w:w="3822"/>
        <w:gridCol w:w="2356"/>
      </w:tblGrid>
      <w:tr w:rsidR="001D739F" w:rsidRPr="00262F3A" w14:paraId="6544E02F" w14:textId="77777777" w:rsidTr="008F00D1">
        <w:trPr>
          <w:tblHeader/>
        </w:trPr>
        <w:tc>
          <w:tcPr>
            <w:tcW w:w="942" w:type="pct"/>
            <w:tcBorders>
              <w:top w:val="single" w:sz="8" w:space="0" w:color="auto"/>
              <w:left w:val="single" w:sz="8" w:space="0" w:color="auto"/>
              <w:bottom w:val="single" w:sz="8" w:space="0" w:color="auto"/>
              <w:right w:val="single" w:sz="8" w:space="0" w:color="auto"/>
            </w:tcBorders>
            <w:shd w:val="clear" w:color="auto" w:fill="7030A0"/>
            <w:hideMark/>
          </w:tcPr>
          <w:p w14:paraId="5DFBB282" w14:textId="77777777" w:rsidR="001D739F" w:rsidRPr="00262F3A" w:rsidRDefault="001D739F" w:rsidP="00D142AB">
            <w:pPr>
              <w:pStyle w:val="Tableformat"/>
              <w:rPr>
                <w:color w:val="FFFFFF" w:themeColor="background1"/>
              </w:rPr>
            </w:pPr>
            <w:r w:rsidRPr="00262F3A">
              <w:rPr>
                <w:color w:val="FFFFFF" w:themeColor="background1"/>
              </w:rPr>
              <w:t xml:space="preserve">NDIS Act </w:t>
            </w:r>
            <w:r w:rsidRPr="00262F3A">
              <w:rPr>
                <w:color w:val="FFFFFF" w:themeColor="background1"/>
              </w:rPr>
              <w:br/>
              <w:t>Part 5, subsection 172</w:t>
            </w:r>
          </w:p>
        </w:tc>
        <w:tc>
          <w:tcPr>
            <w:tcW w:w="628" w:type="pct"/>
            <w:tcBorders>
              <w:top w:val="single" w:sz="8" w:space="0" w:color="auto"/>
              <w:left w:val="single" w:sz="8" w:space="0" w:color="auto"/>
              <w:bottom w:val="single" w:sz="8" w:space="0" w:color="auto"/>
              <w:right w:val="single" w:sz="8" w:space="0" w:color="auto"/>
            </w:tcBorders>
            <w:shd w:val="clear" w:color="auto" w:fill="7030A0"/>
          </w:tcPr>
          <w:p w14:paraId="1BFC0B5B" w14:textId="2B15ACEB" w:rsidR="001D739F" w:rsidRPr="00262F3A" w:rsidRDefault="001D739F" w:rsidP="00D142AB">
            <w:pPr>
              <w:pStyle w:val="Tableformat"/>
              <w:rPr>
                <w:color w:val="FFFFFF" w:themeColor="background1"/>
              </w:rPr>
            </w:pPr>
            <w:r w:rsidRPr="00262F3A">
              <w:rPr>
                <w:color w:val="FFFFFF" w:themeColor="background1"/>
              </w:rPr>
              <w:t xml:space="preserve">Part of </w:t>
            </w:r>
            <w:r w:rsidR="001B0A3B">
              <w:rPr>
                <w:color w:val="FFFFFF" w:themeColor="background1"/>
              </w:rPr>
              <w:t>R</w:t>
            </w:r>
            <w:r w:rsidRPr="00262F3A">
              <w:rPr>
                <w:color w:val="FFFFFF" w:themeColor="background1"/>
              </w:rPr>
              <w:t>eport</w:t>
            </w:r>
          </w:p>
        </w:tc>
        <w:tc>
          <w:tcPr>
            <w:tcW w:w="2122" w:type="pct"/>
            <w:tcBorders>
              <w:top w:val="single" w:sz="8" w:space="0" w:color="auto"/>
              <w:left w:val="single" w:sz="8" w:space="0" w:color="auto"/>
              <w:bottom w:val="single" w:sz="8" w:space="0" w:color="auto"/>
              <w:right w:val="single" w:sz="8" w:space="0" w:color="auto"/>
            </w:tcBorders>
            <w:shd w:val="clear" w:color="auto" w:fill="7030A0"/>
          </w:tcPr>
          <w:p w14:paraId="2F4C6BA4" w14:textId="77777777" w:rsidR="001D739F" w:rsidRPr="00262F3A" w:rsidRDefault="001D739F" w:rsidP="00D142AB">
            <w:pPr>
              <w:pStyle w:val="Tableformat"/>
              <w:rPr>
                <w:color w:val="FFFFFF" w:themeColor="background1"/>
              </w:rPr>
            </w:pPr>
            <w:r w:rsidRPr="00262F3A">
              <w:rPr>
                <w:color w:val="FFFFFF" w:themeColor="background1"/>
              </w:rPr>
              <w:t>Description</w:t>
            </w:r>
          </w:p>
        </w:tc>
        <w:tc>
          <w:tcPr>
            <w:tcW w:w="1308" w:type="pct"/>
            <w:tcBorders>
              <w:top w:val="single" w:sz="8" w:space="0" w:color="auto"/>
              <w:left w:val="single" w:sz="8" w:space="0" w:color="auto"/>
              <w:bottom w:val="single" w:sz="8" w:space="0" w:color="auto"/>
              <w:right w:val="single" w:sz="8" w:space="0" w:color="auto"/>
            </w:tcBorders>
            <w:shd w:val="clear" w:color="auto" w:fill="7030A0"/>
          </w:tcPr>
          <w:p w14:paraId="21CA344B" w14:textId="77777777" w:rsidR="001D739F" w:rsidRPr="00262F3A" w:rsidRDefault="001D739F" w:rsidP="00D142AB">
            <w:pPr>
              <w:pStyle w:val="Tableformat"/>
              <w:rPr>
                <w:color w:val="FFFFFF" w:themeColor="background1"/>
              </w:rPr>
            </w:pPr>
            <w:r w:rsidRPr="00262F3A">
              <w:rPr>
                <w:color w:val="FFFFFF" w:themeColor="background1"/>
              </w:rPr>
              <w:t>Requirement</w:t>
            </w:r>
          </w:p>
        </w:tc>
      </w:tr>
      <w:tr w:rsidR="00301F4C" w:rsidRPr="00262F3A" w14:paraId="7E28BCF5" w14:textId="77777777" w:rsidTr="00301F4C">
        <w:tc>
          <w:tcPr>
            <w:tcW w:w="942" w:type="pct"/>
            <w:tcBorders>
              <w:top w:val="single" w:sz="8" w:space="0" w:color="auto"/>
              <w:left w:val="single" w:sz="4" w:space="0" w:color="auto"/>
              <w:bottom w:val="single" w:sz="4" w:space="0" w:color="auto"/>
              <w:right w:val="single" w:sz="4" w:space="0" w:color="auto"/>
            </w:tcBorders>
          </w:tcPr>
          <w:p w14:paraId="1E595B18" w14:textId="77777777" w:rsidR="00301F4C" w:rsidRPr="00262F3A" w:rsidRDefault="00301F4C" w:rsidP="00301F4C">
            <w:pPr>
              <w:pStyle w:val="Tableformat"/>
            </w:pPr>
            <w:r w:rsidRPr="00262F3A">
              <w:t>(2)(a)</w:t>
            </w:r>
          </w:p>
        </w:tc>
        <w:tc>
          <w:tcPr>
            <w:tcW w:w="628" w:type="pct"/>
            <w:tcBorders>
              <w:top w:val="single" w:sz="8" w:space="0" w:color="auto"/>
              <w:left w:val="single" w:sz="4" w:space="0" w:color="auto"/>
              <w:bottom w:val="single" w:sz="4" w:space="0" w:color="auto"/>
              <w:right w:val="single" w:sz="4" w:space="0" w:color="auto"/>
            </w:tcBorders>
          </w:tcPr>
          <w:p w14:paraId="65087066" w14:textId="5C58665B" w:rsidR="00301F4C" w:rsidRPr="00262F3A" w:rsidRDefault="00301F4C" w:rsidP="00301F4C">
            <w:pPr>
              <w:pStyle w:val="Tableformat"/>
            </w:pPr>
            <w:r w:rsidRPr="00262F3A">
              <w:t>5.10</w:t>
            </w:r>
          </w:p>
        </w:tc>
        <w:tc>
          <w:tcPr>
            <w:tcW w:w="2122" w:type="pct"/>
            <w:tcBorders>
              <w:top w:val="single" w:sz="8" w:space="0" w:color="auto"/>
              <w:left w:val="single" w:sz="4" w:space="0" w:color="auto"/>
              <w:bottom w:val="single" w:sz="4" w:space="0" w:color="auto"/>
              <w:right w:val="single" w:sz="4" w:space="0" w:color="auto"/>
            </w:tcBorders>
          </w:tcPr>
          <w:p w14:paraId="0FCCDA3D" w14:textId="77777777" w:rsidR="00301F4C" w:rsidRPr="00262F3A" w:rsidRDefault="00301F4C" w:rsidP="00301F4C">
            <w:pPr>
              <w:pStyle w:val="Tableformat"/>
            </w:pPr>
            <w:r w:rsidRPr="00262F3A">
              <w:t>Details of any directions given under section 121 in the period</w:t>
            </w:r>
          </w:p>
        </w:tc>
        <w:tc>
          <w:tcPr>
            <w:tcW w:w="1308" w:type="pct"/>
            <w:tcBorders>
              <w:top w:val="single" w:sz="8" w:space="0" w:color="auto"/>
              <w:left w:val="single" w:sz="4" w:space="0" w:color="auto"/>
              <w:bottom w:val="single" w:sz="4" w:space="0" w:color="auto"/>
              <w:right w:val="single" w:sz="4" w:space="0" w:color="auto"/>
            </w:tcBorders>
          </w:tcPr>
          <w:p w14:paraId="40DD2031" w14:textId="77777777" w:rsidR="00301F4C" w:rsidRPr="00262F3A" w:rsidRDefault="00301F4C" w:rsidP="00301F4C">
            <w:pPr>
              <w:pStyle w:val="Tableformat"/>
            </w:pPr>
            <w:r w:rsidRPr="00262F3A">
              <w:t>Mandatory</w:t>
            </w:r>
          </w:p>
        </w:tc>
      </w:tr>
      <w:tr w:rsidR="00301F4C" w:rsidRPr="00262F3A" w14:paraId="2B3161F4" w14:textId="77777777" w:rsidTr="00301F4C">
        <w:tc>
          <w:tcPr>
            <w:tcW w:w="942" w:type="pct"/>
            <w:tcBorders>
              <w:top w:val="single" w:sz="4" w:space="0" w:color="auto"/>
              <w:left w:val="single" w:sz="4" w:space="0" w:color="auto"/>
              <w:bottom w:val="single" w:sz="4" w:space="0" w:color="auto"/>
              <w:right w:val="single" w:sz="4" w:space="0" w:color="auto"/>
            </w:tcBorders>
          </w:tcPr>
          <w:p w14:paraId="7BE5F5F1" w14:textId="77777777" w:rsidR="00301F4C" w:rsidRPr="00262F3A" w:rsidRDefault="00301F4C" w:rsidP="00301F4C">
            <w:pPr>
              <w:pStyle w:val="Tableformat"/>
            </w:pPr>
            <w:r w:rsidRPr="00262F3A">
              <w:t>(2)(b)</w:t>
            </w:r>
          </w:p>
        </w:tc>
        <w:tc>
          <w:tcPr>
            <w:tcW w:w="628" w:type="pct"/>
            <w:tcBorders>
              <w:top w:val="single" w:sz="4" w:space="0" w:color="auto"/>
              <w:left w:val="single" w:sz="4" w:space="0" w:color="auto"/>
              <w:bottom w:val="single" w:sz="4" w:space="0" w:color="auto"/>
              <w:right w:val="single" w:sz="4" w:space="0" w:color="auto"/>
            </w:tcBorders>
          </w:tcPr>
          <w:p w14:paraId="401910F7" w14:textId="465BA75F" w:rsidR="00301F4C" w:rsidRPr="00262F3A" w:rsidRDefault="00301F4C" w:rsidP="00301F4C">
            <w:pPr>
              <w:pStyle w:val="Tableformat"/>
            </w:pPr>
            <w:r w:rsidRPr="00262F3A">
              <w:t>5.14</w:t>
            </w:r>
          </w:p>
        </w:tc>
        <w:tc>
          <w:tcPr>
            <w:tcW w:w="2122" w:type="pct"/>
            <w:tcBorders>
              <w:top w:val="single" w:sz="4" w:space="0" w:color="auto"/>
              <w:left w:val="single" w:sz="4" w:space="0" w:color="auto"/>
              <w:bottom w:val="single" w:sz="4" w:space="0" w:color="auto"/>
              <w:right w:val="single" w:sz="4" w:space="0" w:color="auto"/>
            </w:tcBorders>
          </w:tcPr>
          <w:p w14:paraId="1CACBBA9" w14:textId="77777777" w:rsidR="00301F4C" w:rsidRPr="00262F3A" w:rsidRDefault="00301F4C" w:rsidP="00301F4C">
            <w:pPr>
              <w:pStyle w:val="Tableformat"/>
            </w:pPr>
            <w:r w:rsidRPr="00262F3A">
              <w:t>Details of any statements given under section 125 in the period</w:t>
            </w:r>
          </w:p>
        </w:tc>
        <w:tc>
          <w:tcPr>
            <w:tcW w:w="1308" w:type="pct"/>
            <w:tcBorders>
              <w:top w:val="single" w:sz="4" w:space="0" w:color="auto"/>
              <w:left w:val="single" w:sz="4" w:space="0" w:color="auto"/>
              <w:bottom w:val="single" w:sz="4" w:space="0" w:color="auto"/>
              <w:right w:val="single" w:sz="4" w:space="0" w:color="auto"/>
            </w:tcBorders>
          </w:tcPr>
          <w:p w14:paraId="29A7F366" w14:textId="77777777" w:rsidR="00301F4C" w:rsidRPr="00262F3A" w:rsidRDefault="00301F4C" w:rsidP="00301F4C">
            <w:pPr>
              <w:pStyle w:val="Tableformat"/>
            </w:pPr>
            <w:r w:rsidRPr="00262F3A">
              <w:t>Mandatory</w:t>
            </w:r>
          </w:p>
        </w:tc>
      </w:tr>
      <w:tr w:rsidR="00301F4C" w:rsidRPr="00262F3A" w14:paraId="482D7600" w14:textId="77777777" w:rsidTr="00301F4C">
        <w:tc>
          <w:tcPr>
            <w:tcW w:w="942" w:type="pct"/>
            <w:tcBorders>
              <w:top w:val="single" w:sz="4" w:space="0" w:color="auto"/>
              <w:left w:val="single" w:sz="4" w:space="0" w:color="auto"/>
              <w:bottom w:val="single" w:sz="4" w:space="0" w:color="auto"/>
              <w:right w:val="single" w:sz="4" w:space="0" w:color="auto"/>
            </w:tcBorders>
          </w:tcPr>
          <w:p w14:paraId="20879593" w14:textId="77777777" w:rsidR="00301F4C" w:rsidRPr="00262F3A" w:rsidRDefault="00301F4C" w:rsidP="00301F4C">
            <w:pPr>
              <w:pStyle w:val="Tableformat"/>
            </w:pPr>
            <w:r w:rsidRPr="00262F3A">
              <w:lastRenderedPageBreak/>
              <w:t>(2)(c)</w:t>
            </w:r>
          </w:p>
        </w:tc>
        <w:tc>
          <w:tcPr>
            <w:tcW w:w="628" w:type="pct"/>
            <w:tcBorders>
              <w:top w:val="single" w:sz="4" w:space="0" w:color="auto"/>
              <w:left w:val="single" w:sz="4" w:space="0" w:color="auto"/>
              <w:bottom w:val="single" w:sz="4" w:space="0" w:color="auto"/>
              <w:right w:val="single" w:sz="4" w:space="0" w:color="auto"/>
            </w:tcBorders>
          </w:tcPr>
          <w:p w14:paraId="0C81EA45" w14:textId="4530BA15" w:rsidR="00301F4C" w:rsidRPr="00262F3A" w:rsidRDefault="00301F4C" w:rsidP="00301F4C">
            <w:pPr>
              <w:pStyle w:val="Tableformat"/>
            </w:pPr>
            <w:r w:rsidRPr="00262F3A">
              <w:t>3.3</w:t>
            </w:r>
          </w:p>
        </w:tc>
        <w:tc>
          <w:tcPr>
            <w:tcW w:w="2122" w:type="pct"/>
            <w:tcBorders>
              <w:top w:val="single" w:sz="4" w:space="0" w:color="auto"/>
              <w:left w:val="single" w:sz="4" w:space="0" w:color="auto"/>
              <w:bottom w:val="single" w:sz="4" w:space="0" w:color="auto"/>
              <w:right w:val="single" w:sz="4" w:space="0" w:color="auto"/>
            </w:tcBorders>
          </w:tcPr>
          <w:p w14:paraId="6F04FF94" w14:textId="77777777" w:rsidR="00301F4C" w:rsidRPr="00262F3A" w:rsidRDefault="00301F4C" w:rsidP="00301F4C">
            <w:pPr>
              <w:pStyle w:val="Tableformat"/>
            </w:pPr>
            <w:r w:rsidRPr="00262F3A">
              <w:t>Information (including statistics) and analysis that relates to either or both of the following in the period:</w:t>
            </w:r>
            <w:r w:rsidRPr="00262F3A">
              <w:br/>
              <w:t xml:space="preserve"> (i) participants;</w:t>
            </w:r>
            <w:r w:rsidRPr="00262F3A">
              <w:br/>
              <w:t xml:space="preserve"> (ii) funding or provision of supports by the Agency.</w:t>
            </w:r>
          </w:p>
        </w:tc>
        <w:tc>
          <w:tcPr>
            <w:tcW w:w="1308" w:type="pct"/>
            <w:tcBorders>
              <w:top w:val="single" w:sz="4" w:space="0" w:color="auto"/>
              <w:left w:val="single" w:sz="4" w:space="0" w:color="auto"/>
              <w:bottom w:val="single" w:sz="4" w:space="0" w:color="auto"/>
              <w:right w:val="single" w:sz="4" w:space="0" w:color="auto"/>
            </w:tcBorders>
          </w:tcPr>
          <w:p w14:paraId="2DCDB88B" w14:textId="77777777" w:rsidR="00301F4C" w:rsidRPr="00262F3A" w:rsidRDefault="00301F4C" w:rsidP="00301F4C">
            <w:pPr>
              <w:pStyle w:val="Tableformat"/>
            </w:pPr>
            <w:r w:rsidRPr="00262F3A">
              <w:t>Mandatory</w:t>
            </w:r>
          </w:p>
        </w:tc>
      </w:tr>
      <w:tr w:rsidR="00301F4C" w:rsidRPr="00262F3A" w14:paraId="1B878105" w14:textId="77777777" w:rsidTr="00301F4C">
        <w:tc>
          <w:tcPr>
            <w:tcW w:w="942" w:type="pct"/>
            <w:tcBorders>
              <w:top w:val="single" w:sz="4" w:space="0" w:color="auto"/>
              <w:left w:val="single" w:sz="4" w:space="0" w:color="auto"/>
              <w:bottom w:val="single" w:sz="4" w:space="0" w:color="auto"/>
              <w:right w:val="single" w:sz="4" w:space="0" w:color="auto"/>
            </w:tcBorders>
          </w:tcPr>
          <w:p w14:paraId="1314BF1C" w14:textId="77777777" w:rsidR="00301F4C" w:rsidRPr="00262F3A" w:rsidRDefault="00301F4C" w:rsidP="00301F4C">
            <w:pPr>
              <w:pStyle w:val="Tableformat"/>
            </w:pPr>
            <w:r w:rsidRPr="00262F3A">
              <w:t>(3)</w:t>
            </w:r>
          </w:p>
        </w:tc>
        <w:tc>
          <w:tcPr>
            <w:tcW w:w="628" w:type="pct"/>
            <w:tcBorders>
              <w:top w:val="single" w:sz="4" w:space="0" w:color="auto"/>
              <w:left w:val="single" w:sz="4" w:space="0" w:color="auto"/>
              <w:bottom w:val="single" w:sz="4" w:space="0" w:color="auto"/>
              <w:right w:val="single" w:sz="4" w:space="0" w:color="auto"/>
            </w:tcBorders>
          </w:tcPr>
          <w:p w14:paraId="1DF4583C" w14:textId="77D474B8" w:rsidR="00301F4C" w:rsidRPr="00262F3A" w:rsidRDefault="00301F4C" w:rsidP="00BF5C8E">
            <w:pPr>
              <w:pStyle w:val="Tableformat"/>
            </w:pPr>
            <w:r w:rsidRPr="00262F3A">
              <w:t>5.14</w:t>
            </w:r>
          </w:p>
        </w:tc>
        <w:tc>
          <w:tcPr>
            <w:tcW w:w="2122" w:type="pct"/>
            <w:tcBorders>
              <w:top w:val="single" w:sz="4" w:space="0" w:color="auto"/>
              <w:left w:val="single" w:sz="4" w:space="0" w:color="auto"/>
              <w:bottom w:val="single" w:sz="4" w:space="0" w:color="auto"/>
              <w:right w:val="single" w:sz="4" w:space="0" w:color="auto"/>
            </w:tcBorders>
          </w:tcPr>
          <w:p w14:paraId="41E9BF14" w14:textId="77777777" w:rsidR="00301F4C" w:rsidRPr="00262F3A" w:rsidRDefault="00301F4C" w:rsidP="00301F4C">
            <w:pPr>
              <w:pStyle w:val="Tableformat"/>
            </w:pPr>
            <w:r w:rsidRPr="00262F3A">
              <w:t>Any particular information or analysis to be included in the annual report as prescribed by the Minister in legislative instruments</w:t>
            </w:r>
          </w:p>
        </w:tc>
        <w:tc>
          <w:tcPr>
            <w:tcW w:w="1308" w:type="pct"/>
            <w:tcBorders>
              <w:top w:val="single" w:sz="4" w:space="0" w:color="auto"/>
              <w:left w:val="single" w:sz="4" w:space="0" w:color="auto"/>
              <w:bottom w:val="single" w:sz="4" w:space="0" w:color="auto"/>
              <w:right w:val="single" w:sz="4" w:space="0" w:color="auto"/>
            </w:tcBorders>
          </w:tcPr>
          <w:p w14:paraId="3F542E78" w14:textId="77777777" w:rsidR="00301F4C" w:rsidRPr="00262F3A" w:rsidRDefault="00301F4C" w:rsidP="00301F4C">
            <w:pPr>
              <w:pStyle w:val="Tableformat"/>
            </w:pPr>
            <w:r w:rsidRPr="00262F3A">
              <w:t>Mandatory</w:t>
            </w:r>
          </w:p>
        </w:tc>
      </w:tr>
      <w:tr w:rsidR="00301F4C" w:rsidRPr="00262F3A" w14:paraId="09293AC6" w14:textId="77777777" w:rsidTr="00301F4C">
        <w:tc>
          <w:tcPr>
            <w:tcW w:w="942" w:type="pct"/>
            <w:tcBorders>
              <w:top w:val="single" w:sz="4" w:space="0" w:color="auto"/>
              <w:left w:val="single" w:sz="4" w:space="0" w:color="auto"/>
              <w:bottom w:val="single" w:sz="4" w:space="0" w:color="auto"/>
              <w:right w:val="single" w:sz="4" w:space="0" w:color="auto"/>
            </w:tcBorders>
          </w:tcPr>
          <w:p w14:paraId="386D64F9" w14:textId="77777777" w:rsidR="00301F4C" w:rsidRPr="00262F3A" w:rsidRDefault="00301F4C" w:rsidP="00301F4C">
            <w:pPr>
              <w:pStyle w:val="Tableformat"/>
            </w:pPr>
            <w:r w:rsidRPr="00262F3A">
              <w:t>(4)(a)</w:t>
            </w:r>
          </w:p>
        </w:tc>
        <w:tc>
          <w:tcPr>
            <w:tcW w:w="628" w:type="pct"/>
            <w:tcBorders>
              <w:top w:val="single" w:sz="4" w:space="0" w:color="auto"/>
              <w:left w:val="single" w:sz="4" w:space="0" w:color="auto"/>
              <w:bottom w:val="single" w:sz="4" w:space="0" w:color="auto"/>
              <w:right w:val="single" w:sz="4" w:space="0" w:color="auto"/>
            </w:tcBorders>
          </w:tcPr>
          <w:p w14:paraId="57C77B39" w14:textId="79978A5C" w:rsidR="00301F4C" w:rsidRPr="00262F3A" w:rsidRDefault="00301F4C" w:rsidP="00662983">
            <w:pPr>
              <w:pStyle w:val="Tableformat"/>
            </w:pPr>
            <w:r w:rsidRPr="00262F3A">
              <w:t>3.</w:t>
            </w:r>
            <w:r w:rsidR="00662983">
              <w:t>2</w:t>
            </w:r>
          </w:p>
        </w:tc>
        <w:tc>
          <w:tcPr>
            <w:tcW w:w="2122" w:type="pct"/>
            <w:tcBorders>
              <w:top w:val="single" w:sz="4" w:space="0" w:color="auto"/>
              <w:left w:val="single" w:sz="4" w:space="0" w:color="auto"/>
              <w:bottom w:val="single" w:sz="4" w:space="0" w:color="auto"/>
              <w:right w:val="single" w:sz="4" w:space="0" w:color="auto"/>
            </w:tcBorders>
          </w:tcPr>
          <w:p w14:paraId="1ACF2096" w14:textId="77777777" w:rsidR="00301F4C" w:rsidRPr="00262F3A" w:rsidRDefault="00301F4C" w:rsidP="00301F4C">
            <w:pPr>
              <w:pStyle w:val="Tableformat"/>
            </w:pPr>
            <w:r w:rsidRPr="00262F3A">
              <w:t>The summary, that was prepared under section 180B when the annual report was being prepared, of the annual financial sustainability report</w:t>
            </w:r>
          </w:p>
        </w:tc>
        <w:tc>
          <w:tcPr>
            <w:tcW w:w="1308" w:type="pct"/>
            <w:tcBorders>
              <w:top w:val="single" w:sz="4" w:space="0" w:color="auto"/>
              <w:left w:val="single" w:sz="4" w:space="0" w:color="auto"/>
              <w:bottom w:val="single" w:sz="4" w:space="0" w:color="auto"/>
              <w:right w:val="single" w:sz="4" w:space="0" w:color="auto"/>
            </w:tcBorders>
          </w:tcPr>
          <w:p w14:paraId="1721DD08" w14:textId="77777777" w:rsidR="00301F4C" w:rsidRPr="00262F3A" w:rsidRDefault="00301F4C" w:rsidP="00301F4C">
            <w:pPr>
              <w:pStyle w:val="Tableformat"/>
            </w:pPr>
            <w:r w:rsidRPr="00262F3A">
              <w:t>Mandatory</w:t>
            </w:r>
          </w:p>
        </w:tc>
      </w:tr>
      <w:tr w:rsidR="00301F4C" w:rsidRPr="00262F3A" w14:paraId="2A9C8483" w14:textId="77777777" w:rsidTr="00301F4C">
        <w:tc>
          <w:tcPr>
            <w:tcW w:w="942" w:type="pct"/>
            <w:tcBorders>
              <w:top w:val="single" w:sz="4" w:space="0" w:color="auto"/>
              <w:left w:val="single" w:sz="4" w:space="0" w:color="auto"/>
              <w:bottom w:val="single" w:sz="4" w:space="0" w:color="auto"/>
              <w:right w:val="single" w:sz="4" w:space="0" w:color="auto"/>
            </w:tcBorders>
          </w:tcPr>
          <w:p w14:paraId="0DC0809F" w14:textId="77777777" w:rsidR="00301F4C" w:rsidRPr="00262F3A" w:rsidRDefault="00301F4C" w:rsidP="00301F4C">
            <w:pPr>
              <w:pStyle w:val="Tableformat"/>
            </w:pPr>
            <w:r w:rsidRPr="00262F3A">
              <w:t>(4)(b)</w:t>
            </w:r>
          </w:p>
        </w:tc>
        <w:tc>
          <w:tcPr>
            <w:tcW w:w="628" w:type="pct"/>
            <w:tcBorders>
              <w:top w:val="single" w:sz="4" w:space="0" w:color="auto"/>
              <w:left w:val="single" w:sz="4" w:space="0" w:color="auto"/>
              <w:bottom w:val="single" w:sz="4" w:space="0" w:color="auto"/>
              <w:right w:val="single" w:sz="4" w:space="0" w:color="auto"/>
            </w:tcBorders>
          </w:tcPr>
          <w:p w14:paraId="2D12FA34" w14:textId="45A3E734" w:rsidR="00301F4C" w:rsidRPr="00262F3A" w:rsidRDefault="00301F4C" w:rsidP="00662983">
            <w:pPr>
              <w:pStyle w:val="Tableformat"/>
            </w:pPr>
            <w:r w:rsidRPr="00262F3A">
              <w:t>3.</w:t>
            </w:r>
            <w:r w:rsidR="00662983">
              <w:t>2</w:t>
            </w:r>
          </w:p>
        </w:tc>
        <w:tc>
          <w:tcPr>
            <w:tcW w:w="2122" w:type="pct"/>
            <w:tcBorders>
              <w:top w:val="single" w:sz="4" w:space="0" w:color="auto"/>
              <w:left w:val="single" w:sz="4" w:space="0" w:color="auto"/>
              <w:bottom w:val="single" w:sz="4" w:space="0" w:color="auto"/>
              <w:right w:val="single" w:sz="4" w:space="0" w:color="auto"/>
            </w:tcBorders>
          </w:tcPr>
          <w:p w14:paraId="4C155756" w14:textId="77777777" w:rsidR="00301F4C" w:rsidRPr="00262F3A" w:rsidRDefault="00301F4C" w:rsidP="00301F4C">
            <w:pPr>
              <w:pStyle w:val="Tableformat"/>
            </w:pPr>
            <w:r w:rsidRPr="00262F3A">
              <w:t>The report of the reviewing actuary’s review under subsection 180E(2) of the summary mentioned in paragraph (4)(a).</w:t>
            </w:r>
          </w:p>
        </w:tc>
        <w:tc>
          <w:tcPr>
            <w:tcW w:w="1308" w:type="pct"/>
            <w:tcBorders>
              <w:top w:val="single" w:sz="4" w:space="0" w:color="auto"/>
              <w:left w:val="single" w:sz="4" w:space="0" w:color="auto"/>
              <w:bottom w:val="single" w:sz="4" w:space="0" w:color="auto"/>
              <w:right w:val="single" w:sz="4" w:space="0" w:color="auto"/>
            </w:tcBorders>
          </w:tcPr>
          <w:p w14:paraId="69C44BCA" w14:textId="77777777" w:rsidR="00301F4C" w:rsidRPr="00262F3A" w:rsidRDefault="00301F4C" w:rsidP="00301F4C">
            <w:pPr>
              <w:pStyle w:val="Tableformat"/>
            </w:pPr>
            <w:r w:rsidRPr="00262F3A">
              <w:t>Mandatory</w:t>
            </w:r>
          </w:p>
        </w:tc>
      </w:tr>
    </w:tbl>
    <w:p w14:paraId="5194604B" w14:textId="77777777" w:rsidR="001D739F" w:rsidRPr="00262F3A" w:rsidRDefault="001D739F" w:rsidP="008F00D1">
      <w:pPr>
        <w:pStyle w:val="Heading4"/>
      </w:pPr>
      <w:r w:rsidRPr="00262F3A">
        <w:t xml:space="preserve">Information provided in compliance with other statutory provisions </w:t>
      </w:r>
    </w:p>
    <w:tbl>
      <w:tblPr>
        <w:tblW w:w="5000" w:type="pct"/>
        <w:tblLayout w:type="fixed"/>
        <w:tblLook w:val="0480" w:firstRow="0"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695"/>
        <w:gridCol w:w="1133"/>
        <w:gridCol w:w="3822"/>
        <w:gridCol w:w="2356"/>
      </w:tblGrid>
      <w:tr w:rsidR="001D739F" w:rsidRPr="00262F3A" w14:paraId="6FAF1ABD" w14:textId="77777777" w:rsidTr="00D142AB">
        <w:trPr>
          <w:tblHeader/>
        </w:trPr>
        <w:tc>
          <w:tcPr>
            <w:tcW w:w="941" w:type="pct"/>
            <w:tcBorders>
              <w:top w:val="single" w:sz="8" w:space="0" w:color="auto"/>
              <w:left w:val="single" w:sz="8" w:space="0" w:color="auto"/>
              <w:bottom w:val="single" w:sz="8" w:space="0" w:color="auto"/>
              <w:right w:val="single" w:sz="8" w:space="0" w:color="auto"/>
            </w:tcBorders>
            <w:shd w:val="clear" w:color="auto" w:fill="7030A0"/>
            <w:hideMark/>
          </w:tcPr>
          <w:p w14:paraId="443EFAC2" w14:textId="77777777" w:rsidR="001D739F" w:rsidRPr="00262F3A" w:rsidRDefault="001D739F" w:rsidP="00D142AB">
            <w:pPr>
              <w:pStyle w:val="Tableformat"/>
              <w:rPr>
                <w:color w:val="FFFFFF" w:themeColor="background1"/>
              </w:rPr>
            </w:pPr>
            <w:r w:rsidRPr="00262F3A">
              <w:rPr>
                <w:color w:val="FFFFFF" w:themeColor="background1"/>
              </w:rPr>
              <w:t>Act</w:t>
            </w:r>
          </w:p>
        </w:tc>
        <w:tc>
          <w:tcPr>
            <w:tcW w:w="629" w:type="pct"/>
            <w:tcBorders>
              <w:top w:val="single" w:sz="8" w:space="0" w:color="auto"/>
              <w:left w:val="single" w:sz="8" w:space="0" w:color="auto"/>
              <w:bottom w:val="single" w:sz="8" w:space="0" w:color="auto"/>
              <w:right w:val="single" w:sz="8" w:space="0" w:color="auto"/>
            </w:tcBorders>
            <w:shd w:val="clear" w:color="auto" w:fill="7030A0"/>
          </w:tcPr>
          <w:p w14:paraId="3F26B254" w14:textId="77777777" w:rsidR="001D739F" w:rsidRPr="00262F3A" w:rsidRDefault="001D739F" w:rsidP="00D142AB">
            <w:pPr>
              <w:pStyle w:val="Tableformat"/>
              <w:rPr>
                <w:color w:val="FFFFFF" w:themeColor="background1"/>
              </w:rPr>
            </w:pPr>
            <w:r w:rsidRPr="00262F3A">
              <w:rPr>
                <w:color w:val="FFFFFF" w:themeColor="background1"/>
              </w:rPr>
              <w:t>Part of report</w:t>
            </w:r>
          </w:p>
        </w:tc>
        <w:tc>
          <w:tcPr>
            <w:tcW w:w="2122" w:type="pct"/>
            <w:tcBorders>
              <w:top w:val="single" w:sz="8" w:space="0" w:color="auto"/>
              <w:left w:val="single" w:sz="8" w:space="0" w:color="auto"/>
              <w:bottom w:val="single" w:sz="8" w:space="0" w:color="auto"/>
              <w:right w:val="single" w:sz="8" w:space="0" w:color="auto"/>
            </w:tcBorders>
            <w:shd w:val="clear" w:color="auto" w:fill="7030A0"/>
          </w:tcPr>
          <w:p w14:paraId="4A940FCA" w14:textId="77777777" w:rsidR="001D739F" w:rsidRPr="00262F3A" w:rsidRDefault="001D739F" w:rsidP="00D142AB">
            <w:pPr>
              <w:pStyle w:val="Tableformat"/>
              <w:rPr>
                <w:color w:val="FFFFFF" w:themeColor="background1"/>
              </w:rPr>
            </w:pPr>
            <w:r w:rsidRPr="00262F3A">
              <w:rPr>
                <w:color w:val="FFFFFF" w:themeColor="background1"/>
              </w:rPr>
              <w:t>Reference and description</w:t>
            </w:r>
          </w:p>
        </w:tc>
        <w:tc>
          <w:tcPr>
            <w:tcW w:w="1308" w:type="pct"/>
            <w:tcBorders>
              <w:top w:val="single" w:sz="8" w:space="0" w:color="auto"/>
              <w:left w:val="single" w:sz="8" w:space="0" w:color="auto"/>
              <w:bottom w:val="single" w:sz="8" w:space="0" w:color="auto"/>
              <w:right w:val="single" w:sz="8" w:space="0" w:color="auto"/>
            </w:tcBorders>
            <w:shd w:val="clear" w:color="auto" w:fill="7030A0"/>
          </w:tcPr>
          <w:p w14:paraId="2D2E98F8" w14:textId="77777777" w:rsidR="001D739F" w:rsidRPr="00262F3A" w:rsidRDefault="001D739F" w:rsidP="00D142AB">
            <w:pPr>
              <w:pStyle w:val="Tableformat"/>
              <w:rPr>
                <w:color w:val="FFFFFF" w:themeColor="background1"/>
              </w:rPr>
            </w:pPr>
            <w:r w:rsidRPr="00262F3A">
              <w:rPr>
                <w:color w:val="FFFFFF" w:themeColor="background1"/>
              </w:rPr>
              <w:t>Requirement</w:t>
            </w:r>
          </w:p>
        </w:tc>
      </w:tr>
      <w:tr w:rsidR="00301F4C" w:rsidRPr="00262F3A" w14:paraId="7212394F" w14:textId="77777777" w:rsidTr="00D142AB">
        <w:tc>
          <w:tcPr>
            <w:tcW w:w="941" w:type="pct"/>
            <w:tcBorders>
              <w:top w:val="single" w:sz="8" w:space="0" w:color="auto"/>
              <w:left w:val="single" w:sz="4" w:space="0" w:color="auto"/>
              <w:bottom w:val="single" w:sz="4" w:space="0" w:color="auto"/>
              <w:right w:val="single" w:sz="4" w:space="0" w:color="auto"/>
            </w:tcBorders>
          </w:tcPr>
          <w:p w14:paraId="2BA1AACA" w14:textId="77777777" w:rsidR="00301F4C" w:rsidRPr="00262F3A" w:rsidRDefault="00301F4C" w:rsidP="00301F4C">
            <w:pPr>
              <w:pStyle w:val="Tableformat"/>
            </w:pPr>
            <w:r w:rsidRPr="00262F3A">
              <w:t>Work Health and Safety Act 2011</w:t>
            </w:r>
            <w:r w:rsidRPr="00262F3A">
              <w:br/>
              <w:t>Schedule 2</w:t>
            </w:r>
          </w:p>
        </w:tc>
        <w:tc>
          <w:tcPr>
            <w:tcW w:w="629" w:type="pct"/>
            <w:tcBorders>
              <w:top w:val="single" w:sz="8" w:space="0" w:color="auto"/>
              <w:left w:val="single" w:sz="4" w:space="0" w:color="auto"/>
              <w:bottom w:val="single" w:sz="4" w:space="0" w:color="auto"/>
              <w:right w:val="single" w:sz="4" w:space="0" w:color="auto"/>
            </w:tcBorders>
          </w:tcPr>
          <w:p w14:paraId="7421D109" w14:textId="4CE3C946" w:rsidR="00301F4C" w:rsidRPr="00262F3A" w:rsidRDefault="00301F4C" w:rsidP="00301F4C">
            <w:pPr>
              <w:pStyle w:val="Tableformat"/>
            </w:pPr>
            <w:r w:rsidRPr="00262F3A">
              <w:t>5.3</w:t>
            </w:r>
          </w:p>
        </w:tc>
        <w:tc>
          <w:tcPr>
            <w:tcW w:w="2122" w:type="pct"/>
            <w:tcBorders>
              <w:top w:val="single" w:sz="8" w:space="0" w:color="auto"/>
              <w:left w:val="single" w:sz="4" w:space="0" w:color="auto"/>
              <w:bottom w:val="single" w:sz="4" w:space="0" w:color="auto"/>
              <w:right w:val="single" w:sz="4" w:space="0" w:color="auto"/>
            </w:tcBorders>
          </w:tcPr>
          <w:p w14:paraId="505D3550" w14:textId="77777777" w:rsidR="00301F4C" w:rsidRPr="00262F3A" w:rsidRDefault="00301F4C" w:rsidP="00301F4C">
            <w:pPr>
              <w:pStyle w:val="Tableformat"/>
            </w:pPr>
            <w:r w:rsidRPr="00262F3A">
              <w:t>4(1) — Work Health and Safety</w:t>
            </w:r>
          </w:p>
          <w:p w14:paraId="22D31F65" w14:textId="77777777" w:rsidR="00301F4C" w:rsidRPr="00262F3A" w:rsidRDefault="00301F4C" w:rsidP="00301F4C">
            <w:pPr>
              <w:pStyle w:val="Tableformat"/>
            </w:pPr>
            <w:r w:rsidRPr="00262F3A">
              <w:t>4(2) — Summary of incidents pursuant to section 38 of the WHS Act</w:t>
            </w:r>
          </w:p>
        </w:tc>
        <w:tc>
          <w:tcPr>
            <w:tcW w:w="1308" w:type="pct"/>
            <w:tcBorders>
              <w:top w:val="single" w:sz="8" w:space="0" w:color="auto"/>
              <w:left w:val="single" w:sz="4" w:space="0" w:color="auto"/>
              <w:bottom w:val="single" w:sz="4" w:space="0" w:color="auto"/>
              <w:right w:val="single" w:sz="4" w:space="0" w:color="auto"/>
            </w:tcBorders>
          </w:tcPr>
          <w:p w14:paraId="18683DA9" w14:textId="77777777" w:rsidR="00301F4C" w:rsidRPr="00262F3A" w:rsidRDefault="00301F4C" w:rsidP="00301F4C">
            <w:pPr>
              <w:pStyle w:val="Tableformat"/>
            </w:pPr>
            <w:r w:rsidRPr="00262F3A">
              <w:t>Mandatory</w:t>
            </w:r>
          </w:p>
        </w:tc>
      </w:tr>
      <w:tr w:rsidR="00301F4C" w:rsidRPr="00262F3A" w14:paraId="1E40F8AB" w14:textId="77777777" w:rsidTr="00D142AB">
        <w:tc>
          <w:tcPr>
            <w:tcW w:w="941" w:type="pct"/>
            <w:tcBorders>
              <w:top w:val="single" w:sz="4" w:space="0" w:color="auto"/>
              <w:left w:val="single" w:sz="4" w:space="0" w:color="auto"/>
              <w:bottom w:val="single" w:sz="4" w:space="0" w:color="auto"/>
              <w:right w:val="single" w:sz="4" w:space="0" w:color="auto"/>
            </w:tcBorders>
          </w:tcPr>
          <w:p w14:paraId="402D7F64" w14:textId="77777777" w:rsidR="00301F4C" w:rsidRPr="00262F3A" w:rsidRDefault="00301F4C" w:rsidP="00301F4C">
            <w:pPr>
              <w:pStyle w:val="Tableformat"/>
            </w:pPr>
            <w:r w:rsidRPr="00262F3A">
              <w:t>Commonwealth Electoral Act 1918</w:t>
            </w:r>
          </w:p>
        </w:tc>
        <w:tc>
          <w:tcPr>
            <w:tcW w:w="629" w:type="pct"/>
            <w:tcBorders>
              <w:top w:val="single" w:sz="4" w:space="0" w:color="auto"/>
              <w:left w:val="single" w:sz="4" w:space="0" w:color="auto"/>
              <w:bottom w:val="single" w:sz="4" w:space="0" w:color="auto"/>
              <w:right w:val="single" w:sz="4" w:space="0" w:color="auto"/>
            </w:tcBorders>
          </w:tcPr>
          <w:p w14:paraId="2C7CE430" w14:textId="7C5074DE" w:rsidR="00301F4C" w:rsidRPr="00262F3A" w:rsidRDefault="00301F4C" w:rsidP="00301F4C">
            <w:pPr>
              <w:pStyle w:val="Tableformat"/>
            </w:pPr>
            <w:r w:rsidRPr="00262F3A">
              <w:t>5.11</w:t>
            </w:r>
          </w:p>
        </w:tc>
        <w:tc>
          <w:tcPr>
            <w:tcW w:w="2122" w:type="pct"/>
            <w:tcBorders>
              <w:top w:val="single" w:sz="4" w:space="0" w:color="auto"/>
              <w:left w:val="single" w:sz="4" w:space="0" w:color="auto"/>
              <w:bottom w:val="single" w:sz="4" w:space="0" w:color="auto"/>
              <w:right w:val="single" w:sz="4" w:space="0" w:color="auto"/>
            </w:tcBorders>
          </w:tcPr>
          <w:p w14:paraId="4E4ADC81" w14:textId="77777777" w:rsidR="00301F4C" w:rsidRPr="00262F3A" w:rsidRDefault="00301F4C" w:rsidP="00301F4C">
            <w:pPr>
              <w:pStyle w:val="Tableformat"/>
            </w:pPr>
            <w:r w:rsidRPr="00262F3A">
              <w:t>311A — Advertising and Market Research</w:t>
            </w:r>
          </w:p>
        </w:tc>
        <w:tc>
          <w:tcPr>
            <w:tcW w:w="1308" w:type="pct"/>
            <w:tcBorders>
              <w:top w:val="single" w:sz="4" w:space="0" w:color="auto"/>
              <w:left w:val="single" w:sz="4" w:space="0" w:color="auto"/>
              <w:bottom w:val="single" w:sz="4" w:space="0" w:color="auto"/>
              <w:right w:val="single" w:sz="4" w:space="0" w:color="auto"/>
            </w:tcBorders>
          </w:tcPr>
          <w:p w14:paraId="28FA1D40" w14:textId="77777777" w:rsidR="00301F4C" w:rsidRPr="00262F3A" w:rsidRDefault="00301F4C" w:rsidP="00301F4C">
            <w:pPr>
              <w:pStyle w:val="Tableformat"/>
            </w:pPr>
            <w:r w:rsidRPr="00262F3A">
              <w:t>Mandatory</w:t>
            </w:r>
          </w:p>
        </w:tc>
      </w:tr>
      <w:tr w:rsidR="00301F4C" w:rsidRPr="00262F3A" w14:paraId="0A376914" w14:textId="77777777" w:rsidTr="00D142AB">
        <w:tc>
          <w:tcPr>
            <w:tcW w:w="941" w:type="pct"/>
            <w:tcBorders>
              <w:top w:val="single" w:sz="4" w:space="0" w:color="auto"/>
              <w:left w:val="single" w:sz="4" w:space="0" w:color="auto"/>
              <w:bottom w:val="single" w:sz="4" w:space="0" w:color="auto"/>
              <w:right w:val="single" w:sz="4" w:space="0" w:color="auto"/>
            </w:tcBorders>
          </w:tcPr>
          <w:p w14:paraId="3D90787C" w14:textId="77777777" w:rsidR="00301F4C" w:rsidRPr="00262F3A" w:rsidRDefault="00301F4C" w:rsidP="00301F4C">
            <w:pPr>
              <w:pStyle w:val="Tableformat"/>
            </w:pPr>
            <w:r w:rsidRPr="00262F3A">
              <w:t xml:space="preserve">Environment Protection and Biodiversity Conservation Act 1999 </w:t>
            </w:r>
          </w:p>
        </w:tc>
        <w:tc>
          <w:tcPr>
            <w:tcW w:w="629" w:type="pct"/>
            <w:tcBorders>
              <w:top w:val="single" w:sz="4" w:space="0" w:color="auto"/>
              <w:left w:val="single" w:sz="4" w:space="0" w:color="auto"/>
              <w:bottom w:val="single" w:sz="4" w:space="0" w:color="auto"/>
              <w:right w:val="single" w:sz="4" w:space="0" w:color="auto"/>
            </w:tcBorders>
          </w:tcPr>
          <w:p w14:paraId="6A6B0802" w14:textId="35A056A5" w:rsidR="00301F4C" w:rsidRPr="00262F3A" w:rsidRDefault="00301F4C" w:rsidP="00301F4C">
            <w:pPr>
              <w:pStyle w:val="Tableformat"/>
            </w:pPr>
            <w:r w:rsidRPr="00262F3A">
              <w:t>5.12</w:t>
            </w:r>
          </w:p>
        </w:tc>
        <w:tc>
          <w:tcPr>
            <w:tcW w:w="2122" w:type="pct"/>
            <w:tcBorders>
              <w:top w:val="single" w:sz="4" w:space="0" w:color="auto"/>
              <w:left w:val="single" w:sz="4" w:space="0" w:color="auto"/>
              <w:bottom w:val="single" w:sz="4" w:space="0" w:color="auto"/>
              <w:right w:val="single" w:sz="4" w:space="0" w:color="auto"/>
            </w:tcBorders>
          </w:tcPr>
          <w:p w14:paraId="271F2233" w14:textId="77777777" w:rsidR="00301F4C" w:rsidRPr="00262F3A" w:rsidRDefault="00301F4C" w:rsidP="00301F4C">
            <w:pPr>
              <w:pStyle w:val="Tableformat"/>
            </w:pPr>
            <w:r w:rsidRPr="00262F3A">
              <w:t>516A — Ecologically sustainable development and environmental performance</w:t>
            </w:r>
          </w:p>
        </w:tc>
        <w:tc>
          <w:tcPr>
            <w:tcW w:w="1308" w:type="pct"/>
            <w:tcBorders>
              <w:top w:val="single" w:sz="4" w:space="0" w:color="auto"/>
              <w:left w:val="single" w:sz="4" w:space="0" w:color="auto"/>
              <w:bottom w:val="single" w:sz="4" w:space="0" w:color="auto"/>
              <w:right w:val="single" w:sz="4" w:space="0" w:color="auto"/>
            </w:tcBorders>
          </w:tcPr>
          <w:p w14:paraId="706FC076" w14:textId="77777777" w:rsidR="00301F4C" w:rsidRPr="00262F3A" w:rsidRDefault="00301F4C" w:rsidP="00301F4C">
            <w:pPr>
              <w:pStyle w:val="Tableformat"/>
            </w:pPr>
            <w:r w:rsidRPr="00262F3A">
              <w:t>Mandatory</w:t>
            </w:r>
          </w:p>
        </w:tc>
      </w:tr>
      <w:tr w:rsidR="00301F4C" w:rsidRPr="00262F3A" w14:paraId="7F26EF85" w14:textId="77777777" w:rsidTr="00D142AB">
        <w:tc>
          <w:tcPr>
            <w:tcW w:w="941" w:type="pct"/>
            <w:tcBorders>
              <w:top w:val="single" w:sz="4" w:space="0" w:color="auto"/>
              <w:left w:val="single" w:sz="4" w:space="0" w:color="auto"/>
              <w:bottom w:val="single" w:sz="4" w:space="0" w:color="auto"/>
              <w:right w:val="single" w:sz="4" w:space="0" w:color="auto"/>
            </w:tcBorders>
          </w:tcPr>
          <w:p w14:paraId="0AC6E1A3" w14:textId="77777777" w:rsidR="00301F4C" w:rsidRPr="00262F3A" w:rsidRDefault="00301F4C" w:rsidP="00301F4C">
            <w:pPr>
              <w:pStyle w:val="Tableformat"/>
            </w:pPr>
            <w:r w:rsidRPr="00262F3A">
              <w:t>Carer Recognition Act 2010</w:t>
            </w:r>
          </w:p>
        </w:tc>
        <w:tc>
          <w:tcPr>
            <w:tcW w:w="629" w:type="pct"/>
            <w:tcBorders>
              <w:top w:val="single" w:sz="4" w:space="0" w:color="auto"/>
              <w:left w:val="single" w:sz="4" w:space="0" w:color="auto"/>
              <w:bottom w:val="single" w:sz="4" w:space="0" w:color="auto"/>
              <w:right w:val="single" w:sz="4" w:space="0" w:color="auto"/>
            </w:tcBorders>
          </w:tcPr>
          <w:p w14:paraId="0ACAD4A1" w14:textId="6328C44B" w:rsidR="00301F4C" w:rsidRPr="00262F3A" w:rsidRDefault="00301F4C" w:rsidP="00301F4C">
            <w:pPr>
              <w:pStyle w:val="Tableformat"/>
            </w:pPr>
            <w:r w:rsidRPr="00262F3A">
              <w:t>5.13</w:t>
            </w:r>
          </w:p>
        </w:tc>
        <w:tc>
          <w:tcPr>
            <w:tcW w:w="2122" w:type="pct"/>
            <w:tcBorders>
              <w:top w:val="single" w:sz="4" w:space="0" w:color="auto"/>
              <w:left w:val="single" w:sz="4" w:space="0" w:color="auto"/>
              <w:bottom w:val="single" w:sz="4" w:space="0" w:color="auto"/>
              <w:right w:val="single" w:sz="4" w:space="0" w:color="auto"/>
            </w:tcBorders>
          </w:tcPr>
          <w:p w14:paraId="224BD0A0" w14:textId="77777777" w:rsidR="00301F4C" w:rsidRPr="00262F3A" w:rsidRDefault="00301F4C" w:rsidP="00301F4C">
            <w:pPr>
              <w:pStyle w:val="Tableformat"/>
            </w:pPr>
            <w:r w:rsidRPr="00262F3A">
              <w:t>4 — Statement of compliance with Carer Recognition Act</w:t>
            </w:r>
          </w:p>
        </w:tc>
        <w:tc>
          <w:tcPr>
            <w:tcW w:w="1308" w:type="pct"/>
            <w:tcBorders>
              <w:top w:val="single" w:sz="4" w:space="0" w:color="auto"/>
              <w:left w:val="single" w:sz="4" w:space="0" w:color="auto"/>
              <w:bottom w:val="single" w:sz="4" w:space="0" w:color="auto"/>
              <w:right w:val="single" w:sz="4" w:space="0" w:color="auto"/>
            </w:tcBorders>
          </w:tcPr>
          <w:p w14:paraId="518F3D13" w14:textId="77777777" w:rsidR="00301F4C" w:rsidRPr="00262F3A" w:rsidRDefault="00301F4C" w:rsidP="00301F4C">
            <w:pPr>
              <w:pStyle w:val="Tableformat"/>
            </w:pPr>
            <w:r w:rsidRPr="00262F3A">
              <w:t>Mandatory</w:t>
            </w:r>
          </w:p>
        </w:tc>
      </w:tr>
      <w:tr w:rsidR="00301F4C" w:rsidRPr="00262F3A" w14:paraId="66E68B9B" w14:textId="77777777" w:rsidTr="00D142AB">
        <w:tc>
          <w:tcPr>
            <w:tcW w:w="941" w:type="pct"/>
            <w:tcBorders>
              <w:top w:val="single" w:sz="4" w:space="0" w:color="auto"/>
              <w:left w:val="single" w:sz="4" w:space="0" w:color="auto"/>
              <w:bottom w:val="single" w:sz="4" w:space="0" w:color="auto"/>
              <w:right w:val="single" w:sz="4" w:space="0" w:color="auto"/>
            </w:tcBorders>
          </w:tcPr>
          <w:p w14:paraId="13BFB78E" w14:textId="77777777" w:rsidR="00301F4C" w:rsidRPr="00262F3A" w:rsidRDefault="00301F4C" w:rsidP="00301F4C">
            <w:pPr>
              <w:pStyle w:val="Tableformat"/>
            </w:pPr>
            <w:r w:rsidRPr="00262F3A">
              <w:t>Freedom of Information Act 1982</w:t>
            </w:r>
          </w:p>
        </w:tc>
        <w:tc>
          <w:tcPr>
            <w:tcW w:w="629" w:type="pct"/>
            <w:tcBorders>
              <w:top w:val="single" w:sz="4" w:space="0" w:color="auto"/>
              <w:left w:val="single" w:sz="4" w:space="0" w:color="auto"/>
              <w:bottom w:val="single" w:sz="4" w:space="0" w:color="auto"/>
              <w:right w:val="single" w:sz="4" w:space="0" w:color="auto"/>
            </w:tcBorders>
          </w:tcPr>
          <w:p w14:paraId="3CF18E57" w14:textId="2DFF4E9C" w:rsidR="00301F4C" w:rsidRPr="00262F3A" w:rsidRDefault="00301F4C" w:rsidP="00301F4C">
            <w:pPr>
              <w:pStyle w:val="Tableformat"/>
            </w:pPr>
            <w:r w:rsidRPr="00262F3A">
              <w:t>5.14</w:t>
            </w:r>
          </w:p>
        </w:tc>
        <w:tc>
          <w:tcPr>
            <w:tcW w:w="2122" w:type="pct"/>
            <w:tcBorders>
              <w:top w:val="single" w:sz="4" w:space="0" w:color="auto"/>
              <w:left w:val="single" w:sz="4" w:space="0" w:color="auto"/>
              <w:bottom w:val="single" w:sz="4" w:space="0" w:color="auto"/>
              <w:right w:val="single" w:sz="4" w:space="0" w:color="auto"/>
            </w:tcBorders>
          </w:tcPr>
          <w:p w14:paraId="19EE6B96" w14:textId="77777777" w:rsidR="00301F4C" w:rsidRPr="00262F3A" w:rsidRDefault="00301F4C" w:rsidP="00301F4C">
            <w:pPr>
              <w:pStyle w:val="Tableformat"/>
            </w:pPr>
            <w:r w:rsidRPr="00262F3A">
              <w:t>8 — Information Publication Scheme Statement</w:t>
            </w:r>
          </w:p>
        </w:tc>
        <w:tc>
          <w:tcPr>
            <w:tcW w:w="1308" w:type="pct"/>
            <w:tcBorders>
              <w:top w:val="single" w:sz="4" w:space="0" w:color="auto"/>
              <w:left w:val="single" w:sz="4" w:space="0" w:color="auto"/>
              <w:bottom w:val="single" w:sz="4" w:space="0" w:color="auto"/>
              <w:right w:val="single" w:sz="4" w:space="0" w:color="auto"/>
            </w:tcBorders>
          </w:tcPr>
          <w:p w14:paraId="6AA21402" w14:textId="77777777" w:rsidR="00301F4C" w:rsidRPr="00262F3A" w:rsidRDefault="00301F4C" w:rsidP="00301F4C">
            <w:pPr>
              <w:pStyle w:val="Tableformat"/>
            </w:pPr>
            <w:r w:rsidRPr="00262F3A">
              <w:t>Mandatory</w:t>
            </w:r>
          </w:p>
        </w:tc>
      </w:tr>
      <w:tr w:rsidR="00301F4C" w:rsidRPr="00262F3A" w14:paraId="4EA65AFC" w14:textId="77777777" w:rsidTr="00D142AB">
        <w:tc>
          <w:tcPr>
            <w:tcW w:w="941" w:type="pct"/>
            <w:tcBorders>
              <w:top w:val="single" w:sz="4" w:space="0" w:color="auto"/>
              <w:left w:val="single" w:sz="4" w:space="0" w:color="auto"/>
              <w:bottom w:val="single" w:sz="4" w:space="0" w:color="auto"/>
              <w:right w:val="single" w:sz="4" w:space="0" w:color="auto"/>
            </w:tcBorders>
          </w:tcPr>
          <w:p w14:paraId="3586B551" w14:textId="77777777" w:rsidR="00301F4C" w:rsidRPr="00262F3A" w:rsidRDefault="00301F4C" w:rsidP="00301F4C">
            <w:pPr>
              <w:pStyle w:val="Tableformat"/>
            </w:pPr>
            <w:r w:rsidRPr="00262F3A">
              <w:t>Privacy Act 1988</w:t>
            </w:r>
          </w:p>
        </w:tc>
        <w:tc>
          <w:tcPr>
            <w:tcW w:w="629" w:type="pct"/>
            <w:tcBorders>
              <w:top w:val="single" w:sz="4" w:space="0" w:color="auto"/>
              <w:left w:val="single" w:sz="4" w:space="0" w:color="auto"/>
              <w:bottom w:val="single" w:sz="4" w:space="0" w:color="auto"/>
              <w:right w:val="single" w:sz="4" w:space="0" w:color="auto"/>
            </w:tcBorders>
          </w:tcPr>
          <w:p w14:paraId="0BE6AF82" w14:textId="36777696" w:rsidR="00301F4C" w:rsidRPr="00262F3A" w:rsidRDefault="00301F4C" w:rsidP="00301F4C">
            <w:pPr>
              <w:pStyle w:val="Tableformat"/>
            </w:pPr>
            <w:r w:rsidRPr="00262F3A">
              <w:t>5.14</w:t>
            </w:r>
          </w:p>
        </w:tc>
        <w:tc>
          <w:tcPr>
            <w:tcW w:w="2122" w:type="pct"/>
            <w:tcBorders>
              <w:top w:val="single" w:sz="4" w:space="0" w:color="auto"/>
              <w:left w:val="single" w:sz="4" w:space="0" w:color="auto"/>
              <w:bottom w:val="single" w:sz="4" w:space="0" w:color="auto"/>
              <w:right w:val="single" w:sz="4" w:space="0" w:color="auto"/>
            </w:tcBorders>
          </w:tcPr>
          <w:p w14:paraId="2BE7C1DB" w14:textId="77777777" w:rsidR="00301F4C" w:rsidRPr="00262F3A" w:rsidRDefault="00301F4C" w:rsidP="00301F4C">
            <w:pPr>
              <w:pStyle w:val="Tableformat"/>
            </w:pPr>
            <w:r w:rsidRPr="00262F3A">
              <w:t>Statement of Compliance</w:t>
            </w:r>
          </w:p>
        </w:tc>
        <w:tc>
          <w:tcPr>
            <w:tcW w:w="1308" w:type="pct"/>
            <w:tcBorders>
              <w:top w:val="single" w:sz="4" w:space="0" w:color="auto"/>
              <w:left w:val="single" w:sz="4" w:space="0" w:color="auto"/>
              <w:bottom w:val="single" w:sz="4" w:space="0" w:color="auto"/>
              <w:right w:val="single" w:sz="4" w:space="0" w:color="auto"/>
            </w:tcBorders>
          </w:tcPr>
          <w:p w14:paraId="7504A7CD" w14:textId="77777777" w:rsidR="00301F4C" w:rsidRPr="00262F3A" w:rsidRDefault="00301F4C" w:rsidP="00301F4C">
            <w:pPr>
              <w:pStyle w:val="Tableformat"/>
            </w:pPr>
            <w:r w:rsidRPr="00262F3A">
              <w:t>Mandatory</w:t>
            </w:r>
          </w:p>
        </w:tc>
      </w:tr>
    </w:tbl>
    <w:p w14:paraId="5EFD4498" w14:textId="233213F1" w:rsidR="001D739F" w:rsidRPr="00262F3A" w:rsidRDefault="001D739F" w:rsidP="008F00D1">
      <w:pPr>
        <w:pStyle w:val="Heading2"/>
      </w:pPr>
      <w:bookmarkStart w:id="194" w:name="_Toc23603210"/>
      <w:bookmarkStart w:id="195" w:name="_Toc51068022"/>
      <w:bookmarkEnd w:id="193"/>
      <w:r w:rsidRPr="00262F3A">
        <w:lastRenderedPageBreak/>
        <w:t>Tables index</w:t>
      </w:r>
      <w:bookmarkEnd w:id="194"/>
      <w:bookmarkEnd w:id="19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s (index)"/>
        <w:tblDescription w:val="This is an index of tables that are included in the annual report with the relevant page number."/>
      </w:tblPr>
      <w:tblGrid>
        <w:gridCol w:w="1418"/>
        <w:gridCol w:w="6662"/>
        <w:gridCol w:w="936"/>
      </w:tblGrid>
      <w:tr w:rsidR="000E1639" w:rsidRPr="00262F3A" w14:paraId="1B76132E" w14:textId="77777777" w:rsidTr="000E1639">
        <w:trPr>
          <w:tblHeader/>
        </w:trPr>
        <w:tc>
          <w:tcPr>
            <w:tcW w:w="8080" w:type="dxa"/>
            <w:gridSpan w:val="2"/>
            <w:shd w:val="clear" w:color="auto" w:fill="7030A0"/>
          </w:tcPr>
          <w:p w14:paraId="5EBF9AF5" w14:textId="77777777" w:rsidR="000E1639" w:rsidRPr="00262F3A" w:rsidRDefault="000E1639" w:rsidP="000E1639">
            <w:pPr>
              <w:pStyle w:val="Tableformat"/>
              <w:rPr>
                <w:color w:val="FFFFFF" w:themeColor="background1"/>
              </w:rPr>
            </w:pPr>
            <w:bookmarkStart w:id="196" w:name="_Toc23603211"/>
            <w:r w:rsidRPr="00262F3A">
              <w:rPr>
                <w:color w:val="FFFFFF" w:themeColor="background1"/>
              </w:rPr>
              <w:t>Tables</w:t>
            </w:r>
          </w:p>
        </w:tc>
        <w:tc>
          <w:tcPr>
            <w:tcW w:w="936" w:type="dxa"/>
            <w:shd w:val="clear" w:color="auto" w:fill="7030A0"/>
          </w:tcPr>
          <w:p w14:paraId="77A8A2AF" w14:textId="77777777" w:rsidR="000E1639" w:rsidRPr="00262F3A" w:rsidRDefault="000E1639" w:rsidP="000E1639">
            <w:pPr>
              <w:pStyle w:val="Tableformat"/>
              <w:rPr>
                <w:color w:val="FFFFFF" w:themeColor="background1"/>
              </w:rPr>
            </w:pPr>
            <w:r w:rsidRPr="00262F3A">
              <w:rPr>
                <w:color w:val="FFFFFF" w:themeColor="background1"/>
              </w:rPr>
              <w:t>Page</w:t>
            </w:r>
          </w:p>
        </w:tc>
      </w:tr>
      <w:tr w:rsidR="000E1639" w:rsidRPr="00262F3A" w14:paraId="55549B1E" w14:textId="77777777" w:rsidTr="000E1639">
        <w:tc>
          <w:tcPr>
            <w:tcW w:w="1418" w:type="dxa"/>
          </w:tcPr>
          <w:p w14:paraId="3BE3285A" w14:textId="77777777" w:rsidR="000E1639" w:rsidRPr="00262F3A" w:rsidRDefault="000E1639" w:rsidP="000E1639">
            <w:pPr>
              <w:pStyle w:val="Tableformat"/>
            </w:pPr>
            <w:r w:rsidRPr="00262F3A">
              <w:t>2.2.3A</w:t>
            </w:r>
          </w:p>
        </w:tc>
        <w:tc>
          <w:tcPr>
            <w:tcW w:w="6662" w:type="dxa"/>
          </w:tcPr>
          <w:p w14:paraId="148FE85A" w14:textId="77777777" w:rsidR="000E1639" w:rsidRPr="00262F3A" w:rsidRDefault="000E1639" w:rsidP="000E1639">
            <w:pPr>
              <w:pStyle w:val="Tableformat"/>
            </w:pPr>
            <w:r w:rsidRPr="00262F3A">
              <w:t>Committed supports ($m) and payments</w:t>
            </w:r>
          </w:p>
        </w:tc>
        <w:tc>
          <w:tcPr>
            <w:tcW w:w="936" w:type="dxa"/>
          </w:tcPr>
          <w:p w14:paraId="6FD18E7F" w14:textId="5F1CAAAB" w:rsidR="000E1639" w:rsidRPr="00262F3A" w:rsidRDefault="003426A3" w:rsidP="000E1639">
            <w:pPr>
              <w:pStyle w:val="Tableformat"/>
            </w:pPr>
            <w:r>
              <w:t>31</w:t>
            </w:r>
          </w:p>
        </w:tc>
      </w:tr>
      <w:tr w:rsidR="000E1639" w:rsidRPr="00262F3A" w14:paraId="7B8027D4" w14:textId="77777777" w:rsidTr="000E1639">
        <w:tc>
          <w:tcPr>
            <w:tcW w:w="1418" w:type="dxa"/>
          </w:tcPr>
          <w:p w14:paraId="0DEF3293" w14:textId="4EB8A697" w:rsidR="000E1639" w:rsidRPr="00262F3A" w:rsidRDefault="000E1639" w:rsidP="000E1639">
            <w:pPr>
              <w:pStyle w:val="Tableformat"/>
            </w:pPr>
            <w:r w:rsidRPr="00262F3A">
              <w:t>3.3.3A</w:t>
            </w:r>
          </w:p>
        </w:tc>
        <w:tc>
          <w:tcPr>
            <w:tcW w:w="6662" w:type="dxa"/>
          </w:tcPr>
          <w:p w14:paraId="2C73E81A" w14:textId="430E5E1D" w:rsidR="000E1639" w:rsidRPr="00262F3A" w:rsidRDefault="000E1639" w:rsidP="00257F1F">
            <w:pPr>
              <w:pStyle w:val="Tableformat"/>
            </w:pPr>
            <w:r w:rsidRPr="00262F3A">
              <w:rPr>
                <w:rFonts w:eastAsiaTheme="minorHAnsi"/>
                <w:sz w:val="21"/>
                <w:szCs w:val="21"/>
                <w:lang w:eastAsia="en-US"/>
              </w:rPr>
              <w:t xml:space="preserve">Participants in work in 2019-20 compared with the 2019–20 </w:t>
            </w:r>
            <w:r w:rsidR="00257F1F">
              <w:rPr>
                <w:rFonts w:eastAsiaTheme="minorHAnsi"/>
                <w:sz w:val="21"/>
                <w:szCs w:val="21"/>
                <w:lang w:eastAsia="en-US"/>
              </w:rPr>
              <w:t>t</w:t>
            </w:r>
            <w:r w:rsidR="00257F1F" w:rsidRPr="00262F3A">
              <w:rPr>
                <w:rFonts w:eastAsiaTheme="minorHAnsi"/>
                <w:sz w:val="21"/>
                <w:szCs w:val="21"/>
                <w:lang w:eastAsia="en-US"/>
              </w:rPr>
              <w:t>arget</w:t>
            </w:r>
          </w:p>
        </w:tc>
        <w:tc>
          <w:tcPr>
            <w:tcW w:w="936" w:type="dxa"/>
          </w:tcPr>
          <w:p w14:paraId="759BF7D9" w14:textId="0AAE93B6" w:rsidR="000E1639" w:rsidRPr="00262F3A" w:rsidRDefault="003426A3" w:rsidP="000E1639">
            <w:pPr>
              <w:pStyle w:val="Tableformat"/>
            </w:pPr>
            <w:r>
              <w:t>83</w:t>
            </w:r>
          </w:p>
        </w:tc>
      </w:tr>
      <w:tr w:rsidR="000E1639" w:rsidRPr="00262F3A" w14:paraId="7CC5C29E" w14:textId="77777777" w:rsidTr="000E1639">
        <w:tc>
          <w:tcPr>
            <w:tcW w:w="1418" w:type="dxa"/>
          </w:tcPr>
          <w:p w14:paraId="7E84F4B6" w14:textId="66655307" w:rsidR="000E1639" w:rsidRPr="00262F3A" w:rsidRDefault="000E1639" w:rsidP="000E1639">
            <w:pPr>
              <w:pStyle w:val="Tableformat"/>
            </w:pPr>
            <w:r w:rsidRPr="00262F3A">
              <w:t>3.3.3B</w:t>
            </w:r>
          </w:p>
        </w:tc>
        <w:tc>
          <w:tcPr>
            <w:tcW w:w="6662" w:type="dxa"/>
          </w:tcPr>
          <w:p w14:paraId="4DACDE55" w14:textId="193D560E" w:rsidR="000E1639" w:rsidRPr="00262F3A" w:rsidRDefault="000E1639" w:rsidP="00257F1F">
            <w:pPr>
              <w:pStyle w:val="Tableformat"/>
            </w:pPr>
            <w:r w:rsidRPr="00262F3A">
              <w:rPr>
                <w:rFonts w:eastAsiaTheme="minorHAnsi"/>
                <w:sz w:val="21"/>
                <w:szCs w:val="21"/>
                <w:lang w:eastAsia="en-US"/>
              </w:rPr>
              <w:t xml:space="preserve">Participants in community and social activities in 2019-20 compared with the 2019–20 </w:t>
            </w:r>
            <w:r w:rsidR="00257F1F">
              <w:rPr>
                <w:rFonts w:eastAsiaTheme="minorHAnsi"/>
                <w:sz w:val="21"/>
                <w:szCs w:val="21"/>
                <w:lang w:eastAsia="en-US"/>
              </w:rPr>
              <w:t>t</w:t>
            </w:r>
            <w:r w:rsidR="00257F1F" w:rsidRPr="00262F3A">
              <w:rPr>
                <w:rFonts w:eastAsiaTheme="minorHAnsi"/>
                <w:sz w:val="21"/>
                <w:szCs w:val="21"/>
                <w:lang w:eastAsia="en-US"/>
              </w:rPr>
              <w:t>arget</w:t>
            </w:r>
          </w:p>
        </w:tc>
        <w:tc>
          <w:tcPr>
            <w:tcW w:w="936" w:type="dxa"/>
          </w:tcPr>
          <w:p w14:paraId="7BDA323A" w14:textId="582F304C" w:rsidR="000E1639" w:rsidRPr="00262F3A" w:rsidRDefault="003426A3" w:rsidP="000E1639">
            <w:pPr>
              <w:pStyle w:val="Tableformat"/>
            </w:pPr>
            <w:r>
              <w:t>83</w:t>
            </w:r>
          </w:p>
        </w:tc>
      </w:tr>
      <w:tr w:rsidR="000E1639" w:rsidRPr="00262F3A" w14:paraId="24FFBEBF" w14:textId="77777777" w:rsidTr="000E1639">
        <w:tc>
          <w:tcPr>
            <w:tcW w:w="1418" w:type="dxa"/>
          </w:tcPr>
          <w:p w14:paraId="49C828CD" w14:textId="77777777" w:rsidR="000E1639" w:rsidRPr="00262F3A" w:rsidRDefault="000E1639" w:rsidP="000E1639">
            <w:pPr>
              <w:pStyle w:val="Tableformat"/>
            </w:pPr>
            <w:r w:rsidRPr="00262F3A">
              <w:t>3.3.3C</w:t>
            </w:r>
          </w:p>
        </w:tc>
        <w:tc>
          <w:tcPr>
            <w:tcW w:w="6662" w:type="dxa"/>
          </w:tcPr>
          <w:p w14:paraId="1ED20EA0" w14:textId="77777777" w:rsidR="000E1639" w:rsidRPr="00262F3A" w:rsidRDefault="000E1639" w:rsidP="000E1639">
            <w:pPr>
              <w:pStyle w:val="Tableformat"/>
            </w:pPr>
            <w:r w:rsidRPr="00262F3A">
              <w:rPr>
                <w:bCs/>
                <w:sz w:val="21"/>
                <w:szCs w:val="21"/>
              </w:rPr>
              <w:t>Aspiration 1 – A quality experience and outcomes for participants</w:t>
            </w:r>
          </w:p>
        </w:tc>
        <w:tc>
          <w:tcPr>
            <w:tcW w:w="936" w:type="dxa"/>
          </w:tcPr>
          <w:p w14:paraId="7B87D4E8" w14:textId="255CBE02" w:rsidR="000E1639" w:rsidRPr="00262F3A" w:rsidRDefault="003426A3" w:rsidP="000E1639">
            <w:pPr>
              <w:pStyle w:val="Tableformat"/>
            </w:pPr>
            <w:r>
              <w:t>84</w:t>
            </w:r>
          </w:p>
        </w:tc>
      </w:tr>
      <w:tr w:rsidR="000E1639" w:rsidRPr="00262F3A" w14:paraId="51EFE92B" w14:textId="77777777" w:rsidTr="000E1639">
        <w:tc>
          <w:tcPr>
            <w:tcW w:w="1418" w:type="dxa"/>
          </w:tcPr>
          <w:p w14:paraId="02455F9C" w14:textId="77777777" w:rsidR="000E1639" w:rsidRPr="00262F3A" w:rsidRDefault="000E1639" w:rsidP="000E1639">
            <w:pPr>
              <w:pStyle w:val="Tableformat"/>
            </w:pPr>
            <w:r w:rsidRPr="00262F3A">
              <w:t>3.3.3D</w:t>
            </w:r>
          </w:p>
        </w:tc>
        <w:tc>
          <w:tcPr>
            <w:tcW w:w="6662" w:type="dxa"/>
          </w:tcPr>
          <w:p w14:paraId="3A719C51" w14:textId="77777777" w:rsidR="000E1639" w:rsidRPr="00262F3A" w:rsidRDefault="000E1639" w:rsidP="000E1639">
            <w:pPr>
              <w:pStyle w:val="Tableformat"/>
            </w:pPr>
            <w:r w:rsidRPr="00262F3A">
              <w:rPr>
                <w:bCs/>
                <w:sz w:val="21"/>
                <w:szCs w:val="21"/>
              </w:rPr>
              <w:t>Aspiration 2 – A growing and competitive market with innovative supports</w:t>
            </w:r>
          </w:p>
        </w:tc>
        <w:tc>
          <w:tcPr>
            <w:tcW w:w="936" w:type="dxa"/>
          </w:tcPr>
          <w:p w14:paraId="3386B58E" w14:textId="71F229DE" w:rsidR="000E1639" w:rsidRPr="00262F3A" w:rsidRDefault="003426A3" w:rsidP="000E1639">
            <w:pPr>
              <w:pStyle w:val="Tableformat"/>
            </w:pPr>
            <w:r>
              <w:t>85</w:t>
            </w:r>
          </w:p>
        </w:tc>
      </w:tr>
      <w:tr w:rsidR="000E1639" w:rsidRPr="00262F3A" w14:paraId="19F49BC5" w14:textId="77777777" w:rsidTr="000E1639">
        <w:tc>
          <w:tcPr>
            <w:tcW w:w="1418" w:type="dxa"/>
          </w:tcPr>
          <w:p w14:paraId="7BD0F5A0" w14:textId="77777777" w:rsidR="000E1639" w:rsidRPr="00262F3A" w:rsidRDefault="000E1639" w:rsidP="000E1639">
            <w:pPr>
              <w:pStyle w:val="Tableformat"/>
            </w:pPr>
            <w:r w:rsidRPr="00262F3A">
              <w:t>3.3.3E</w:t>
            </w:r>
          </w:p>
        </w:tc>
        <w:tc>
          <w:tcPr>
            <w:tcW w:w="6662" w:type="dxa"/>
          </w:tcPr>
          <w:p w14:paraId="1A6C079E" w14:textId="77777777" w:rsidR="000E1639" w:rsidRPr="00262F3A" w:rsidRDefault="000E1639" w:rsidP="000E1639">
            <w:pPr>
              <w:pStyle w:val="Tableformat"/>
            </w:pPr>
            <w:r w:rsidRPr="00262F3A">
              <w:rPr>
                <w:bCs/>
                <w:sz w:val="21"/>
                <w:szCs w:val="21"/>
              </w:rPr>
              <w:t>Aspiration 3 – A connected and engaged stakeholder sector</w:t>
            </w:r>
          </w:p>
        </w:tc>
        <w:tc>
          <w:tcPr>
            <w:tcW w:w="936" w:type="dxa"/>
          </w:tcPr>
          <w:p w14:paraId="3D6D020E" w14:textId="723D0D00" w:rsidR="000E1639" w:rsidRPr="00262F3A" w:rsidRDefault="00601CA7" w:rsidP="000E1639">
            <w:pPr>
              <w:pStyle w:val="Tableformat"/>
            </w:pPr>
            <w:r>
              <w:t>86</w:t>
            </w:r>
          </w:p>
        </w:tc>
      </w:tr>
      <w:tr w:rsidR="000E1639" w:rsidRPr="00262F3A" w14:paraId="20E82FB0" w14:textId="77777777" w:rsidTr="000E1639">
        <w:tc>
          <w:tcPr>
            <w:tcW w:w="1418" w:type="dxa"/>
          </w:tcPr>
          <w:p w14:paraId="58088F62" w14:textId="77777777" w:rsidR="000E1639" w:rsidRPr="00262F3A" w:rsidRDefault="000E1639" w:rsidP="000E1639">
            <w:pPr>
              <w:pStyle w:val="Tableformat"/>
            </w:pPr>
            <w:r w:rsidRPr="00262F3A">
              <w:t>3.3.3F</w:t>
            </w:r>
          </w:p>
        </w:tc>
        <w:tc>
          <w:tcPr>
            <w:tcW w:w="6662" w:type="dxa"/>
          </w:tcPr>
          <w:p w14:paraId="5B7192FE" w14:textId="77777777" w:rsidR="000E1639" w:rsidRPr="00262F3A" w:rsidRDefault="000E1639" w:rsidP="000E1639">
            <w:pPr>
              <w:pStyle w:val="Tableformat"/>
            </w:pPr>
            <w:r w:rsidRPr="00262F3A">
              <w:rPr>
                <w:bCs/>
                <w:sz w:val="21"/>
                <w:szCs w:val="21"/>
              </w:rPr>
              <w:t>Aspiration 4</w:t>
            </w:r>
            <w:r w:rsidRPr="00262F3A">
              <w:rPr>
                <w:b/>
                <w:sz w:val="21"/>
                <w:szCs w:val="21"/>
              </w:rPr>
              <w:t xml:space="preserve"> </w:t>
            </w:r>
            <w:r w:rsidRPr="00262F3A">
              <w:rPr>
                <w:bCs/>
                <w:sz w:val="21"/>
                <w:szCs w:val="21"/>
              </w:rPr>
              <w:t>– A financially sustainable scheme</w:t>
            </w:r>
          </w:p>
        </w:tc>
        <w:tc>
          <w:tcPr>
            <w:tcW w:w="936" w:type="dxa"/>
          </w:tcPr>
          <w:p w14:paraId="2F2105CC" w14:textId="2B28B3CF" w:rsidR="000E1639" w:rsidRPr="00262F3A" w:rsidRDefault="00601CA7" w:rsidP="000E1639">
            <w:pPr>
              <w:pStyle w:val="Tableformat"/>
            </w:pPr>
            <w:r>
              <w:t>87</w:t>
            </w:r>
          </w:p>
        </w:tc>
      </w:tr>
      <w:tr w:rsidR="000E1639" w:rsidRPr="00262F3A" w14:paraId="391EEDC6" w14:textId="77777777" w:rsidTr="000E1639">
        <w:tc>
          <w:tcPr>
            <w:tcW w:w="1418" w:type="dxa"/>
          </w:tcPr>
          <w:p w14:paraId="067A3ED8" w14:textId="77777777" w:rsidR="000E1639" w:rsidRPr="00262F3A" w:rsidRDefault="000E1639" w:rsidP="000E1639">
            <w:pPr>
              <w:pStyle w:val="Tableformat"/>
            </w:pPr>
            <w:r w:rsidRPr="00262F3A">
              <w:t>3.3.3G</w:t>
            </w:r>
          </w:p>
        </w:tc>
        <w:tc>
          <w:tcPr>
            <w:tcW w:w="6662" w:type="dxa"/>
          </w:tcPr>
          <w:p w14:paraId="1AC99806" w14:textId="77777777" w:rsidR="000E1639" w:rsidRPr="00262F3A" w:rsidRDefault="000E1639" w:rsidP="000E1639">
            <w:pPr>
              <w:pStyle w:val="Tableformat"/>
            </w:pPr>
            <w:r w:rsidRPr="00262F3A">
              <w:rPr>
                <w:bCs/>
                <w:sz w:val="21"/>
                <w:szCs w:val="21"/>
              </w:rPr>
              <w:t>Aspiration 5</w:t>
            </w:r>
            <w:r w:rsidRPr="00262F3A">
              <w:rPr>
                <w:sz w:val="21"/>
                <w:szCs w:val="21"/>
              </w:rPr>
              <w:t xml:space="preserve"> </w:t>
            </w:r>
            <w:r w:rsidRPr="00262F3A">
              <w:rPr>
                <w:bCs/>
                <w:sz w:val="21"/>
                <w:szCs w:val="21"/>
              </w:rPr>
              <w:t>– A high-performing NDIA</w:t>
            </w:r>
          </w:p>
        </w:tc>
        <w:tc>
          <w:tcPr>
            <w:tcW w:w="936" w:type="dxa"/>
          </w:tcPr>
          <w:p w14:paraId="42D9D075" w14:textId="5386DAF3" w:rsidR="000E1639" w:rsidRPr="00262F3A" w:rsidRDefault="00601CA7">
            <w:pPr>
              <w:pStyle w:val="Tableformat"/>
            </w:pPr>
            <w:r>
              <w:t>88</w:t>
            </w:r>
          </w:p>
        </w:tc>
      </w:tr>
      <w:tr w:rsidR="000E1639" w:rsidRPr="00262F3A" w14:paraId="58C63F08" w14:textId="77777777" w:rsidTr="000E1639">
        <w:tc>
          <w:tcPr>
            <w:tcW w:w="1418" w:type="dxa"/>
          </w:tcPr>
          <w:p w14:paraId="72949387" w14:textId="77777777" w:rsidR="000E1639" w:rsidRPr="00262F3A" w:rsidRDefault="000E1639" w:rsidP="000E1639">
            <w:pPr>
              <w:pStyle w:val="Tableformat"/>
            </w:pPr>
            <w:r w:rsidRPr="00262F3A">
              <w:t>4.2.3A</w:t>
            </w:r>
          </w:p>
        </w:tc>
        <w:tc>
          <w:tcPr>
            <w:tcW w:w="6662" w:type="dxa"/>
          </w:tcPr>
          <w:p w14:paraId="48EC90A3" w14:textId="77777777" w:rsidR="000E1639" w:rsidRPr="00262F3A" w:rsidRDefault="000E1639" w:rsidP="000E1639">
            <w:pPr>
              <w:pStyle w:val="Tableformat"/>
            </w:pPr>
            <w:r w:rsidRPr="00262F3A">
              <w:t>Board committees and members as at 30 June 2020</w:t>
            </w:r>
          </w:p>
        </w:tc>
        <w:tc>
          <w:tcPr>
            <w:tcW w:w="936" w:type="dxa"/>
          </w:tcPr>
          <w:p w14:paraId="36759AF3" w14:textId="778A7271" w:rsidR="000E1639" w:rsidRPr="00262F3A" w:rsidRDefault="001437BE" w:rsidP="000E1639">
            <w:pPr>
              <w:pStyle w:val="Tableformat"/>
            </w:pPr>
            <w:r>
              <w:t>94</w:t>
            </w:r>
          </w:p>
        </w:tc>
      </w:tr>
      <w:tr w:rsidR="000E1639" w:rsidRPr="00262F3A" w14:paraId="1170AC1B" w14:textId="77777777" w:rsidTr="000E1639">
        <w:tc>
          <w:tcPr>
            <w:tcW w:w="1418" w:type="dxa"/>
          </w:tcPr>
          <w:p w14:paraId="486CFF2E" w14:textId="77777777" w:rsidR="000E1639" w:rsidRPr="00262F3A" w:rsidRDefault="000E1639" w:rsidP="000E1639">
            <w:pPr>
              <w:pStyle w:val="Tableformat"/>
            </w:pPr>
            <w:r w:rsidRPr="00262F3A">
              <w:t>4.2.4A</w:t>
            </w:r>
          </w:p>
        </w:tc>
        <w:tc>
          <w:tcPr>
            <w:tcW w:w="6662" w:type="dxa"/>
          </w:tcPr>
          <w:p w14:paraId="1886696C" w14:textId="77777777" w:rsidR="000E1639" w:rsidRPr="00262F3A" w:rsidRDefault="000E1639" w:rsidP="000E1639">
            <w:pPr>
              <w:pStyle w:val="Tableformat"/>
            </w:pPr>
            <w:r w:rsidRPr="00262F3A">
              <w:t>Number of meetings attended by Board members in 2019–20</w:t>
            </w:r>
          </w:p>
        </w:tc>
        <w:tc>
          <w:tcPr>
            <w:tcW w:w="936" w:type="dxa"/>
          </w:tcPr>
          <w:p w14:paraId="77870250" w14:textId="155554E9" w:rsidR="000E1639" w:rsidRPr="00262F3A" w:rsidRDefault="001437BE" w:rsidP="000E1639">
            <w:pPr>
              <w:pStyle w:val="Tableformat"/>
            </w:pPr>
            <w:r>
              <w:t>95</w:t>
            </w:r>
          </w:p>
        </w:tc>
      </w:tr>
      <w:tr w:rsidR="000E1639" w:rsidRPr="00262F3A" w14:paraId="4C918FA3" w14:textId="77777777" w:rsidTr="000E1639">
        <w:tc>
          <w:tcPr>
            <w:tcW w:w="1418" w:type="dxa"/>
          </w:tcPr>
          <w:p w14:paraId="2A8730CC" w14:textId="77777777" w:rsidR="000E1639" w:rsidRPr="00262F3A" w:rsidRDefault="000E1639" w:rsidP="000E1639">
            <w:pPr>
              <w:pStyle w:val="Tableformat"/>
            </w:pPr>
            <w:r w:rsidRPr="00262F3A">
              <w:t>5.3A</w:t>
            </w:r>
          </w:p>
        </w:tc>
        <w:tc>
          <w:tcPr>
            <w:tcW w:w="6662" w:type="dxa"/>
          </w:tcPr>
          <w:p w14:paraId="1F67C34D" w14:textId="77777777" w:rsidR="000E1639" w:rsidRPr="00262F3A" w:rsidRDefault="000E1639" w:rsidP="000E1639">
            <w:pPr>
              <w:pStyle w:val="Tableformat"/>
            </w:pPr>
            <w:r w:rsidRPr="00262F3A">
              <w:t>Summary of incidents pursuant to section 38 of the WHS Act, 2019–20</w:t>
            </w:r>
          </w:p>
        </w:tc>
        <w:tc>
          <w:tcPr>
            <w:tcW w:w="936" w:type="dxa"/>
          </w:tcPr>
          <w:p w14:paraId="6ABC157F" w14:textId="05A72BDD" w:rsidR="000E1639" w:rsidRPr="00262F3A" w:rsidRDefault="001437BE" w:rsidP="000E1639">
            <w:pPr>
              <w:pStyle w:val="Tableformat"/>
            </w:pPr>
            <w:r>
              <w:t>113</w:t>
            </w:r>
          </w:p>
        </w:tc>
      </w:tr>
      <w:tr w:rsidR="000E1639" w:rsidRPr="00262F3A" w14:paraId="5B410029" w14:textId="77777777" w:rsidTr="000E1639">
        <w:tc>
          <w:tcPr>
            <w:tcW w:w="1418" w:type="dxa"/>
          </w:tcPr>
          <w:p w14:paraId="07404CA4" w14:textId="77777777" w:rsidR="000E1639" w:rsidRPr="00262F3A" w:rsidRDefault="000E1639" w:rsidP="000E1639">
            <w:pPr>
              <w:pStyle w:val="Tableformat"/>
            </w:pPr>
            <w:r w:rsidRPr="00262F3A">
              <w:t>5.4A</w:t>
            </w:r>
          </w:p>
        </w:tc>
        <w:tc>
          <w:tcPr>
            <w:tcW w:w="6662" w:type="dxa"/>
          </w:tcPr>
          <w:p w14:paraId="48C8DCAF" w14:textId="77777777" w:rsidR="000E1639" w:rsidRPr="00262F3A" w:rsidRDefault="000E1639" w:rsidP="000E1639">
            <w:pPr>
              <w:pStyle w:val="Tableformat"/>
            </w:pPr>
            <w:r w:rsidRPr="00262F3A">
              <w:t>All ongoing employees current reporting period (2019–20)</w:t>
            </w:r>
          </w:p>
        </w:tc>
        <w:tc>
          <w:tcPr>
            <w:tcW w:w="936" w:type="dxa"/>
          </w:tcPr>
          <w:p w14:paraId="5CC70CC0" w14:textId="794A801E" w:rsidR="000E1639" w:rsidRPr="00262F3A" w:rsidRDefault="001437BE" w:rsidP="000E1639">
            <w:pPr>
              <w:pStyle w:val="Tableformat"/>
            </w:pPr>
            <w:r>
              <w:t>113</w:t>
            </w:r>
          </w:p>
        </w:tc>
      </w:tr>
      <w:tr w:rsidR="000E1639" w:rsidRPr="00262F3A" w14:paraId="404EC77C" w14:textId="77777777" w:rsidTr="000E1639">
        <w:tc>
          <w:tcPr>
            <w:tcW w:w="1418" w:type="dxa"/>
          </w:tcPr>
          <w:p w14:paraId="67AFF9A3" w14:textId="77777777" w:rsidR="000E1639" w:rsidRPr="00262F3A" w:rsidRDefault="000E1639" w:rsidP="000E1639">
            <w:pPr>
              <w:pStyle w:val="Tableformat"/>
            </w:pPr>
            <w:r w:rsidRPr="00262F3A">
              <w:t>5.4B</w:t>
            </w:r>
          </w:p>
        </w:tc>
        <w:tc>
          <w:tcPr>
            <w:tcW w:w="6662" w:type="dxa"/>
          </w:tcPr>
          <w:p w14:paraId="6508CCC3" w14:textId="77777777" w:rsidR="000E1639" w:rsidRPr="00262F3A" w:rsidRDefault="000E1639" w:rsidP="000E1639">
            <w:pPr>
              <w:pStyle w:val="Tableformat"/>
            </w:pPr>
            <w:r w:rsidRPr="00262F3A">
              <w:t>All non-ongoing employees current reporting period (2019–20)</w:t>
            </w:r>
          </w:p>
        </w:tc>
        <w:tc>
          <w:tcPr>
            <w:tcW w:w="936" w:type="dxa"/>
          </w:tcPr>
          <w:p w14:paraId="1DA439EC" w14:textId="3A220000" w:rsidR="000E1639" w:rsidRPr="00262F3A" w:rsidRDefault="001437BE" w:rsidP="000E1639">
            <w:pPr>
              <w:pStyle w:val="Tableformat"/>
            </w:pPr>
            <w:r>
              <w:t>114</w:t>
            </w:r>
          </w:p>
        </w:tc>
      </w:tr>
      <w:tr w:rsidR="000E1639" w:rsidRPr="00262F3A" w14:paraId="34D2280F" w14:textId="77777777" w:rsidTr="000E1639">
        <w:tc>
          <w:tcPr>
            <w:tcW w:w="1418" w:type="dxa"/>
          </w:tcPr>
          <w:p w14:paraId="2947B518" w14:textId="77777777" w:rsidR="000E1639" w:rsidRPr="00262F3A" w:rsidRDefault="000E1639" w:rsidP="000E1639">
            <w:pPr>
              <w:pStyle w:val="Tableformat"/>
            </w:pPr>
            <w:r w:rsidRPr="00262F3A">
              <w:t>5.4C</w:t>
            </w:r>
          </w:p>
        </w:tc>
        <w:tc>
          <w:tcPr>
            <w:tcW w:w="6662" w:type="dxa"/>
          </w:tcPr>
          <w:p w14:paraId="3EFB136A" w14:textId="77777777" w:rsidR="000E1639" w:rsidRPr="00262F3A" w:rsidRDefault="000E1639" w:rsidP="000E1639">
            <w:pPr>
              <w:pStyle w:val="Tableformat"/>
            </w:pPr>
            <w:r w:rsidRPr="00262F3A">
              <w:t>All ongoing employees previous reporting period (2018–19)</w:t>
            </w:r>
          </w:p>
        </w:tc>
        <w:tc>
          <w:tcPr>
            <w:tcW w:w="936" w:type="dxa"/>
          </w:tcPr>
          <w:p w14:paraId="41249E1A" w14:textId="4566D8A4" w:rsidR="000E1639" w:rsidRPr="00262F3A" w:rsidRDefault="001437BE" w:rsidP="000E1639">
            <w:pPr>
              <w:pStyle w:val="Tableformat"/>
            </w:pPr>
            <w:r>
              <w:t>115</w:t>
            </w:r>
          </w:p>
        </w:tc>
      </w:tr>
      <w:tr w:rsidR="000E1639" w:rsidRPr="00262F3A" w14:paraId="67C9FEB0" w14:textId="77777777" w:rsidTr="000E1639">
        <w:tc>
          <w:tcPr>
            <w:tcW w:w="1418" w:type="dxa"/>
          </w:tcPr>
          <w:p w14:paraId="7D578E67" w14:textId="77777777" w:rsidR="000E1639" w:rsidRPr="00262F3A" w:rsidRDefault="000E1639" w:rsidP="000E1639">
            <w:pPr>
              <w:pStyle w:val="Tableformat"/>
            </w:pPr>
            <w:r w:rsidRPr="00262F3A">
              <w:t>5.4D</w:t>
            </w:r>
          </w:p>
        </w:tc>
        <w:tc>
          <w:tcPr>
            <w:tcW w:w="6662" w:type="dxa"/>
          </w:tcPr>
          <w:p w14:paraId="22FF0626" w14:textId="77777777" w:rsidR="000E1639" w:rsidRPr="00262F3A" w:rsidRDefault="000E1639" w:rsidP="000E1639">
            <w:pPr>
              <w:pStyle w:val="Tableformat"/>
            </w:pPr>
            <w:r w:rsidRPr="00262F3A">
              <w:t>All non-ongoing employees previous reporting period (2018–19)</w:t>
            </w:r>
          </w:p>
        </w:tc>
        <w:tc>
          <w:tcPr>
            <w:tcW w:w="936" w:type="dxa"/>
          </w:tcPr>
          <w:p w14:paraId="2C9B95AE" w14:textId="1591E0D9" w:rsidR="000E1639" w:rsidRPr="00262F3A" w:rsidRDefault="001437BE" w:rsidP="000E1639">
            <w:pPr>
              <w:pStyle w:val="Tableformat"/>
            </w:pPr>
            <w:r>
              <w:t>115</w:t>
            </w:r>
          </w:p>
        </w:tc>
      </w:tr>
      <w:tr w:rsidR="000E1639" w:rsidRPr="00262F3A" w14:paraId="59448BBE" w14:textId="77777777" w:rsidTr="000E1639">
        <w:tc>
          <w:tcPr>
            <w:tcW w:w="1418" w:type="dxa"/>
          </w:tcPr>
          <w:p w14:paraId="4B3C94E8" w14:textId="77777777" w:rsidR="000E1639" w:rsidRPr="00262F3A" w:rsidRDefault="000E1639" w:rsidP="000E1639">
            <w:pPr>
              <w:pStyle w:val="Tableformat"/>
            </w:pPr>
            <w:r w:rsidRPr="00262F3A">
              <w:t>5.6.1A</w:t>
            </w:r>
          </w:p>
        </w:tc>
        <w:tc>
          <w:tcPr>
            <w:tcW w:w="6662" w:type="dxa"/>
          </w:tcPr>
          <w:p w14:paraId="6E29627E" w14:textId="6E8EA6CD" w:rsidR="000E1639" w:rsidRPr="00262F3A" w:rsidRDefault="000E1639" w:rsidP="00276349">
            <w:pPr>
              <w:pStyle w:val="Tableformat"/>
            </w:pPr>
            <w:r w:rsidRPr="00262F3A">
              <w:t xml:space="preserve">Key </w:t>
            </w:r>
            <w:r w:rsidR="00276349">
              <w:t>m</w:t>
            </w:r>
            <w:r w:rsidRPr="00262F3A">
              <w:t xml:space="preserve">anagement </w:t>
            </w:r>
            <w:r w:rsidR="00276349">
              <w:t>p</w:t>
            </w:r>
            <w:r w:rsidRPr="00262F3A">
              <w:t>ersonnel</w:t>
            </w:r>
          </w:p>
        </w:tc>
        <w:tc>
          <w:tcPr>
            <w:tcW w:w="936" w:type="dxa"/>
          </w:tcPr>
          <w:p w14:paraId="44B47049" w14:textId="186BB36F" w:rsidR="000E1639" w:rsidRPr="00262F3A" w:rsidRDefault="001437BE" w:rsidP="000E1639">
            <w:pPr>
              <w:pStyle w:val="Tableformat"/>
            </w:pPr>
            <w:r>
              <w:t>117</w:t>
            </w:r>
          </w:p>
        </w:tc>
      </w:tr>
      <w:tr w:rsidR="000E1639" w:rsidRPr="00262F3A" w14:paraId="29BA656B" w14:textId="77777777" w:rsidTr="000E1639">
        <w:tc>
          <w:tcPr>
            <w:tcW w:w="1418" w:type="dxa"/>
          </w:tcPr>
          <w:p w14:paraId="35B1CF17" w14:textId="77777777" w:rsidR="000E1639" w:rsidRPr="00262F3A" w:rsidRDefault="000E1639" w:rsidP="000E1639">
            <w:pPr>
              <w:pStyle w:val="Tableformat"/>
            </w:pPr>
            <w:r w:rsidRPr="00262F3A">
              <w:t>5.6.2A</w:t>
            </w:r>
          </w:p>
        </w:tc>
        <w:tc>
          <w:tcPr>
            <w:tcW w:w="6662" w:type="dxa"/>
          </w:tcPr>
          <w:p w14:paraId="016281BF" w14:textId="2FD8A3F0" w:rsidR="000E1639" w:rsidRPr="00262F3A" w:rsidRDefault="00276349" w:rsidP="00276349">
            <w:pPr>
              <w:pStyle w:val="Tableformat"/>
            </w:pPr>
            <w:r>
              <w:t>Key management p</w:t>
            </w:r>
            <w:r w:rsidR="000E1639" w:rsidRPr="00262F3A">
              <w:t>ersonnel remuneration</w:t>
            </w:r>
          </w:p>
        </w:tc>
        <w:tc>
          <w:tcPr>
            <w:tcW w:w="936" w:type="dxa"/>
          </w:tcPr>
          <w:p w14:paraId="3B182E70" w14:textId="76CF718D" w:rsidR="000E1639" w:rsidRPr="00262F3A" w:rsidRDefault="001437BE" w:rsidP="000E1639">
            <w:pPr>
              <w:pStyle w:val="Tableformat"/>
            </w:pPr>
            <w:r>
              <w:t>119</w:t>
            </w:r>
          </w:p>
        </w:tc>
      </w:tr>
      <w:tr w:rsidR="000E1639" w:rsidRPr="00262F3A" w14:paraId="14274839" w14:textId="77777777" w:rsidTr="000E1639">
        <w:tc>
          <w:tcPr>
            <w:tcW w:w="1418" w:type="dxa"/>
          </w:tcPr>
          <w:p w14:paraId="6ED179EF" w14:textId="77777777" w:rsidR="000E1639" w:rsidRPr="00262F3A" w:rsidRDefault="000E1639" w:rsidP="000E1639">
            <w:pPr>
              <w:pStyle w:val="Tableformat"/>
            </w:pPr>
            <w:r w:rsidRPr="00262F3A">
              <w:t>5.6.3A</w:t>
            </w:r>
          </w:p>
        </w:tc>
        <w:tc>
          <w:tcPr>
            <w:tcW w:w="6662" w:type="dxa"/>
          </w:tcPr>
          <w:p w14:paraId="753FAB46" w14:textId="77777777" w:rsidR="000E1639" w:rsidRPr="00262F3A" w:rsidRDefault="000E1639" w:rsidP="000E1639">
            <w:pPr>
              <w:pStyle w:val="Tableformat"/>
            </w:pPr>
            <w:r w:rsidRPr="00262F3A">
              <w:t>Average remuneration for senior executives who are not key management personnel</w:t>
            </w:r>
          </w:p>
        </w:tc>
        <w:tc>
          <w:tcPr>
            <w:tcW w:w="936" w:type="dxa"/>
          </w:tcPr>
          <w:p w14:paraId="269A9A89" w14:textId="0F443253" w:rsidR="000E1639" w:rsidRPr="00262F3A" w:rsidRDefault="001437BE" w:rsidP="000E1639">
            <w:pPr>
              <w:pStyle w:val="Tableformat"/>
            </w:pPr>
            <w:r>
              <w:t>123</w:t>
            </w:r>
          </w:p>
        </w:tc>
      </w:tr>
      <w:tr w:rsidR="000E1639" w:rsidRPr="00262F3A" w14:paraId="591374F8" w14:textId="77777777" w:rsidTr="000E1639">
        <w:tc>
          <w:tcPr>
            <w:tcW w:w="1418" w:type="dxa"/>
          </w:tcPr>
          <w:p w14:paraId="420A6D00" w14:textId="77777777" w:rsidR="000E1639" w:rsidRPr="00262F3A" w:rsidRDefault="000E1639" w:rsidP="000E1639">
            <w:pPr>
              <w:pStyle w:val="Tableformat"/>
            </w:pPr>
            <w:r w:rsidRPr="00262F3A">
              <w:t>5.6.4A</w:t>
            </w:r>
          </w:p>
        </w:tc>
        <w:tc>
          <w:tcPr>
            <w:tcW w:w="6662" w:type="dxa"/>
          </w:tcPr>
          <w:p w14:paraId="25047EFB" w14:textId="77777777" w:rsidR="000E1639" w:rsidRPr="00262F3A" w:rsidRDefault="000E1639" w:rsidP="000E1639">
            <w:pPr>
              <w:pStyle w:val="Tableformat"/>
            </w:pPr>
            <w:r w:rsidRPr="00262F3A">
              <w:t>Average remuneration for other highly paid staff</w:t>
            </w:r>
          </w:p>
        </w:tc>
        <w:tc>
          <w:tcPr>
            <w:tcW w:w="936" w:type="dxa"/>
          </w:tcPr>
          <w:p w14:paraId="38881ED4" w14:textId="464B569F" w:rsidR="000E1639" w:rsidRPr="00262F3A" w:rsidRDefault="001437BE" w:rsidP="000E1639">
            <w:pPr>
              <w:pStyle w:val="Tableformat"/>
            </w:pPr>
            <w:r>
              <w:t>124</w:t>
            </w:r>
          </w:p>
        </w:tc>
      </w:tr>
      <w:tr w:rsidR="000E1639" w:rsidRPr="00262F3A" w14:paraId="47658843" w14:textId="77777777" w:rsidTr="000E1639">
        <w:tc>
          <w:tcPr>
            <w:tcW w:w="1418" w:type="dxa"/>
          </w:tcPr>
          <w:p w14:paraId="5A7B32A5" w14:textId="77777777" w:rsidR="000E1639" w:rsidRPr="00262F3A" w:rsidRDefault="000E1639" w:rsidP="000E1639">
            <w:pPr>
              <w:pStyle w:val="Tableformat"/>
            </w:pPr>
            <w:r w:rsidRPr="00262F3A">
              <w:t>5.7A</w:t>
            </w:r>
          </w:p>
        </w:tc>
        <w:tc>
          <w:tcPr>
            <w:tcW w:w="6662" w:type="dxa"/>
          </w:tcPr>
          <w:p w14:paraId="4352DB01" w14:textId="77777777" w:rsidR="000E1639" w:rsidRPr="00262F3A" w:rsidRDefault="000E1639" w:rsidP="000E1639">
            <w:pPr>
              <w:pStyle w:val="Tableformat"/>
            </w:pPr>
            <w:r w:rsidRPr="00262F3A">
              <w:rPr>
                <w:rFonts w:eastAsiaTheme="minorHAnsi"/>
                <w:lang w:eastAsia="en-US"/>
              </w:rPr>
              <w:t>Joint Standing Committee on the NDIS inquiry reports tabled</w:t>
            </w:r>
            <w:r w:rsidRPr="00262F3A">
              <w:t xml:space="preserve"> in 2019–20</w:t>
            </w:r>
          </w:p>
        </w:tc>
        <w:tc>
          <w:tcPr>
            <w:tcW w:w="936" w:type="dxa"/>
          </w:tcPr>
          <w:p w14:paraId="5CA880E4" w14:textId="5346DBA4" w:rsidR="000E1639" w:rsidRPr="00262F3A" w:rsidRDefault="009568ED" w:rsidP="000E1639">
            <w:pPr>
              <w:pStyle w:val="Tableformat"/>
            </w:pPr>
            <w:r>
              <w:t>125</w:t>
            </w:r>
          </w:p>
        </w:tc>
      </w:tr>
      <w:tr w:rsidR="000E1639" w:rsidRPr="00262F3A" w14:paraId="739ECD03" w14:textId="77777777" w:rsidTr="000E1639">
        <w:tc>
          <w:tcPr>
            <w:tcW w:w="1418" w:type="dxa"/>
          </w:tcPr>
          <w:p w14:paraId="1D295F96" w14:textId="77777777" w:rsidR="000E1639" w:rsidRPr="00262F3A" w:rsidRDefault="000E1639" w:rsidP="000E1639">
            <w:pPr>
              <w:pStyle w:val="Tableformat"/>
            </w:pPr>
            <w:r w:rsidRPr="00262F3A">
              <w:t>5.9A</w:t>
            </w:r>
          </w:p>
        </w:tc>
        <w:tc>
          <w:tcPr>
            <w:tcW w:w="6662" w:type="dxa"/>
          </w:tcPr>
          <w:p w14:paraId="5744D0E3" w14:textId="53C25553" w:rsidR="000E1639" w:rsidRPr="00262F3A" w:rsidRDefault="000E1639" w:rsidP="00FF144A">
            <w:pPr>
              <w:pStyle w:val="Tableformat"/>
            </w:pPr>
            <w:r w:rsidRPr="00262F3A">
              <w:t xml:space="preserve">Decisions of the Federal Court of Australia: </w:t>
            </w:r>
            <w:r w:rsidR="00FF144A">
              <w:t>AAT</w:t>
            </w:r>
            <w:r w:rsidR="00FF144A" w:rsidRPr="00262F3A">
              <w:t xml:space="preserve"> </w:t>
            </w:r>
            <w:r w:rsidRPr="00262F3A">
              <w:t>appeals in 2019–20</w:t>
            </w:r>
          </w:p>
        </w:tc>
        <w:tc>
          <w:tcPr>
            <w:tcW w:w="936" w:type="dxa"/>
          </w:tcPr>
          <w:p w14:paraId="060E74AD" w14:textId="60650029" w:rsidR="000E1639" w:rsidRPr="00262F3A" w:rsidRDefault="009568ED" w:rsidP="000E1639">
            <w:pPr>
              <w:pStyle w:val="Tableformat"/>
            </w:pPr>
            <w:r>
              <w:t>128</w:t>
            </w:r>
          </w:p>
        </w:tc>
      </w:tr>
      <w:tr w:rsidR="000E1639" w:rsidRPr="00262F3A" w14:paraId="3F3E660B" w14:textId="77777777" w:rsidTr="000E1639">
        <w:tc>
          <w:tcPr>
            <w:tcW w:w="1418" w:type="dxa"/>
          </w:tcPr>
          <w:p w14:paraId="2E2BE6D3" w14:textId="77777777" w:rsidR="000E1639" w:rsidRPr="00262F3A" w:rsidRDefault="000E1639" w:rsidP="000E1639">
            <w:pPr>
              <w:pStyle w:val="Tableformat"/>
            </w:pPr>
            <w:r w:rsidRPr="00262F3A">
              <w:t>5.9B</w:t>
            </w:r>
          </w:p>
        </w:tc>
        <w:tc>
          <w:tcPr>
            <w:tcW w:w="6662" w:type="dxa"/>
          </w:tcPr>
          <w:p w14:paraId="6542F482" w14:textId="61504032" w:rsidR="000E1639" w:rsidRPr="00262F3A" w:rsidRDefault="000E1639" w:rsidP="00FF144A">
            <w:pPr>
              <w:pStyle w:val="Tableformat"/>
              <w:rPr>
                <w:highlight w:val="yellow"/>
              </w:rPr>
            </w:pPr>
            <w:r w:rsidRPr="00262F3A">
              <w:t xml:space="preserve">Decisions in the </w:t>
            </w:r>
            <w:r w:rsidR="00FF144A">
              <w:t>AAT</w:t>
            </w:r>
            <w:r w:rsidRPr="00262F3A">
              <w:t>, NDIS Division, in 2019–20</w:t>
            </w:r>
          </w:p>
        </w:tc>
        <w:tc>
          <w:tcPr>
            <w:tcW w:w="936" w:type="dxa"/>
          </w:tcPr>
          <w:p w14:paraId="54AB007C" w14:textId="1DC42014" w:rsidR="000E1639" w:rsidRPr="00262F3A" w:rsidRDefault="009568ED" w:rsidP="000E1639">
            <w:pPr>
              <w:pStyle w:val="Tableformat"/>
            </w:pPr>
            <w:r>
              <w:t>128</w:t>
            </w:r>
          </w:p>
        </w:tc>
      </w:tr>
      <w:tr w:rsidR="000E1639" w:rsidRPr="00262F3A" w14:paraId="68A6E5A1" w14:textId="77777777" w:rsidTr="000E1639">
        <w:tc>
          <w:tcPr>
            <w:tcW w:w="1418" w:type="dxa"/>
          </w:tcPr>
          <w:p w14:paraId="57DD9B65" w14:textId="77777777" w:rsidR="000E1639" w:rsidRPr="00262F3A" w:rsidRDefault="000E1639" w:rsidP="000E1639">
            <w:pPr>
              <w:pStyle w:val="Tableformat"/>
            </w:pPr>
            <w:r w:rsidRPr="00262F3A">
              <w:t>5.11A</w:t>
            </w:r>
          </w:p>
        </w:tc>
        <w:tc>
          <w:tcPr>
            <w:tcW w:w="6662" w:type="dxa"/>
          </w:tcPr>
          <w:p w14:paraId="6B9F6501" w14:textId="77777777" w:rsidR="000E1639" w:rsidRPr="00262F3A" w:rsidRDefault="000E1639" w:rsidP="000E1639">
            <w:pPr>
              <w:pStyle w:val="Tableformat"/>
            </w:pPr>
            <w:r w:rsidRPr="00262F3A">
              <w:t>Payments to media advertising organisations in 2019–20</w:t>
            </w:r>
          </w:p>
        </w:tc>
        <w:tc>
          <w:tcPr>
            <w:tcW w:w="936" w:type="dxa"/>
          </w:tcPr>
          <w:p w14:paraId="5CF2C61B" w14:textId="080F6A6C" w:rsidR="000E1639" w:rsidRPr="00262F3A" w:rsidRDefault="009568ED" w:rsidP="000E1639">
            <w:pPr>
              <w:pStyle w:val="Tableformat"/>
            </w:pPr>
            <w:r>
              <w:t>130</w:t>
            </w:r>
          </w:p>
        </w:tc>
      </w:tr>
      <w:tr w:rsidR="000E1639" w:rsidRPr="00262F3A" w14:paraId="3E38CBC8" w14:textId="77777777" w:rsidTr="000E1639">
        <w:tc>
          <w:tcPr>
            <w:tcW w:w="1418" w:type="dxa"/>
          </w:tcPr>
          <w:p w14:paraId="65C439F0" w14:textId="77777777" w:rsidR="000E1639" w:rsidRPr="00262F3A" w:rsidRDefault="000E1639" w:rsidP="000E1639">
            <w:pPr>
              <w:pStyle w:val="Tableformat"/>
            </w:pPr>
            <w:r w:rsidRPr="00262F3A">
              <w:t>5.11B</w:t>
            </w:r>
          </w:p>
        </w:tc>
        <w:tc>
          <w:tcPr>
            <w:tcW w:w="6662" w:type="dxa"/>
          </w:tcPr>
          <w:p w14:paraId="33EF8DF8" w14:textId="77777777" w:rsidR="000E1639" w:rsidRPr="00262F3A" w:rsidRDefault="000E1639" w:rsidP="000E1639">
            <w:pPr>
              <w:pStyle w:val="Tableformat"/>
            </w:pPr>
            <w:r w:rsidRPr="00262F3A">
              <w:t>Payments to market research organisations in 2019–20</w:t>
            </w:r>
          </w:p>
        </w:tc>
        <w:tc>
          <w:tcPr>
            <w:tcW w:w="936" w:type="dxa"/>
          </w:tcPr>
          <w:p w14:paraId="08263E83" w14:textId="52726BD4" w:rsidR="000E1639" w:rsidRPr="00262F3A" w:rsidRDefault="009568ED" w:rsidP="000E1639">
            <w:pPr>
              <w:pStyle w:val="Tableformat"/>
            </w:pPr>
            <w:r>
              <w:t>130</w:t>
            </w:r>
          </w:p>
        </w:tc>
      </w:tr>
      <w:tr w:rsidR="000E1639" w:rsidRPr="00262F3A" w14:paraId="07575F4E" w14:textId="77777777" w:rsidTr="000E1639">
        <w:tc>
          <w:tcPr>
            <w:tcW w:w="1418" w:type="dxa"/>
          </w:tcPr>
          <w:p w14:paraId="23EE873B" w14:textId="77777777" w:rsidR="000E1639" w:rsidRPr="00262F3A" w:rsidRDefault="000E1639" w:rsidP="000E1639">
            <w:pPr>
              <w:pStyle w:val="Tableformat"/>
            </w:pPr>
            <w:r w:rsidRPr="00262F3A">
              <w:t>5.11C</w:t>
            </w:r>
          </w:p>
        </w:tc>
        <w:tc>
          <w:tcPr>
            <w:tcW w:w="6662" w:type="dxa"/>
          </w:tcPr>
          <w:p w14:paraId="10C6B888" w14:textId="77777777" w:rsidR="000E1639" w:rsidRPr="00262F3A" w:rsidRDefault="000E1639" w:rsidP="000E1639">
            <w:pPr>
              <w:pStyle w:val="Tableformat"/>
            </w:pPr>
            <w:r w:rsidRPr="00262F3A">
              <w:t>Payments to polling organisations in 2019–20</w:t>
            </w:r>
          </w:p>
        </w:tc>
        <w:tc>
          <w:tcPr>
            <w:tcW w:w="936" w:type="dxa"/>
          </w:tcPr>
          <w:p w14:paraId="32A1E192" w14:textId="0A9F7F82" w:rsidR="000E1639" w:rsidRPr="00262F3A" w:rsidRDefault="009568ED" w:rsidP="000E1639">
            <w:pPr>
              <w:pStyle w:val="Tableformat"/>
            </w:pPr>
            <w:r>
              <w:t>131</w:t>
            </w:r>
          </w:p>
        </w:tc>
      </w:tr>
      <w:tr w:rsidR="000E1639" w:rsidRPr="00262F3A" w14:paraId="5684C35C" w14:textId="77777777" w:rsidTr="000E1639">
        <w:tc>
          <w:tcPr>
            <w:tcW w:w="1418" w:type="dxa"/>
          </w:tcPr>
          <w:p w14:paraId="3DEFEED4" w14:textId="77777777" w:rsidR="000E1639" w:rsidRPr="00262F3A" w:rsidRDefault="000E1639" w:rsidP="000E1639">
            <w:pPr>
              <w:pStyle w:val="Tableformat"/>
            </w:pPr>
            <w:r w:rsidRPr="00262F3A">
              <w:lastRenderedPageBreak/>
              <w:t>5.11D</w:t>
            </w:r>
          </w:p>
        </w:tc>
        <w:tc>
          <w:tcPr>
            <w:tcW w:w="6662" w:type="dxa"/>
          </w:tcPr>
          <w:p w14:paraId="38AA1D66" w14:textId="77777777" w:rsidR="000E1639" w:rsidRPr="00262F3A" w:rsidRDefault="000E1639" w:rsidP="000E1639">
            <w:pPr>
              <w:pStyle w:val="Tableformat"/>
            </w:pPr>
            <w:r w:rsidRPr="00262F3A">
              <w:t>Payments to direct mail organisations in 2019–20</w:t>
            </w:r>
          </w:p>
        </w:tc>
        <w:tc>
          <w:tcPr>
            <w:tcW w:w="936" w:type="dxa"/>
          </w:tcPr>
          <w:p w14:paraId="7136987C" w14:textId="23EB4963" w:rsidR="000E1639" w:rsidRPr="00262F3A" w:rsidRDefault="009568ED" w:rsidP="000E1639">
            <w:pPr>
              <w:pStyle w:val="Tableformat"/>
            </w:pPr>
            <w:r>
              <w:t>131</w:t>
            </w:r>
          </w:p>
        </w:tc>
      </w:tr>
      <w:tr w:rsidR="000E1639" w:rsidRPr="00262F3A" w14:paraId="11B1E372" w14:textId="77777777" w:rsidTr="000E1639">
        <w:tc>
          <w:tcPr>
            <w:tcW w:w="1418" w:type="dxa"/>
          </w:tcPr>
          <w:p w14:paraId="3E477311" w14:textId="77777777" w:rsidR="000E1639" w:rsidRPr="00262F3A" w:rsidRDefault="000E1639" w:rsidP="000E1639">
            <w:pPr>
              <w:pStyle w:val="Tableformat"/>
            </w:pPr>
            <w:r w:rsidRPr="00262F3A">
              <w:t>5.11E</w:t>
            </w:r>
          </w:p>
        </w:tc>
        <w:tc>
          <w:tcPr>
            <w:tcW w:w="6662" w:type="dxa"/>
          </w:tcPr>
          <w:p w14:paraId="56163A6D" w14:textId="77777777" w:rsidR="000E1639" w:rsidRPr="00262F3A" w:rsidRDefault="000E1639" w:rsidP="000E1639">
            <w:pPr>
              <w:pStyle w:val="Tableformat"/>
            </w:pPr>
            <w:r w:rsidRPr="00262F3A">
              <w:t>Payments to direct media advertising organisations in 2019–20</w:t>
            </w:r>
          </w:p>
        </w:tc>
        <w:tc>
          <w:tcPr>
            <w:tcW w:w="936" w:type="dxa"/>
          </w:tcPr>
          <w:p w14:paraId="2DCC4CFA" w14:textId="146B266C" w:rsidR="000E1639" w:rsidRPr="00262F3A" w:rsidRDefault="009568ED" w:rsidP="000E1639">
            <w:pPr>
              <w:pStyle w:val="Tableformat"/>
            </w:pPr>
            <w:r>
              <w:t>131</w:t>
            </w:r>
          </w:p>
        </w:tc>
      </w:tr>
      <w:tr w:rsidR="000E1639" w:rsidRPr="00262F3A" w14:paraId="3B2CC91A" w14:textId="77777777" w:rsidTr="000E1639">
        <w:tc>
          <w:tcPr>
            <w:tcW w:w="1418" w:type="dxa"/>
          </w:tcPr>
          <w:p w14:paraId="706F50F9" w14:textId="77777777" w:rsidR="000E1639" w:rsidRPr="00262F3A" w:rsidRDefault="000E1639" w:rsidP="000E1639">
            <w:pPr>
              <w:pStyle w:val="Tableformat"/>
            </w:pPr>
            <w:r w:rsidRPr="00262F3A">
              <w:t>5.12A</w:t>
            </w:r>
          </w:p>
        </w:tc>
        <w:tc>
          <w:tcPr>
            <w:tcW w:w="6662" w:type="dxa"/>
          </w:tcPr>
          <w:p w14:paraId="79824203" w14:textId="3AE37F52" w:rsidR="000E1639" w:rsidRPr="00262F3A" w:rsidRDefault="000E1639" w:rsidP="00276349">
            <w:pPr>
              <w:pStyle w:val="Tableformat"/>
            </w:pPr>
            <w:r w:rsidRPr="00262F3A">
              <w:t xml:space="preserve">Breakdown of the 2019–20 Agency </w:t>
            </w:r>
            <w:r w:rsidR="00276349">
              <w:t>f</w:t>
            </w:r>
            <w:r w:rsidRPr="00262F3A">
              <w:t xml:space="preserve">leet </w:t>
            </w:r>
            <w:r w:rsidR="00276349">
              <w:t>p</w:t>
            </w:r>
            <w:r w:rsidRPr="00262F3A">
              <w:t>ortfolio</w:t>
            </w:r>
          </w:p>
        </w:tc>
        <w:tc>
          <w:tcPr>
            <w:tcW w:w="936" w:type="dxa"/>
          </w:tcPr>
          <w:p w14:paraId="152B5A1D" w14:textId="6DADAD56" w:rsidR="000E1639" w:rsidRPr="00262F3A" w:rsidRDefault="009568ED" w:rsidP="000E1639">
            <w:pPr>
              <w:pStyle w:val="Tableformat"/>
            </w:pPr>
            <w:r>
              <w:t>132</w:t>
            </w:r>
          </w:p>
        </w:tc>
      </w:tr>
    </w:tbl>
    <w:p w14:paraId="402BB79F" w14:textId="77777777" w:rsidR="000E1639" w:rsidRPr="00262F3A" w:rsidRDefault="000E1639" w:rsidP="000E1639">
      <w:pPr>
        <w:pStyle w:val="Heading2"/>
      </w:pPr>
      <w:bookmarkStart w:id="197" w:name="_Toc51068023"/>
      <w:r w:rsidRPr="00262F3A">
        <w:t>Figures index</w:t>
      </w:r>
      <w:bookmarkEnd w:id="1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gures (index)"/>
        <w:tblDescription w:val="This is an index of figures that are included in the annual report with the relevant page number."/>
      </w:tblPr>
      <w:tblGrid>
        <w:gridCol w:w="1413"/>
        <w:gridCol w:w="6662"/>
        <w:gridCol w:w="941"/>
      </w:tblGrid>
      <w:tr w:rsidR="000E1639" w:rsidRPr="00262F3A" w14:paraId="4F2B26C2" w14:textId="77777777" w:rsidTr="000E1639">
        <w:trPr>
          <w:tblHeader/>
        </w:trPr>
        <w:tc>
          <w:tcPr>
            <w:tcW w:w="8075" w:type="dxa"/>
            <w:gridSpan w:val="2"/>
            <w:shd w:val="clear" w:color="auto" w:fill="7030A0"/>
          </w:tcPr>
          <w:p w14:paraId="68302C0C" w14:textId="77777777" w:rsidR="000E1639" w:rsidRPr="00262F3A" w:rsidRDefault="000E1639" w:rsidP="000E1639">
            <w:pPr>
              <w:pStyle w:val="Tableformat"/>
              <w:rPr>
                <w:color w:val="FFFFFF" w:themeColor="background1"/>
              </w:rPr>
            </w:pPr>
            <w:r w:rsidRPr="00262F3A">
              <w:rPr>
                <w:color w:val="FFFFFF" w:themeColor="background1"/>
              </w:rPr>
              <w:t>Figures</w:t>
            </w:r>
          </w:p>
        </w:tc>
        <w:tc>
          <w:tcPr>
            <w:tcW w:w="941" w:type="dxa"/>
            <w:shd w:val="clear" w:color="auto" w:fill="7030A0"/>
          </w:tcPr>
          <w:p w14:paraId="1B16A7AC" w14:textId="77777777" w:rsidR="000E1639" w:rsidRPr="00262F3A" w:rsidRDefault="000E1639" w:rsidP="000E1639">
            <w:pPr>
              <w:pStyle w:val="Tableformat"/>
              <w:rPr>
                <w:color w:val="FFFFFF" w:themeColor="background1"/>
              </w:rPr>
            </w:pPr>
            <w:r w:rsidRPr="00262F3A">
              <w:rPr>
                <w:color w:val="FFFFFF" w:themeColor="background1"/>
              </w:rPr>
              <w:t>Page</w:t>
            </w:r>
          </w:p>
        </w:tc>
      </w:tr>
      <w:tr w:rsidR="000E1639" w:rsidRPr="00262F3A" w14:paraId="6740A663" w14:textId="77777777" w:rsidTr="000E1639">
        <w:tc>
          <w:tcPr>
            <w:tcW w:w="1413" w:type="dxa"/>
          </w:tcPr>
          <w:p w14:paraId="457ABFEF" w14:textId="77777777" w:rsidR="000E1639" w:rsidRPr="00262F3A" w:rsidRDefault="000E1639" w:rsidP="000E1639">
            <w:pPr>
              <w:pStyle w:val="Tableformat"/>
            </w:pPr>
            <w:r w:rsidRPr="00262F3A">
              <w:t>2.1A</w:t>
            </w:r>
          </w:p>
        </w:tc>
        <w:tc>
          <w:tcPr>
            <w:tcW w:w="6662" w:type="dxa"/>
          </w:tcPr>
          <w:p w14:paraId="11221D67" w14:textId="77777777" w:rsidR="000E1639" w:rsidRPr="00262F3A" w:rsidRDefault="000E1639" w:rsidP="000E1639">
            <w:pPr>
              <w:pStyle w:val="Tableformat"/>
            </w:pPr>
            <w:r w:rsidRPr="00262F3A">
              <w:rPr>
                <w:rFonts w:cstheme="minorHAnsi"/>
              </w:rPr>
              <w:t>The number of active participants has increased from around 30,000 after three years of Trial, to nearly 392,000 four years later</w:t>
            </w:r>
          </w:p>
        </w:tc>
        <w:tc>
          <w:tcPr>
            <w:tcW w:w="941" w:type="dxa"/>
          </w:tcPr>
          <w:p w14:paraId="64CEA945" w14:textId="3ADFAD9C" w:rsidR="000E1639" w:rsidRPr="00262F3A" w:rsidRDefault="00DB19E1">
            <w:pPr>
              <w:pStyle w:val="Tableformat"/>
            </w:pPr>
            <w:r>
              <w:t>11</w:t>
            </w:r>
          </w:p>
        </w:tc>
      </w:tr>
      <w:tr w:rsidR="000E1639" w:rsidRPr="00262F3A" w14:paraId="0B981E49" w14:textId="77777777" w:rsidTr="000E1639">
        <w:tc>
          <w:tcPr>
            <w:tcW w:w="1413" w:type="dxa"/>
          </w:tcPr>
          <w:p w14:paraId="363C1A81" w14:textId="77777777" w:rsidR="000E1639" w:rsidRPr="00262F3A" w:rsidRDefault="000E1639" w:rsidP="000E1639">
            <w:pPr>
              <w:pStyle w:val="Tableformat"/>
            </w:pPr>
            <w:r w:rsidRPr="00262F3A">
              <w:t>2.1B</w:t>
            </w:r>
          </w:p>
        </w:tc>
        <w:tc>
          <w:tcPr>
            <w:tcW w:w="6662" w:type="dxa"/>
          </w:tcPr>
          <w:p w14:paraId="3AD187FA" w14:textId="77777777" w:rsidR="000E1639" w:rsidRPr="00262F3A" w:rsidRDefault="000E1639" w:rsidP="000E1639">
            <w:pPr>
              <w:pStyle w:val="Tableformat"/>
              <w:rPr>
                <w:rFonts w:cstheme="minorHAnsi"/>
              </w:rPr>
            </w:pPr>
            <w:r w:rsidRPr="00262F3A">
              <w:rPr>
                <w:rFonts w:cstheme="minorHAnsi"/>
              </w:rPr>
              <w:t>The increase in participant numbers has led to an increase in the number of plan reviews</w:t>
            </w:r>
          </w:p>
        </w:tc>
        <w:tc>
          <w:tcPr>
            <w:tcW w:w="941" w:type="dxa"/>
          </w:tcPr>
          <w:p w14:paraId="135A55BE" w14:textId="32140CC5" w:rsidR="000E1639" w:rsidRPr="00262F3A" w:rsidRDefault="008F3317" w:rsidP="000E1639">
            <w:pPr>
              <w:pStyle w:val="Tableformat"/>
            </w:pPr>
            <w:r>
              <w:t>1</w:t>
            </w:r>
            <w:r w:rsidR="00DB19E1">
              <w:t>2</w:t>
            </w:r>
          </w:p>
        </w:tc>
      </w:tr>
      <w:tr w:rsidR="000E1639" w:rsidRPr="00262F3A" w14:paraId="01A246DB" w14:textId="77777777" w:rsidTr="000E1639">
        <w:tc>
          <w:tcPr>
            <w:tcW w:w="1413" w:type="dxa"/>
          </w:tcPr>
          <w:p w14:paraId="65CE9C33" w14:textId="77777777" w:rsidR="000E1639" w:rsidRPr="00262F3A" w:rsidRDefault="000E1639" w:rsidP="000E1639">
            <w:pPr>
              <w:pStyle w:val="Tableformat"/>
            </w:pPr>
            <w:r w:rsidRPr="00262F3A">
              <w:t>2.1C</w:t>
            </w:r>
          </w:p>
        </w:tc>
        <w:tc>
          <w:tcPr>
            <w:tcW w:w="6662" w:type="dxa"/>
          </w:tcPr>
          <w:p w14:paraId="424B4DE2" w14:textId="77777777" w:rsidR="000E1639" w:rsidRPr="00262F3A" w:rsidRDefault="000E1639" w:rsidP="000E1639">
            <w:pPr>
              <w:pStyle w:val="Tableformat"/>
              <w:rPr>
                <w:rFonts w:cstheme="minorHAnsi"/>
              </w:rPr>
            </w:pPr>
            <w:r w:rsidRPr="00262F3A">
              <w:rPr>
                <w:rFonts w:cstheme="minorHAnsi"/>
              </w:rPr>
              <w:t>Reported participant outcomes</w:t>
            </w:r>
          </w:p>
        </w:tc>
        <w:tc>
          <w:tcPr>
            <w:tcW w:w="941" w:type="dxa"/>
          </w:tcPr>
          <w:p w14:paraId="5DF7AC85" w14:textId="463AA5E7" w:rsidR="000E1639" w:rsidRPr="00262F3A" w:rsidRDefault="00DB19E1">
            <w:pPr>
              <w:pStyle w:val="Tableformat"/>
            </w:pPr>
            <w:r>
              <w:t>12</w:t>
            </w:r>
          </w:p>
        </w:tc>
      </w:tr>
      <w:tr w:rsidR="000E1639" w:rsidRPr="00262F3A" w14:paraId="089020DB" w14:textId="77777777" w:rsidTr="000E1639">
        <w:tc>
          <w:tcPr>
            <w:tcW w:w="1413" w:type="dxa"/>
          </w:tcPr>
          <w:p w14:paraId="4984FF8C" w14:textId="77777777" w:rsidR="000E1639" w:rsidRPr="00262F3A" w:rsidRDefault="000E1639" w:rsidP="000E1639">
            <w:pPr>
              <w:pStyle w:val="Tableformat"/>
            </w:pPr>
            <w:r w:rsidRPr="00262F3A">
              <w:t>2.1D</w:t>
            </w:r>
          </w:p>
        </w:tc>
        <w:tc>
          <w:tcPr>
            <w:tcW w:w="6662" w:type="dxa"/>
          </w:tcPr>
          <w:p w14:paraId="0E4C7C59" w14:textId="77777777" w:rsidR="000E1639" w:rsidRPr="00262F3A" w:rsidRDefault="000E1639" w:rsidP="000E1639">
            <w:pPr>
              <w:pStyle w:val="Tableformat"/>
              <w:rPr>
                <w:rFonts w:cstheme="minorHAnsi"/>
              </w:rPr>
            </w:pPr>
            <w:r w:rsidRPr="00262F3A">
              <w:rPr>
                <w:rFonts w:cstheme="minorHAnsi"/>
              </w:rPr>
              <w:t>Reported family and carer outcomes</w:t>
            </w:r>
          </w:p>
        </w:tc>
        <w:tc>
          <w:tcPr>
            <w:tcW w:w="941" w:type="dxa"/>
          </w:tcPr>
          <w:p w14:paraId="274B2326" w14:textId="52FB5B92" w:rsidR="000E1639" w:rsidRPr="00262F3A" w:rsidRDefault="008F3317" w:rsidP="000E1639">
            <w:pPr>
              <w:pStyle w:val="Tableformat"/>
            </w:pPr>
            <w:r>
              <w:t>1</w:t>
            </w:r>
            <w:r w:rsidR="00DB19E1">
              <w:t>4</w:t>
            </w:r>
          </w:p>
        </w:tc>
      </w:tr>
      <w:tr w:rsidR="000E1639" w:rsidRPr="00262F3A" w14:paraId="1AAFAEFE" w14:textId="77777777" w:rsidTr="000E1639">
        <w:tc>
          <w:tcPr>
            <w:tcW w:w="1413" w:type="dxa"/>
          </w:tcPr>
          <w:p w14:paraId="1C491FF1" w14:textId="77777777" w:rsidR="000E1639" w:rsidRPr="00262F3A" w:rsidRDefault="000E1639" w:rsidP="000E1639">
            <w:pPr>
              <w:pStyle w:val="Tableformat"/>
            </w:pPr>
            <w:r w:rsidRPr="00262F3A">
              <w:t>2.1E</w:t>
            </w:r>
          </w:p>
        </w:tc>
        <w:tc>
          <w:tcPr>
            <w:tcW w:w="6662" w:type="dxa"/>
          </w:tcPr>
          <w:p w14:paraId="3C5B24BC" w14:textId="77777777" w:rsidR="000E1639" w:rsidRPr="00262F3A" w:rsidRDefault="000E1639" w:rsidP="000E1639">
            <w:pPr>
              <w:pStyle w:val="Tableformat"/>
              <w:rPr>
                <w:rFonts w:cstheme="minorHAnsi"/>
              </w:rPr>
            </w:pPr>
            <w:r w:rsidRPr="00262F3A">
              <w:rPr>
                <w:rFonts w:cstheme="minorHAnsi"/>
              </w:rPr>
              <w:t>Over the last three years, the Scheme has grown by more than seven times</w:t>
            </w:r>
          </w:p>
        </w:tc>
        <w:tc>
          <w:tcPr>
            <w:tcW w:w="941" w:type="dxa"/>
          </w:tcPr>
          <w:p w14:paraId="0F9D2561" w14:textId="0FF4C2EA" w:rsidR="000E1639" w:rsidRPr="00262F3A" w:rsidRDefault="00DB19E1" w:rsidP="000E1639">
            <w:pPr>
              <w:pStyle w:val="Tableformat"/>
            </w:pPr>
            <w:r>
              <w:t>16</w:t>
            </w:r>
          </w:p>
        </w:tc>
      </w:tr>
      <w:tr w:rsidR="000E1639" w:rsidRPr="00262F3A" w14:paraId="43B40F73" w14:textId="77777777" w:rsidTr="000E1639">
        <w:tc>
          <w:tcPr>
            <w:tcW w:w="1413" w:type="dxa"/>
          </w:tcPr>
          <w:p w14:paraId="60D8F4F4" w14:textId="77777777" w:rsidR="000E1639" w:rsidRPr="00262F3A" w:rsidRDefault="000E1639" w:rsidP="000E1639">
            <w:pPr>
              <w:pStyle w:val="Tableformat"/>
            </w:pPr>
            <w:r w:rsidRPr="00262F3A">
              <w:t>2.1F</w:t>
            </w:r>
          </w:p>
        </w:tc>
        <w:tc>
          <w:tcPr>
            <w:tcW w:w="6662" w:type="dxa"/>
          </w:tcPr>
          <w:p w14:paraId="7E3A14B2" w14:textId="77777777" w:rsidR="000E1639" w:rsidRPr="00262F3A" w:rsidRDefault="000E1639" w:rsidP="000E1639">
            <w:pPr>
              <w:pStyle w:val="Tableformat"/>
              <w:rPr>
                <w:rFonts w:cstheme="minorHAnsi"/>
              </w:rPr>
            </w:pPr>
            <w:r w:rsidRPr="00262F3A">
              <w:rPr>
                <w:rFonts w:cstheme="minorHAnsi"/>
              </w:rPr>
              <w:t>The number of providers actively supporting participants has grown by almost four times since 2017</w:t>
            </w:r>
          </w:p>
        </w:tc>
        <w:tc>
          <w:tcPr>
            <w:tcW w:w="941" w:type="dxa"/>
          </w:tcPr>
          <w:p w14:paraId="1538EBA0" w14:textId="3BE63A70" w:rsidR="000E1639" w:rsidRPr="00262F3A" w:rsidRDefault="00DB19E1" w:rsidP="000E1639">
            <w:pPr>
              <w:pStyle w:val="Tableformat"/>
            </w:pPr>
            <w:r>
              <w:t>16</w:t>
            </w:r>
          </w:p>
        </w:tc>
      </w:tr>
      <w:tr w:rsidR="000E1639" w:rsidRPr="00262F3A" w14:paraId="23876652" w14:textId="77777777" w:rsidTr="000E1639">
        <w:tc>
          <w:tcPr>
            <w:tcW w:w="1413" w:type="dxa"/>
          </w:tcPr>
          <w:p w14:paraId="6DC17CB3" w14:textId="77777777" w:rsidR="000E1639" w:rsidRPr="00262F3A" w:rsidRDefault="000E1639" w:rsidP="000E1639">
            <w:pPr>
              <w:pStyle w:val="Tableformat"/>
            </w:pPr>
            <w:r w:rsidRPr="00262F3A">
              <w:t>2.1G</w:t>
            </w:r>
          </w:p>
        </w:tc>
        <w:tc>
          <w:tcPr>
            <w:tcW w:w="6662" w:type="dxa"/>
          </w:tcPr>
          <w:p w14:paraId="32D9DBA2" w14:textId="5EBB9F58" w:rsidR="000E1639" w:rsidRPr="00262F3A" w:rsidRDefault="000E1639" w:rsidP="00FF144A">
            <w:pPr>
              <w:pStyle w:val="Tableformat"/>
              <w:rPr>
                <w:rFonts w:cstheme="minorHAnsi"/>
              </w:rPr>
            </w:pPr>
            <w:r w:rsidRPr="00262F3A">
              <w:rPr>
                <w:rFonts w:cstheme="minorHAnsi"/>
              </w:rPr>
              <w:t>The NDIA staff and partner workforce has increased 2.5 times over the last three years</w:t>
            </w:r>
          </w:p>
        </w:tc>
        <w:tc>
          <w:tcPr>
            <w:tcW w:w="941" w:type="dxa"/>
          </w:tcPr>
          <w:p w14:paraId="6ACBB263" w14:textId="0A5CB3B5" w:rsidR="000E1639" w:rsidRPr="00262F3A" w:rsidRDefault="00DB19E1" w:rsidP="000E1639">
            <w:pPr>
              <w:pStyle w:val="Tableformat"/>
            </w:pPr>
            <w:r>
              <w:t>17</w:t>
            </w:r>
          </w:p>
        </w:tc>
      </w:tr>
      <w:tr w:rsidR="000E1639" w:rsidRPr="00262F3A" w14:paraId="613BA0E7" w14:textId="77777777" w:rsidTr="000E1639">
        <w:tc>
          <w:tcPr>
            <w:tcW w:w="1413" w:type="dxa"/>
          </w:tcPr>
          <w:p w14:paraId="1C6D1010" w14:textId="77777777" w:rsidR="000E1639" w:rsidRPr="00262F3A" w:rsidRDefault="000E1639" w:rsidP="000E1639">
            <w:pPr>
              <w:pStyle w:val="Tableformat"/>
            </w:pPr>
            <w:r w:rsidRPr="00262F3A">
              <w:t>2.2.1A</w:t>
            </w:r>
          </w:p>
        </w:tc>
        <w:tc>
          <w:tcPr>
            <w:tcW w:w="6662" w:type="dxa"/>
          </w:tcPr>
          <w:p w14:paraId="1F0DF91A" w14:textId="77777777" w:rsidR="000E1639" w:rsidRPr="00262F3A" w:rsidRDefault="000E1639" w:rsidP="000E1639">
            <w:pPr>
              <w:pStyle w:val="Tableformat"/>
              <w:rPr>
                <w:rFonts w:cstheme="minorHAnsi"/>
              </w:rPr>
            </w:pPr>
            <w:r w:rsidRPr="00262F3A">
              <w:rPr>
                <w:rFonts w:cstheme="minorHAnsi"/>
              </w:rPr>
              <w:t>NDIA Purpose and Aspirations (2019-2023)</w:t>
            </w:r>
          </w:p>
        </w:tc>
        <w:tc>
          <w:tcPr>
            <w:tcW w:w="941" w:type="dxa"/>
          </w:tcPr>
          <w:p w14:paraId="761A1244" w14:textId="2166D224" w:rsidR="000E1639" w:rsidRPr="00262F3A" w:rsidRDefault="00DB19E1" w:rsidP="000E1639">
            <w:pPr>
              <w:pStyle w:val="Tableformat"/>
            </w:pPr>
            <w:r>
              <w:t>18</w:t>
            </w:r>
          </w:p>
        </w:tc>
      </w:tr>
      <w:tr w:rsidR="000E1639" w:rsidRPr="00262F3A" w14:paraId="1F475111" w14:textId="77777777" w:rsidTr="000E1639">
        <w:tc>
          <w:tcPr>
            <w:tcW w:w="1413" w:type="dxa"/>
          </w:tcPr>
          <w:p w14:paraId="4798B4D4" w14:textId="77777777" w:rsidR="000E1639" w:rsidRPr="00262F3A" w:rsidRDefault="000E1639" w:rsidP="000E1639">
            <w:pPr>
              <w:pStyle w:val="Tableformat"/>
            </w:pPr>
            <w:r w:rsidRPr="00262F3A">
              <w:t>2.2.2A</w:t>
            </w:r>
          </w:p>
        </w:tc>
        <w:tc>
          <w:tcPr>
            <w:tcW w:w="6662" w:type="dxa"/>
          </w:tcPr>
          <w:p w14:paraId="485E0CF8" w14:textId="77777777" w:rsidR="000E1639" w:rsidRPr="00262F3A" w:rsidRDefault="000E1639" w:rsidP="000E1639">
            <w:pPr>
              <w:pStyle w:val="Tableformat"/>
              <w:rPr>
                <w:rFonts w:cstheme="minorHAnsi"/>
              </w:rPr>
            </w:pPr>
            <w:r w:rsidRPr="00262F3A">
              <w:rPr>
                <w:rFonts w:cstheme="minorHAnsi"/>
              </w:rPr>
              <w:t>National Disability Insurance Agency Values</w:t>
            </w:r>
          </w:p>
        </w:tc>
        <w:tc>
          <w:tcPr>
            <w:tcW w:w="941" w:type="dxa"/>
          </w:tcPr>
          <w:p w14:paraId="5B246BC5" w14:textId="00986914" w:rsidR="000E1639" w:rsidRPr="00262F3A" w:rsidRDefault="00DB19E1" w:rsidP="000E1639">
            <w:pPr>
              <w:pStyle w:val="Tableformat"/>
            </w:pPr>
            <w:r>
              <w:t>18</w:t>
            </w:r>
          </w:p>
        </w:tc>
      </w:tr>
      <w:tr w:rsidR="000E1639" w:rsidRPr="00262F3A" w14:paraId="070B947D" w14:textId="77777777" w:rsidTr="000E1639">
        <w:tc>
          <w:tcPr>
            <w:tcW w:w="1413" w:type="dxa"/>
          </w:tcPr>
          <w:p w14:paraId="0DFDAD41" w14:textId="77777777" w:rsidR="000E1639" w:rsidRPr="00262F3A" w:rsidRDefault="000E1639" w:rsidP="000E1639">
            <w:pPr>
              <w:pStyle w:val="Tableformat"/>
            </w:pPr>
            <w:r w:rsidRPr="00262F3A">
              <w:t>2.2.3A</w:t>
            </w:r>
          </w:p>
        </w:tc>
        <w:tc>
          <w:tcPr>
            <w:tcW w:w="6662" w:type="dxa"/>
          </w:tcPr>
          <w:p w14:paraId="57EC534E" w14:textId="77777777" w:rsidR="000E1639" w:rsidRPr="00262F3A" w:rsidRDefault="000E1639" w:rsidP="000E1639">
            <w:pPr>
              <w:pStyle w:val="Tableformat"/>
              <w:rPr>
                <w:rFonts w:cstheme="minorHAnsi"/>
              </w:rPr>
            </w:pPr>
            <w:r w:rsidRPr="00262F3A">
              <w:rPr>
                <w:rFonts w:cstheme="minorHAnsi"/>
                <w:color w:val="000000"/>
              </w:rPr>
              <w:t>The average number of days taken to complete an access decision (within the month)</w:t>
            </w:r>
          </w:p>
        </w:tc>
        <w:tc>
          <w:tcPr>
            <w:tcW w:w="941" w:type="dxa"/>
          </w:tcPr>
          <w:p w14:paraId="2044B61F" w14:textId="7203C801" w:rsidR="000E1639" w:rsidRPr="00262F3A" w:rsidRDefault="00DB19E1" w:rsidP="000E1639">
            <w:pPr>
              <w:pStyle w:val="Tableformat"/>
            </w:pPr>
            <w:r>
              <w:t>21</w:t>
            </w:r>
          </w:p>
        </w:tc>
      </w:tr>
      <w:tr w:rsidR="000E1639" w:rsidRPr="00262F3A" w14:paraId="3304477E" w14:textId="77777777" w:rsidTr="000E1639">
        <w:tc>
          <w:tcPr>
            <w:tcW w:w="1413" w:type="dxa"/>
          </w:tcPr>
          <w:p w14:paraId="624C2EFD" w14:textId="77777777" w:rsidR="000E1639" w:rsidRPr="00262F3A" w:rsidRDefault="000E1639" w:rsidP="000E1639">
            <w:pPr>
              <w:pStyle w:val="Tableformat"/>
            </w:pPr>
            <w:r w:rsidRPr="00262F3A">
              <w:t>2.2.3B</w:t>
            </w:r>
          </w:p>
        </w:tc>
        <w:tc>
          <w:tcPr>
            <w:tcW w:w="6662" w:type="dxa"/>
          </w:tcPr>
          <w:p w14:paraId="1FB386DD" w14:textId="77777777" w:rsidR="000E1639" w:rsidRPr="00262F3A" w:rsidRDefault="000E1639" w:rsidP="000E1639">
            <w:pPr>
              <w:pStyle w:val="Tableformat"/>
              <w:rPr>
                <w:rFonts w:cstheme="minorHAnsi"/>
              </w:rPr>
            </w:pPr>
            <w:r w:rsidRPr="00262F3A">
              <w:rPr>
                <w:rFonts w:cstheme="minorHAnsi"/>
                <w:color w:val="000000"/>
              </w:rPr>
              <w:t>The average number of days taken to complete and approve a first plan</w:t>
            </w:r>
          </w:p>
        </w:tc>
        <w:tc>
          <w:tcPr>
            <w:tcW w:w="941" w:type="dxa"/>
          </w:tcPr>
          <w:p w14:paraId="454995CA" w14:textId="161CC0DC" w:rsidR="000E1639" w:rsidRPr="00262F3A" w:rsidRDefault="00DB19E1" w:rsidP="000E1639">
            <w:pPr>
              <w:pStyle w:val="Tableformat"/>
            </w:pPr>
            <w:r>
              <w:t>21</w:t>
            </w:r>
          </w:p>
        </w:tc>
      </w:tr>
      <w:tr w:rsidR="000E1639" w:rsidRPr="00262F3A" w14:paraId="7B354706" w14:textId="77777777" w:rsidTr="000E1639">
        <w:tc>
          <w:tcPr>
            <w:tcW w:w="1413" w:type="dxa"/>
          </w:tcPr>
          <w:p w14:paraId="46376FD6" w14:textId="77777777" w:rsidR="000E1639" w:rsidRPr="00262F3A" w:rsidRDefault="000E1639" w:rsidP="000E1639">
            <w:pPr>
              <w:pStyle w:val="Tableformat"/>
            </w:pPr>
            <w:r w:rsidRPr="00262F3A">
              <w:t>2.2.3C</w:t>
            </w:r>
          </w:p>
        </w:tc>
        <w:tc>
          <w:tcPr>
            <w:tcW w:w="6662" w:type="dxa"/>
          </w:tcPr>
          <w:p w14:paraId="57CA2E05" w14:textId="77777777" w:rsidR="000E1639" w:rsidRPr="00262F3A" w:rsidRDefault="000E1639" w:rsidP="000E1639">
            <w:pPr>
              <w:pStyle w:val="Tableformat"/>
              <w:rPr>
                <w:rFonts w:cstheme="minorHAnsi"/>
              </w:rPr>
            </w:pPr>
            <w:r w:rsidRPr="00262F3A">
              <w:rPr>
                <w:rFonts w:cstheme="minorHAnsi"/>
              </w:rPr>
              <w:t>RoRDs received and closed during the March quarter and open as at 30 June 2020</w:t>
            </w:r>
          </w:p>
        </w:tc>
        <w:tc>
          <w:tcPr>
            <w:tcW w:w="941" w:type="dxa"/>
          </w:tcPr>
          <w:p w14:paraId="02546863" w14:textId="681F658D" w:rsidR="000E1639" w:rsidRPr="00262F3A" w:rsidRDefault="00DB19E1" w:rsidP="000E1639">
            <w:pPr>
              <w:pStyle w:val="Tableformat"/>
            </w:pPr>
            <w:r>
              <w:t>21</w:t>
            </w:r>
          </w:p>
        </w:tc>
      </w:tr>
      <w:tr w:rsidR="000E1639" w:rsidRPr="00262F3A" w14:paraId="4E5C4F18" w14:textId="77777777" w:rsidTr="000E1639">
        <w:tc>
          <w:tcPr>
            <w:tcW w:w="1413" w:type="dxa"/>
          </w:tcPr>
          <w:p w14:paraId="45F29FB4" w14:textId="62CFC454" w:rsidR="000E1639" w:rsidRPr="00262F3A" w:rsidRDefault="000E1639" w:rsidP="000E1639">
            <w:pPr>
              <w:pStyle w:val="Tableformat"/>
            </w:pPr>
            <w:r w:rsidRPr="00262F3A">
              <w:t>2.2.3D</w:t>
            </w:r>
          </w:p>
        </w:tc>
        <w:tc>
          <w:tcPr>
            <w:tcW w:w="6662" w:type="dxa"/>
          </w:tcPr>
          <w:p w14:paraId="07E583CD" w14:textId="77777777" w:rsidR="000E1639" w:rsidRPr="00262F3A" w:rsidRDefault="000E1639" w:rsidP="000E1639">
            <w:pPr>
              <w:pStyle w:val="Tableformat"/>
              <w:rPr>
                <w:rFonts w:cstheme="minorHAnsi"/>
              </w:rPr>
            </w:pPr>
            <w:r w:rsidRPr="00262F3A">
              <w:rPr>
                <w:rFonts w:cstheme="minorHAnsi"/>
              </w:rPr>
              <w:t>Trend of satisfaction across the pathway (% very good/good)</w:t>
            </w:r>
          </w:p>
        </w:tc>
        <w:tc>
          <w:tcPr>
            <w:tcW w:w="941" w:type="dxa"/>
          </w:tcPr>
          <w:p w14:paraId="0AFE06EC" w14:textId="1787C3D1" w:rsidR="000E1639" w:rsidRPr="00262F3A" w:rsidRDefault="00DB19E1" w:rsidP="000E1639">
            <w:pPr>
              <w:pStyle w:val="Tableformat"/>
            </w:pPr>
            <w:r>
              <w:t>22</w:t>
            </w:r>
          </w:p>
        </w:tc>
      </w:tr>
      <w:tr w:rsidR="000E1639" w:rsidRPr="00262F3A" w14:paraId="4604FE03" w14:textId="77777777" w:rsidTr="000E1639">
        <w:tc>
          <w:tcPr>
            <w:tcW w:w="1413" w:type="dxa"/>
          </w:tcPr>
          <w:p w14:paraId="465330DF" w14:textId="001BE05A" w:rsidR="000E1639" w:rsidRPr="00262F3A" w:rsidRDefault="000E1639" w:rsidP="000E1639">
            <w:pPr>
              <w:pStyle w:val="Tableformat"/>
            </w:pPr>
            <w:r w:rsidRPr="00262F3A">
              <w:t>2.2.3E</w:t>
            </w:r>
          </w:p>
        </w:tc>
        <w:tc>
          <w:tcPr>
            <w:tcW w:w="6662" w:type="dxa"/>
          </w:tcPr>
          <w:p w14:paraId="0086BD19" w14:textId="77777777" w:rsidR="000E1639" w:rsidRPr="00262F3A" w:rsidRDefault="000E1639" w:rsidP="000E1639">
            <w:pPr>
              <w:pStyle w:val="Tableformat"/>
              <w:rPr>
                <w:rFonts w:cstheme="minorHAnsi"/>
              </w:rPr>
            </w:pPr>
            <w:r w:rsidRPr="00262F3A">
              <w:t>Participant complaints received as a proportion of access requests</w:t>
            </w:r>
          </w:p>
        </w:tc>
        <w:tc>
          <w:tcPr>
            <w:tcW w:w="941" w:type="dxa"/>
          </w:tcPr>
          <w:p w14:paraId="4C1112A4" w14:textId="4E6FEA7D" w:rsidR="000E1639" w:rsidRPr="00262F3A" w:rsidRDefault="00DB19E1" w:rsidP="000E1639">
            <w:pPr>
              <w:pStyle w:val="Tableformat"/>
            </w:pPr>
            <w:r>
              <w:t>22</w:t>
            </w:r>
          </w:p>
        </w:tc>
      </w:tr>
      <w:tr w:rsidR="000E1639" w:rsidRPr="00262F3A" w14:paraId="34B4518D" w14:textId="77777777" w:rsidTr="000E1639">
        <w:tc>
          <w:tcPr>
            <w:tcW w:w="1413" w:type="dxa"/>
          </w:tcPr>
          <w:p w14:paraId="489195A0" w14:textId="77777777" w:rsidR="000E1639" w:rsidRPr="00262F3A" w:rsidRDefault="000E1639" w:rsidP="000E1639">
            <w:pPr>
              <w:pStyle w:val="Tableformat"/>
            </w:pPr>
            <w:r w:rsidRPr="00262F3A">
              <w:t>2.2.3F</w:t>
            </w:r>
          </w:p>
        </w:tc>
        <w:tc>
          <w:tcPr>
            <w:tcW w:w="6662" w:type="dxa"/>
          </w:tcPr>
          <w:p w14:paraId="1426017B" w14:textId="77777777" w:rsidR="000E1639" w:rsidRPr="00262F3A" w:rsidRDefault="000E1639" w:rsidP="000E1639">
            <w:pPr>
              <w:pStyle w:val="Tableformat"/>
            </w:pPr>
            <w:r w:rsidRPr="00262F3A">
              <w:rPr>
                <w:rFonts w:cstheme="minorHAnsi"/>
              </w:rPr>
              <w:t>Number of enrolled dwellings (excluding in-kind)</w:t>
            </w:r>
          </w:p>
        </w:tc>
        <w:tc>
          <w:tcPr>
            <w:tcW w:w="941" w:type="dxa"/>
          </w:tcPr>
          <w:p w14:paraId="111383CF" w14:textId="368394C7" w:rsidR="000E1639" w:rsidRPr="00262F3A" w:rsidRDefault="00DB19E1" w:rsidP="000E1639">
            <w:pPr>
              <w:pStyle w:val="Tableformat"/>
            </w:pPr>
            <w:r>
              <w:t>27</w:t>
            </w:r>
          </w:p>
        </w:tc>
      </w:tr>
      <w:tr w:rsidR="000E1639" w:rsidRPr="00262F3A" w14:paraId="5D6CFE3C" w14:textId="77777777" w:rsidTr="000E1639">
        <w:tc>
          <w:tcPr>
            <w:tcW w:w="1413" w:type="dxa"/>
          </w:tcPr>
          <w:p w14:paraId="04A94E4A" w14:textId="77777777" w:rsidR="000E1639" w:rsidRPr="00262F3A" w:rsidRDefault="000E1639" w:rsidP="000E1639">
            <w:pPr>
              <w:pStyle w:val="Tableformat"/>
            </w:pPr>
            <w:r w:rsidRPr="00262F3A">
              <w:t>2.2.3G</w:t>
            </w:r>
          </w:p>
        </w:tc>
        <w:tc>
          <w:tcPr>
            <w:tcW w:w="6662" w:type="dxa"/>
          </w:tcPr>
          <w:p w14:paraId="6E2D2BF8" w14:textId="77777777" w:rsidR="000E1639" w:rsidRPr="00262F3A" w:rsidRDefault="000E1639" w:rsidP="000E1639">
            <w:pPr>
              <w:pStyle w:val="Tableformat"/>
            </w:pPr>
            <w:r w:rsidRPr="00262F3A">
              <w:rPr>
                <w:rFonts w:cstheme="minorHAnsi"/>
                <w:bCs/>
                <w:iCs/>
              </w:rPr>
              <w:t>Utilisation of committed supports by SIL status from 1 October 2019 to 30 June 2020</w:t>
            </w:r>
          </w:p>
        </w:tc>
        <w:tc>
          <w:tcPr>
            <w:tcW w:w="941" w:type="dxa"/>
          </w:tcPr>
          <w:p w14:paraId="55FCC70C" w14:textId="70EF6830" w:rsidR="000E1639" w:rsidRPr="00262F3A" w:rsidRDefault="00DB19E1" w:rsidP="000E1639">
            <w:pPr>
              <w:pStyle w:val="Tableformat"/>
            </w:pPr>
            <w:r>
              <w:t>28</w:t>
            </w:r>
          </w:p>
        </w:tc>
      </w:tr>
      <w:tr w:rsidR="000E1639" w:rsidRPr="00262F3A" w14:paraId="4483208A" w14:textId="77777777" w:rsidTr="000E1639">
        <w:tc>
          <w:tcPr>
            <w:tcW w:w="1413" w:type="dxa"/>
          </w:tcPr>
          <w:p w14:paraId="39622CB2" w14:textId="77777777" w:rsidR="000E1639" w:rsidRPr="00262F3A" w:rsidRDefault="000E1639" w:rsidP="000E1639">
            <w:pPr>
              <w:pStyle w:val="Tableformat"/>
            </w:pPr>
            <w:r w:rsidRPr="00262F3A">
              <w:t>2.2.3H</w:t>
            </w:r>
          </w:p>
        </w:tc>
        <w:tc>
          <w:tcPr>
            <w:tcW w:w="6662" w:type="dxa"/>
          </w:tcPr>
          <w:p w14:paraId="06598DE5" w14:textId="77777777" w:rsidR="000E1639" w:rsidRPr="00262F3A" w:rsidRDefault="000E1639" w:rsidP="000E1639">
            <w:pPr>
              <w:pStyle w:val="Tableformat"/>
            </w:pPr>
            <w:r w:rsidRPr="00262F3A">
              <w:rPr>
                <w:rFonts w:cstheme="minorHAnsi"/>
                <w:bCs/>
                <w:iCs/>
              </w:rPr>
              <w:t>Utilisation of committed supports by plan number from 1 October 2019 to 30 June 2020</w:t>
            </w:r>
          </w:p>
        </w:tc>
        <w:tc>
          <w:tcPr>
            <w:tcW w:w="941" w:type="dxa"/>
          </w:tcPr>
          <w:p w14:paraId="34A54CE1" w14:textId="2B7CE7BC" w:rsidR="000E1639" w:rsidRPr="00262F3A" w:rsidRDefault="00DB19E1" w:rsidP="000E1639">
            <w:pPr>
              <w:pStyle w:val="Tableformat"/>
            </w:pPr>
            <w:r>
              <w:t>28</w:t>
            </w:r>
          </w:p>
        </w:tc>
      </w:tr>
      <w:tr w:rsidR="000E1639" w:rsidRPr="00262F3A" w14:paraId="31F38E44" w14:textId="77777777" w:rsidTr="000E1639">
        <w:tc>
          <w:tcPr>
            <w:tcW w:w="1413" w:type="dxa"/>
          </w:tcPr>
          <w:p w14:paraId="75842EF0" w14:textId="77777777" w:rsidR="000E1639" w:rsidRPr="00262F3A" w:rsidRDefault="000E1639" w:rsidP="000E1639">
            <w:pPr>
              <w:pStyle w:val="Tableformat"/>
            </w:pPr>
            <w:r w:rsidRPr="00262F3A">
              <w:lastRenderedPageBreak/>
              <w:t>2.2.3I</w:t>
            </w:r>
          </w:p>
        </w:tc>
        <w:tc>
          <w:tcPr>
            <w:tcW w:w="6662" w:type="dxa"/>
          </w:tcPr>
          <w:p w14:paraId="6B09A119" w14:textId="77777777" w:rsidR="000E1639" w:rsidRPr="00262F3A" w:rsidRDefault="000E1639" w:rsidP="000E1639">
            <w:pPr>
              <w:pStyle w:val="Tableformat"/>
            </w:pPr>
            <w:r w:rsidRPr="00262F3A">
              <w:rPr>
                <w:rFonts w:cstheme="minorHAnsi"/>
              </w:rPr>
              <w:t>Average annualised payments per participant by quarter – SIL participants</w:t>
            </w:r>
          </w:p>
        </w:tc>
        <w:tc>
          <w:tcPr>
            <w:tcW w:w="941" w:type="dxa"/>
          </w:tcPr>
          <w:p w14:paraId="6B763C48" w14:textId="71D2D928" w:rsidR="000E1639" w:rsidRPr="00262F3A" w:rsidRDefault="00DB19E1" w:rsidP="000E1639">
            <w:pPr>
              <w:pStyle w:val="Tableformat"/>
            </w:pPr>
            <w:r>
              <w:t>32</w:t>
            </w:r>
          </w:p>
        </w:tc>
      </w:tr>
      <w:tr w:rsidR="000E1639" w:rsidRPr="00262F3A" w14:paraId="3AA28829" w14:textId="77777777" w:rsidTr="000E1639">
        <w:tc>
          <w:tcPr>
            <w:tcW w:w="1413" w:type="dxa"/>
          </w:tcPr>
          <w:p w14:paraId="67A5A722" w14:textId="77777777" w:rsidR="000E1639" w:rsidRPr="00262F3A" w:rsidRDefault="000E1639" w:rsidP="000E1639">
            <w:pPr>
              <w:pStyle w:val="Tableformat"/>
            </w:pPr>
            <w:r w:rsidRPr="00262F3A">
              <w:t>2.2.3J</w:t>
            </w:r>
          </w:p>
        </w:tc>
        <w:tc>
          <w:tcPr>
            <w:tcW w:w="6662" w:type="dxa"/>
          </w:tcPr>
          <w:p w14:paraId="5909BAC9" w14:textId="77777777" w:rsidR="000E1639" w:rsidRPr="00262F3A" w:rsidRDefault="000E1639" w:rsidP="000E1639">
            <w:pPr>
              <w:pStyle w:val="Tableformat"/>
            </w:pPr>
            <w:r w:rsidRPr="00262F3A">
              <w:rPr>
                <w:rFonts w:cstheme="minorHAnsi"/>
              </w:rPr>
              <w:t>Average annualised payments per participant by quarter – non-SIL participants</w:t>
            </w:r>
          </w:p>
        </w:tc>
        <w:tc>
          <w:tcPr>
            <w:tcW w:w="941" w:type="dxa"/>
          </w:tcPr>
          <w:p w14:paraId="654F9F63" w14:textId="40E1C6C5" w:rsidR="000E1639" w:rsidRPr="00262F3A" w:rsidRDefault="00DB19E1" w:rsidP="000E1639">
            <w:pPr>
              <w:pStyle w:val="Tableformat"/>
            </w:pPr>
            <w:r>
              <w:t>32</w:t>
            </w:r>
          </w:p>
        </w:tc>
      </w:tr>
      <w:tr w:rsidR="000E1639" w:rsidRPr="00262F3A" w14:paraId="4CF4AF0A" w14:textId="77777777" w:rsidTr="000E1639">
        <w:tc>
          <w:tcPr>
            <w:tcW w:w="1413" w:type="dxa"/>
          </w:tcPr>
          <w:p w14:paraId="084E55A7" w14:textId="77777777" w:rsidR="000E1639" w:rsidRPr="00262F3A" w:rsidRDefault="000E1639" w:rsidP="000E1639">
            <w:pPr>
              <w:pStyle w:val="Tableformat"/>
            </w:pPr>
            <w:r w:rsidRPr="00262F3A">
              <w:t>2.2.3K</w:t>
            </w:r>
          </w:p>
        </w:tc>
        <w:tc>
          <w:tcPr>
            <w:tcW w:w="6662" w:type="dxa"/>
          </w:tcPr>
          <w:p w14:paraId="4038A975" w14:textId="77777777" w:rsidR="000E1639" w:rsidRPr="00262F3A" w:rsidRDefault="000E1639" w:rsidP="000E1639">
            <w:pPr>
              <w:pStyle w:val="Tableformat"/>
            </w:pPr>
            <w:r w:rsidRPr="00262F3A">
              <w:t>National Contact Centre telephony performance July 2018 to June 2020</w:t>
            </w:r>
          </w:p>
        </w:tc>
        <w:tc>
          <w:tcPr>
            <w:tcW w:w="941" w:type="dxa"/>
          </w:tcPr>
          <w:p w14:paraId="58C9B369" w14:textId="30935B7E" w:rsidR="000E1639" w:rsidRPr="00262F3A" w:rsidRDefault="00DB19E1" w:rsidP="000E1639">
            <w:pPr>
              <w:pStyle w:val="Tableformat"/>
            </w:pPr>
            <w:r>
              <w:t>36</w:t>
            </w:r>
          </w:p>
        </w:tc>
      </w:tr>
      <w:tr w:rsidR="000E1639" w:rsidRPr="00262F3A" w14:paraId="3F667430" w14:textId="77777777" w:rsidTr="000E1639">
        <w:tc>
          <w:tcPr>
            <w:tcW w:w="1413" w:type="dxa"/>
          </w:tcPr>
          <w:p w14:paraId="16A756C2" w14:textId="77777777" w:rsidR="000E1639" w:rsidRPr="00262F3A" w:rsidRDefault="000E1639" w:rsidP="000E1639">
            <w:pPr>
              <w:pStyle w:val="Tableformat"/>
            </w:pPr>
            <w:r w:rsidRPr="00262F3A">
              <w:t>4.1A</w:t>
            </w:r>
          </w:p>
        </w:tc>
        <w:tc>
          <w:tcPr>
            <w:tcW w:w="6662" w:type="dxa"/>
          </w:tcPr>
          <w:p w14:paraId="2CB80215" w14:textId="5EDCE35C" w:rsidR="000E1639" w:rsidRPr="00262F3A" w:rsidRDefault="000E1639" w:rsidP="00FF144A">
            <w:pPr>
              <w:pStyle w:val="Tableformat"/>
            </w:pPr>
            <w:r w:rsidRPr="00262F3A">
              <w:t xml:space="preserve">Agency governance </w:t>
            </w:r>
            <w:r w:rsidR="00FF144A">
              <w:t>d</w:t>
            </w:r>
            <w:r w:rsidR="00FF144A" w:rsidRPr="00262F3A">
              <w:t>iagram</w:t>
            </w:r>
          </w:p>
        </w:tc>
        <w:tc>
          <w:tcPr>
            <w:tcW w:w="941" w:type="dxa"/>
          </w:tcPr>
          <w:p w14:paraId="2A349C8C" w14:textId="2029C824" w:rsidR="000E1639" w:rsidRPr="00262F3A" w:rsidRDefault="00DB19E1" w:rsidP="000E1639">
            <w:pPr>
              <w:pStyle w:val="Tableformat"/>
            </w:pPr>
            <w:r>
              <w:t>89</w:t>
            </w:r>
          </w:p>
        </w:tc>
      </w:tr>
      <w:tr w:rsidR="000E1639" w:rsidRPr="00262F3A" w14:paraId="05BEE737" w14:textId="77777777" w:rsidTr="000E1639">
        <w:tc>
          <w:tcPr>
            <w:tcW w:w="1413" w:type="dxa"/>
          </w:tcPr>
          <w:p w14:paraId="58841A4C" w14:textId="77777777" w:rsidR="000E1639" w:rsidRPr="00262F3A" w:rsidRDefault="000E1639" w:rsidP="000E1639">
            <w:pPr>
              <w:pStyle w:val="Tableformat"/>
            </w:pPr>
            <w:r w:rsidRPr="00262F3A">
              <w:t>4.4.2A</w:t>
            </w:r>
          </w:p>
        </w:tc>
        <w:tc>
          <w:tcPr>
            <w:tcW w:w="6662" w:type="dxa"/>
          </w:tcPr>
          <w:p w14:paraId="5EF1ACAD" w14:textId="5B0B2BF1" w:rsidR="000E1639" w:rsidRPr="00262F3A" w:rsidRDefault="000E1639" w:rsidP="00FF144A">
            <w:pPr>
              <w:pStyle w:val="Tableformat"/>
            </w:pPr>
            <w:r w:rsidRPr="00262F3A">
              <w:rPr>
                <w:rFonts w:eastAsiaTheme="minorHAnsi"/>
                <w:lang w:eastAsia="en-US"/>
              </w:rPr>
              <w:t xml:space="preserve">Agency </w:t>
            </w:r>
            <w:r w:rsidR="00FF144A">
              <w:rPr>
                <w:rFonts w:eastAsiaTheme="minorHAnsi"/>
                <w:lang w:eastAsia="en-US"/>
              </w:rPr>
              <w:t>o</w:t>
            </w:r>
            <w:r w:rsidR="00FF144A" w:rsidRPr="00262F3A">
              <w:rPr>
                <w:rFonts w:eastAsiaTheme="minorHAnsi"/>
                <w:lang w:eastAsia="en-US"/>
              </w:rPr>
              <w:t xml:space="preserve">rganisational </w:t>
            </w:r>
            <w:r w:rsidRPr="00262F3A">
              <w:rPr>
                <w:rFonts w:eastAsiaTheme="minorHAnsi"/>
                <w:lang w:eastAsia="en-US"/>
              </w:rPr>
              <w:t>structure as at 30 June 2020</w:t>
            </w:r>
          </w:p>
        </w:tc>
        <w:tc>
          <w:tcPr>
            <w:tcW w:w="941" w:type="dxa"/>
          </w:tcPr>
          <w:p w14:paraId="787A453B" w14:textId="7DEFDEF9" w:rsidR="000E1639" w:rsidRPr="00262F3A" w:rsidRDefault="00DB19E1" w:rsidP="000E1639">
            <w:pPr>
              <w:pStyle w:val="Tableformat"/>
            </w:pPr>
            <w:r>
              <w:t>102</w:t>
            </w:r>
          </w:p>
        </w:tc>
      </w:tr>
      <w:bookmarkEnd w:id="196"/>
    </w:tbl>
    <w:p w14:paraId="3CE43650" w14:textId="77777777" w:rsidR="001D739F" w:rsidRPr="00262F3A" w:rsidRDefault="001D739F" w:rsidP="00561B3B">
      <w:r w:rsidRPr="00262F3A">
        <w:br w:type="page"/>
      </w:r>
    </w:p>
    <w:p w14:paraId="1A04811E" w14:textId="5A2896B4" w:rsidR="001D739F" w:rsidRPr="00262F3A" w:rsidRDefault="007D299F" w:rsidP="0024339B">
      <w:pPr>
        <w:pStyle w:val="Heading4"/>
      </w:pPr>
      <w:r>
        <w:lastRenderedPageBreak/>
        <w:t>Back cover</w:t>
      </w:r>
    </w:p>
    <w:p w14:paraId="39DA1E83" w14:textId="77777777" w:rsidR="001D739F" w:rsidRPr="00262F3A" w:rsidRDefault="001D739F" w:rsidP="00561B3B">
      <w:r w:rsidRPr="00262F3A">
        <w:t>The material in this document, wit</w:t>
      </w:r>
      <w:r w:rsidR="00A42F23" w:rsidRPr="00262F3A">
        <w:t>h the exception of logos, trade</w:t>
      </w:r>
      <w:r w:rsidRPr="00262F3A">
        <w:t xml:space="preserve">marks, third party materials and other content as specified is licensed under Creative Commons CC-BY-NC-ND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2019’ and you must not use the material for commercial purposes. </w:t>
      </w:r>
    </w:p>
    <w:p w14:paraId="7FD14D6B" w14:textId="77777777" w:rsidR="001D739F" w:rsidRPr="00262F3A" w:rsidRDefault="001D739F" w:rsidP="00561B3B">
      <w:r w:rsidRPr="00262F3A">
        <w:t>If you remix, transform or build upon the material contained in this document, you must not distribute the modified material.</w:t>
      </w:r>
    </w:p>
    <w:p w14:paraId="1B940D2A" w14:textId="77777777" w:rsidR="001D739F" w:rsidRPr="00262F3A" w:rsidRDefault="001D739F" w:rsidP="008F00D1">
      <w:pPr>
        <w:pStyle w:val="Heading4"/>
      </w:pPr>
      <w:bookmarkStart w:id="198" w:name="_Toc23603212"/>
      <w:r w:rsidRPr="00262F3A">
        <w:t>For more information about this report, please contact:</w:t>
      </w:r>
      <w:bookmarkEnd w:id="198"/>
    </w:p>
    <w:p w14:paraId="19C9D183" w14:textId="77777777" w:rsidR="001D739F" w:rsidRPr="00262F3A" w:rsidRDefault="001D739F" w:rsidP="00561B3B">
      <w:r w:rsidRPr="00262F3A">
        <w:t>National Disability Insurance Agency:</w:t>
      </w:r>
    </w:p>
    <w:p w14:paraId="6E774C7A" w14:textId="77777777" w:rsidR="001D739F" w:rsidRPr="00262F3A" w:rsidRDefault="001D739F" w:rsidP="006D2911">
      <w:pPr>
        <w:pStyle w:val="ListParagraph"/>
        <w:numPr>
          <w:ilvl w:val="0"/>
          <w:numId w:val="17"/>
        </w:numPr>
      </w:pPr>
      <w:r w:rsidRPr="00262F3A">
        <w:t>telephone 1800 800 110</w:t>
      </w:r>
    </w:p>
    <w:p w14:paraId="71BDE5DE" w14:textId="77777777" w:rsidR="001D739F" w:rsidRPr="00262F3A" w:rsidRDefault="001D739F" w:rsidP="00561B3B">
      <w:r w:rsidRPr="00262F3A">
        <w:t>For people with hearing or speech loss:</w:t>
      </w:r>
    </w:p>
    <w:p w14:paraId="1D28781A" w14:textId="77777777" w:rsidR="00A42F23" w:rsidRPr="00262F3A" w:rsidRDefault="001D739F" w:rsidP="006D2911">
      <w:pPr>
        <w:pStyle w:val="ListParagraph"/>
        <w:numPr>
          <w:ilvl w:val="0"/>
          <w:numId w:val="17"/>
        </w:numPr>
      </w:pPr>
      <w:r w:rsidRPr="00262F3A">
        <w:t>TTY 1800 555 677</w:t>
      </w:r>
    </w:p>
    <w:p w14:paraId="34943A10" w14:textId="77777777" w:rsidR="001D739F" w:rsidRPr="00262F3A" w:rsidRDefault="001D739F" w:rsidP="00A42F23">
      <w:pPr>
        <w:ind w:left="720"/>
      </w:pPr>
      <w:r w:rsidRPr="00262F3A">
        <w:t>For speak and listen:</w:t>
      </w:r>
    </w:p>
    <w:p w14:paraId="35844FA1" w14:textId="77777777" w:rsidR="001D739F" w:rsidRPr="00262F3A" w:rsidRDefault="001D739F" w:rsidP="006D2911">
      <w:pPr>
        <w:pStyle w:val="ListParagraph"/>
        <w:numPr>
          <w:ilvl w:val="0"/>
          <w:numId w:val="17"/>
        </w:numPr>
      </w:pPr>
      <w:r w:rsidRPr="00262F3A">
        <w:t>telephone 1800 555 727 then ask for 1800 800 110</w:t>
      </w:r>
    </w:p>
    <w:p w14:paraId="2FEFA8D5" w14:textId="77777777" w:rsidR="001D739F" w:rsidRPr="00262F3A" w:rsidRDefault="001D739F" w:rsidP="00561B3B">
      <w:r w:rsidRPr="00262F3A">
        <w:t>For people who need help with English:</w:t>
      </w:r>
    </w:p>
    <w:p w14:paraId="182CC8F3" w14:textId="77777777" w:rsidR="001D739F" w:rsidRPr="00262F3A" w:rsidRDefault="001D739F" w:rsidP="006D2911">
      <w:pPr>
        <w:pStyle w:val="ListParagraph"/>
        <w:numPr>
          <w:ilvl w:val="0"/>
          <w:numId w:val="17"/>
        </w:numPr>
      </w:pPr>
      <w:r w:rsidRPr="00262F3A">
        <w:t>for a free-of-charge translator, interpreter or other assistance, phone 1800 800 110</w:t>
      </w:r>
    </w:p>
    <w:p w14:paraId="0925D664" w14:textId="77777777" w:rsidR="001D739F" w:rsidRPr="00262F3A" w:rsidRDefault="001D739F" w:rsidP="00561B3B">
      <w:r w:rsidRPr="00262F3A">
        <w:t>If you are an internet relay user:</w:t>
      </w:r>
    </w:p>
    <w:p w14:paraId="0B9E7214" w14:textId="77777777" w:rsidR="001D739F" w:rsidRPr="00262F3A" w:rsidRDefault="001D739F" w:rsidP="006D2911">
      <w:pPr>
        <w:pStyle w:val="ListParagraph"/>
        <w:numPr>
          <w:ilvl w:val="0"/>
          <w:numId w:val="17"/>
        </w:numPr>
      </w:pPr>
      <w:r w:rsidRPr="00262F3A">
        <w:t>visit the National Relay Service website (external) and ask for 1800 800 110</w:t>
      </w:r>
    </w:p>
    <w:p w14:paraId="6CA96D62" w14:textId="77777777" w:rsidR="001D739F" w:rsidRPr="00262F3A" w:rsidRDefault="001D739F" w:rsidP="00561B3B">
      <w:r w:rsidRPr="00262F3A">
        <w:t>This report can be accessed online at NDIS website</w:t>
      </w:r>
    </w:p>
    <w:p w14:paraId="3AD62C2F" w14:textId="77777777" w:rsidR="001D739F" w:rsidRPr="00262F3A" w:rsidRDefault="001D739F" w:rsidP="00561B3B">
      <w:r w:rsidRPr="00262F3A">
        <w:t>Find us on Facebook/NDISAus</w:t>
      </w:r>
    </w:p>
    <w:p w14:paraId="4569C9FC" w14:textId="77777777" w:rsidR="001D739F" w:rsidRPr="00262F3A" w:rsidRDefault="001D739F" w:rsidP="00561B3B">
      <w:r w:rsidRPr="00262F3A">
        <w:t>Follow us on Twitter@NDIS</w:t>
      </w:r>
    </w:p>
    <w:p w14:paraId="0676AA42" w14:textId="77777777" w:rsidR="001D739F" w:rsidRPr="00262F3A" w:rsidRDefault="001D739F" w:rsidP="00561B3B">
      <w:pPr>
        <w:rPr>
          <w:lang w:eastAsia="en-US"/>
        </w:rPr>
      </w:pPr>
    </w:p>
    <w:p w14:paraId="116E5410" w14:textId="77777777" w:rsidR="00125269" w:rsidRPr="00262F3A" w:rsidRDefault="00125269" w:rsidP="00561B3B">
      <w:pPr>
        <w:rPr>
          <w:lang w:eastAsia="en-US"/>
        </w:rPr>
      </w:pPr>
    </w:p>
    <w:sectPr w:rsidR="00125269" w:rsidRPr="002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256FD" w14:textId="77777777" w:rsidR="00D97797" w:rsidRDefault="00D97797" w:rsidP="00561B3B">
      <w:r>
        <w:separator/>
      </w:r>
    </w:p>
  </w:endnote>
  <w:endnote w:type="continuationSeparator" w:id="0">
    <w:p w14:paraId="2699E3D0" w14:textId="77777777" w:rsidR="00D97797" w:rsidRDefault="00D97797" w:rsidP="0056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FS Me Pro Light">
    <w:altName w:val="Times New Roman"/>
    <w:charset w:val="00"/>
    <w:family w:val="auto"/>
    <w:pitch w:val="variable"/>
    <w:sig w:usb0="00000001" w:usb1="4000606A" w:usb2="00000000" w:usb3="00000000" w:csb0="0000009F" w:csb1="00000000"/>
  </w:font>
  <w:font w:name="FSMePro-Light">
    <w:altName w:val="Times New Roma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Yu Gothic UI"/>
    <w:panose1 w:val="02020609040205080304"/>
    <w:charset w:val="80"/>
    <w:family w:val="modern"/>
    <w:pitch w:val="fixed"/>
    <w:sig w:usb0="E00002FF" w:usb1="6AC7FDFB" w:usb2="08000012" w:usb3="00000000" w:csb0="0002009F" w:csb1="00000000"/>
  </w:font>
  <w:font w:name="FS Me Light">
    <w:altName w:val="Franklin Gothic Medium Cond"/>
    <w:charset w:val="00"/>
    <w:family w:val="auto"/>
    <w:pitch w:val="variable"/>
    <w:sig w:usb0="00000001" w:usb1="4000204A" w:usb2="00000000" w:usb3="00000000" w:csb0="0000009B"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86698"/>
      <w:docPartObj>
        <w:docPartGallery w:val="Page Numbers (Bottom of Page)"/>
        <w:docPartUnique/>
      </w:docPartObj>
    </w:sdtPr>
    <w:sdtEndPr>
      <w:rPr>
        <w:noProof/>
      </w:rPr>
    </w:sdtEndPr>
    <w:sdtContent>
      <w:p w14:paraId="41256C42" w14:textId="03597DD1" w:rsidR="00D97797" w:rsidRDefault="00D97797">
        <w:pPr>
          <w:pStyle w:val="Footer"/>
          <w:jc w:val="right"/>
        </w:pPr>
        <w:r>
          <w:fldChar w:fldCharType="begin"/>
        </w:r>
        <w:r>
          <w:instrText xml:space="preserve"> PAGE   \* MERGEFORMAT </w:instrText>
        </w:r>
        <w:r>
          <w:fldChar w:fldCharType="separate"/>
        </w:r>
        <w:r w:rsidR="000B6734">
          <w:rPr>
            <w:noProof/>
          </w:rPr>
          <w:t>48</w:t>
        </w:r>
        <w:r>
          <w:rPr>
            <w:noProof/>
          </w:rPr>
          <w:fldChar w:fldCharType="end"/>
        </w:r>
      </w:p>
    </w:sdtContent>
  </w:sdt>
  <w:p w14:paraId="4B055093" w14:textId="77777777" w:rsidR="00D97797" w:rsidRDefault="00D97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904207"/>
      <w:docPartObj>
        <w:docPartGallery w:val="Page Numbers (Bottom of Page)"/>
        <w:docPartUnique/>
      </w:docPartObj>
    </w:sdtPr>
    <w:sdtEndPr>
      <w:rPr>
        <w:noProof/>
      </w:rPr>
    </w:sdtEndPr>
    <w:sdtContent>
      <w:p w14:paraId="1C0E0BDC" w14:textId="21768ADB" w:rsidR="00D97797" w:rsidRDefault="00D97797" w:rsidP="00737A7C">
        <w:pPr>
          <w:pStyle w:val="Footer"/>
          <w:jc w:val="right"/>
        </w:pPr>
        <w:r>
          <w:fldChar w:fldCharType="begin"/>
        </w:r>
        <w:r>
          <w:instrText xml:space="preserve"> PAGE   \* MERGEFORMAT </w:instrText>
        </w:r>
        <w:r>
          <w:fldChar w:fldCharType="separate"/>
        </w:r>
        <w:r w:rsidR="000B6734">
          <w:rPr>
            <w:noProof/>
          </w:rPr>
          <w:t>76</w:t>
        </w:r>
        <w:r>
          <w:rPr>
            <w:noProof/>
          </w:rPr>
          <w:fldChar w:fldCharType="end"/>
        </w:r>
      </w:p>
    </w:sdtContent>
  </w:sdt>
  <w:p w14:paraId="36F59636" w14:textId="77777777" w:rsidR="00D97797" w:rsidRDefault="00D97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979455"/>
      <w:docPartObj>
        <w:docPartGallery w:val="Page Numbers (Bottom of Page)"/>
        <w:docPartUnique/>
      </w:docPartObj>
    </w:sdtPr>
    <w:sdtEndPr>
      <w:rPr>
        <w:noProof/>
      </w:rPr>
    </w:sdtEndPr>
    <w:sdtContent>
      <w:p w14:paraId="627A26E6" w14:textId="4B51E852" w:rsidR="00D97797" w:rsidRPr="00737A7C" w:rsidRDefault="00D97797" w:rsidP="00737A7C">
        <w:pPr>
          <w:pStyle w:val="Footer"/>
          <w:ind w:left="720" w:firstLine="788"/>
          <w:jc w:val="right"/>
        </w:pPr>
        <w:r w:rsidRPr="00737A7C">
          <w:fldChar w:fldCharType="begin"/>
        </w:r>
        <w:r w:rsidRPr="00737A7C">
          <w:instrText xml:space="preserve"> PAGE   \* MERGEFORMAT </w:instrText>
        </w:r>
        <w:r w:rsidRPr="00737A7C">
          <w:fldChar w:fldCharType="separate"/>
        </w:r>
        <w:r w:rsidR="000B6734">
          <w:rPr>
            <w:noProof/>
          </w:rPr>
          <w:t>80</w:t>
        </w:r>
        <w:r w:rsidRPr="00737A7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E6DA1" w14:textId="77777777" w:rsidR="00D97797" w:rsidRDefault="00D97797" w:rsidP="00561B3B">
      <w:r>
        <w:separator/>
      </w:r>
    </w:p>
  </w:footnote>
  <w:footnote w:type="continuationSeparator" w:id="0">
    <w:p w14:paraId="65F92855" w14:textId="77777777" w:rsidR="00D97797" w:rsidRDefault="00D97797" w:rsidP="00561B3B">
      <w:r>
        <w:continuationSeparator/>
      </w:r>
    </w:p>
  </w:footnote>
  <w:footnote w:id="1">
    <w:p w14:paraId="3E2111E0" w14:textId="4756A092" w:rsidR="00D97797" w:rsidRPr="00F7505B" w:rsidRDefault="00D97797" w:rsidP="00AF2A24">
      <w:pPr>
        <w:pStyle w:val="FootnoteText"/>
        <w:rPr>
          <w:sz w:val="16"/>
          <w:szCs w:val="16"/>
        </w:rPr>
      </w:pPr>
      <w:r>
        <w:rPr>
          <w:rStyle w:val="FootnoteReference"/>
        </w:rPr>
        <w:footnoteRef/>
      </w:r>
      <w:r>
        <w:t xml:space="preserve"> </w:t>
      </w:r>
      <w:r w:rsidRPr="00F7505B">
        <w:rPr>
          <w:sz w:val="16"/>
          <w:szCs w:val="16"/>
        </w:rPr>
        <w:t>Note</w:t>
      </w:r>
      <w:r>
        <w:rPr>
          <w:sz w:val="16"/>
          <w:szCs w:val="16"/>
        </w:rPr>
        <w:t>:</w:t>
      </w:r>
      <w:r w:rsidRPr="00F7505B">
        <w:rPr>
          <w:sz w:val="16"/>
          <w:szCs w:val="16"/>
        </w:rPr>
        <w:t xml:space="preserve"> these relate to when the cash payment was made, rather than when the support was provided. This also includes supports provided on an in</w:t>
      </w:r>
      <w:r w:rsidRPr="00F7505B">
        <w:rPr>
          <w:sz w:val="16"/>
          <w:szCs w:val="16"/>
        </w:rPr>
        <w:noBreakHyphen/>
        <w:t xml:space="preserve">kind basis by the State/Territory and Commonwealth governments. </w:t>
      </w:r>
    </w:p>
  </w:footnote>
  <w:footnote w:id="2">
    <w:p w14:paraId="15B78C87" w14:textId="77777777" w:rsidR="00D97797" w:rsidRPr="00AF2A24" w:rsidRDefault="00D97797" w:rsidP="00AF2A24">
      <w:pPr>
        <w:pStyle w:val="FootnoteText"/>
        <w:rPr>
          <w:sz w:val="16"/>
          <w:szCs w:val="16"/>
        </w:rPr>
      </w:pPr>
      <w:r w:rsidRPr="00AF2A24">
        <w:rPr>
          <w:rStyle w:val="FootnoteReference"/>
          <w:sz w:val="16"/>
          <w:szCs w:val="16"/>
        </w:rPr>
        <w:footnoteRef/>
      </w:r>
      <w:r w:rsidRPr="00AF2A24">
        <w:rPr>
          <w:sz w:val="16"/>
          <w:szCs w:val="16"/>
        </w:rPr>
        <w:t xml:space="preserve"> By the end of June 2020, about $70 million was paid in respect of the COVID loading.</w:t>
      </w:r>
    </w:p>
  </w:footnote>
  <w:footnote w:id="3">
    <w:p w14:paraId="3D96DBD4" w14:textId="77777777" w:rsidR="00D97797" w:rsidRPr="00AF2A24" w:rsidRDefault="00D97797" w:rsidP="00AF2A24">
      <w:pPr>
        <w:pStyle w:val="FootnoteText"/>
        <w:rPr>
          <w:sz w:val="16"/>
          <w:szCs w:val="16"/>
        </w:rPr>
      </w:pPr>
      <w:r w:rsidRPr="00AF2A24">
        <w:rPr>
          <w:rStyle w:val="FootnoteReference"/>
          <w:sz w:val="16"/>
          <w:szCs w:val="16"/>
        </w:rPr>
        <w:footnoteRef/>
      </w:r>
      <w:r w:rsidRPr="00AF2A24">
        <w:rPr>
          <w:sz w:val="16"/>
          <w:szCs w:val="16"/>
        </w:rPr>
        <w:t xml:space="preserve"> This is the point in time when participant intake primarily represents participants with new incidence of disability, as opposed to participants transferring into the Scheme with existing disabilities.</w:t>
      </w:r>
    </w:p>
  </w:footnote>
  <w:footnote w:id="4">
    <w:p w14:paraId="5F7C241D" w14:textId="77777777" w:rsidR="00D97797" w:rsidRPr="00AF2A24" w:rsidRDefault="00D97797" w:rsidP="00AF2A24">
      <w:pPr>
        <w:pStyle w:val="FootnoteText"/>
        <w:rPr>
          <w:sz w:val="16"/>
          <w:szCs w:val="16"/>
        </w:rPr>
      </w:pPr>
      <w:r w:rsidRPr="00AF2A24">
        <w:rPr>
          <w:rStyle w:val="FootnoteReference"/>
          <w:sz w:val="16"/>
          <w:szCs w:val="16"/>
        </w:rPr>
        <w:footnoteRef/>
      </w:r>
      <w:r w:rsidRPr="00AF2A24">
        <w:rPr>
          <w:sz w:val="16"/>
          <w:szCs w:val="16"/>
        </w:rPr>
        <w:t xml:space="preserve"> Participants aged over 65 years exit the Scheme either through mortality or by entering residential aged care (which is no longer funded by the NDIS). As the Scheme continues to mature, the number of participants aged over 65 years who remain in the Scheme increases, which contributes to the increasing cost over time.</w:t>
      </w:r>
    </w:p>
  </w:footnote>
  <w:footnote w:id="5">
    <w:p w14:paraId="343C1891" w14:textId="3A9B2F3E" w:rsidR="00D97797" w:rsidRPr="00542A19" w:rsidRDefault="00D97797">
      <w:pPr>
        <w:pStyle w:val="FootnoteText"/>
        <w:rPr>
          <w:sz w:val="16"/>
          <w:szCs w:val="16"/>
        </w:rPr>
      </w:pPr>
      <w:r w:rsidRPr="00542A19">
        <w:rPr>
          <w:rStyle w:val="FootnoteReference"/>
          <w:sz w:val="16"/>
          <w:szCs w:val="16"/>
        </w:rPr>
        <w:footnoteRef/>
      </w:r>
      <w:r w:rsidRPr="00542A19">
        <w:rPr>
          <w:sz w:val="16"/>
          <w:szCs w:val="16"/>
        </w:rPr>
        <w:t xml:space="preserve"> </w:t>
      </w:r>
      <w:hyperlink r:id="rId1" w:history="1">
        <w:r w:rsidRPr="00542A19">
          <w:rPr>
            <w:rStyle w:val="Hyperlink"/>
            <w:sz w:val="16"/>
            <w:szCs w:val="16"/>
          </w:rPr>
          <w:t>https://www.pc.gov.au/inquiries/completed/disability-support</w:t>
        </w:r>
      </w:hyperlink>
    </w:p>
  </w:footnote>
  <w:footnote w:id="6">
    <w:p w14:paraId="38824D0B" w14:textId="77777777" w:rsidR="00D97797" w:rsidRPr="00445C50" w:rsidRDefault="00D97797" w:rsidP="00AF2A24">
      <w:pPr>
        <w:pStyle w:val="FootnoteText"/>
        <w:rPr>
          <w:sz w:val="18"/>
          <w:szCs w:val="18"/>
        </w:rPr>
      </w:pPr>
      <w:r w:rsidRPr="00445C50">
        <w:rPr>
          <w:rStyle w:val="FootnoteReference"/>
          <w:sz w:val="18"/>
          <w:szCs w:val="18"/>
        </w:rPr>
        <w:footnoteRef/>
      </w:r>
      <w:r w:rsidRPr="00445C50">
        <w:rPr>
          <w:sz w:val="18"/>
          <w:szCs w:val="18"/>
        </w:rPr>
        <w:t xml:space="preserve"> The review was undertaken by Mr David Tune AO PSM. See https://www.dss.gov.au/disability-and-carers-programs-services-for-people-with-disability-national-disability-insurance-scheme/2019-review-of-the-ndis-act-and-the-new-ndis-participant-service-guarantee</w:t>
      </w:r>
    </w:p>
  </w:footnote>
  <w:footnote w:id="7">
    <w:p w14:paraId="094E459B" w14:textId="2E1C705F" w:rsidR="00D97797" w:rsidRPr="00D7752C" w:rsidRDefault="00D97797" w:rsidP="0025606A">
      <w:pPr>
        <w:autoSpaceDE w:val="0"/>
        <w:autoSpaceDN w:val="0"/>
        <w:adjustRightInd w:val="0"/>
        <w:rPr>
          <w:sz w:val="16"/>
          <w:szCs w:val="16"/>
        </w:rPr>
      </w:pPr>
      <w:r w:rsidRPr="00D7752C">
        <w:rPr>
          <w:rStyle w:val="FootnoteReference"/>
          <w:sz w:val="16"/>
          <w:szCs w:val="16"/>
        </w:rPr>
        <w:footnoteRef/>
      </w:r>
      <w:r w:rsidRPr="00D7752C">
        <w:rPr>
          <w:rStyle w:val="FootnoteReference"/>
          <w:sz w:val="16"/>
          <w:szCs w:val="16"/>
        </w:rPr>
        <w:t xml:space="preserve"> </w:t>
      </w:r>
      <w:r w:rsidRPr="00D7752C">
        <w:rPr>
          <w:sz w:val="16"/>
          <w:szCs w:val="16"/>
        </w:rPr>
        <w:t>Measures people aged 15 years and over who have been participants for three years or more. Data collection commenced 1 July 2016 for people entering the Scheme. From 1 July 2016 to 31 March 2017, the baseline was 21 per cent (from Scheme actuarial reporting). The 2019–20 target is from the 2019–</w:t>
      </w:r>
      <w:r>
        <w:rPr>
          <w:sz w:val="16"/>
          <w:szCs w:val="16"/>
        </w:rPr>
        <w:t>20</w:t>
      </w:r>
      <w:r w:rsidRPr="00D7752C">
        <w:rPr>
          <w:sz w:val="16"/>
          <w:szCs w:val="16"/>
        </w:rPr>
        <w:t xml:space="preserve">23 Corporate Plan (p.42). Although the target was met, the number of participants in work has been negatively impacted by the COVID-19 pandemic. </w:t>
      </w:r>
    </w:p>
  </w:footnote>
  <w:footnote w:id="8">
    <w:p w14:paraId="1AD1083A" w14:textId="1E3EAD1B" w:rsidR="00D97797" w:rsidRPr="00D7752C" w:rsidRDefault="00D97797" w:rsidP="00B5137C">
      <w:pPr>
        <w:autoSpaceDE w:val="0"/>
        <w:autoSpaceDN w:val="0"/>
        <w:adjustRightInd w:val="0"/>
        <w:rPr>
          <w:sz w:val="16"/>
          <w:szCs w:val="16"/>
        </w:rPr>
      </w:pPr>
      <w:r w:rsidRPr="00D7752C">
        <w:rPr>
          <w:rStyle w:val="FootnoteReference"/>
          <w:sz w:val="16"/>
          <w:szCs w:val="16"/>
        </w:rPr>
        <w:footnoteRef/>
      </w:r>
      <w:r w:rsidRPr="00D7752C">
        <w:rPr>
          <w:rStyle w:val="FootnoteReference"/>
          <w:sz w:val="16"/>
          <w:szCs w:val="16"/>
        </w:rPr>
        <w:t xml:space="preserve"> </w:t>
      </w:r>
      <w:r w:rsidRPr="00D7752C">
        <w:rPr>
          <w:sz w:val="16"/>
          <w:szCs w:val="16"/>
        </w:rPr>
        <w:t>Measures people aged 15 and over who have been participants for three years or more. Data collection commenced 1 July 2016 on people entering the Scheme. From 1 July 2016 to 31 March 2017, the baseline is 35</w:t>
      </w:r>
      <w:r>
        <w:rPr>
          <w:sz w:val="16"/>
          <w:szCs w:val="16"/>
        </w:rPr>
        <w:t xml:space="preserve"> per cent</w:t>
      </w:r>
      <w:r w:rsidRPr="00D7752C">
        <w:rPr>
          <w:sz w:val="16"/>
          <w:szCs w:val="16"/>
        </w:rPr>
        <w:t xml:space="preserve"> (Scheme actuarial reporting). The participation rate in community and social activities for people without a disability is 65 per cent (Australian Bureau of Statistics General Social Survey, 2010). Forecasts are based on this benchmark target. The 2019–20 target is from the 2019–</w:t>
      </w:r>
      <w:r>
        <w:rPr>
          <w:sz w:val="16"/>
          <w:szCs w:val="16"/>
        </w:rPr>
        <w:t>20</w:t>
      </w:r>
      <w:r w:rsidRPr="00D7752C">
        <w:rPr>
          <w:sz w:val="16"/>
          <w:szCs w:val="16"/>
        </w:rPr>
        <w:t>23 Corporate Plan (p.42). Although the target was met, the number of participants involved in community and social activities has been negatively impacted by the COVID-19 pandemic.</w:t>
      </w:r>
    </w:p>
  </w:footnote>
  <w:footnote w:id="9">
    <w:p w14:paraId="60356665" w14:textId="4EFBE87C" w:rsidR="00D97797" w:rsidRPr="00D7752C" w:rsidRDefault="00D97797" w:rsidP="00B5137C">
      <w:pPr>
        <w:rPr>
          <w:sz w:val="16"/>
          <w:szCs w:val="16"/>
        </w:rPr>
      </w:pPr>
      <w:r w:rsidRPr="00D7752C">
        <w:rPr>
          <w:rStyle w:val="FootnoteReference"/>
          <w:sz w:val="16"/>
          <w:szCs w:val="16"/>
        </w:rPr>
        <w:footnoteRef/>
      </w:r>
      <w:r w:rsidRPr="00D7752C">
        <w:rPr>
          <w:sz w:val="16"/>
          <w:szCs w:val="16"/>
        </w:rPr>
        <w:t xml:space="preserve"> The previous participant satisfaction survey has been replaced. The new version provides an enhanced understanding of the participant experience and outcomes by surveying participants at each point of the pathway. Targets for these survey results are not directly comparable with the 2019–</w:t>
      </w:r>
      <w:r>
        <w:rPr>
          <w:sz w:val="16"/>
          <w:szCs w:val="16"/>
        </w:rPr>
        <w:t>20</w:t>
      </w:r>
      <w:r w:rsidRPr="00D7752C">
        <w:rPr>
          <w:sz w:val="16"/>
          <w:szCs w:val="16"/>
        </w:rPr>
        <w:t>23 Corporate Plan targets.</w:t>
      </w:r>
    </w:p>
  </w:footnote>
  <w:footnote w:id="10">
    <w:p w14:paraId="2E89B713" w14:textId="6583B5CE" w:rsidR="00D97797" w:rsidRPr="00411467" w:rsidRDefault="00D97797" w:rsidP="00411467">
      <w:pPr>
        <w:autoSpaceDE w:val="0"/>
        <w:autoSpaceDN w:val="0"/>
        <w:adjustRightInd w:val="0"/>
        <w:rPr>
          <w:rFonts w:eastAsia="Georgia"/>
          <w:sz w:val="16"/>
          <w:szCs w:val="16"/>
          <w:vertAlign w:val="superscript"/>
          <w:lang w:eastAsia="en-US"/>
        </w:rPr>
      </w:pPr>
      <w:r w:rsidRPr="00D7752C">
        <w:rPr>
          <w:rStyle w:val="FootnoteReference"/>
          <w:sz w:val="16"/>
          <w:szCs w:val="16"/>
        </w:rPr>
        <w:footnoteRef/>
      </w:r>
      <w:r w:rsidRPr="00D7752C">
        <w:rPr>
          <w:sz w:val="16"/>
          <w:szCs w:val="16"/>
        </w:rPr>
        <w:t xml:space="preserve"> </w:t>
      </w:r>
      <w:r w:rsidRPr="00D7752C">
        <w:rPr>
          <w:rFonts w:eastAsiaTheme="minorHAnsi"/>
          <w:color w:val="0D0D0D"/>
          <w:sz w:val="16"/>
          <w:szCs w:val="16"/>
          <w:lang w:eastAsia="en-US"/>
        </w:rPr>
        <w:t>Baseline is Scheme actuarial reporting (outcomes report). Result is from the latest survey outcome result as at 30 June 2020.</w:t>
      </w:r>
      <w:r w:rsidRPr="00D7752C">
        <w:rPr>
          <w:sz w:val="16"/>
          <w:szCs w:val="16"/>
        </w:rPr>
        <w:t xml:space="preserve"> Measures people who have been participants for three years or more.</w:t>
      </w:r>
      <w:r w:rsidRPr="00D7752C">
        <w:rPr>
          <w:rFonts w:eastAsiaTheme="minorHAnsi"/>
          <w:color w:val="0D0D0D"/>
          <w:sz w:val="16"/>
          <w:szCs w:val="16"/>
          <w:lang w:eastAsia="en-US"/>
        </w:rPr>
        <w:t xml:space="preserve"> The 2019–20 target is from the 2019–</w:t>
      </w:r>
      <w:r>
        <w:rPr>
          <w:rFonts w:eastAsiaTheme="minorHAnsi"/>
          <w:color w:val="0D0D0D"/>
          <w:sz w:val="16"/>
          <w:szCs w:val="16"/>
          <w:lang w:eastAsia="en-US"/>
        </w:rPr>
        <w:t>20</w:t>
      </w:r>
      <w:r w:rsidRPr="00D7752C">
        <w:rPr>
          <w:rFonts w:eastAsiaTheme="minorHAnsi"/>
          <w:color w:val="0D0D0D"/>
          <w:sz w:val="16"/>
          <w:szCs w:val="16"/>
          <w:lang w:eastAsia="en-US"/>
        </w:rPr>
        <w:t>23 Corporate Plan (p.43). For participants who have been in the Scheme for at least two years, the result is 50</w:t>
      </w:r>
      <w:r>
        <w:rPr>
          <w:rFonts w:eastAsiaTheme="minorHAnsi"/>
          <w:color w:val="0D0D0D"/>
          <w:sz w:val="16"/>
          <w:szCs w:val="16"/>
          <w:lang w:eastAsia="en-US"/>
        </w:rPr>
        <w:t xml:space="preserve"> per cent</w:t>
      </w:r>
      <w:r w:rsidRPr="00D7752C">
        <w:rPr>
          <w:rFonts w:eastAsiaTheme="minorHAnsi"/>
          <w:color w:val="0D0D0D"/>
          <w:sz w:val="16"/>
          <w:szCs w:val="16"/>
          <w:lang w:eastAsia="en-US"/>
        </w:rPr>
        <w:t xml:space="preserve">. </w:t>
      </w:r>
    </w:p>
  </w:footnote>
  <w:footnote w:id="11">
    <w:p w14:paraId="74413070" w14:textId="32ED9CFF" w:rsidR="00D97797" w:rsidRPr="00D7752C" w:rsidRDefault="00D97797" w:rsidP="0025606A">
      <w:pPr>
        <w:autoSpaceDE w:val="0"/>
        <w:autoSpaceDN w:val="0"/>
        <w:adjustRightInd w:val="0"/>
        <w:rPr>
          <w:sz w:val="16"/>
          <w:szCs w:val="16"/>
        </w:rPr>
      </w:pPr>
      <w:r w:rsidRPr="00D7752C">
        <w:rPr>
          <w:rStyle w:val="FootnoteReference"/>
          <w:sz w:val="16"/>
          <w:szCs w:val="16"/>
        </w:rPr>
        <w:footnoteRef/>
      </w:r>
      <w:r w:rsidRPr="00D7752C">
        <w:rPr>
          <w:sz w:val="16"/>
          <w:szCs w:val="16"/>
        </w:rPr>
        <w:t xml:space="preserve"> </w:t>
      </w:r>
      <w:r w:rsidRPr="00D7752C">
        <w:rPr>
          <w:rFonts w:eastAsiaTheme="minorHAnsi"/>
          <w:color w:val="0D0D0D"/>
          <w:sz w:val="16"/>
          <w:szCs w:val="16"/>
          <w:lang w:eastAsia="en-US"/>
        </w:rPr>
        <w:t>Baseline is the Provider Sentiment and Satisfaction Survey. Result is from the survey outcomes in September 2019. The 2019–20 target is from the 2019–</w:t>
      </w:r>
      <w:r>
        <w:rPr>
          <w:rFonts w:eastAsiaTheme="minorHAnsi"/>
          <w:color w:val="0D0D0D"/>
          <w:sz w:val="16"/>
          <w:szCs w:val="16"/>
          <w:lang w:eastAsia="en-US"/>
        </w:rPr>
        <w:t>20</w:t>
      </w:r>
      <w:r w:rsidRPr="00D7752C">
        <w:rPr>
          <w:rFonts w:eastAsiaTheme="minorHAnsi"/>
          <w:color w:val="0D0D0D"/>
          <w:sz w:val="16"/>
          <w:szCs w:val="16"/>
          <w:lang w:eastAsia="en-US"/>
        </w:rPr>
        <w:t>23 Corporate Plan (p.43).</w:t>
      </w:r>
    </w:p>
  </w:footnote>
  <w:footnote w:id="12">
    <w:p w14:paraId="03EC1F0B" w14:textId="5714DB16" w:rsidR="00D97797" w:rsidRPr="00D7752C" w:rsidRDefault="00D97797" w:rsidP="0025606A">
      <w:pPr>
        <w:autoSpaceDE w:val="0"/>
        <w:autoSpaceDN w:val="0"/>
        <w:adjustRightInd w:val="0"/>
        <w:rPr>
          <w:sz w:val="16"/>
          <w:szCs w:val="16"/>
        </w:rPr>
      </w:pPr>
      <w:r w:rsidRPr="00D7752C">
        <w:rPr>
          <w:rStyle w:val="FootnoteReference"/>
          <w:sz w:val="16"/>
          <w:szCs w:val="16"/>
        </w:rPr>
        <w:footnoteRef/>
      </w:r>
      <w:r w:rsidRPr="00D7752C">
        <w:rPr>
          <w:sz w:val="16"/>
          <w:szCs w:val="16"/>
        </w:rPr>
        <w:t xml:space="preserve"> </w:t>
      </w:r>
      <w:r w:rsidRPr="00D7752C">
        <w:rPr>
          <w:rFonts w:eastAsiaTheme="minorHAnsi"/>
          <w:color w:val="0D0D0D"/>
          <w:sz w:val="16"/>
          <w:szCs w:val="16"/>
          <w:lang w:eastAsia="en-US"/>
        </w:rPr>
        <w:t>The 2019–</w:t>
      </w:r>
      <w:r>
        <w:rPr>
          <w:rFonts w:eastAsiaTheme="minorHAnsi"/>
          <w:color w:val="0D0D0D"/>
          <w:sz w:val="16"/>
          <w:szCs w:val="16"/>
          <w:lang w:eastAsia="en-US"/>
        </w:rPr>
        <w:t>20</w:t>
      </w:r>
      <w:r w:rsidRPr="00D7752C">
        <w:rPr>
          <w:rFonts w:eastAsiaTheme="minorHAnsi"/>
          <w:color w:val="0D0D0D"/>
          <w:sz w:val="16"/>
          <w:szCs w:val="16"/>
          <w:lang w:eastAsia="en-US"/>
        </w:rPr>
        <w:t>20 target is from the 2019–</w:t>
      </w:r>
      <w:r>
        <w:rPr>
          <w:rFonts w:eastAsiaTheme="minorHAnsi"/>
          <w:color w:val="0D0D0D"/>
          <w:sz w:val="16"/>
          <w:szCs w:val="16"/>
          <w:lang w:eastAsia="en-US"/>
        </w:rPr>
        <w:t>20</w:t>
      </w:r>
      <w:r w:rsidRPr="00D7752C">
        <w:rPr>
          <w:rFonts w:eastAsiaTheme="minorHAnsi"/>
          <w:color w:val="0D0D0D"/>
          <w:sz w:val="16"/>
          <w:szCs w:val="16"/>
          <w:lang w:eastAsia="en-US"/>
        </w:rPr>
        <w:t xml:space="preserve">23 Corporate Plan (p.43). </w:t>
      </w:r>
    </w:p>
  </w:footnote>
  <w:footnote w:id="13">
    <w:p w14:paraId="146FA145" w14:textId="7EE76149" w:rsidR="00D97797" w:rsidRPr="00D7752C" w:rsidRDefault="00D97797" w:rsidP="0025606A">
      <w:pPr>
        <w:pStyle w:val="FootnoteText"/>
        <w:rPr>
          <w:sz w:val="16"/>
          <w:szCs w:val="16"/>
        </w:rPr>
      </w:pPr>
      <w:r w:rsidRPr="00D7752C">
        <w:rPr>
          <w:rStyle w:val="FootnoteReference"/>
          <w:sz w:val="16"/>
          <w:szCs w:val="16"/>
        </w:rPr>
        <w:footnoteRef/>
      </w:r>
      <w:r w:rsidRPr="00D7752C">
        <w:rPr>
          <w:rFonts w:eastAsiaTheme="minorHAnsi"/>
          <w:color w:val="0D0D0D"/>
          <w:sz w:val="16"/>
          <w:szCs w:val="16"/>
          <w:lang w:eastAsia="en-US"/>
        </w:rPr>
        <w:t xml:space="preserve"> The 2019–20</w:t>
      </w:r>
      <w:r>
        <w:rPr>
          <w:rFonts w:eastAsiaTheme="minorHAnsi"/>
          <w:color w:val="0D0D0D"/>
          <w:sz w:val="16"/>
          <w:szCs w:val="16"/>
          <w:lang w:eastAsia="en-US"/>
        </w:rPr>
        <w:t>20</w:t>
      </w:r>
      <w:r w:rsidRPr="00D7752C">
        <w:rPr>
          <w:rFonts w:eastAsiaTheme="minorHAnsi"/>
          <w:color w:val="0D0D0D"/>
          <w:sz w:val="16"/>
          <w:szCs w:val="16"/>
          <w:lang w:eastAsia="en-US"/>
        </w:rPr>
        <w:t xml:space="preserve"> target is from the 2019–</w:t>
      </w:r>
      <w:r>
        <w:rPr>
          <w:rFonts w:eastAsiaTheme="minorHAnsi"/>
          <w:color w:val="0D0D0D"/>
          <w:sz w:val="16"/>
          <w:szCs w:val="16"/>
          <w:lang w:eastAsia="en-US"/>
        </w:rPr>
        <w:t>20</w:t>
      </w:r>
      <w:r w:rsidRPr="00D7752C">
        <w:rPr>
          <w:rFonts w:eastAsiaTheme="minorHAnsi"/>
          <w:color w:val="0D0D0D"/>
          <w:sz w:val="16"/>
          <w:szCs w:val="16"/>
          <w:lang w:eastAsia="en-US"/>
        </w:rPr>
        <w:t>23 Corporate Plan (p.43).</w:t>
      </w:r>
    </w:p>
  </w:footnote>
  <w:footnote w:id="14">
    <w:p w14:paraId="74DD35E1" w14:textId="0322F6CE" w:rsidR="00D97797" w:rsidRPr="00D7752C" w:rsidRDefault="00D97797" w:rsidP="00D7752C">
      <w:pPr>
        <w:rPr>
          <w:rFonts w:eastAsia="Georgia"/>
          <w:sz w:val="16"/>
          <w:szCs w:val="16"/>
          <w:vertAlign w:val="superscript"/>
          <w:lang w:eastAsia="en-US"/>
        </w:rPr>
      </w:pPr>
      <w:r w:rsidRPr="00D7752C">
        <w:rPr>
          <w:rStyle w:val="FootnoteReference"/>
          <w:sz w:val="16"/>
          <w:szCs w:val="16"/>
        </w:rPr>
        <w:footnoteRef/>
      </w:r>
      <w:r w:rsidRPr="00D7752C">
        <w:rPr>
          <w:sz w:val="16"/>
          <w:szCs w:val="16"/>
        </w:rPr>
        <w:t xml:space="preserve"> </w:t>
      </w:r>
      <w:r w:rsidRPr="00D7752C">
        <w:rPr>
          <w:rFonts w:eastAsiaTheme="minorHAnsi"/>
          <w:color w:val="0D0D0D"/>
          <w:sz w:val="16"/>
          <w:szCs w:val="16"/>
          <w:lang w:eastAsia="en-US"/>
        </w:rPr>
        <w:t>Result is for the survey outcomes in March 2020.</w:t>
      </w:r>
      <w:r w:rsidRPr="00D7752C">
        <w:rPr>
          <w:rFonts w:eastAsia="Georgia"/>
          <w:sz w:val="16"/>
          <w:szCs w:val="16"/>
          <w:vertAlign w:val="superscript"/>
          <w:lang w:eastAsia="en-US"/>
        </w:rPr>
        <w:t xml:space="preserve"> </w:t>
      </w:r>
      <w:r w:rsidRPr="00D7752C">
        <w:rPr>
          <w:rFonts w:eastAsiaTheme="minorHAnsi"/>
          <w:color w:val="0D0D0D"/>
          <w:sz w:val="16"/>
          <w:szCs w:val="16"/>
          <w:lang w:eastAsia="en-US"/>
        </w:rPr>
        <w:t>The 2019– 20 target is from the 2019–</w:t>
      </w:r>
      <w:r>
        <w:rPr>
          <w:rFonts w:eastAsiaTheme="minorHAnsi"/>
          <w:color w:val="0D0D0D"/>
          <w:sz w:val="16"/>
          <w:szCs w:val="16"/>
          <w:lang w:eastAsia="en-US"/>
        </w:rPr>
        <w:t>20</w:t>
      </w:r>
      <w:r w:rsidRPr="00D7752C">
        <w:rPr>
          <w:rFonts w:eastAsiaTheme="minorHAnsi"/>
          <w:color w:val="0D0D0D"/>
          <w:sz w:val="16"/>
          <w:szCs w:val="16"/>
          <w:lang w:eastAsia="en-US"/>
        </w:rPr>
        <w:t>23 Corporate Plan (p.43).</w:t>
      </w:r>
    </w:p>
  </w:footnote>
  <w:footnote w:id="15">
    <w:p w14:paraId="6568DEF0" w14:textId="77777777" w:rsidR="00D97797" w:rsidRPr="00D7752C" w:rsidRDefault="00D97797" w:rsidP="00D7752C">
      <w:pPr>
        <w:pStyle w:val="Footnotes"/>
        <w:ind w:left="709"/>
        <w:rPr>
          <w:rFonts w:eastAsia="Times New Roman"/>
          <w:sz w:val="16"/>
          <w:szCs w:val="16"/>
          <w:lang w:eastAsia="en-US"/>
        </w:rPr>
      </w:pPr>
      <w:r w:rsidRPr="00D7752C">
        <w:rPr>
          <w:rStyle w:val="FootnoteReference"/>
          <w:sz w:val="16"/>
          <w:szCs w:val="16"/>
        </w:rPr>
        <w:footnoteRef/>
      </w:r>
      <w:r w:rsidRPr="00D7752C">
        <w:rPr>
          <w:sz w:val="16"/>
          <w:szCs w:val="16"/>
        </w:rPr>
        <w:t xml:space="preserve"> Percentage of employees positive about working at the NDIA.</w:t>
      </w:r>
    </w:p>
  </w:footnote>
  <w:footnote w:id="16">
    <w:p w14:paraId="033D941A" w14:textId="20FF4328"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NDIA Board. Dr Nugent appointed to the ICTD Committee 17 February 2020</w:t>
      </w:r>
      <w:r>
        <w:rPr>
          <w:sz w:val="16"/>
          <w:szCs w:val="16"/>
        </w:rPr>
        <w:t>.</w:t>
      </w:r>
    </w:p>
  </w:footnote>
  <w:footnote w:id="17">
    <w:p w14:paraId="6C676709" w14:textId="3FEE2685"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Risk Committee</w:t>
      </w:r>
      <w:r>
        <w:rPr>
          <w:sz w:val="16"/>
          <w:szCs w:val="16"/>
        </w:rPr>
        <w:t>.</w:t>
      </w:r>
    </w:p>
  </w:footnote>
  <w:footnote w:id="18">
    <w:p w14:paraId="55E8A9F3" w14:textId="445968A1"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Sustainability Committee</w:t>
      </w:r>
      <w:r>
        <w:rPr>
          <w:sz w:val="16"/>
          <w:szCs w:val="16"/>
        </w:rPr>
        <w:t>.</w:t>
      </w:r>
    </w:p>
  </w:footnote>
  <w:footnote w:id="19">
    <w:p w14:paraId="59CCAC69" w14:textId="60246D22"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ICTD Committee</w:t>
      </w:r>
      <w:r>
        <w:rPr>
          <w:sz w:val="16"/>
          <w:szCs w:val="16"/>
        </w:rPr>
        <w:t>.</w:t>
      </w:r>
    </w:p>
  </w:footnote>
  <w:footnote w:id="20">
    <w:p w14:paraId="1BFF2FE2" w14:textId="63AF4E45"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Audit Committee</w:t>
      </w:r>
      <w:r>
        <w:rPr>
          <w:sz w:val="16"/>
          <w:szCs w:val="16"/>
        </w:rPr>
        <w:t>.</w:t>
      </w:r>
    </w:p>
  </w:footnote>
  <w:footnote w:id="21">
    <w:p w14:paraId="27DCAE9F" w14:textId="2C4EABF5"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Mr Langoulant appointed to the Risk Committee 17 February 2020</w:t>
      </w:r>
      <w:r>
        <w:rPr>
          <w:sz w:val="16"/>
          <w:szCs w:val="16"/>
        </w:rPr>
        <w:t>.</w:t>
      </w:r>
    </w:p>
  </w:footnote>
  <w:footnote w:id="22">
    <w:p w14:paraId="5823C21B" w14:textId="77777777"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Ms Staines’ term with the NDIA Board was not renewed after December 2019. Ms Staines’ term ended on 31 December 2019.</w:t>
      </w:r>
    </w:p>
  </w:footnote>
  <w:footnote w:id="23">
    <w:p w14:paraId="6EDA766C" w14:textId="3E6DB5B0"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Chairman of the People and Remuneration Committee</w:t>
      </w:r>
      <w:r>
        <w:rPr>
          <w:sz w:val="16"/>
          <w:szCs w:val="16"/>
        </w:rPr>
        <w:t>.</w:t>
      </w:r>
    </w:p>
  </w:footnote>
  <w:footnote w:id="24">
    <w:p w14:paraId="4DFE0DA9" w14:textId="1532FF9A"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Dr Laverty’s term with the NDIA Board was not renewed after June 2020. Dr Laverty’s term ended on 30 June 2020.</w:t>
      </w:r>
    </w:p>
  </w:footnote>
  <w:footnote w:id="25">
    <w:p w14:paraId="265EF320" w14:textId="458C92E1"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Mr Keys appointed </w:t>
      </w:r>
      <w:r>
        <w:rPr>
          <w:sz w:val="16"/>
          <w:szCs w:val="16"/>
        </w:rPr>
        <w:t>to the People and Remuneration C</w:t>
      </w:r>
      <w:r w:rsidRPr="00D7752C">
        <w:rPr>
          <w:sz w:val="16"/>
          <w:szCs w:val="16"/>
        </w:rPr>
        <w:t xml:space="preserve">ommittee 17 February 2020. </w:t>
      </w:r>
    </w:p>
  </w:footnote>
  <w:footnote w:id="26">
    <w:p w14:paraId="23A1C73A" w14:textId="77777777" w:rsidR="00D97797" w:rsidRPr="00D7752C" w:rsidRDefault="00D97797" w:rsidP="00D4656B">
      <w:pPr>
        <w:pStyle w:val="FootnoteText"/>
        <w:rPr>
          <w:sz w:val="16"/>
          <w:szCs w:val="16"/>
        </w:rPr>
      </w:pPr>
      <w:r w:rsidRPr="00D7752C">
        <w:rPr>
          <w:rStyle w:val="FootnoteReference"/>
          <w:sz w:val="16"/>
          <w:szCs w:val="16"/>
        </w:rPr>
        <w:footnoteRef/>
      </w:r>
      <w:r w:rsidRPr="00D7752C">
        <w:rPr>
          <w:sz w:val="16"/>
          <w:szCs w:val="16"/>
        </w:rPr>
        <w:t xml:space="preserve"> Professor Burns commenced with the NDIA Board January 2020. </w:t>
      </w:r>
    </w:p>
  </w:footnote>
  <w:footnote w:id="27">
    <w:p w14:paraId="1064C32E" w14:textId="74A52F84" w:rsidR="00D97797" w:rsidRPr="00D7752C" w:rsidRDefault="00D97797" w:rsidP="00561B3B">
      <w:pPr>
        <w:pStyle w:val="FootnoteText"/>
        <w:rPr>
          <w:sz w:val="16"/>
          <w:szCs w:val="16"/>
        </w:rPr>
      </w:pPr>
      <w:r w:rsidRPr="00D7752C">
        <w:rPr>
          <w:rStyle w:val="FootnoteReference"/>
          <w:sz w:val="16"/>
          <w:szCs w:val="16"/>
        </w:rPr>
        <w:footnoteRef/>
      </w:r>
      <w:r w:rsidRPr="00D7752C">
        <w:rPr>
          <w:rFonts w:eastAsiaTheme="minorHAnsi"/>
          <w:sz w:val="16"/>
          <w:szCs w:val="16"/>
          <w:lang w:eastAsia="en-US"/>
        </w:rPr>
        <w:t>The three-year term of the current council expired on 30 June 2020</w:t>
      </w:r>
    </w:p>
  </w:footnote>
  <w:footnote w:id="28">
    <w:p w14:paraId="26FF2412" w14:textId="77777777" w:rsidR="00D97797" w:rsidRPr="00F21FDC" w:rsidRDefault="00D97797" w:rsidP="00F21FDC">
      <w:pPr>
        <w:rPr>
          <w:rFonts w:asciiTheme="minorHAnsi" w:hAnsiTheme="minorHAnsi" w:cstheme="minorHAnsi"/>
          <w:color w:val="000000"/>
          <w:spacing w:val="4"/>
          <w:sz w:val="16"/>
          <w:szCs w:val="16"/>
        </w:rPr>
      </w:pPr>
      <w:r w:rsidRPr="00F21FDC">
        <w:rPr>
          <w:rStyle w:val="FootnoteReference"/>
          <w:rFonts w:asciiTheme="minorHAnsi" w:hAnsiTheme="minorHAnsi" w:cstheme="minorHAnsi"/>
          <w:sz w:val="16"/>
          <w:szCs w:val="16"/>
        </w:rPr>
        <w:footnoteRef/>
      </w:r>
      <w:r w:rsidRPr="00F21FDC">
        <w:rPr>
          <w:rFonts w:asciiTheme="minorHAnsi" w:hAnsiTheme="minorHAnsi" w:cstheme="minorHAnsi"/>
          <w:sz w:val="16"/>
          <w:szCs w:val="16"/>
        </w:rPr>
        <w:t xml:space="preserve"> </w:t>
      </w:r>
      <w:r w:rsidRPr="00F21FDC">
        <w:rPr>
          <w:rFonts w:asciiTheme="minorHAnsi" w:hAnsiTheme="minorHAnsi" w:cstheme="minorHAnsi"/>
          <w:b/>
          <w:bCs/>
          <w:sz w:val="16"/>
          <w:szCs w:val="16"/>
        </w:rPr>
        <w:t>Engagement Index</w:t>
      </w:r>
      <w:r w:rsidRPr="00F21FDC">
        <w:rPr>
          <w:rFonts w:asciiTheme="minorHAnsi" w:hAnsiTheme="minorHAnsi" w:cstheme="minorHAnsi"/>
          <w:sz w:val="16"/>
          <w:szCs w:val="16"/>
        </w:rPr>
        <w:t xml:space="preserve"> definition - t</w:t>
      </w:r>
      <w:r w:rsidRPr="00F21FDC">
        <w:rPr>
          <w:rFonts w:asciiTheme="minorHAnsi" w:hAnsiTheme="minorHAnsi" w:cstheme="minorHAnsi"/>
          <w:color w:val="000000"/>
          <w:spacing w:val="4"/>
          <w:sz w:val="16"/>
          <w:szCs w:val="16"/>
        </w:rPr>
        <w:t>he index measures the emotional connection and commitment employees have to working for their organisation. It comprises three elements:</w:t>
      </w:r>
    </w:p>
    <w:p w14:paraId="25179BE2" w14:textId="1AA4ACE6" w:rsidR="00D97797" w:rsidRPr="00F21FDC" w:rsidRDefault="00D97797" w:rsidP="00F21FDC">
      <w:pPr>
        <w:numPr>
          <w:ilvl w:val="0"/>
          <w:numId w:val="18"/>
        </w:numPr>
        <w:spacing w:before="0" w:after="0"/>
        <w:ind w:left="1134"/>
        <w:rPr>
          <w:rFonts w:asciiTheme="minorHAnsi" w:hAnsiTheme="minorHAnsi" w:cstheme="minorHAnsi"/>
          <w:color w:val="000000"/>
          <w:spacing w:val="4"/>
          <w:sz w:val="16"/>
          <w:szCs w:val="16"/>
        </w:rPr>
      </w:pPr>
      <w:r w:rsidRPr="00F21FDC">
        <w:rPr>
          <w:rStyle w:val="Strong"/>
          <w:rFonts w:asciiTheme="minorHAnsi" w:hAnsiTheme="minorHAnsi" w:cstheme="minorHAnsi"/>
          <w:color w:val="000000"/>
          <w:spacing w:val="4"/>
          <w:sz w:val="16"/>
          <w:szCs w:val="16"/>
        </w:rPr>
        <w:t>Say</w:t>
      </w:r>
      <w:r>
        <w:rPr>
          <w:rStyle w:val="Strong"/>
          <w:rFonts w:asciiTheme="minorHAnsi" w:hAnsiTheme="minorHAnsi" w:cstheme="minorHAnsi"/>
          <w:color w:val="000000"/>
          <w:spacing w:val="4"/>
          <w:sz w:val="16"/>
          <w:szCs w:val="16"/>
        </w:rPr>
        <w:t xml:space="preserve"> - </w:t>
      </w:r>
      <w:r w:rsidRPr="00F21FDC">
        <w:rPr>
          <w:rFonts w:asciiTheme="minorHAnsi" w:hAnsiTheme="minorHAnsi" w:cstheme="minorHAnsi"/>
          <w:color w:val="000000"/>
          <w:spacing w:val="4"/>
          <w:sz w:val="16"/>
          <w:szCs w:val="16"/>
        </w:rPr>
        <w:t>the extent to which team members are advocates of the organisation.</w:t>
      </w:r>
    </w:p>
    <w:p w14:paraId="4495AF42" w14:textId="3ED60113" w:rsidR="00D97797" w:rsidRPr="00F21FDC" w:rsidRDefault="00D97797" w:rsidP="00F21FDC">
      <w:pPr>
        <w:numPr>
          <w:ilvl w:val="0"/>
          <w:numId w:val="18"/>
        </w:numPr>
        <w:spacing w:before="0" w:after="0"/>
        <w:ind w:left="1134"/>
        <w:rPr>
          <w:rFonts w:asciiTheme="minorHAnsi" w:hAnsiTheme="minorHAnsi" w:cstheme="minorHAnsi"/>
          <w:sz w:val="16"/>
          <w:szCs w:val="16"/>
        </w:rPr>
      </w:pPr>
      <w:r w:rsidRPr="00F21FDC">
        <w:rPr>
          <w:rStyle w:val="Strong"/>
          <w:rFonts w:asciiTheme="minorHAnsi" w:hAnsiTheme="minorHAnsi" w:cstheme="minorHAnsi"/>
          <w:color w:val="000000"/>
          <w:spacing w:val="4"/>
          <w:sz w:val="16"/>
          <w:szCs w:val="16"/>
        </w:rPr>
        <w:t>Stay</w:t>
      </w:r>
      <w:r>
        <w:rPr>
          <w:rStyle w:val="Strong"/>
          <w:rFonts w:asciiTheme="minorHAnsi" w:hAnsiTheme="minorHAnsi" w:cstheme="minorHAnsi"/>
          <w:color w:val="000000"/>
          <w:spacing w:val="4"/>
          <w:sz w:val="16"/>
          <w:szCs w:val="16"/>
        </w:rPr>
        <w:t xml:space="preserve"> - </w:t>
      </w:r>
      <w:r w:rsidRPr="00F21FDC">
        <w:rPr>
          <w:rFonts w:asciiTheme="minorHAnsi" w:hAnsiTheme="minorHAnsi" w:cstheme="minorHAnsi"/>
          <w:color w:val="000000"/>
          <w:spacing w:val="4"/>
          <w:sz w:val="16"/>
          <w:szCs w:val="16"/>
        </w:rPr>
        <w:t>the extent to which team members are committed to the organisation and want to stay.</w:t>
      </w:r>
    </w:p>
    <w:p w14:paraId="03BD5128" w14:textId="5E003ECC" w:rsidR="00D97797" w:rsidRPr="00F21FDC" w:rsidRDefault="00D97797" w:rsidP="00F21FDC">
      <w:pPr>
        <w:numPr>
          <w:ilvl w:val="0"/>
          <w:numId w:val="18"/>
        </w:numPr>
        <w:spacing w:before="0" w:after="0"/>
        <w:ind w:left="1134"/>
        <w:rPr>
          <w:rFonts w:asciiTheme="minorHAnsi" w:hAnsiTheme="minorHAnsi" w:cstheme="minorHAnsi"/>
          <w:sz w:val="16"/>
          <w:szCs w:val="16"/>
        </w:rPr>
      </w:pPr>
      <w:r w:rsidRPr="00F21FDC">
        <w:rPr>
          <w:rStyle w:val="Strong"/>
          <w:rFonts w:asciiTheme="minorHAnsi" w:hAnsiTheme="minorHAnsi" w:cstheme="minorHAnsi"/>
          <w:color w:val="000000"/>
          <w:spacing w:val="4"/>
          <w:sz w:val="16"/>
          <w:szCs w:val="16"/>
        </w:rPr>
        <w:t>Strive</w:t>
      </w:r>
      <w:r>
        <w:rPr>
          <w:rStyle w:val="Strong"/>
          <w:rFonts w:asciiTheme="minorHAnsi" w:hAnsiTheme="minorHAnsi" w:cstheme="minorHAnsi"/>
          <w:color w:val="000000"/>
          <w:spacing w:val="4"/>
          <w:sz w:val="16"/>
          <w:szCs w:val="16"/>
        </w:rPr>
        <w:t xml:space="preserve"> - </w:t>
      </w:r>
      <w:r w:rsidRPr="00F21FDC">
        <w:rPr>
          <w:rFonts w:asciiTheme="minorHAnsi" w:hAnsiTheme="minorHAnsi" w:cstheme="minorHAnsi"/>
          <w:color w:val="000000"/>
          <w:spacing w:val="4"/>
          <w:sz w:val="16"/>
          <w:szCs w:val="16"/>
        </w:rPr>
        <w:t>the extent to which team members are willing to put in discretionary effort to excel in their jobs and help the organisation succeed.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9152" w14:textId="77777777" w:rsidR="00D97797" w:rsidRDefault="00D97797" w:rsidP="00125069">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D37F1D">
      <w:t xml:space="preserve"> Scheme Launch Transition Agency</w:t>
    </w:r>
    <w:r>
      <w:fldChar w:fldCharType="end"/>
    </w:r>
  </w:p>
  <w:p w14:paraId="3131F951" w14:textId="77777777" w:rsidR="00D97797" w:rsidRDefault="00D97797" w:rsidP="00125069">
    <w:pPr>
      <w:pStyle w:val="StatementHeading"/>
      <w:rPr>
        <w:rFonts w:cs="Arial"/>
        <w:szCs w:val="24"/>
      </w:rPr>
    </w:pPr>
    <w:r>
      <w:rPr>
        <w:rFonts w:cs="Arial"/>
        <w:szCs w:val="24"/>
      </w:rPr>
      <w:t>STATEMENT OF COMPREHENSIVE INCOME</w:t>
    </w:r>
  </w:p>
  <w:p w14:paraId="65365C16" w14:textId="77777777" w:rsidR="00D97797" w:rsidRDefault="00D97797" w:rsidP="00125069">
    <w:pPr>
      <w:pStyle w:val="StatementDateHeader"/>
    </w:pPr>
    <w:r>
      <w:rPr>
        <w:rFonts w:cs="Arial"/>
        <w:szCs w:val="24"/>
      </w:rPr>
      <w:t xml:space="preserve">for the year ended </w:t>
    </w:r>
    <w:r>
      <w:t xml:space="preserve">30 June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2020</w:t>
    </w:r>
    <w:r>
      <w:rPr>
        <w:rFonts w:cs="Arial"/>
        <w:szCs w:val="24"/>
      </w:rPr>
      <w:fldChar w:fldCharType="end"/>
    </w:r>
  </w:p>
  <w:p w14:paraId="7B257C0A" w14:textId="77777777" w:rsidR="00D97797" w:rsidRDefault="00D977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BD6AF" w14:textId="77777777" w:rsidR="00D97797" w:rsidRDefault="00D9779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5FE77" w14:textId="794EA968" w:rsidR="00D97797" w:rsidRPr="00990DB5" w:rsidRDefault="00D97797" w:rsidP="00361BA1">
    <w:pPr>
      <w:pStyle w:val="StatementHeading"/>
      <w:rPr>
        <w:szCs w:val="24"/>
      </w:rPr>
    </w:pPr>
    <w:r>
      <w:rPr>
        <w:szCs w:val="24"/>
      </w:rPr>
      <w:fldChar w:fldCharType="begin"/>
    </w:r>
    <w:r>
      <w:rPr>
        <w:szCs w:val="24"/>
      </w:rPr>
      <w:instrText xml:space="preserve"> DOCPROPERTY  longName  \* MERGEFORMAT </w:instrText>
    </w:r>
    <w:r>
      <w:rPr>
        <w:szCs w:val="24"/>
      </w:rPr>
      <w:fldChar w:fldCharType="separate"/>
    </w:r>
    <w:r>
      <w:rPr>
        <w:szCs w:val="24"/>
      </w:rPr>
      <w:t>National Disability Insurance Scheme</w:t>
    </w:r>
    <w:r w:rsidRPr="00D37F1D">
      <w:t xml:space="preserve"> Launch Transition Agency</w:t>
    </w:r>
    <w:r>
      <w:fldChar w:fldCharType="end"/>
    </w:r>
  </w:p>
  <w:p w14:paraId="561FEACE" w14:textId="77777777" w:rsidR="00D97797" w:rsidRPr="00990DB5" w:rsidRDefault="00D97797" w:rsidP="00361BA1">
    <w:pPr>
      <w:pStyle w:val="StatementName"/>
    </w:pPr>
    <w:r w:rsidRPr="00990DB5">
      <w:t>NOTES TO AND FORMING PART OF THE FINANCIAL STATEMENTS</w:t>
    </w:r>
  </w:p>
  <w:p w14:paraId="217FB6EE" w14:textId="77777777" w:rsidR="00D97797" w:rsidRPr="00F02C4F" w:rsidRDefault="00D97797" w:rsidP="00361BA1">
    <w:pPr>
      <w:rPr>
        <w:b/>
        <w:sz w:val="14"/>
        <w:szCs w:val="1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2292D" w14:textId="77777777" w:rsidR="00D97797" w:rsidRDefault="00D9779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D193" w14:textId="719E69F7" w:rsidR="00D97797" w:rsidRPr="00990DB5" w:rsidRDefault="00D97797" w:rsidP="00361BA1">
    <w:pPr>
      <w:pStyle w:val="StatementHeading"/>
      <w:rPr>
        <w:szCs w:val="24"/>
      </w:rPr>
    </w:pPr>
    <w:r>
      <w:rPr>
        <w:szCs w:val="24"/>
      </w:rPr>
      <w:fldChar w:fldCharType="begin"/>
    </w:r>
    <w:r>
      <w:rPr>
        <w:szCs w:val="24"/>
      </w:rPr>
      <w:instrText xml:space="preserve"> DOCPROPERTY  longName  \* MERGEFORMAT </w:instrText>
    </w:r>
    <w:r>
      <w:rPr>
        <w:szCs w:val="24"/>
      </w:rPr>
      <w:fldChar w:fldCharType="separate"/>
    </w:r>
    <w:r>
      <w:rPr>
        <w:szCs w:val="24"/>
      </w:rPr>
      <w:t>National Disability Insurance Scheme</w:t>
    </w:r>
    <w:r w:rsidRPr="00D37F1D">
      <w:t xml:space="preserve"> Launch Transition Agency</w:t>
    </w:r>
    <w:r>
      <w:fldChar w:fldCharType="end"/>
    </w:r>
  </w:p>
  <w:p w14:paraId="142CCE06" w14:textId="77777777" w:rsidR="00D97797" w:rsidRPr="00990DB5" w:rsidRDefault="00D97797" w:rsidP="00361BA1">
    <w:pPr>
      <w:pStyle w:val="StatementName"/>
    </w:pPr>
    <w:r w:rsidRPr="00990DB5">
      <w:t>NOTES TO AND FORMING PART OF THE FINANCIAL STATEMENTS</w:t>
    </w:r>
  </w:p>
  <w:p w14:paraId="15E86997" w14:textId="77777777" w:rsidR="00D97797" w:rsidRPr="00F02C4F" w:rsidRDefault="00D97797" w:rsidP="00361BA1">
    <w:pPr>
      <w:rPr>
        <w:b/>
        <w:sz w:val="14"/>
        <w:szCs w:val="14"/>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5509E" w14:textId="77777777" w:rsidR="00D97797" w:rsidRPr="00126F6F" w:rsidRDefault="00D97797" w:rsidP="00126F6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A4A8D" w14:textId="77777777" w:rsidR="00D97797" w:rsidRPr="00F02C4F" w:rsidRDefault="00D97797" w:rsidP="00A322F6">
    <w:pPr>
      <w:ind w:left="0"/>
      <w:rPr>
        <w:b/>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8B641" w14:textId="77777777" w:rsidR="00D97797" w:rsidRDefault="00D97797" w:rsidP="00125069">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D37F1D">
      <w:t xml:space="preserve"> Scheme Launch Transition Agency</w:t>
    </w:r>
    <w:r>
      <w:fldChar w:fldCharType="end"/>
    </w:r>
  </w:p>
  <w:p w14:paraId="4BD498FB" w14:textId="77777777" w:rsidR="00D97797" w:rsidRDefault="00D97797" w:rsidP="00125069">
    <w:pPr>
      <w:pStyle w:val="StatementHeading"/>
      <w:rPr>
        <w:rFonts w:cs="Arial"/>
        <w:szCs w:val="24"/>
      </w:rPr>
    </w:pPr>
    <w:r>
      <w:rPr>
        <w:rFonts w:cs="Arial"/>
        <w:szCs w:val="24"/>
      </w:rPr>
      <w:t>STATEMENT OF FINANCIAL POSITION</w:t>
    </w:r>
  </w:p>
  <w:p w14:paraId="35FDA5F5" w14:textId="77777777" w:rsidR="00D97797" w:rsidRDefault="00D97797" w:rsidP="00125069">
    <w:pPr>
      <w:pStyle w:val="StatementDateHeader"/>
    </w:pPr>
    <w:r>
      <w:rPr>
        <w:rFonts w:cs="Arial"/>
        <w:szCs w:val="24"/>
      </w:rPr>
      <w:t>as at 30 June 2020</w:t>
    </w:r>
  </w:p>
  <w:p w14:paraId="1035941F" w14:textId="628A16EA" w:rsidR="00D97797" w:rsidRDefault="00D97797" w:rsidP="0024339B">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932C" w14:textId="77777777" w:rsidR="00D97797" w:rsidRDefault="00D97797" w:rsidP="0048177E">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D37F1D">
      <w:t xml:space="preserve"> Scheme Launch Transition Agency</w:t>
    </w:r>
    <w:r>
      <w:fldChar w:fldCharType="end"/>
    </w:r>
  </w:p>
  <w:p w14:paraId="7F51E1D0" w14:textId="77777777" w:rsidR="00D97797" w:rsidRDefault="00D97797" w:rsidP="0048177E">
    <w:pPr>
      <w:pStyle w:val="StatementHeading"/>
      <w:rPr>
        <w:rFonts w:cs="Arial"/>
        <w:szCs w:val="24"/>
      </w:rPr>
    </w:pPr>
    <w:r>
      <w:rPr>
        <w:rFonts w:cs="Arial"/>
        <w:szCs w:val="24"/>
      </w:rPr>
      <w:t>STATEMENT OF FINANCIAL POSITION</w:t>
    </w:r>
  </w:p>
  <w:p w14:paraId="0350D8CF" w14:textId="77777777" w:rsidR="00D97797" w:rsidRDefault="00D97797" w:rsidP="0048177E">
    <w:pPr>
      <w:pStyle w:val="StatementDateHeader"/>
    </w:pPr>
    <w:r>
      <w:rPr>
        <w:rFonts w:cs="Arial"/>
        <w:szCs w:val="24"/>
      </w:rPr>
      <w:t>as at 30 June 2020</w:t>
    </w:r>
  </w:p>
  <w:p w14:paraId="3B892E20" w14:textId="21E80A19" w:rsidR="00D97797" w:rsidRDefault="00D97797" w:rsidP="0024339B">
    <w:pPr>
      <w:pStyle w:val="Header"/>
      <w:ind w:left="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3FC72" w14:textId="77777777" w:rsidR="00D97797" w:rsidRDefault="00D97797" w:rsidP="00361BA1">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D37F1D">
      <w:t xml:space="preserve"> Scheme Launch Transition Agency</w:t>
    </w:r>
    <w:r>
      <w:fldChar w:fldCharType="end"/>
    </w:r>
  </w:p>
  <w:p w14:paraId="640876E8" w14:textId="77777777" w:rsidR="00D97797" w:rsidRDefault="00D97797" w:rsidP="00361BA1">
    <w:pPr>
      <w:pStyle w:val="StatementHeading"/>
      <w:rPr>
        <w:rFonts w:cs="Arial"/>
        <w:szCs w:val="24"/>
      </w:rPr>
    </w:pPr>
    <w:r>
      <w:rPr>
        <w:rFonts w:cs="Arial"/>
        <w:szCs w:val="24"/>
      </w:rPr>
      <w:t>STATEMENT OF CHANGES IN EQUITY</w:t>
    </w:r>
  </w:p>
  <w:p w14:paraId="33C685C9" w14:textId="77777777" w:rsidR="00D97797" w:rsidRDefault="00D97797" w:rsidP="00361BA1">
    <w:pPr>
      <w:pStyle w:val="StatementDateHeader"/>
    </w:pPr>
    <w:r>
      <w:rPr>
        <w:rFonts w:cs="Arial"/>
        <w:szCs w:val="24"/>
      </w:rPr>
      <w:t xml:space="preserve">as at </w:t>
    </w:r>
    <w:r>
      <w:t xml:space="preserve">30 June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2020</w:t>
    </w:r>
    <w:r>
      <w:rPr>
        <w:rFonts w:cs="Arial"/>
        <w:szCs w:val="24"/>
      </w:rPr>
      <w:fldChar w:fldCharType="end"/>
    </w:r>
  </w:p>
  <w:p w14:paraId="03ECBBB6" w14:textId="3B72F3B4" w:rsidR="00D97797" w:rsidRDefault="00D97797" w:rsidP="0024339B">
    <w:pPr>
      <w:pStyle w:val="Header"/>
      <w:ind w:left="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FE4C" w14:textId="77777777" w:rsidR="00D97797" w:rsidRPr="00361BA1" w:rsidRDefault="00D97797" w:rsidP="00361BA1">
    <w:pPr>
      <w:spacing w:before="0" w:after="0" w:line="260" w:lineRule="atLeast"/>
      <w:ind w:left="0"/>
      <w:rPr>
        <w:rFonts w:eastAsia="Times New Roman"/>
        <w:b/>
        <w:sz w:val="24"/>
        <w:szCs w:val="24"/>
        <w:lang w:eastAsia="en-US"/>
      </w:rPr>
    </w:pPr>
    <w:r w:rsidRPr="00361BA1">
      <w:rPr>
        <w:rFonts w:eastAsia="Times New Roman"/>
        <w:b/>
        <w:sz w:val="24"/>
        <w:szCs w:val="24"/>
        <w:lang w:eastAsia="en-US"/>
      </w:rPr>
      <w:fldChar w:fldCharType="begin"/>
    </w:r>
    <w:r w:rsidRPr="00361BA1">
      <w:rPr>
        <w:rFonts w:eastAsia="Times New Roman"/>
        <w:b/>
        <w:sz w:val="24"/>
        <w:szCs w:val="24"/>
        <w:lang w:eastAsia="en-US"/>
      </w:rPr>
      <w:instrText xml:space="preserve"> DOCPROPERTY  longName  \* MERGEFORMAT </w:instrText>
    </w:r>
    <w:r w:rsidRPr="00361BA1">
      <w:rPr>
        <w:rFonts w:eastAsia="Times New Roman"/>
        <w:b/>
        <w:sz w:val="24"/>
        <w:szCs w:val="24"/>
        <w:lang w:eastAsia="en-US"/>
      </w:rPr>
      <w:fldChar w:fldCharType="separate"/>
    </w:r>
    <w:r w:rsidRPr="00361BA1">
      <w:rPr>
        <w:rFonts w:eastAsia="Times New Roman"/>
        <w:b/>
        <w:sz w:val="24"/>
        <w:szCs w:val="24"/>
        <w:lang w:eastAsia="en-US"/>
      </w:rPr>
      <w:t>National Disability Insurance</w:t>
    </w:r>
    <w:r w:rsidRPr="00361BA1">
      <w:rPr>
        <w:rFonts w:eastAsia="Times New Roman" w:cs="Times New Roman"/>
        <w:b/>
        <w:sz w:val="24"/>
        <w:szCs w:val="20"/>
        <w:lang w:eastAsia="en-US"/>
      </w:rPr>
      <w:t xml:space="preserve"> Scheme Launch Transition Agency</w:t>
    </w:r>
    <w:r w:rsidRPr="00361BA1">
      <w:rPr>
        <w:rFonts w:eastAsia="Times New Roman" w:cs="Times New Roman"/>
        <w:b/>
        <w:sz w:val="24"/>
        <w:szCs w:val="20"/>
        <w:lang w:eastAsia="en-US"/>
      </w:rPr>
      <w:fldChar w:fldCharType="end"/>
    </w:r>
  </w:p>
  <w:p w14:paraId="0B5999EE" w14:textId="77777777" w:rsidR="00D97797" w:rsidRPr="00361BA1" w:rsidRDefault="00D97797" w:rsidP="00361BA1">
    <w:pPr>
      <w:spacing w:before="0" w:after="0" w:line="260" w:lineRule="atLeast"/>
      <w:ind w:left="0"/>
      <w:rPr>
        <w:rFonts w:eastAsia="Times New Roman"/>
        <w:b/>
        <w:sz w:val="24"/>
        <w:szCs w:val="24"/>
        <w:lang w:eastAsia="en-US"/>
      </w:rPr>
    </w:pPr>
    <w:r w:rsidRPr="00361BA1">
      <w:rPr>
        <w:rFonts w:eastAsia="Times New Roman"/>
        <w:b/>
        <w:sz w:val="24"/>
        <w:szCs w:val="24"/>
        <w:lang w:eastAsia="en-US"/>
      </w:rPr>
      <w:t>STATEMENT OF CHANGES IN EQUITY</w:t>
    </w:r>
  </w:p>
  <w:p w14:paraId="0772FDA8" w14:textId="77777777" w:rsidR="00D97797" w:rsidRPr="00361BA1" w:rsidRDefault="00D97797" w:rsidP="00361BA1">
    <w:pPr>
      <w:pBdr>
        <w:bottom w:val="single" w:sz="4" w:space="1" w:color="auto"/>
      </w:pBdr>
      <w:spacing w:before="0" w:after="0" w:line="260" w:lineRule="atLeast"/>
      <w:ind w:left="0"/>
      <w:rPr>
        <w:rFonts w:eastAsia="Times New Roman" w:cs="Times New Roman"/>
        <w:i/>
        <w:sz w:val="24"/>
        <w:szCs w:val="20"/>
        <w:lang w:eastAsia="en-US"/>
      </w:rPr>
    </w:pPr>
    <w:r w:rsidRPr="00361BA1">
      <w:rPr>
        <w:rFonts w:eastAsia="Times New Roman"/>
        <w:i/>
        <w:sz w:val="24"/>
        <w:szCs w:val="24"/>
        <w:lang w:eastAsia="en-US"/>
      </w:rPr>
      <w:t xml:space="preserve">as at </w:t>
    </w:r>
    <w:r w:rsidRPr="00361BA1">
      <w:rPr>
        <w:rFonts w:eastAsia="Times New Roman" w:cs="Times New Roman"/>
        <w:i/>
        <w:sz w:val="24"/>
        <w:szCs w:val="20"/>
        <w:lang w:eastAsia="en-US"/>
      </w:rPr>
      <w:t xml:space="preserve">30 June </w:t>
    </w:r>
    <w:r w:rsidRPr="00361BA1">
      <w:rPr>
        <w:rFonts w:eastAsia="Times New Roman"/>
        <w:i/>
        <w:sz w:val="24"/>
        <w:szCs w:val="24"/>
        <w:lang w:eastAsia="en-US"/>
      </w:rPr>
      <w:fldChar w:fldCharType="begin"/>
    </w:r>
    <w:r w:rsidRPr="00361BA1">
      <w:rPr>
        <w:rFonts w:eastAsia="Times New Roman"/>
        <w:i/>
        <w:sz w:val="24"/>
        <w:szCs w:val="24"/>
        <w:lang w:eastAsia="en-US"/>
      </w:rPr>
      <w:instrText xml:space="preserve"> DOCPROPERTY  crYear  \* MERGEFORMAT </w:instrText>
    </w:r>
    <w:r w:rsidRPr="00361BA1">
      <w:rPr>
        <w:rFonts w:eastAsia="Times New Roman"/>
        <w:i/>
        <w:sz w:val="24"/>
        <w:szCs w:val="24"/>
        <w:lang w:eastAsia="en-US"/>
      </w:rPr>
      <w:fldChar w:fldCharType="separate"/>
    </w:r>
    <w:r w:rsidRPr="00361BA1">
      <w:rPr>
        <w:rFonts w:eastAsia="Times New Roman"/>
        <w:i/>
        <w:sz w:val="24"/>
        <w:szCs w:val="24"/>
        <w:lang w:eastAsia="en-US"/>
      </w:rPr>
      <w:t>2020</w:t>
    </w:r>
    <w:r w:rsidRPr="00361BA1">
      <w:rPr>
        <w:rFonts w:eastAsia="Times New Roman"/>
        <w:i/>
        <w:sz w:val="24"/>
        <w:szCs w:val="24"/>
        <w:lang w:eastAsia="en-US"/>
      </w:rPr>
      <w:fldChar w:fldCharType="end"/>
    </w:r>
  </w:p>
  <w:p w14:paraId="2103FC67" w14:textId="07011AE9" w:rsidR="00D97797" w:rsidRDefault="00D97797" w:rsidP="0024339B">
    <w:pPr>
      <w:pStyle w:val="Header"/>
      <w:ind w:left="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6B660" w14:textId="77777777" w:rsidR="00D97797" w:rsidRDefault="00D97797" w:rsidP="0048177E">
    <w:pPr>
      <w:pStyle w:val="StatementName"/>
    </w:pPr>
    <w:r>
      <w:t>National Disability Insurance Scheme Launch Transition Agency</w:t>
    </w:r>
  </w:p>
  <w:p w14:paraId="212F4908" w14:textId="3BC54F10" w:rsidR="00D97797" w:rsidRPr="000709AC" w:rsidRDefault="00D97797" w:rsidP="0048177E">
    <w:pPr>
      <w:pStyle w:val="StatementName"/>
      <w:rPr>
        <w:b w:val="0"/>
        <w:i/>
      </w:rPr>
    </w:pPr>
    <w:r>
      <w:t>CASH FLOW STATEMENT</w:t>
    </w:r>
    <w:r>
      <w:br/>
    </w:r>
    <w:r>
      <w:rPr>
        <w:b w:val="0"/>
        <w:i/>
      </w:rPr>
      <w:t>for the year ended 30 June 2020</w:t>
    </w:r>
  </w:p>
  <w:p w14:paraId="2FF1A9D4" w14:textId="3006080B" w:rsidR="00D97797" w:rsidRDefault="00D97797" w:rsidP="0024339B">
    <w:pPr>
      <w:pStyle w:val="Header"/>
      <w:ind w:left="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1D123" w14:textId="77777777" w:rsidR="00D97797" w:rsidRDefault="00D97797" w:rsidP="0048177E">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D37F1D">
      <w:t xml:space="preserve"> Scheme Launch Transition Agency</w:t>
    </w:r>
    <w:r>
      <w:fldChar w:fldCharType="end"/>
    </w:r>
  </w:p>
  <w:p w14:paraId="1AF0F85E" w14:textId="77777777" w:rsidR="00D97797" w:rsidRDefault="00D97797" w:rsidP="0048177E">
    <w:pPr>
      <w:pStyle w:val="StatementHeading"/>
      <w:rPr>
        <w:rFonts w:cs="Arial"/>
        <w:szCs w:val="24"/>
      </w:rPr>
    </w:pPr>
    <w:r>
      <w:rPr>
        <w:szCs w:val="24"/>
      </w:rPr>
      <w:t>CASH FLOW STATEMENT</w:t>
    </w:r>
  </w:p>
  <w:p w14:paraId="29750105" w14:textId="77777777" w:rsidR="00D97797" w:rsidRPr="00990DB5" w:rsidRDefault="00D97797" w:rsidP="0048177E">
    <w:pPr>
      <w:pStyle w:val="StatementDateHeader"/>
    </w:pPr>
    <w:r>
      <w:rPr>
        <w:szCs w:val="24"/>
      </w:rPr>
      <w:t xml:space="preserve">for the year ended </w:t>
    </w:r>
    <w:fldSimple w:instr=" DOCPROPERTY  pEnd  \* MERGEFORMAT ">
      <w:r>
        <w:t>30 June</w:t>
      </w:r>
    </w:fldSimple>
    <w:r>
      <w:t xml:space="preserve"> </w:t>
    </w:r>
    <w:r>
      <w:rPr>
        <w:szCs w:val="24"/>
      </w:rPr>
      <w:fldChar w:fldCharType="begin"/>
    </w:r>
    <w:r>
      <w:rPr>
        <w:szCs w:val="24"/>
      </w:rPr>
      <w:instrText xml:space="preserve"> DOCPROPERTY  crYear  \* MERGEFORMAT </w:instrText>
    </w:r>
    <w:r>
      <w:rPr>
        <w:szCs w:val="24"/>
      </w:rPr>
      <w:fldChar w:fldCharType="separate"/>
    </w:r>
    <w:r>
      <w:rPr>
        <w:szCs w:val="24"/>
      </w:rPr>
      <w:t>2020</w:t>
    </w:r>
    <w:r>
      <w:rPr>
        <w:szCs w:val="24"/>
      </w:rPr>
      <w:fldChar w:fldCharType="end"/>
    </w:r>
  </w:p>
  <w:p w14:paraId="11CB1CB0" w14:textId="17CBB8E6" w:rsidR="00D97797" w:rsidRDefault="00D97797" w:rsidP="0024339B">
    <w:pPr>
      <w:pStyle w:val="Header"/>
      <w:ind w:left="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E13A8" w14:textId="77777777" w:rsidR="00D97797" w:rsidRDefault="00D97797" w:rsidP="00361BA1">
    <w:pPr>
      <w:pStyle w:val="StatementName"/>
    </w:pPr>
    <w:r>
      <w:t>National Disability Insurance Scheme Launch Transition Agency</w:t>
    </w:r>
  </w:p>
  <w:p w14:paraId="63E5156E" w14:textId="77777777" w:rsidR="00D97797" w:rsidRDefault="00D97797" w:rsidP="00361BA1">
    <w:pPr>
      <w:pStyle w:val="StatementName"/>
    </w:pPr>
    <w:r w:rsidRPr="00990DB5">
      <w:t>NOTES TO AND FORMING PART OF THE FINANCIAL STATEMENTS</w:t>
    </w:r>
  </w:p>
  <w:p w14:paraId="51856682" w14:textId="070A3524" w:rsidR="00D97797" w:rsidRDefault="00D97797" w:rsidP="0024339B">
    <w:pPr>
      <w:pStyle w:val="Header"/>
      <w:ind w:left="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12D7D" w14:textId="77777777" w:rsidR="00D97797" w:rsidRDefault="00D97797" w:rsidP="000709AC">
    <w:pPr>
      <w:pStyle w:val="StatementName"/>
    </w:pPr>
    <w:r>
      <w:t>National Disability Insurance Scheme Launch Transition Agency</w:t>
    </w:r>
  </w:p>
  <w:p w14:paraId="456ADC91" w14:textId="77777777" w:rsidR="00D97797" w:rsidRDefault="00D97797" w:rsidP="000709AC">
    <w:pPr>
      <w:pStyle w:val="StatementName"/>
    </w:pPr>
    <w:r w:rsidRPr="00990DB5">
      <w:t>NOTES TO AND FORMING PART OF THE FINANCIAL STATEMENTS</w:t>
    </w:r>
  </w:p>
  <w:p w14:paraId="5E53B479" w14:textId="77777777" w:rsidR="00D97797" w:rsidRDefault="00D97797" w:rsidP="0024339B">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9868F0"/>
    <w:lvl w:ilvl="0">
      <w:start w:val="1"/>
      <w:numFmt w:val="bullet"/>
      <w:pStyle w:val="ListBullet"/>
      <w:lvlText w:val=""/>
      <w:lvlJc w:val="left"/>
      <w:pPr>
        <w:tabs>
          <w:tab w:val="num" w:pos="717"/>
        </w:tabs>
        <w:ind w:left="717" w:hanging="360"/>
      </w:pPr>
      <w:rPr>
        <w:rFonts w:ascii="Symbol" w:hAnsi="Symbol" w:hint="default"/>
      </w:rPr>
    </w:lvl>
  </w:abstractNum>
  <w:abstractNum w:abstractNumId="1"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02A352F4"/>
    <w:multiLevelType w:val="hybridMultilevel"/>
    <w:tmpl w:val="4BBE0A60"/>
    <w:lvl w:ilvl="0" w:tplc="0C09000F">
      <w:start w:val="1"/>
      <w:numFmt w:val="decimal"/>
      <w:lvlText w:val="%1."/>
      <w:lvlJc w:val="left"/>
      <w:pPr>
        <w:ind w:left="1012" w:hanging="360"/>
      </w:pPr>
    </w:lvl>
    <w:lvl w:ilvl="1" w:tplc="0C090019">
      <w:start w:val="1"/>
      <w:numFmt w:val="lowerLetter"/>
      <w:lvlText w:val="%2."/>
      <w:lvlJc w:val="left"/>
      <w:pPr>
        <w:ind w:left="1732" w:hanging="360"/>
      </w:pPr>
    </w:lvl>
    <w:lvl w:ilvl="2" w:tplc="0C09001B" w:tentative="1">
      <w:start w:val="1"/>
      <w:numFmt w:val="lowerRoman"/>
      <w:lvlText w:val="%3."/>
      <w:lvlJc w:val="right"/>
      <w:pPr>
        <w:ind w:left="2452" w:hanging="180"/>
      </w:pPr>
    </w:lvl>
    <w:lvl w:ilvl="3" w:tplc="0C09000F" w:tentative="1">
      <w:start w:val="1"/>
      <w:numFmt w:val="decimal"/>
      <w:lvlText w:val="%4."/>
      <w:lvlJc w:val="left"/>
      <w:pPr>
        <w:ind w:left="3172" w:hanging="360"/>
      </w:pPr>
    </w:lvl>
    <w:lvl w:ilvl="4" w:tplc="0C090019" w:tentative="1">
      <w:start w:val="1"/>
      <w:numFmt w:val="lowerLetter"/>
      <w:lvlText w:val="%5."/>
      <w:lvlJc w:val="left"/>
      <w:pPr>
        <w:ind w:left="3892" w:hanging="360"/>
      </w:pPr>
    </w:lvl>
    <w:lvl w:ilvl="5" w:tplc="0C09001B" w:tentative="1">
      <w:start w:val="1"/>
      <w:numFmt w:val="lowerRoman"/>
      <w:lvlText w:val="%6."/>
      <w:lvlJc w:val="right"/>
      <w:pPr>
        <w:ind w:left="4612" w:hanging="180"/>
      </w:pPr>
    </w:lvl>
    <w:lvl w:ilvl="6" w:tplc="0C09000F" w:tentative="1">
      <w:start w:val="1"/>
      <w:numFmt w:val="decimal"/>
      <w:lvlText w:val="%7."/>
      <w:lvlJc w:val="left"/>
      <w:pPr>
        <w:ind w:left="5332" w:hanging="360"/>
      </w:pPr>
    </w:lvl>
    <w:lvl w:ilvl="7" w:tplc="0C090019" w:tentative="1">
      <w:start w:val="1"/>
      <w:numFmt w:val="lowerLetter"/>
      <w:lvlText w:val="%8."/>
      <w:lvlJc w:val="left"/>
      <w:pPr>
        <w:ind w:left="6052" w:hanging="360"/>
      </w:pPr>
    </w:lvl>
    <w:lvl w:ilvl="8" w:tplc="0C09001B" w:tentative="1">
      <w:start w:val="1"/>
      <w:numFmt w:val="lowerRoman"/>
      <w:lvlText w:val="%9."/>
      <w:lvlJc w:val="right"/>
      <w:pPr>
        <w:ind w:left="6772" w:hanging="180"/>
      </w:pPr>
    </w:lvl>
  </w:abstractNum>
  <w:abstractNum w:abstractNumId="3" w15:restartNumberingAfterBreak="0">
    <w:nsid w:val="046E2E42"/>
    <w:multiLevelType w:val="hybridMultilevel"/>
    <w:tmpl w:val="AC84B0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5E2517C"/>
    <w:multiLevelType w:val="hybridMultilevel"/>
    <w:tmpl w:val="96C6A9D4"/>
    <w:lvl w:ilvl="0" w:tplc="0C090001">
      <w:start w:val="1"/>
      <w:numFmt w:val="bullet"/>
      <w:lvlText w:val=""/>
      <w:lvlJc w:val="left"/>
      <w:pPr>
        <w:ind w:left="1372" w:hanging="360"/>
      </w:pPr>
      <w:rPr>
        <w:rFonts w:ascii="Symbol" w:hAnsi="Symbol" w:hint="default"/>
      </w:rPr>
    </w:lvl>
    <w:lvl w:ilvl="1" w:tplc="0C090003" w:tentative="1">
      <w:start w:val="1"/>
      <w:numFmt w:val="bullet"/>
      <w:lvlText w:val="o"/>
      <w:lvlJc w:val="left"/>
      <w:pPr>
        <w:ind w:left="2092" w:hanging="360"/>
      </w:pPr>
      <w:rPr>
        <w:rFonts w:ascii="Courier New" w:hAnsi="Courier New" w:cs="Courier New" w:hint="default"/>
      </w:rPr>
    </w:lvl>
    <w:lvl w:ilvl="2" w:tplc="0C090005" w:tentative="1">
      <w:start w:val="1"/>
      <w:numFmt w:val="bullet"/>
      <w:lvlText w:val=""/>
      <w:lvlJc w:val="left"/>
      <w:pPr>
        <w:ind w:left="2812" w:hanging="360"/>
      </w:pPr>
      <w:rPr>
        <w:rFonts w:ascii="Wingdings" w:hAnsi="Wingdings" w:hint="default"/>
      </w:rPr>
    </w:lvl>
    <w:lvl w:ilvl="3" w:tplc="0C090001" w:tentative="1">
      <w:start w:val="1"/>
      <w:numFmt w:val="bullet"/>
      <w:lvlText w:val=""/>
      <w:lvlJc w:val="left"/>
      <w:pPr>
        <w:ind w:left="3532" w:hanging="360"/>
      </w:pPr>
      <w:rPr>
        <w:rFonts w:ascii="Symbol" w:hAnsi="Symbol" w:hint="default"/>
      </w:rPr>
    </w:lvl>
    <w:lvl w:ilvl="4" w:tplc="0C090003" w:tentative="1">
      <w:start w:val="1"/>
      <w:numFmt w:val="bullet"/>
      <w:lvlText w:val="o"/>
      <w:lvlJc w:val="left"/>
      <w:pPr>
        <w:ind w:left="4252" w:hanging="360"/>
      </w:pPr>
      <w:rPr>
        <w:rFonts w:ascii="Courier New" w:hAnsi="Courier New" w:cs="Courier New" w:hint="default"/>
      </w:rPr>
    </w:lvl>
    <w:lvl w:ilvl="5" w:tplc="0C090005" w:tentative="1">
      <w:start w:val="1"/>
      <w:numFmt w:val="bullet"/>
      <w:lvlText w:val=""/>
      <w:lvlJc w:val="left"/>
      <w:pPr>
        <w:ind w:left="4972" w:hanging="360"/>
      </w:pPr>
      <w:rPr>
        <w:rFonts w:ascii="Wingdings" w:hAnsi="Wingdings" w:hint="default"/>
      </w:rPr>
    </w:lvl>
    <w:lvl w:ilvl="6" w:tplc="0C090001" w:tentative="1">
      <w:start w:val="1"/>
      <w:numFmt w:val="bullet"/>
      <w:lvlText w:val=""/>
      <w:lvlJc w:val="left"/>
      <w:pPr>
        <w:ind w:left="5692" w:hanging="360"/>
      </w:pPr>
      <w:rPr>
        <w:rFonts w:ascii="Symbol" w:hAnsi="Symbol" w:hint="default"/>
      </w:rPr>
    </w:lvl>
    <w:lvl w:ilvl="7" w:tplc="0C090003" w:tentative="1">
      <w:start w:val="1"/>
      <w:numFmt w:val="bullet"/>
      <w:lvlText w:val="o"/>
      <w:lvlJc w:val="left"/>
      <w:pPr>
        <w:ind w:left="6412" w:hanging="360"/>
      </w:pPr>
      <w:rPr>
        <w:rFonts w:ascii="Courier New" w:hAnsi="Courier New" w:cs="Courier New" w:hint="default"/>
      </w:rPr>
    </w:lvl>
    <w:lvl w:ilvl="8" w:tplc="0C090005" w:tentative="1">
      <w:start w:val="1"/>
      <w:numFmt w:val="bullet"/>
      <w:lvlText w:val=""/>
      <w:lvlJc w:val="left"/>
      <w:pPr>
        <w:ind w:left="7132" w:hanging="360"/>
      </w:pPr>
      <w:rPr>
        <w:rFonts w:ascii="Wingdings" w:hAnsi="Wingdings" w:hint="default"/>
      </w:rPr>
    </w:lvl>
  </w:abstractNum>
  <w:abstractNum w:abstractNumId="5" w15:restartNumberingAfterBreak="0">
    <w:nsid w:val="06714A5B"/>
    <w:multiLevelType w:val="hybridMultilevel"/>
    <w:tmpl w:val="B2B41D18"/>
    <w:lvl w:ilvl="0" w:tplc="633A033A">
      <w:start w:val="1"/>
      <w:numFmt w:val="lowerLetter"/>
      <w:lvlText w:val="%1)"/>
      <w:lvlJc w:val="left"/>
      <w:pPr>
        <w:ind w:left="1188" w:hanging="360"/>
      </w:pPr>
      <w:rPr>
        <w:rFonts w:ascii="Arial" w:hAnsi="Arial" w:hint="default"/>
        <w:b w:val="0"/>
        <w:i w:val="0"/>
        <w:sz w:val="18"/>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0C211890"/>
    <w:multiLevelType w:val="hybridMultilevel"/>
    <w:tmpl w:val="3536E572"/>
    <w:lvl w:ilvl="0" w:tplc="CB34FECA">
      <w:start w:val="1"/>
      <w:numFmt w:val="decimal"/>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161AA1"/>
    <w:multiLevelType w:val="hybridMultilevel"/>
    <w:tmpl w:val="B464F2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34026AC"/>
    <w:multiLevelType w:val="hybridMultilevel"/>
    <w:tmpl w:val="F6E2C2FC"/>
    <w:lvl w:ilvl="0" w:tplc="16484604">
      <w:start w:val="1"/>
      <w:numFmt w:val="bullet"/>
      <w:lvlText w:val=""/>
      <w:lvlJc w:val="left"/>
      <w:pPr>
        <w:ind w:left="1390" w:hanging="360"/>
      </w:pPr>
      <w:rPr>
        <w:rFonts w:ascii="Symbol" w:hAnsi="Symbol" w:hint="default"/>
      </w:rPr>
    </w:lvl>
    <w:lvl w:ilvl="1" w:tplc="E4204F6C">
      <w:numFmt w:val="bullet"/>
      <w:lvlText w:val="•"/>
      <w:lvlJc w:val="left"/>
      <w:pPr>
        <w:ind w:left="1775" w:hanging="360"/>
      </w:pPr>
      <w:rPr>
        <w:rFonts w:ascii="Cambria" w:eastAsia="Times New Roman" w:hAnsi="Cambria" w:cs="Cambria" w:hint="default"/>
      </w:rPr>
    </w:lvl>
    <w:lvl w:ilvl="2" w:tplc="0C090005" w:tentative="1">
      <w:start w:val="1"/>
      <w:numFmt w:val="bullet"/>
      <w:lvlText w:val=""/>
      <w:lvlJc w:val="left"/>
      <w:pPr>
        <w:ind w:left="2495" w:hanging="360"/>
      </w:pPr>
      <w:rPr>
        <w:rFonts w:ascii="Wingdings" w:hAnsi="Wingdings" w:hint="default"/>
      </w:rPr>
    </w:lvl>
    <w:lvl w:ilvl="3" w:tplc="0C090001" w:tentative="1">
      <w:start w:val="1"/>
      <w:numFmt w:val="bullet"/>
      <w:lvlText w:val=""/>
      <w:lvlJc w:val="left"/>
      <w:pPr>
        <w:ind w:left="3215" w:hanging="360"/>
      </w:pPr>
      <w:rPr>
        <w:rFonts w:ascii="Symbol" w:hAnsi="Symbol" w:hint="default"/>
      </w:rPr>
    </w:lvl>
    <w:lvl w:ilvl="4" w:tplc="0C090003" w:tentative="1">
      <w:start w:val="1"/>
      <w:numFmt w:val="bullet"/>
      <w:lvlText w:val="o"/>
      <w:lvlJc w:val="left"/>
      <w:pPr>
        <w:ind w:left="3935" w:hanging="360"/>
      </w:pPr>
      <w:rPr>
        <w:rFonts w:ascii="Courier New" w:hAnsi="Courier New" w:cs="Courier New" w:hint="default"/>
      </w:rPr>
    </w:lvl>
    <w:lvl w:ilvl="5" w:tplc="0C090005" w:tentative="1">
      <w:start w:val="1"/>
      <w:numFmt w:val="bullet"/>
      <w:lvlText w:val=""/>
      <w:lvlJc w:val="left"/>
      <w:pPr>
        <w:ind w:left="4655" w:hanging="360"/>
      </w:pPr>
      <w:rPr>
        <w:rFonts w:ascii="Wingdings" w:hAnsi="Wingdings" w:hint="default"/>
      </w:rPr>
    </w:lvl>
    <w:lvl w:ilvl="6" w:tplc="0C090001" w:tentative="1">
      <w:start w:val="1"/>
      <w:numFmt w:val="bullet"/>
      <w:lvlText w:val=""/>
      <w:lvlJc w:val="left"/>
      <w:pPr>
        <w:ind w:left="5375" w:hanging="360"/>
      </w:pPr>
      <w:rPr>
        <w:rFonts w:ascii="Symbol" w:hAnsi="Symbol" w:hint="default"/>
      </w:rPr>
    </w:lvl>
    <w:lvl w:ilvl="7" w:tplc="0C090003" w:tentative="1">
      <w:start w:val="1"/>
      <w:numFmt w:val="bullet"/>
      <w:lvlText w:val="o"/>
      <w:lvlJc w:val="left"/>
      <w:pPr>
        <w:ind w:left="6095" w:hanging="360"/>
      </w:pPr>
      <w:rPr>
        <w:rFonts w:ascii="Courier New" w:hAnsi="Courier New" w:cs="Courier New" w:hint="default"/>
      </w:rPr>
    </w:lvl>
    <w:lvl w:ilvl="8" w:tplc="0C090005" w:tentative="1">
      <w:start w:val="1"/>
      <w:numFmt w:val="bullet"/>
      <w:lvlText w:val=""/>
      <w:lvlJc w:val="left"/>
      <w:pPr>
        <w:ind w:left="6815" w:hanging="360"/>
      </w:pPr>
      <w:rPr>
        <w:rFonts w:ascii="Wingdings" w:hAnsi="Wingdings" w:hint="default"/>
      </w:rPr>
    </w:lvl>
  </w:abstractNum>
  <w:abstractNum w:abstractNumId="9" w15:restartNumberingAfterBreak="0">
    <w:nsid w:val="185D4BDF"/>
    <w:multiLevelType w:val="hybridMultilevel"/>
    <w:tmpl w:val="F5C076CA"/>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10" w15:restartNumberingAfterBreak="0">
    <w:nsid w:val="19661CEE"/>
    <w:multiLevelType w:val="hybridMultilevel"/>
    <w:tmpl w:val="0BC0452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1AD87B2A"/>
    <w:multiLevelType w:val="multilevel"/>
    <w:tmpl w:val="55D4F7A2"/>
    <w:lvl w:ilvl="0">
      <w:start w:val="1"/>
      <w:numFmt w:val="decimal"/>
      <w:lvlText w:val="%1."/>
      <w:lvlJc w:val="left"/>
      <w:pPr>
        <w:ind w:left="360" w:hanging="360"/>
      </w:pPr>
      <w:rPr>
        <w:rFonts w:hint="default"/>
        <w:color w:val="auto"/>
      </w:rPr>
    </w:lvl>
    <w:lvl w:ilvl="1">
      <w:start w:val="1"/>
      <w:numFmt w:val="decimal"/>
      <w:pStyle w:val="SubHeading"/>
      <w:lvlText w:val="%1.%2."/>
      <w:lvlJc w:val="left"/>
      <w:pPr>
        <w:ind w:left="360" w:hanging="36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1F083A8F"/>
    <w:multiLevelType w:val="hybridMultilevel"/>
    <w:tmpl w:val="7DA2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1BE2F4A"/>
    <w:multiLevelType w:val="hybridMultilevel"/>
    <w:tmpl w:val="ED24052E"/>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15" w15:restartNumberingAfterBreak="0">
    <w:nsid w:val="23890403"/>
    <w:multiLevelType w:val="multilevel"/>
    <w:tmpl w:val="2ED64E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8B1558"/>
    <w:multiLevelType w:val="hybridMultilevel"/>
    <w:tmpl w:val="129C7038"/>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17"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2BEB1647"/>
    <w:multiLevelType w:val="hybridMultilevel"/>
    <w:tmpl w:val="C7800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492FCC"/>
    <w:multiLevelType w:val="hybridMultilevel"/>
    <w:tmpl w:val="B4768F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05E378D"/>
    <w:multiLevelType w:val="multilevel"/>
    <w:tmpl w:val="D452E264"/>
    <w:styleLink w:val="Style1"/>
    <w:lvl w:ilvl="0">
      <w:start w:val="16"/>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2E6BD7"/>
    <w:multiLevelType w:val="hybridMultilevel"/>
    <w:tmpl w:val="AABC8922"/>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22"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805B6C"/>
    <w:multiLevelType w:val="hybridMultilevel"/>
    <w:tmpl w:val="5484A812"/>
    <w:lvl w:ilvl="0" w:tplc="724C53E8">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4" w15:restartNumberingAfterBreak="0">
    <w:nsid w:val="37810E79"/>
    <w:multiLevelType w:val="hybridMultilevel"/>
    <w:tmpl w:val="F6BA08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A076CC1"/>
    <w:multiLevelType w:val="multilevel"/>
    <w:tmpl w:val="61B2665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515"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3BCC4F59"/>
    <w:multiLevelType w:val="hybridMultilevel"/>
    <w:tmpl w:val="0A0A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0D5D51"/>
    <w:multiLevelType w:val="hybridMultilevel"/>
    <w:tmpl w:val="73C245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E1D211B"/>
    <w:multiLevelType w:val="multilevel"/>
    <w:tmpl w:val="67B28B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E922E8E"/>
    <w:multiLevelType w:val="hybridMultilevel"/>
    <w:tmpl w:val="6758F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9D21C5"/>
    <w:multiLevelType w:val="hybridMultilevel"/>
    <w:tmpl w:val="31FE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3FF02617"/>
    <w:multiLevelType w:val="hybridMultilevel"/>
    <w:tmpl w:val="D67865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11C158D"/>
    <w:multiLevelType w:val="hybridMultilevel"/>
    <w:tmpl w:val="DA4E7A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216024E"/>
    <w:multiLevelType w:val="hybridMultilevel"/>
    <w:tmpl w:val="111E1190"/>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34" w15:restartNumberingAfterBreak="0">
    <w:nsid w:val="465B6266"/>
    <w:multiLevelType w:val="hybridMultilevel"/>
    <w:tmpl w:val="4D7ABC9A"/>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5" w15:restartNumberingAfterBreak="0">
    <w:nsid w:val="48551F5A"/>
    <w:multiLevelType w:val="hybridMultilevel"/>
    <w:tmpl w:val="D452E264"/>
    <w:lvl w:ilvl="0" w:tplc="FE9E9440">
      <w:start w:val="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DC2C89"/>
    <w:multiLevelType w:val="multilevel"/>
    <w:tmpl w:val="EDAA5206"/>
    <w:lvl w:ilvl="0">
      <w:start w:val="1"/>
      <w:numFmt w:val="bullet"/>
      <w:pStyle w:val="01square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37" w15:restartNumberingAfterBreak="0">
    <w:nsid w:val="503E2716"/>
    <w:multiLevelType w:val="hybridMultilevel"/>
    <w:tmpl w:val="7F88EF70"/>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38" w15:restartNumberingAfterBreak="0">
    <w:nsid w:val="51E16788"/>
    <w:multiLevelType w:val="multilevel"/>
    <w:tmpl w:val="2AE8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134884"/>
    <w:multiLevelType w:val="multilevel"/>
    <w:tmpl w:val="37A8BB22"/>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1">
      <w:start w:val="1"/>
      <w:numFmt w:val="decimal"/>
      <w:lvlText w:val="%1.1."/>
      <w:lvlJc w:val="left"/>
      <w:pPr>
        <w:ind w:left="792" w:hanging="432"/>
      </w:pPr>
      <w:rPr>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AB1B68"/>
    <w:multiLevelType w:val="hybridMultilevel"/>
    <w:tmpl w:val="392825F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5E16DE0"/>
    <w:multiLevelType w:val="hybridMultilevel"/>
    <w:tmpl w:val="C658A8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6007678"/>
    <w:multiLevelType w:val="hybridMultilevel"/>
    <w:tmpl w:val="3110C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5AE13499"/>
    <w:multiLevelType w:val="hybridMultilevel"/>
    <w:tmpl w:val="05528D80"/>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45" w15:restartNumberingAfterBreak="0">
    <w:nsid w:val="5B8D6E0F"/>
    <w:multiLevelType w:val="multilevel"/>
    <w:tmpl w:val="FFF89220"/>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46" w15:restartNumberingAfterBreak="0">
    <w:nsid w:val="5BBA261C"/>
    <w:multiLevelType w:val="hybridMultilevel"/>
    <w:tmpl w:val="D6EA75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5D0F5B8E"/>
    <w:multiLevelType w:val="hybridMultilevel"/>
    <w:tmpl w:val="DAB0445C"/>
    <w:lvl w:ilvl="0" w:tplc="DE0E4D38">
      <w:numFmt w:val="bullet"/>
      <w:lvlText w:val="-"/>
      <w:lvlJc w:val="left"/>
      <w:pPr>
        <w:ind w:left="1372" w:hanging="360"/>
      </w:pPr>
      <w:rPr>
        <w:rFonts w:ascii="FS Me Pro Light" w:eastAsiaTheme="minorHAnsi" w:hAnsi="FS Me Pro Light" w:cs="FS Me Pro Light" w:hint="default"/>
      </w:rPr>
    </w:lvl>
    <w:lvl w:ilvl="1" w:tplc="0C090003">
      <w:start w:val="1"/>
      <w:numFmt w:val="bullet"/>
      <w:lvlText w:val="o"/>
      <w:lvlJc w:val="left"/>
      <w:pPr>
        <w:ind w:left="2092" w:hanging="360"/>
      </w:pPr>
      <w:rPr>
        <w:rFonts w:ascii="Courier New" w:hAnsi="Courier New" w:cs="Courier New" w:hint="default"/>
      </w:rPr>
    </w:lvl>
    <w:lvl w:ilvl="2" w:tplc="0C090005" w:tentative="1">
      <w:start w:val="1"/>
      <w:numFmt w:val="bullet"/>
      <w:lvlText w:val=""/>
      <w:lvlJc w:val="left"/>
      <w:pPr>
        <w:ind w:left="2812" w:hanging="360"/>
      </w:pPr>
      <w:rPr>
        <w:rFonts w:ascii="Wingdings" w:hAnsi="Wingdings" w:hint="default"/>
      </w:rPr>
    </w:lvl>
    <w:lvl w:ilvl="3" w:tplc="0C090001" w:tentative="1">
      <w:start w:val="1"/>
      <w:numFmt w:val="bullet"/>
      <w:lvlText w:val=""/>
      <w:lvlJc w:val="left"/>
      <w:pPr>
        <w:ind w:left="3532" w:hanging="360"/>
      </w:pPr>
      <w:rPr>
        <w:rFonts w:ascii="Symbol" w:hAnsi="Symbol" w:hint="default"/>
      </w:rPr>
    </w:lvl>
    <w:lvl w:ilvl="4" w:tplc="0C090003" w:tentative="1">
      <w:start w:val="1"/>
      <w:numFmt w:val="bullet"/>
      <w:lvlText w:val="o"/>
      <w:lvlJc w:val="left"/>
      <w:pPr>
        <w:ind w:left="4252" w:hanging="360"/>
      </w:pPr>
      <w:rPr>
        <w:rFonts w:ascii="Courier New" w:hAnsi="Courier New" w:cs="Courier New" w:hint="default"/>
      </w:rPr>
    </w:lvl>
    <w:lvl w:ilvl="5" w:tplc="0C090005" w:tentative="1">
      <w:start w:val="1"/>
      <w:numFmt w:val="bullet"/>
      <w:lvlText w:val=""/>
      <w:lvlJc w:val="left"/>
      <w:pPr>
        <w:ind w:left="4972" w:hanging="360"/>
      </w:pPr>
      <w:rPr>
        <w:rFonts w:ascii="Wingdings" w:hAnsi="Wingdings" w:hint="default"/>
      </w:rPr>
    </w:lvl>
    <w:lvl w:ilvl="6" w:tplc="0C090001" w:tentative="1">
      <w:start w:val="1"/>
      <w:numFmt w:val="bullet"/>
      <w:lvlText w:val=""/>
      <w:lvlJc w:val="left"/>
      <w:pPr>
        <w:ind w:left="5692" w:hanging="360"/>
      </w:pPr>
      <w:rPr>
        <w:rFonts w:ascii="Symbol" w:hAnsi="Symbol" w:hint="default"/>
      </w:rPr>
    </w:lvl>
    <w:lvl w:ilvl="7" w:tplc="0C090003" w:tentative="1">
      <w:start w:val="1"/>
      <w:numFmt w:val="bullet"/>
      <w:lvlText w:val="o"/>
      <w:lvlJc w:val="left"/>
      <w:pPr>
        <w:ind w:left="6412" w:hanging="360"/>
      </w:pPr>
      <w:rPr>
        <w:rFonts w:ascii="Courier New" w:hAnsi="Courier New" w:cs="Courier New" w:hint="default"/>
      </w:rPr>
    </w:lvl>
    <w:lvl w:ilvl="8" w:tplc="0C090005" w:tentative="1">
      <w:start w:val="1"/>
      <w:numFmt w:val="bullet"/>
      <w:lvlText w:val=""/>
      <w:lvlJc w:val="left"/>
      <w:pPr>
        <w:ind w:left="7132" w:hanging="360"/>
      </w:pPr>
      <w:rPr>
        <w:rFonts w:ascii="Wingdings" w:hAnsi="Wingdings" w:hint="default"/>
      </w:rPr>
    </w:lvl>
  </w:abstractNum>
  <w:abstractNum w:abstractNumId="48" w15:restartNumberingAfterBreak="0">
    <w:nsid w:val="5D7767BF"/>
    <w:multiLevelType w:val="multilevel"/>
    <w:tmpl w:val="0C09001D"/>
    <w:lvl w:ilvl="0">
      <w:start w:val="1"/>
      <w:numFmt w:val="decimal"/>
      <w:lvlText w:val="%1)"/>
      <w:lvlJc w:val="left"/>
      <w:pPr>
        <w:ind w:left="993" w:hanging="360"/>
      </w:pPr>
    </w:lvl>
    <w:lvl w:ilvl="1">
      <w:start w:val="1"/>
      <w:numFmt w:val="lowerLetter"/>
      <w:lvlText w:val="%2)"/>
      <w:lvlJc w:val="left"/>
      <w:pPr>
        <w:ind w:left="1353" w:hanging="360"/>
      </w:pPr>
    </w:lvl>
    <w:lvl w:ilvl="2">
      <w:start w:val="1"/>
      <w:numFmt w:val="lowerRoman"/>
      <w:lvlText w:val="%3)"/>
      <w:lvlJc w:val="left"/>
      <w:pPr>
        <w:ind w:left="1713" w:hanging="360"/>
      </w:pPr>
    </w:lvl>
    <w:lvl w:ilvl="3">
      <w:start w:val="1"/>
      <w:numFmt w:val="decimal"/>
      <w:lvlText w:val="(%4)"/>
      <w:lvlJc w:val="left"/>
      <w:pPr>
        <w:ind w:left="2073" w:hanging="360"/>
      </w:pPr>
    </w:lvl>
    <w:lvl w:ilvl="4">
      <w:start w:val="1"/>
      <w:numFmt w:val="lowerLetter"/>
      <w:lvlText w:val="(%5)"/>
      <w:lvlJc w:val="left"/>
      <w:pPr>
        <w:ind w:left="2433" w:hanging="360"/>
      </w:pPr>
    </w:lvl>
    <w:lvl w:ilvl="5">
      <w:start w:val="1"/>
      <w:numFmt w:val="lowerRoman"/>
      <w:lvlText w:val="(%6)"/>
      <w:lvlJc w:val="left"/>
      <w:pPr>
        <w:ind w:left="2793" w:hanging="360"/>
      </w:pPr>
    </w:lvl>
    <w:lvl w:ilvl="6">
      <w:start w:val="1"/>
      <w:numFmt w:val="decimal"/>
      <w:lvlText w:val="%7."/>
      <w:lvlJc w:val="left"/>
      <w:pPr>
        <w:ind w:left="3153" w:hanging="360"/>
      </w:pPr>
    </w:lvl>
    <w:lvl w:ilvl="7">
      <w:start w:val="1"/>
      <w:numFmt w:val="lowerLetter"/>
      <w:lvlText w:val="%8."/>
      <w:lvlJc w:val="left"/>
      <w:pPr>
        <w:ind w:left="3513" w:hanging="360"/>
      </w:pPr>
    </w:lvl>
    <w:lvl w:ilvl="8">
      <w:start w:val="1"/>
      <w:numFmt w:val="lowerRoman"/>
      <w:lvlText w:val="%9."/>
      <w:lvlJc w:val="left"/>
      <w:pPr>
        <w:ind w:left="3873" w:hanging="360"/>
      </w:pPr>
    </w:lvl>
  </w:abstractNum>
  <w:abstractNum w:abstractNumId="49" w15:restartNumberingAfterBreak="0">
    <w:nsid w:val="5DFB2E66"/>
    <w:multiLevelType w:val="hybridMultilevel"/>
    <w:tmpl w:val="71124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63630E5C"/>
    <w:multiLevelType w:val="hybridMultilevel"/>
    <w:tmpl w:val="2F4031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659317AB"/>
    <w:multiLevelType w:val="hybridMultilevel"/>
    <w:tmpl w:val="78EE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70A36F8"/>
    <w:multiLevelType w:val="hybridMultilevel"/>
    <w:tmpl w:val="290E47FE"/>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53" w15:restartNumberingAfterBreak="0">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54" w15:restartNumberingAfterBreak="0">
    <w:nsid w:val="6BE87F5D"/>
    <w:multiLevelType w:val="hybridMultilevel"/>
    <w:tmpl w:val="CE04FF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6E190F41"/>
    <w:multiLevelType w:val="hybridMultilevel"/>
    <w:tmpl w:val="D1D463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70676CC5"/>
    <w:multiLevelType w:val="hybridMultilevel"/>
    <w:tmpl w:val="38F6BFB6"/>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57" w15:restartNumberingAfterBreak="0">
    <w:nsid w:val="70C873AF"/>
    <w:multiLevelType w:val="hybridMultilevel"/>
    <w:tmpl w:val="E3FE4990"/>
    <w:lvl w:ilvl="0" w:tplc="D6147CA2">
      <w:numFmt w:val="bullet"/>
      <w:lvlText w:val="•"/>
      <w:lvlJc w:val="left"/>
      <w:pPr>
        <w:ind w:left="1012" w:hanging="360"/>
      </w:pPr>
      <w:rPr>
        <w:rFonts w:ascii="FSMePro-Light" w:eastAsiaTheme="minorHAnsi" w:hAnsi="FSMePro-Light" w:cs="FSMePro-Light"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58" w15:restartNumberingAfterBreak="0">
    <w:nsid w:val="70D27908"/>
    <w:multiLevelType w:val="hybridMultilevel"/>
    <w:tmpl w:val="2802579E"/>
    <w:lvl w:ilvl="0" w:tplc="0C090001">
      <w:start w:val="1"/>
      <w:numFmt w:val="bullet"/>
      <w:lvlText w:val=""/>
      <w:lvlJc w:val="left"/>
      <w:pPr>
        <w:ind w:left="1012" w:hanging="360"/>
      </w:pPr>
      <w:rPr>
        <w:rFonts w:ascii="Symbol" w:hAnsi="Symbo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59" w15:restartNumberingAfterBreak="0">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0" w15:restartNumberingAfterBreak="0">
    <w:nsid w:val="7A13006E"/>
    <w:multiLevelType w:val="hybridMultilevel"/>
    <w:tmpl w:val="6A248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AF01E01"/>
    <w:multiLevelType w:val="hybridMultilevel"/>
    <w:tmpl w:val="655C0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C9656EB"/>
    <w:multiLevelType w:val="hybridMultilevel"/>
    <w:tmpl w:val="93E09E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7D155B37"/>
    <w:multiLevelType w:val="hybridMultilevel"/>
    <w:tmpl w:val="D5188DCE"/>
    <w:lvl w:ilvl="0" w:tplc="D0CA965C">
      <w:start w:val="1"/>
      <w:numFmt w:val="decimal"/>
      <w:lvlText w:val="%1."/>
      <w:lvlJc w:val="left"/>
      <w:pPr>
        <w:ind w:left="1012" w:hanging="360"/>
      </w:pPr>
      <w:rPr>
        <w:rFonts w:hint="default"/>
      </w:rPr>
    </w:lvl>
    <w:lvl w:ilvl="1" w:tplc="0C090019" w:tentative="1">
      <w:start w:val="1"/>
      <w:numFmt w:val="lowerLetter"/>
      <w:lvlText w:val="%2."/>
      <w:lvlJc w:val="left"/>
      <w:pPr>
        <w:ind w:left="1732" w:hanging="360"/>
      </w:pPr>
    </w:lvl>
    <w:lvl w:ilvl="2" w:tplc="0C09001B" w:tentative="1">
      <w:start w:val="1"/>
      <w:numFmt w:val="lowerRoman"/>
      <w:lvlText w:val="%3."/>
      <w:lvlJc w:val="right"/>
      <w:pPr>
        <w:ind w:left="2452" w:hanging="180"/>
      </w:pPr>
    </w:lvl>
    <w:lvl w:ilvl="3" w:tplc="0C09000F" w:tentative="1">
      <w:start w:val="1"/>
      <w:numFmt w:val="decimal"/>
      <w:lvlText w:val="%4."/>
      <w:lvlJc w:val="left"/>
      <w:pPr>
        <w:ind w:left="3172" w:hanging="360"/>
      </w:pPr>
    </w:lvl>
    <w:lvl w:ilvl="4" w:tplc="0C090019" w:tentative="1">
      <w:start w:val="1"/>
      <w:numFmt w:val="lowerLetter"/>
      <w:lvlText w:val="%5."/>
      <w:lvlJc w:val="left"/>
      <w:pPr>
        <w:ind w:left="3892" w:hanging="360"/>
      </w:pPr>
    </w:lvl>
    <w:lvl w:ilvl="5" w:tplc="0C09001B" w:tentative="1">
      <w:start w:val="1"/>
      <w:numFmt w:val="lowerRoman"/>
      <w:lvlText w:val="%6."/>
      <w:lvlJc w:val="right"/>
      <w:pPr>
        <w:ind w:left="4612" w:hanging="180"/>
      </w:pPr>
    </w:lvl>
    <w:lvl w:ilvl="6" w:tplc="0C09000F" w:tentative="1">
      <w:start w:val="1"/>
      <w:numFmt w:val="decimal"/>
      <w:lvlText w:val="%7."/>
      <w:lvlJc w:val="left"/>
      <w:pPr>
        <w:ind w:left="5332" w:hanging="360"/>
      </w:pPr>
    </w:lvl>
    <w:lvl w:ilvl="7" w:tplc="0C090019" w:tentative="1">
      <w:start w:val="1"/>
      <w:numFmt w:val="lowerLetter"/>
      <w:lvlText w:val="%8."/>
      <w:lvlJc w:val="left"/>
      <w:pPr>
        <w:ind w:left="6052" w:hanging="360"/>
      </w:pPr>
    </w:lvl>
    <w:lvl w:ilvl="8" w:tplc="0C09001B" w:tentative="1">
      <w:start w:val="1"/>
      <w:numFmt w:val="lowerRoman"/>
      <w:lvlText w:val="%9."/>
      <w:lvlJc w:val="right"/>
      <w:pPr>
        <w:ind w:left="6772" w:hanging="180"/>
      </w:pPr>
    </w:lvl>
  </w:abstractNum>
  <w:num w:numId="1">
    <w:abstractNumId w:val="25"/>
  </w:num>
  <w:num w:numId="2">
    <w:abstractNumId w:val="0"/>
  </w:num>
  <w:num w:numId="3">
    <w:abstractNumId w:val="47"/>
  </w:num>
  <w:num w:numId="4">
    <w:abstractNumId w:val="52"/>
  </w:num>
  <w:num w:numId="5">
    <w:abstractNumId w:val="37"/>
  </w:num>
  <w:num w:numId="6">
    <w:abstractNumId w:val="14"/>
  </w:num>
  <w:num w:numId="7">
    <w:abstractNumId w:val="7"/>
  </w:num>
  <w:num w:numId="8">
    <w:abstractNumId w:val="51"/>
  </w:num>
  <w:num w:numId="9">
    <w:abstractNumId w:val="32"/>
  </w:num>
  <w:num w:numId="10">
    <w:abstractNumId w:val="19"/>
  </w:num>
  <w:num w:numId="11">
    <w:abstractNumId w:val="50"/>
  </w:num>
  <w:num w:numId="12">
    <w:abstractNumId w:val="58"/>
  </w:num>
  <w:num w:numId="13">
    <w:abstractNumId w:val="44"/>
  </w:num>
  <w:num w:numId="14">
    <w:abstractNumId w:val="63"/>
  </w:num>
  <w:num w:numId="15">
    <w:abstractNumId w:val="9"/>
  </w:num>
  <w:num w:numId="16">
    <w:abstractNumId w:val="13"/>
  </w:num>
  <w:num w:numId="17">
    <w:abstractNumId w:val="27"/>
  </w:num>
  <w:num w:numId="18">
    <w:abstractNumId w:val="45"/>
  </w:num>
  <w:num w:numId="19">
    <w:abstractNumId w:val="48"/>
  </w:num>
  <w:num w:numId="20">
    <w:abstractNumId w:val="10"/>
  </w:num>
  <w:num w:numId="21">
    <w:abstractNumId w:val="24"/>
  </w:num>
  <w:num w:numId="22">
    <w:abstractNumId w:val="62"/>
  </w:num>
  <w:num w:numId="23">
    <w:abstractNumId w:val="57"/>
  </w:num>
  <w:num w:numId="24">
    <w:abstractNumId w:val="2"/>
  </w:num>
  <w:num w:numId="25">
    <w:abstractNumId w:val="36"/>
  </w:num>
  <w:num w:numId="26">
    <w:abstractNumId w:val="6"/>
  </w:num>
  <w:num w:numId="27">
    <w:abstractNumId w:val="61"/>
  </w:num>
  <w:num w:numId="28">
    <w:abstractNumId w:val="60"/>
  </w:num>
  <w:num w:numId="29">
    <w:abstractNumId w:val="29"/>
  </w:num>
  <w:num w:numId="30">
    <w:abstractNumId w:val="26"/>
  </w:num>
  <w:num w:numId="31">
    <w:abstractNumId w:val="54"/>
  </w:num>
  <w:num w:numId="32">
    <w:abstractNumId w:val="3"/>
  </w:num>
  <w:num w:numId="33">
    <w:abstractNumId w:val="56"/>
  </w:num>
  <w:num w:numId="34">
    <w:abstractNumId w:val="21"/>
  </w:num>
  <w:num w:numId="35">
    <w:abstractNumId w:val="16"/>
  </w:num>
  <w:num w:numId="36">
    <w:abstractNumId w:val="4"/>
  </w:num>
  <w:num w:numId="37">
    <w:abstractNumId w:val="42"/>
  </w:num>
  <w:num w:numId="38">
    <w:abstractNumId w:val="46"/>
  </w:num>
  <w:num w:numId="39">
    <w:abstractNumId w:val="30"/>
  </w:num>
  <w:num w:numId="40">
    <w:abstractNumId w:val="33"/>
  </w:num>
  <w:num w:numId="41">
    <w:abstractNumId w:val="41"/>
  </w:num>
  <w:num w:numId="42">
    <w:abstractNumId w:val="55"/>
  </w:num>
  <w:num w:numId="43">
    <w:abstractNumId w:val="31"/>
  </w:num>
  <w:num w:numId="44">
    <w:abstractNumId w:val="34"/>
  </w:num>
  <w:num w:numId="45">
    <w:abstractNumId w:val="59"/>
  </w:num>
  <w:num w:numId="46">
    <w:abstractNumId w:val="43"/>
  </w:num>
  <w:num w:numId="47">
    <w:abstractNumId w:val="12"/>
  </w:num>
  <w:num w:numId="48">
    <w:abstractNumId w:val="1"/>
  </w:num>
  <w:num w:numId="49">
    <w:abstractNumId w:val="53"/>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num>
  <w:num w:numId="52">
    <w:abstractNumId w:val="11"/>
  </w:num>
  <w:num w:numId="53">
    <w:abstractNumId w:val="40"/>
  </w:num>
  <w:num w:numId="54">
    <w:abstractNumId w:val="22"/>
  </w:num>
  <w:num w:numId="55">
    <w:abstractNumId w:val="17"/>
  </w:num>
  <w:num w:numId="56">
    <w:abstractNumId w:val="18"/>
  </w:num>
  <w:num w:numId="57">
    <w:abstractNumId w:val="38"/>
  </w:num>
  <w:num w:numId="58">
    <w:abstractNumId w:val="28"/>
  </w:num>
  <w:num w:numId="59">
    <w:abstractNumId w:val="15"/>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num>
  <w:num w:numId="62">
    <w:abstractNumId w:val="5"/>
  </w:num>
  <w:num w:numId="63">
    <w:abstractNumId w:val="49"/>
  </w:num>
  <w:num w:numId="64">
    <w:abstractNumId w:val="23"/>
  </w:num>
  <w:num w:numId="65">
    <w:abstractNumId w:val="35"/>
  </w:num>
  <w:num w:numId="66">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F2"/>
    <w:rsid w:val="000040ED"/>
    <w:rsid w:val="00020CAF"/>
    <w:rsid w:val="000218B3"/>
    <w:rsid w:val="00026966"/>
    <w:rsid w:val="000270C0"/>
    <w:rsid w:val="000273B0"/>
    <w:rsid w:val="0003085B"/>
    <w:rsid w:val="00034EE3"/>
    <w:rsid w:val="00065867"/>
    <w:rsid w:val="00070203"/>
    <w:rsid w:val="000709AC"/>
    <w:rsid w:val="00077450"/>
    <w:rsid w:val="00084A73"/>
    <w:rsid w:val="00095152"/>
    <w:rsid w:val="000A04E3"/>
    <w:rsid w:val="000B2820"/>
    <w:rsid w:val="000B58FC"/>
    <w:rsid w:val="000B619D"/>
    <w:rsid w:val="000B6734"/>
    <w:rsid w:val="000C1BFD"/>
    <w:rsid w:val="000D26A2"/>
    <w:rsid w:val="000D3A39"/>
    <w:rsid w:val="000D4784"/>
    <w:rsid w:val="000D58DB"/>
    <w:rsid w:val="000E12A8"/>
    <w:rsid w:val="000E1639"/>
    <w:rsid w:val="000E319A"/>
    <w:rsid w:val="000E3811"/>
    <w:rsid w:val="000F3E58"/>
    <w:rsid w:val="00102514"/>
    <w:rsid w:val="001237C8"/>
    <w:rsid w:val="00125069"/>
    <w:rsid w:val="00125269"/>
    <w:rsid w:val="00126F6F"/>
    <w:rsid w:val="00127FCB"/>
    <w:rsid w:val="001437BE"/>
    <w:rsid w:val="001443E3"/>
    <w:rsid w:val="001528DA"/>
    <w:rsid w:val="00162864"/>
    <w:rsid w:val="00162CBE"/>
    <w:rsid w:val="001716C9"/>
    <w:rsid w:val="00173485"/>
    <w:rsid w:val="00174C4F"/>
    <w:rsid w:val="001A0D9F"/>
    <w:rsid w:val="001A1568"/>
    <w:rsid w:val="001A39C3"/>
    <w:rsid w:val="001B0A3B"/>
    <w:rsid w:val="001B5EA3"/>
    <w:rsid w:val="001D5520"/>
    <w:rsid w:val="001D739F"/>
    <w:rsid w:val="001E6D27"/>
    <w:rsid w:val="001E7ACB"/>
    <w:rsid w:val="0020404F"/>
    <w:rsid w:val="00210D04"/>
    <w:rsid w:val="00211048"/>
    <w:rsid w:val="002274AF"/>
    <w:rsid w:val="00233C3C"/>
    <w:rsid w:val="00234808"/>
    <w:rsid w:val="002358FE"/>
    <w:rsid w:val="0024106B"/>
    <w:rsid w:val="0024339B"/>
    <w:rsid w:val="00243B92"/>
    <w:rsid w:val="00243E64"/>
    <w:rsid w:val="00250570"/>
    <w:rsid w:val="0025606A"/>
    <w:rsid w:val="00257F1F"/>
    <w:rsid w:val="00262F3A"/>
    <w:rsid w:val="0026406F"/>
    <w:rsid w:val="002727E7"/>
    <w:rsid w:val="00272E13"/>
    <w:rsid w:val="00276349"/>
    <w:rsid w:val="002811B4"/>
    <w:rsid w:val="00285B68"/>
    <w:rsid w:val="00293A85"/>
    <w:rsid w:val="002979A3"/>
    <w:rsid w:val="002A312B"/>
    <w:rsid w:val="002B5A4C"/>
    <w:rsid w:val="002C054D"/>
    <w:rsid w:val="002D099C"/>
    <w:rsid w:val="002D0DD7"/>
    <w:rsid w:val="002D21D4"/>
    <w:rsid w:val="002D46B3"/>
    <w:rsid w:val="002E08C3"/>
    <w:rsid w:val="002E3CBC"/>
    <w:rsid w:val="002E49C0"/>
    <w:rsid w:val="002E779B"/>
    <w:rsid w:val="00301F4C"/>
    <w:rsid w:val="00302F3B"/>
    <w:rsid w:val="00317EA0"/>
    <w:rsid w:val="00324EBB"/>
    <w:rsid w:val="003426A3"/>
    <w:rsid w:val="00347745"/>
    <w:rsid w:val="00361BA1"/>
    <w:rsid w:val="003715A4"/>
    <w:rsid w:val="00377C62"/>
    <w:rsid w:val="003822FE"/>
    <w:rsid w:val="003866CE"/>
    <w:rsid w:val="003A207D"/>
    <w:rsid w:val="003A340D"/>
    <w:rsid w:val="003A3E97"/>
    <w:rsid w:val="003A67C9"/>
    <w:rsid w:val="003A7539"/>
    <w:rsid w:val="003A760C"/>
    <w:rsid w:val="003B12A9"/>
    <w:rsid w:val="003B23EF"/>
    <w:rsid w:val="003B4DA8"/>
    <w:rsid w:val="003C5FE1"/>
    <w:rsid w:val="003D4975"/>
    <w:rsid w:val="003F018E"/>
    <w:rsid w:val="003F27E3"/>
    <w:rsid w:val="003F6311"/>
    <w:rsid w:val="00411467"/>
    <w:rsid w:val="00412B4D"/>
    <w:rsid w:val="0041328B"/>
    <w:rsid w:val="00415969"/>
    <w:rsid w:val="0042283E"/>
    <w:rsid w:val="00424C7D"/>
    <w:rsid w:val="00441166"/>
    <w:rsid w:val="00443D01"/>
    <w:rsid w:val="00445C23"/>
    <w:rsid w:val="00447D4F"/>
    <w:rsid w:val="004526C8"/>
    <w:rsid w:val="00456D00"/>
    <w:rsid w:val="00462BF1"/>
    <w:rsid w:val="00463F33"/>
    <w:rsid w:val="0046429C"/>
    <w:rsid w:val="00473F0E"/>
    <w:rsid w:val="00475947"/>
    <w:rsid w:val="0048177E"/>
    <w:rsid w:val="0049448A"/>
    <w:rsid w:val="00494E4A"/>
    <w:rsid w:val="0049637E"/>
    <w:rsid w:val="0049736E"/>
    <w:rsid w:val="004A7372"/>
    <w:rsid w:val="004B2F8B"/>
    <w:rsid w:val="004B4203"/>
    <w:rsid w:val="004B7579"/>
    <w:rsid w:val="004C60EC"/>
    <w:rsid w:val="004D102E"/>
    <w:rsid w:val="004E440A"/>
    <w:rsid w:val="004F0890"/>
    <w:rsid w:val="004F2101"/>
    <w:rsid w:val="004F36E0"/>
    <w:rsid w:val="004F419C"/>
    <w:rsid w:val="00503140"/>
    <w:rsid w:val="0050536B"/>
    <w:rsid w:val="005107C4"/>
    <w:rsid w:val="005156F6"/>
    <w:rsid w:val="00524F5B"/>
    <w:rsid w:val="005378D5"/>
    <w:rsid w:val="00542A19"/>
    <w:rsid w:val="00545C21"/>
    <w:rsid w:val="00552FFD"/>
    <w:rsid w:val="005545C1"/>
    <w:rsid w:val="005610A1"/>
    <w:rsid w:val="00561B3B"/>
    <w:rsid w:val="0057144F"/>
    <w:rsid w:val="00577904"/>
    <w:rsid w:val="005A4784"/>
    <w:rsid w:val="005D46AE"/>
    <w:rsid w:val="005D5BCA"/>
    <w:rsid w:val="005D7395"/>
    <w:rsid w:val="005E098A"/>
    <w:rsid w:val="005E1698"/>
    <w:rsid w:val="005E7C18"/>
    <w:rsid w:val="005F3A7A"/>
    <w:rsid w:val="005F5F26"/>
    <w:rsid w:val="00600AAE"/>
    <w:rsid w:val="00601CA7"/>
    <w:rsid w:val="0060508A"/>
    <w:rsid w:val="00611A24"/>
    <w:rsid w:val="006149F4"/>
    <w:rsid w:val="006270A5"/>
    <w:rsid w:val="00636AD0"/>
    <w:rsid w:val="0064099D"/>
    <w:rsid w:val="006444C7"/>
    <w:rsid w:val="00651B37"/>
    <w:rsid w:val="00662983"/>
    <w:rsid w:val="0066774C"/>
    <w:rsid w:val="006810ED"/>
    <w:rsid w:val="0068622E"/>
    <w:rsid w:val="00690A6D"/>
    <w:rsid w:val="006953A4"/>
    <w:rsid w:val="006A7803"/>
    <w:rsid w:val="006B53B5"/>
    <w:rsid w:val="006C20C6"/>
    <w:rsid w:val="006D2911"/>
    <w:rsid w:val="006F4E0F"/>
    <w:rsid w:val="006F759C"/>
    <w:rsid w:val="00701D91"/>
    <w:rsid w:val="00703DC3"/>
    <w:rsid w:val="00711033"/>
    <w:rsid w:val="00726F4B"/>
    <w:rsid w:val="00733021"/>
    <w:rsid w:val="007377AD"/>
    <w:rsid w:val="00737A7C"/>
    <w:rsid w:val="00742B72"/>
    <w:rsid w:val="00745271"/>
    <w:rsid w:val="0075041D"/>
    <w:rsid w:val="00754C65"/>
    <w:rsid w:val="00757F23"/>
    <w:rsid w:val="00765D96"/>
    <w:rsid w:val="00773DDF"/>
    <w:rsid w:val="00775B02"/>
    <w:rsid w:val="007776BD"/>
    <w:rsid w:val="00784A78"/>
    <w:rsid w:val="007876B8"/>
    <w:rsid w:val="00791F8E"/>
    <w:rsid w:val="00795876"/>
    <w:rsid w:val="007A6628"/>
    <w:rsid w:val="007B0675"/>
    <w:rsid w:val="007B0C8F"/>
    <w:rsid w:val="007C4668"/>
    <w:rsid w:val="007C7DDA"/>
    <w:rsid w:val="007D299F"/>
    <w:rsid w:val="007E1D14"/>
    <w:rsid w:val="007E35B6"/>
    <w:rsid w:val="007E69B1"/>
    <w:rsid w:val="007F47ED"/>
    <w:rsid w:val="007F49F8"/>
    <w:rsid w:val="00812643"/>
    <w:rsid w:val="00815D62"/>
    <w:rsid w:val="00815EDF"/>
    <w:rsid w:val="00817418"/>
    <w:rsid w:val="00827B3F"/>
    <w:rsid w:val="00827C01"/>
    <w:rsid w:val="00830AEB"/>
    <w:rsid w:val="00831BB4"/>
    <w:rsid w:val="00831BFA"/>
    <w:rsid w:val="00832B78"/>
    <w:rsid w:val="00842024"/>
    <w:rsid w:val="0084647F"/>
    <w:rsid w:val="008478FE"/>
    <w:rsid w:val="008554AD"/>
    <w:rsid w:val="008620A8"/>
    <w:rsid w:val="00866585"/>
    <w:rsid w:val="008745B3"/>
    <w:rsid w:val="00874FDA"/>
    <w:rsid w:val="00881376"/>
    <w:rsid w:val="00881CFE"/>
    <w:rsid w:val="008822EE"/>
    <w:rsid w:val="008A01ED"/>
    <w:rsid w:val="008A6B7F"/>
    <w:rsid w:val="008D1398"/>
    <w:rsid w:val="008D3F01"/>
    <w:rsid w:val="008E0F15"/>
    <w:rsid w:val="008E40AB"/>
    <w:rsid w:val="008E5362"/>
    <w:rsid w:val="008E6315"/>
    <w:rsid w:val="008F00D1"/>
    <w:rsid w:val="008F3317"/>
    <w:rsid w:val="00901595"/>
    <w:rsid w:val="00906191"/>
    <w:rsid w:val="0090651B"/>
    <w:rsid w:val="009117D3"/>
    <w:rsid w:val="009159DB"/>
    <w:rsid w:val="00917052"/>
    <w:rsid w:val="00920540"/>
    <w:rsid w:val="00921C1B"/>
    <w:rsid w:val="00924B42"/>
    <w:rsid w:val="0092611F"/>
    <w:rsid w:val="009262BD"/>
    <w:rsid w:val="00935C53"/>
    <w:rsid w:val="009409A4"/>
    <w:rsid w:val="009442B2"/>
    <w:rsid w:val="0094785E"/>
    <w:rsid w:val="009550C2"/>
    <w:rsid w:val="009568ED"/>
    <w:rsid w:val="00957D69"/>
    <w:rsid w:val="0096331A"/>
    <w:rsid w:val="0097218B"/>
    <w:rsid w:val="009748FF"/>
    <w:rsid w:val="00975819"/>
    <w:rsid w:val="00976477"/>
    <w:rsid w:val="00983163"/>
    <w:rsid w:val="00991C55"/>
    <w:rsid w:val="009A5704"/>
    <w:rsid w:val="009B15EC"/>
    <w:rsid w:val="009B3991"/>
    <w:rsid w:val="009D0822"/>
    <w:rsid w:val="009E7F32"/>
    <w:rsid w:val="009F3F44"/>
    <w:rsid w:val="009F4199"/>
    <w:rsid w:val="009F7DAD"/>
    <w:rsid w:val="00A00E40"/>
    <w:rsid w:val="00A154C6"/>
    <w:rsid w:val="00A227BE"/>
    <w:rsid w:val="00A22CDD"/>
    <w:rsid w:val="00A322F6"/>
    <w:rsid w:val="00A37547"/>
    <w:rsid w:val="00A4014A"/>
    <w:rsid w:val="00A406E8"/>
    <w:rsid w:val="00A42F23"/>
    <w:rsid w:val="00A44BB8"/>
    <w:rsid w:val="00A5180D"/>
    <w:rsid w:val="00A5468B"/>
    <w:rsid w:val="00A57C5F"/>
    <w:rsid w:val="00A706E7"/>
    <w:rsid w:val="00A7248E"/>
    <w:rsid w:val="00A84570"/>
    <w:rsid w:val="00A90F64"/>
    <w:rsid w:val="00A96EB3"/>
    <w:rsid w:val="00A9769D"/>
    <w:rsid w:val="00AA4CB2"/>
    <w:rsid w:val="00AA698B"/>
    <w:rsid w:val="00AB4F0E"/>
    <w:rsid w:val="00AB5308"/>
    <w:rsid w:val="00AC2A7C"/>
    <w:rsid w:val="00AC60F9"/>
    <w:rsid w:val="00AD239D"/>
    <w:rsid w:val="00AD5D51"/>
    <w:rsid w:val="00AD7BDA"/>
    <w:rsid w:val="00AE4E7C"/>
    <w:rsid w:val="00AE6AE5"/>
    <w:rsid w:val="00AF0F5E"/>
    <w:rsid w:val="00AF2A24"/>
    <w:rsid w:val="00B14600"/>
    <w:rsid w:val="00B14C20"/>
    <w:rsid w:val="00B23607"/>
    <w:rsid w:val="00B240DE"/>
    <w:rsid w:val="00B24196"/>
    <w:rsid w:val="00B27EEB"/>
    <w:rsid w:val="00B31B53"/>
    <w:rsid w:val="00B32D4D"/>
    <w:rsid w:val="00B4588C"/>
    <w:rsid w:val="00B50F59"/>
    <w:rsid w:val="00B5137C"/>
    <w:rsid w:val="00B51C54"/>
    <w:rsid w:val="00B52E9A"/>
    <w:rsid w:val="00B56574"/>
    <w:rsid w:val="00B63CEB"/>
    <w:rsid w:val="00B651FB"/>
    <w:rsid w:val="00B76EE8"/>
    <w:rsid w:val="00B76FF2"/>
    <w:rsid w:val="00B82A46"/>
    <w:rsid w:val="00B913B5"/>
    <w:rsid w:val="00B944D5"/>
    <w:rsid w:val="00B971CF"/>
    <w:rsid w:val="00B97BE2"/>
    <w:rsid w:val="00BA5F4D"/>
    <w:rsid w:val="00BC004F"/>
    <w:rsid w:val="00BC6F3A"/>
    <w:rsid w:val="00BD0318"/>
    <w:rsid w:val="00BE1555"/>
    <w:rsid w:val="00BE306F"/>
    <w:rsid w:val="00BF350C"/>
    <w:rsid w:val="00BF5C8E"/>
    <w:rsid w:val="00C004E8"/>
    <w:rsid w:val="00C0257D"/>
    <w:rsid w:val="00C10E4F"/>
    <w:rsid w:val="00C152FA"/>
    <w:rsid w:val="00C272D9"/>
    <w:rsid w:val="00C27F48"/>
    <w:rsid w:val="00C3377E"/>
    <w:rsid w:val="00C34122"/>
    <w:rsid w:val="00C34ADE"/>
    <w:rsid w:val="00C36489"/>
    <w:rsid w:val="00C52758"/>
    <w:rsid w:val="00C5363A"/>
    <w:rsid w:val="00C641B8"/>
    <w:rsid w:val="00C70983"/>
    <w:rsid w:val="00C77709"/>
    <w:rsid w:val="00C94B9C"/>
    <w:rsid w:val="00CA4422"/>
    <w:rsid w:val="00CA5655"/>
    <w:rsid w:val="00CA5A2B"/>
    <w:rsid w:val="00CB0AB8"/>
    <w:rsid w:val="00CB391A"/>
    <w:rsid w:val="00CB640E"/>
    <w:rsid w:val="00CC1DB0"/>
    <w:rsid w:val="00CC3F5C"/>
    <w:rsid w:val="00CC7185"/>
    <w:rsid w:val="00CF142E"/>
    <w:rsid w:val="00D00DC4"/>
    <w:rsid w:val="00D00F31"/>
    <w:rsid w:val="00D0168B"/>
    <w:rsid w:val="00D02A46"/>
    <w:rsid w:val="00D142AB"/>
    <w:rsid w:val="00D14F32"/>
    <w:rsid w:val="00D15B48"/>
    <w:rsid w:val="00D162D7"/>
    <w:rsid w:val="00D1680B"/>
    <w:rsid w:val="00D36D6C"/>
    <w:rsid w:val="00D4656B"/>
    <w:rsid w:val="00D51120"/>
    <w:rsid w:val="00D5288A"/>
    <w:rsid w:val="00D54041"/>
    <w:rsid w:val="00D730A4"/>
    <w:rsid w:val="00D74F3A"/>
    <w:rsid w:val="00D7752C"/>
    <w:rsid w:val="00D82775"/>
    <w:rsid w:val="00D85667"/>
    <w:rsid w:val="00D94ABA"/>
    <w:rsid w:val="00D97797"/>
    <w:rsid w:val="00DA47FA"/>
    <w:rsid w:val="00DA4FE2"/>
    <w:rsid w:val="00DA6D2E"/>
    <w:rsid w:val="00DB0D55"/>
    <w:rsid w:val="00DB19E1"/>
    <w:rsid w:val="00DB25A6"/>
    <w:rsid w:val="00DB3646"/>
    <w:rsid w:val="00DB5AF4"/>
    <w:rsid w:val="00DC5755"/>
    <w:rsid w:val="00DC7238"/>
    <w:rsid w:val="00DD1395"/>
    <w:rsid w:val="00DE5C7F"/>
    <w:rsid w:val="00DF4E55"/>
    <w:rsid w:val="00E051F9"/>
    <w:rsid w:val="00E06B29"/>
    <w:rsid w:val="00E06C48"/>
    <w:rsid w:val="00E10CED"/>
    <w:rsid w:val="00E23539"/>
    <w:rsid w:val="00E26548"/>
    <w:rsid w:val="00E3245B"/>
    <w:rsid w:val="00E361C5"/>
    <w:rsid w:val="00E418F7"/>
    <w:rsid w:val="00E43F61"/>
    <w:rsid w:val="00E45F7B"/>
    <w:rsid w:val="00E47228"/>
    <w:rsid w:val="00E6502B"/>
    <w:rsid w:val="00E83EA3"/>
    <w:rsid w:val="00E84195"/>
    <w:rsid w:val="00E86E83"/>
    <w:rsid w:val="00E953EE"/>
    <w:rsid w:val="00EA1F24"/>
    <w:rsid w:val="00EA3444"/>
    <w:rsid w:val="00EA7FCE"/>
    <w:rsid w:val="00EB338E"/>
    <w:rsid w:val="00EB41AF"/>
    <w:rsid w:val="00EB6FFE"/>
    <w:rsid w:val="00EB7A97"/>
    <w:rsid w:val="00EC35FC"/>
    <w:rsid w:val="00EC57BF"/>
    <w:rsid w:val="00ED1EB5"/>
    <w:rsid w:val="00ED3CB1"/>
    <w:rsid w:val="00ED3EAD"/>
    <w:rsid w:val="00EF5901"/>
    <w:rsid w:val="00F10306"/>
    <w:rsid w:val="00F166AA"/>
    <w:rsid w:val="00F21FDC"/>
    <w:rsid w:val="00F35D92"/>
    <w:rsid w:val="00F3756F"/>
    <w:rsid w:val="00F41C83"/>
    <w:rsid w:val="00F450CC"/>
    <w:rsid w:val="00F45A8D"/>
    <w:rsid w:val="00F526B2"/>
    <w:rsid w:val="00F7505B"/>
    <w:rsid w:val="00F75697"/>
    <w:rsid w:val="00F9417A"/>
    <w:rsid w:val="00F95788"/>
    <w:rsid w:val="00F9595B"/>
    <w:rsid w:val="00FA0F64"/>
    <w:rsid w:val="00FA2558"/>
    <w:rsid w:val="00FA540C"/>
    <w:rsid w:val="00FB20CA"/>
    <w:rsid w:val="00FB75C2"/>
    <w:rsid w:val="00FC2FAC"/>
    <w:rsid w:val="00FD4BA7"/>
    <w:rsid w:val="00FE155E"/>
    <w:rsid w:val="00FE17BB"/>
    <w:rsid w:val="00FE23EA"/>
    <w:rsid w:val="00FE4EBD"/>
    <w:rsid w:val="00FF144A"/>
    <w:rsid w:val="00FF4A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457541"/>
  <w15:chartTrackingRefBased/>
  <w15:docId w15:val="{669652DA-416E-4A85-BF32-5273047D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3B"/>
    <w:pPr>
      <w:spacing w:before="120" w:after="120" w:line="240" w:lineRule="auto"/>
      <w:ind w:left="652"/>
    </w:pPr>
    <w:rPr>
      <w:rFonts w:ascii="Arial" w:eastAsiaTheme="minorEastAsia" w:hAnsi="Arial" w:cs="Arial"/>
      <w:lang w:eastAsia="ja-JP"/>
    </w:rPr>
  </w:style>
  <w:style w:type="paragraph" w:styleId="Heading1">
    <w:name w:val="heading 1"/>
    <w:aliases w:val="Heading 1 do not use,Section heading 1,Front Page Title,1.,Para 1,Para 11"/>
    <w:basedOn w:val="Normal"/>
    <w:next w:val="Normal"/>
    <w:link w:val="Heading1Char"/>
    <w:qFormat/>
    <w:rsid w:val="00EC35FC"/>
    <w:pPr>
      <w:pageBreakBefore/>
      <w:numPr>
        <w:numId w:val="1"/>
      </w:numPr>
      <w:tabs>
        <w:tab w:val="right" w:pos="10188"/>
      </w:tabs>
      <w:spacing w:before="240" w:line="288" w:lineRule="auto"/>
      <w:ind w:left="652" w:hanging="652"/>
      <w:outlineLvl w:val="0"/>
    </w:pPr>
    <w:rPr>
      <w:rFonts w:eastAsia="Georgia"/>
      <w:b/>
      <w:color w:val="6B2976"/>
      <w:sz w:val="36"/>
      <w:szCs w:val="48"/>
      <w:lang w:eastAsia="en-US"/>
    </w:rPr>
  </w:style>
  <w:style w:type="paragraph" w:styleId="Heading2">
    <w:name w:val="heading 2"/>
    <w:aliases w:val="Heading 2 do not use,Front Page List of Sections"/>
    <w:basedOn w:val="Normal"/>
    <w:next w:val="Normal"/>
    <w:link w:val="Heading2Char"/>
    <w:unhideWhenUsed/>
    <w:qFormat/>
    <w:rsid w:val="008F00D1"/>
    <w:pPr>
      <w:keepNext/>
      <w:numPr>
        <w:ilvl w:val="1"/>
        <w:numId w:val="1"/>
      </w:numPr>
      <w:tabs>
        <w:tab w:val="right" w:pos="10188"/>
      </w:tabs>
      <w:spacing w:before="240"/>
      <w:ind w:left="652" w:hanging="652"/>
      <w:outlineLvl w:val="1"/>
    </w:pPr>
    <w:rPr>
      <w:rFonts w:eastAsia="Georgia"/>
      <w:b/>
      <w:color w:val="6A2875"/>
      <w:sz w:val="32"/>
      <w:szCs w:val="28"/>
      <w:lang w:eastAsia="en-US"/>
    </w:rPr>
  </w:style>
  <w:style w:type="paragraph" w:styleId="Heading3">
    <w:name w:val="heading 3"/>
    <w:aliases w:val="Heading 3 do not use"/>
    <w:basedOn w:val="Heading2"/>
    <w:next w:val="Normal"/>
    <w:link w:val="Heading3Char"/>
    <w:unhideWhenUsed/>
    <w:qFormat/>
    <w:rsid w:val="004F0890"/>
    <w:pPr>
      <w:numPr>
        <w:ilvl w:val="2"/>
      </w:numPr>
      <w:ind w:left="851" w:hanging="851"/>
      <w:outlineLvl w:val="2"/>
    </w:pPr>
    <w:rPr>
      <w:sz w:val="28"/>
    </w:rPr>
  </w:style>
  <w:style w:type="paragraph" w:styleId="Heading4">
    <w:name w:val="heading 4"/>
    <w:basedOn w:val="Heading3"/>
    <w:next w:val="Normal"/>
    <w:link w:val="Heading4Char"/>
    <w:unhideWhenUsed/>
    <w:qFormat/>
    <w:rsid w:val="00415969"/>
    <w:pPr>
      <w:numPr>
        <w:ilvl w:val="0"/>
        <w:numId w:val="0"/>
      </w:numPr>
      <w:ind w:left="567"/>
      <w:outlineLvl w:val="3"/>
    </w:pPr>
    <w:rPr>
      <w:sz w:val="24"/>
    </w:rPr>
  </w:style>
  <w:style w:type="paragraph" w:styleId="Heading5">
    <w:name w:val="heading 5"/>
    <w:basedOn w:val="Heading4"/>
    <w:next w:val="Normal"/>
    <w:link w:val="Heading5Char"/>
    <w:unhideWhenUsed/>
    <w:qFormat/>
    <w:rsid w:val="00E418F7"/>
    <w:pPr>
      <w:outlineLvl w:val="4"/>
    </w:pPr>
    <w:rPr>
      <w:b w:val="0"/>
    </w:rPr>
  </w:style>
  <w:style w:type="paragraph" w:styleId="Heading6">
    <w:name w:val="heading 6"/>
    <w:basedOn w:val="Heading5"/>
    <w:next w:val="Normal"/>
    <w:link w:val="Heading6Char"/>
    <w:unhideWhenUsed/>
    <w:qFormat/>
    <w:rsid w:val="0049736E"/>
    <w:pPr>
      <w:outlineLvl w:val="5"/>
    </w:pPr>
    <w:rPr>
      <w:b/>
      <w:color w:val="auto"/>
      <w:sz w:val="22"/>
    </w:rPr>
  </w:style>
  <w:style w:type="paragraph" w:styleId="Heading7">
    <w:name w:val="heading 7"/>
    <w:aliases w:val="Section Sub-Heading 4"/>
    <w:basedOn w:val="Normal"/>
    <w:next w:val="Normal"/>
    <w:link w:val="Heading7Char"/>
    <w:unhideWhenUsed/>
    <w:qFormat/>
    <w:rsid w:val="0012526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12526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12526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EC35FC"/>
    <w:pPr>
      <w:numPr>
        <w:numId w:val="0"/>
      </w:numPr>
      <w:spacing w:before="200" w:after="240"/>
    </w:pPr>
  </w:style>
  <w:style w:type="character" w:customStyle="1" w:styleId="TitleChar">
    <w:name w:val="Title Char"/>
    <w:basedOn w:val="DefaultParagraphFont"/>
    <w:link w:val="Title"/>
    <w:uiPriority w:val="10"/>
    <w:rsid w:val="00775B02"/>
    <w:rPr>
      <w:rFonts w:ascii="Arial" w:eastAsia="Georgia" w:hAnsi="Arial" w:cs="Arial"/>
      <w:color w:val="6B2976"/>
      <w:sz w:val="36"/>
      <w:szCs w:val="48"/>
    </w:rPr>
  </w:style>
  <w:style w:type="character" w:customStyle="1" w:styleId="Heading1Char">
    <w:name w:val="Heading 1 Char"/>
    <w:aliases w:val="Heading 1 do not use Char,Section heading 1 Char,Front Page Title Char,1. Char,Para 1 Char,Para 11 Char"/>
    <w:basedOn w:val="DefaultParagraphFont"/>
    <w:link w:val="Heading1"/>
    <w:uiPriority w:val="9"/>
    <w:rsid w:val="00EC35FC"/>
    <w:rPr>
      <w:rFonts w:ascii="Arial" w:eastAsia="Georgia" w:hAnsi="Arial" w:cs="Arial"/>
      <w:b/>
      <w:color w:val="6B2976"/>
      <w:sz w:val="36"/>
      <w:szCs w:val="48"/>
    </w:rPr>
  </w:style>
  <w:style w:type="character" w:customStyle="1" w:styleId="Heading2Char">
    <w:name w:val="Heading 2 Char"/>
    <w:aliases w:val="Heading 2 do not use Char,Front Page List of Sections Char"/>
    <w:basedOn w:val="DefaultParagraphFont"/>
    <w:link w:val="Heading2"/>
    <w:uiPriority w:val="9"/>
    <w:rsid w:val="008F00D1"/>
    <w:rPr>
      <w:rFonts w:ascii="Arial" w:eastAsia="Georgia" w:hAnsi="Arial" w:cs="Arial"/>
      <w:b/>
      <w:color w:val="6A2875"/>
      <w:sz w:val="32"/>
      <w:szCs w:val="28"/>
    </w:rPr>
  </w:style>
  <w:style w:type="paragraph" w:styleId="BodyText">
    <w:name w:val="Body Text"/>
    <w:basedOn w:val="Normal"/>
    <w:link w:val="BodyTextChar"/>
    <w:uiPriority w:val="99"/>
    <w:unhideWhenUsed/>
    <w:qFormat/>
    <w:rsid w:val="00775B02"/>
    <w:rPr>
      <w:rFonts w:eastAsia="Cambria"/>
      <w:lang w:val="en-US" w:eastAsia="en-US"/>
    </w:rPr>
  </w:style>
  <w:style w:type="character" w:customStyle="1" w:styleId="BodyTextChar">
    <w:name w:val="Body Text Char"/>
    <w:basedOn w:val="DefaultParagraphFont"/>
    <w:link w:val="BodyText"/>
    <w:uiPriority w:val="99"/>
    <w:rsid w:val="00775B02"/>
    <w:rPr>
      <w:rFonts w:ascii="Arial" w:eastAsia="Cambria" w:hAnsi="Arial" w:cs="Arial"/>
      <w:lang w:val="en-US"/>
    </w:rPr>
  </w:style>
  <w:style w:type="character" w:customStyle="1" w:styleId="BodyTextItalic">
    <w:name w:val="Body Text Italic"/>
    <w:basedOn w:val="DefaultParagraphFont"/>
    <w:uiPriority w:val="1"/>
    <w:qFormat/>
    <w:rsid w:val="00775B02"/>
    <w:rPr>
      <w:i/>
      <w:iCs/>
    </w:rPr>
  </w:style>
  <w:style w:type="paragraph" w:styleId="NormalIndent">
    <w:name w:val="Normal Indent"/>
    <w:basedOn w:val="Normal"/>
    <w:uiPriority w:val="99"/>
    <w:semiHidden/>
    <w:rsid w:val="00775B02"/>
    <w:pPr>
      <w:spacing w:before="200" w:line="260" w:lineRule="atLeast"/>
      <w:ind w:left="720"/>
    </w:pPr>
    <w:rPr>
      <w:rFonts w:ascii="Cambria" w:eastAsia="Cambria" w:hAnsi="Cambria" w:cs="Times New Roman"/>
      <w:lang w:eastAsia="en-US"/>
    </w:rPr>
  </w:style>
  <w:style w:type="paragraph" w:customStyle="1" w:styleId="subsection">
    <w:name w:val="subsection"/>
    <w:aliases w:val="ss"/>
    <w:basedOn w:val="Normal"/>
    <w:link w:val="subsectionChar"/>
    <w:rsid w:val="00775B02"/>
    <w:pPr>
      <w:tabs>
        <w:tab w:val="right" w:pos="1021"/>
      </w:tabs>
      <w:spacing w:before="180"/>
      <w:ind w:left="1134" w:hanging="1134"/>
    </w:pPr>
    <w:rPr>
      <w:rFonts w:ascii="Times New Roman" w:eastAsia="Times New Roman" w:hAnsi="Times New Roman" w:cs="Times New Roman"/>
      <w:lang w:eastAsia="en-AU"/>
    </w:rPr>
  </w:style>
  <w:style w:type="character" w:customStyle="1" w:styleId="subsectionChar">
    <w:name w:val="subsection Char"/>
    <w:aliases w:val="ss Char"/>
    <w:link w:val="subsection"/>
    <w:locked/>
    <w:rsid w:val="00775B02"/>
    <w:rPr>
      <w:rFonts w:ascii="Times New Roman" w:eastAsia="Times New Roman" w:hAnsi="Times New Roman" w:cs="Times New Roman"/>
      <w:sz w:val="20"/>
      <w:szCs w:val="20"/>
      <w:lang w:eastAsia="en-AU"/>
    </w:rPr>
  </w:style>
  <w:style w:type="paragraph" w:customStyle="1" w:styleId="paragraph">
    <w:name w:val="paragraph"/>
    <w:aliases w:val="a"/>
    <w:basedOn w:val="Normal"/>
    <w:link w:val="paragraphChar"/>
    <w:rsid w:val="00775B02"/>
    <w:pPr>
      <w:tabs>
        <w:tab w:val="right" w:pos="1531"/>
      </w:tabs>
      <w:spacing w:before="40"/>
      <w:ind w:left="1644" w:hanging="1644"/>
    </w:pPr>
    <w:rPr>
      <w:rFonts w:ascii="Times New Roman" w:eastAsia="Times New Roman" w:hAnsi="Times New Roman" w:cs="Times New Roman"/>
      <w:lang w:eastAsia="en-AU"/>
    </w:rPr>
  </w:style>
  <w:style w:type="character" w:customStyle="1" w:styleId="paragraphChar">
    <w:name w:val="paragraph Char"/>
    <w:aliases w:val="a Char"/>
    <w:basedOn w:val="DefaultParagraphFont"/>
    <w:link w:val="paragraph"/>
    <w:rsid w:val="00775B02"/>
    <w:rPr>
      <w:rFonts w:ascii="Times New Roman" w:eastAsia="Times New Roman" w:hAnsi="Times New Roman" w:cs="Times New Roman"/>
      <w:sz w:val="20"/>
      <w:szCs w:val="20"/>
      <w:lang w:eastAsia="en-AU"/>
    </w:rPr>
  </w:style>
  <w:style w:type="character" w:customStyle="1" w:styleId="Heading3Char">
    <w:name w:val="Heading 3 Char"/>
    <w:aliases w:val="Heading 3 do not use Char"/>
    <w:basedOn w:val="DefaultParagraphFont"/>
    <w:link w:val="Heading3"/>
    <w:uiPriority w:val="9"/>
    <w:rsid w:val="004F0890"/>
    <w:rPr>
      <w:rFonts w:ascii="Arial" w:eastAsia="Georgia" w:hAnsi="Arial" w:cs="Arial"/>
      <w:b/>
      <w:color w:val="6A2875"/>
      <w:sz w:val="28"/>
      <w:szCs w:val="28"/>
    </w:rPr>
  </w:style>
  <w:style w:type="character" w:customStyle="1" w:styleId="Heading4Char">
    <w:name w:val="Heading 4 Char"/>
    <w:basedOn w:val="DefaultParagraphFont"/>
    <w:link w:val="Heading4"/>
    <w:uiPriority w:val="9"/>
    <w:rsid w:val="00415969"/>
    <w:rPr>
      <w:rFonts w:ascii="Arial" w:eastAsia="Georgia" w:hAnsi="Arial" w:cs="Arial"/>
      <w:b/>
      <w:color w:val="6A2875"/>
      <w:sz w:val="24"/>
      <w:szCs w:val="28"/>
    </w:rPr>
  </w:style>
  <w:style w:type="character" w:customStyle="1" w:styleId="Heading5Char">
    <w:name w:val="Heading 5 Char"/>
    <w:basedOn w:val="DefaultParagraphFont"/>
    <w:link w:val="Heading5"/>
    <w:uiPriority w:val="9"/>
    <w:rsid w:val="00E418F7"/>
    <w:rPr>
      <w:rFonts w:ascii="Arial" w:eastAsia="Georgia" w:hAnsi="Arial" w:cs="Arial"/>
      <w:color w:val="6A2875"/>
      <w:sz w:val="24"/>
      <w:szCs w:val="28"/>
    </w:rPr>
  </w:style>
  <w:style w:type="character" w:customStyle="1" w:styleId="Heading6Char">
    <w:name w:val="Heading 6 Char"/>
    <w:basedOn w:val="DefaultParagraphFont"/>
    <w:link w:val="Heading6"/>
    <w:uiPriority w:val="9"/>
    <w:rsid w:val="0049736E"/>
    <w:rPr>
      <w:rFonts w:ascii="Arial" w:eastAsia="Georgia" w:hAnsi="Arial" w:cs="Arial"/>
      <w:b/>
      <w:szCs w:val="28"/>
    </w:rPr>
  </w:style>
  <w:style w:type="character" w:customStyle="1" w:styleId="Heading7Char">
    <w:name w:val="Heading 7 Char"/>
    <w:aliases w:val="Section Sub-Heading 4 Char"/>
    <w:basedOn w:val="DefaultParagraphFont"/>
    <w:link w:val="Heading7"/>
    <w:uiPriority w:val="9"/>
    <w:semiHidden/>
    <w:rsid w:val="00125269"/>
    <w:rPr>
      <w:rFonts w:asciiTheme="majorHAnsi" w:eastAsiaTheme="majorEastAsia" w:hAnsiTheme="majorHAnsi" w:cstheme="majorBidi"/>
      <w:i/>
      <w:iCs/>
      <w:color w:val="1F4D78" w:themeColor="accent1" w:themeShade="7F"/>
      <w:lang w:eastAsia="ja-JP"/>
    </w:rPr>
  </w:style>
  <w:style w:type="character" w:customStyle="1" w:styleId="Heading8Char">
    <w:name w:val="Heading 8 Char"/>
    <w:basedOn w:val="DefaultParagraphFont"/>
    <w:link w:val="Heading8"/>
    <w:uiPriority w:val="9"/>
    <w:semiHidden/>
    <w:rsid w:val="00125269"/>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125269"/>
    <w:rPr>
      <w:rFonts w:asciiTheme="majorHAnsi" w:eastAsiaTheme="majorEastAsia" w:hAnsiTheme="majorHAnsi" w:cstheme="majorBidi"/>
      <w:i/>
      <w:iCs/>
      <w:color w:val="272727" w:themeColor="text1" w:themeTint="D8"/>
      <w:sz w:val="21"/>
      <w:szCs w:val="21"/>
      <w:lang w:eastAsia="ja-JP"/>
    </w:rPr>
  </w:style>
  <w:style w:type="paragraph" w:styleId="ListParagraph">
    <w:name w:val="List Paragraph"/>
    <w:aliases w:val="NFP GP Bulleted List,List Paragraph1,Recommendation,List Paragraph11,List Paragraph2,L,AR bullet 1,List Paragraph Number,Bullet point,Content descriptions,Bullet Point,dot point List Paragraph,Number Paragraph,Bullet points,Bullet Points"/>
    <w:basedOn w:val="Normal"/>
    <w:link w:val="ListParagraphChar"/>
    <w:uiPriority w:val="34"/>
    <w:qFormat/>
    <w:rsid w:val="00B31B53"/>
    <w:pPr>
      <w:spacing w:after="0"/>
      <w:ind w:left="720"/>
      <w:contextualSpacing/>
    </w:pPr>
  </w:style>
  <w:style w:type="character" w:customStyle="1" w:styleId="ListParagraphChar">
    <w:name w:val="List Paragraph Char"/>
    <w:aliases w:val="NFP GP Bulleted List Char,List Paragraph1 Char,Recommendation Char,List Paragraph11 Char,List Paragraph2 Char,L Char,AR bullet 1 Char,List Paragraph Number Char,Bullet point Char,Content descriptions Char,Bullet Point Char"/>
    <w:basedOn w:val="DefaultParagraphFont"/>
    <w:link w:val="ListParagraph"/>
    <w:uiPriority w:val="34"/>
    <w:qFormat/>
    <w:locked/>
    <w:rsid w:val="00B31B53"/>
    <w:rPr>
      <w:rFonts w:ascii="Arial" w:eastAsiaTheme="minorEastAsia" w:hAnsi="Arial" w:cs="Arial"/>
      <w:sz w:val="20"/>
      <w:szCs w:val="20"/>
      <w:lang w:eastAsia="ja-JP"/>
    </w:rPr>
  </w:style>
  <w:style w:type="paragraph" w:styleId="Caption">
    <w:name w:val="caption"/>
    <w:basedOn w:val="Normal"/>
    <w:next w:val="Normal"/>
    <w:unhideWhenUsed/>
    <w:qFormat/>
    <w:rsid w:val="00B31B53"/>
    <w:pPr>
      <w:spacing w:after="200"/>
    </w:pPr>
    <w:rPr>
      <w:rFonts w:asciiTheme="minorHAnsi" w:eastAsiaTheme="minorHAnsi" w:hAnsiTheme="minorHAnsi"/>
      <w:i/>
      <w:iCs/>
      <w:color w:val="44546A" w:themeColor="text2"/>
      <w:sz w:val="18"/>
      <w:szCs w:val="18"/>
      <w:lang w:val="en-US" w:eastAsia="en-US"/>
    </w:rPr>
  </w:style>
  <w:style w:type="character" w:styleId="Hyperlink">
    <w:name w:val="Hyperlink"/>
    <w:basedOn w:val="DefaultParagraphFont"/>
    <w:uiPriority w:val="99"/>
    <w:unhideWhenUsed/>
    <w:rsid w:val="00B31B53"/>
    <w:rPr>
      <w:color w:val="0000FF"/>
      <w:u w:val="single"/>
    </w:rPr>
  </w:style>
  <w:style w:type="paragraph" w:customStyle="1" w:styleId="paragraphsub">
    <w:name w:val="paragraph(sub)"/>
    <w:aliases w:val="aa"/>
    <w:basedOn w:val="Normal"/>
    <w:rsid w:val="00B31B53"/>
    <w:pPr>
      <w:tabs>
        <w:tab w:val="right" w:pos="1985"/>
      </w:tabs>
      <w:spacing w:before="40" w:after="0"/>
      <w:ind w:left="2098" w:hanging="2098"/>
    </w:pPr>
    <w:rPr>
      <w:rFonts w:ascii="Times New Roman" w:eastAsia="Times New Roman" w:hAnsi="Times New Roman" w:cs="Times New Roman"/>
      <w:lang w:eastAsia="en-AU"/>
    </w:rPr>
  </w:style>
  <w:style w:type="paragraph" w:customStyle="1" w:styleId="ActHead5">
    <w:name w:val="ActHead 5"/>
    <w:aliases w:val="s"/>
    <w:basedOn w:val="Normal"/>
    <w:next w:val="subsection"/>
    <w:link w:val="ActHead5Char"/>
    <w:qFormat/>
    <w:rsid w:val="00B31B53"/>
    <w:pPr>
      <w:keepNext/>
      <w:keepLines/>
      <w:spacing w:before="280" w:after="0"/>
      <w:ind w:left="1134" w:hanging="1134"/>
      <w:outlineLvl w:val="4"/>
    </w:pPr>
    <w:rPr>
      <w:rFonts w:ascii="Times New Roman" w:eastAsia="Times New Roman" w:hAnsi="Times New Roman" w:cs="Times New Roman"/>
      <w:b/>
      <w:kern w:val="28"/>
      <w:sz w:val="24"/>
      <w:lang w:eastAsia="en-AU"/>
    </w:rPr>
  </w:style>
  <w:style w:type="character" w:customStyle="1" w:styleId="ActHead5Char">
    <w:name w:val="ActHead 5 Char"/>
    <w:aliases w:val="s Char"/>
    <w:basedOn w:val="DefaultParagraphFont"/>
    <w:link w:val="ActHead5"/>
    <w:locked/>
    <w:rsid w:val="00B31B53"/>
    <w:rPr>
      <w:rFonts w:ascii="Times New Roman" w:eastAsia="Times New Roman" w:hAnsi="Times New Roman" w:cs="Times New Roman"/>
      <w:b/>
      <w:kern w:val="28"/>
      <w:sz w:val="24"/>
      <w:szCs w:val="20"/>
      <w:lang w:eastAsia="en-AU"/>
    </w:rPr>
  </w:style>
  <w:style w:type="paragraph" w:styleId="ListBullet">
    <w:name w:val="List Bullet"/>
    <w:basedOn w:val="Normal"/>
    <w:uiPriority w:val="99"/>
    <w:unhideWhenUsed/>
    <w:rsid w:val="00B31B53"/>
    <w:pPr>
      <w:numPr>
        <w:numId w:val="2"/>
      </w:numPr>
      <w:spacing w:line="288" w:lineRule="auto"/>
      <w:ind w:left="714" w:hanging="357"/>
      <w:contextualSpacing/>
    </w:pPr>
    <w:rPr>
      <w:rFonts w:eastAsiaTheme="minorHAnsi"/>
      <w:color w:val="FFFFFF"/>
      <w:lang w:eastAsia="en-US"/>
    </w:rPr>
  </w:style>
  <w:style w:type="table" w:styleId="TableGrid">
    <w:name w:val="Table Grid"/>
    <w:aliases w:val="WISDOM Table"/>
    <w:basedOn w:val="TableNormal"/>
    <w:uiPriority w:val="39"/>
    <w:rsid w:val="0083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32B78"/>
    <w:pPr>
      <w:autoSpaceDE w:val="0"/>
      <w:autoSpaceDN w:val="0"/>
      <w:adjustRightInd w:val="0"/>
      <w:spacing w:after="0" w:line="191" w:lineRule="atLeast"/>
    </w:pPr>
    <w:rPr>
      <w:rFonts w:ascii="FS Me Pro Light" w:eastAsiaTheme="minorHAnsi" w:hAnsi="FS Me Pro Light" w:cstheme="minorBidi"/>
      <w:sz w:val="24"/>
      <w:szCs w:val="24"/>
      <w:lang w:eastAsia="en-US"/>
    </w:rPr>
  </w:style>
  <w:style w:type="paragraph" w:styleId="NormalWeb">
    <w:name w:val="Normal (Web)"/>
    <w:basedOn w:val="Normal"/>
    <w:uiPriority w:val="99"/>
    <w:unhideWhenUsed/>
    <w:rsid w:val="00832B78"/>
    <w:pPr>
      <w:spacing w:before="100" w:beforeAutospacing="1" w:after="100" w:afterAutospacing="1"/>
    </w:pPr>
    <w:rPr>
      <w:rFonts w:ascii="Times New Roman" w:eastAsia="Times New Roman" w:hAnsi="Times New Roman" w:cs="Times New Roman"/>
      <w:sz w:val="24"/>
      <w:lang w:eastAsia="en-AU"/>
    </w:rPr>
  </w:style>
  <w:style w:type="paragraph" w:styleId="BalloonText">
    <w:name w:val="Balloon Text"/>
    <w:basedOn w:val="Normal"/>
    <w:link w:val="BalloonTextChar"/>
    <w:semiHidden/>
    <w:unhideWhenUsed/>
    <w:rsid w:val="002E3CB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CBC"/>
    <w:rPr>
      <w:rFonts w:ascii="Segoe UI" w:eastAsiaTheme="minorEastAsia" w:hAnsi="Segoe UI" w:cs="Segoe UI"/>
      <w:sz w:val="18"/>
      <w:szCs w:val="18"/>
      <w:lang w:eastAsia="ja-JP"/>
    </w:rPr>
  </w:style>
  <w:style w:type="table" w:styleId="GridTable2-Accent3">
    <w:name w:val="Grid Table 2 Accent 3"/>
    <w:basedOn w:val="TableNormal"/>
    <w:uiPriority w:val="47"/>
    <w:rsid w:val="004759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35">
    <w:name w:val="Pa35"/>
    <w:basedOn w:val="Normal"/>
    <w:next w:val="Normal"/>
    <w:uiPriority w:val="99"/>
    <w:rsid w:val="00475947"/>
    <w:pPr>
      <w:autoSpaceDE w:val="0"/>
      <w:autoSpaceDN w:val="0"/>
      <w:adjustRightInd w:val="0"/>
      <w:spacing w:after="0" w:line="171" w:lineRule="atLeast"/>
    </w:pPr>
    <w:rPr>
      <w:rFonts w:ascii="FS Me Pro Light" w:eastAsiaTheme="minorHAnsi" w:hAnsi="FS Me Pro Light" w:cstheme="minorBidi"/>
      <w:sz w:val="24"/>
      <w:szCs w:val="24"/>
      <w:lang w:eastAsia="en-US"/>
    </w:rPr>
  </w:style>
  <w:style w:type="character" w:customStyle="1" w:styleId="A11">
    <w:name w:val="A11"/>
    <w:uiPriority w:val="99"/>
    <w:rsid w:val="00475947"/>
    <w:rPr>
      <w:rFonts w:cs="FS Me Pro Light"/>
      <w:color w:val="000000"/>
      <w:sz w:val="11"/>
      <w:szCs w:val="11"/>
    </w:rPr>
  </w:style>
  <w:style w:type="paragraph" w:styleId="FootnoteText">
    <w:name w:val="footnote text"/>
    <w:basedOn w:val="Normal"/>
    <w:link w:val="FootnoteTextChar"/>
    <w:unhideWhenUsed/>
    <w:qFormat/>
    <w:rsid w:val="00C34ADE"/>
    <w:pPr>
      <w:spacing w:after="0"/>
    </w:pPr>
  </w:style>
  <w:style w:type="character" w:customStyle="1" w:styleId="FootnoteTextChar">
    <w:name w:val="Footnote Text Char"/>
    <w:basedOn w:val="DefaultParagraphFont"/>
    <w:link w:val="FootnoteText"/>
    <w:uiPriority w:val="99"/>
    <w:rsid w:val="00C34ADE"/>
    <w:rPr>
      <w:rFonts w:ascii="Arial" w:eastAsiaTheme="minorEastAsia" w:hAnsi="Arial" w:cs="Arial"/>
      <w:sz w:val="20"/>
      <w:szCs w:val="20"/>
      <w:lang w:eastAsia="ja-JP"/>
    </w:rPr>
  </w:style>
  <w:style w:type="character" w:styleId="FootnoteReference">
    <w:name w:val="footnote reference"/>
    <w:basedOn w:val="DefaultParagraphFont"/>
    <w:unhideWhenUsed/>
    <w:rsid w:val="00C34ADE"/>
    <w:rPr>
      <w:vertAlign w:val="superscript"/>
    </w:rPr>
  </w:style>
  <w:style w:type="table" w:styleId="GridTable4-Accent3">
    <w:name w:val="Grid Table 4 Accent 3"/>
    <w:basedOn w:val="TableNormal"/>
    <w:uiPriority w:val="49"/>
    <w:rsid w:val="00C34A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C34ADE"/>
    <w:pPr>
      <w:autoSpaceDE w:val="0"/>
      <w:autoSpaceDN w:val="0"/>
      <w:adjustRightInd w:val="0"/>
      <w:spacing w:after="0" w:line="240" w:lineRule="auto"/>
    </w:pPr>
    <w:rPr>
      <w:rFonts w:ascii="Calibri" w:hAnsi="Calibri" w:cs="Calibri"/>
      <w:color w:val="000000"/>
      <w:sz w:val="24"/>
      <w:szCs w:val="24"/>
    </w:rPr>
  </w:style>
  <w:style w:type="table" w:customStyle="1" w:styleId="WISDOMTable2">
    <w:name w:val="WISDOM Table2"/>
    <w:basedOn w:val="TableNormal"/>
    <w:next w:val="TableGrid"/>
    <w:uiPriority w:val="39"/>
    <w:rsid w:val="006C20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D3A39"/>
    <w:pPr>
      <w:spacing w:after="0" w:line="240" w:lineRule="auto"/>
    </w:pPr>
    <w:rPr>
      <w:rFonts w:ascii="Arial" w:eastAsiaTheme="minorEastAsia" w:hAnsi="Arial"/>
      <w:sz w:val="20"/>
      <w:szCs w:val="20"/>
      <w:lang w:eastAsia="ja-JP"/>
    </w:rPr>
  </w:style>
  <w:style w:type="character" w:customStyle="1" w:styleId="NoSpacingChar">
    <w:name w:val="No Spacing Char"/>
    <w:basedOn w:val="DefaultParagraphFont"/>
    <w:link w:val="NoSpacing"/>
    <w:uiPriority w:val="1"/>
    <w:locked/>
    <w:rsid w:val="000D3A39"/>
    <w:rPr>
      <w:rFonts w:ascii="Arial" w:eastAsiaTheme="minorEastAsia" w:hAnsi="Arial"/>
      <w:sz w:val="20"/>
      <w:szCs w:val="20"/>
      <w:lang w:eastAsia="ja-JP"/>
    </w:rPr>
  </w:style>
  <w:style w:type="table" w:styleId="PlainTable1">
    <w:name w:val="Plain Table 1"/>
    <w:basedOn w:val="TableNormal"/>
    <w:uiPriority w:val="41"/>
    <w:rsid w:val="00561B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TableNormal"/>
    <w:next w:val="GridTable2-Accent3"/>
    <w:uiPriority w:val="47"/>
    <w:rsid w:val="00561B3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format">
    <w:name w:val="Table format"/>
    <w:basedOn w:val="Normal"/>
    <w:link w:val="TableformatChar"/>
    <w:qFormat/>
    <w:rsid w:val="00AC60F9"/>
    <w:pPr>
      <w:ind w:left="0"/>
    </w:pPr>
    <w:rPr>
      <w:sz w:val="20"/>
      <w:szCs w:val="20"/>
    </w:rPr>
  </w:style>
  <w:style w:type="character" w:customStyle="1" w:styleId="TableformatChar">
    <w:name w:val="Table format Char"/>
    <w:basedOn w:val="DefaultParagraphFont"/>
    <w:link w:val="Tableformat"/>
    <w:rsid w:val="00AC60F9"/>
    <w:rPr>
      <w:rFonts w:ascii="Arial" w:eastAsiaTheme="minorEastAsia" w:hAnsi="Arial" w:cs="Arial"/>
      <w:sz w:val="20"/>
      <w:szCs w:val="20"/>
      <w:lang w:eastAsia="ja-JP"/>
    </w:rPr>
  </w:style>
  <w:style w:type="paragraph" w:styleId="TOCHeading">
    <w:name w:val="TOC Heading"/>
    <w:basedOn w:val="Heading1"/>
    <w:next w:val="Normal"/>
    <w:uiPriority w:val="39"/>
    <w:unhideWhenUsed/>
    <w:qFormat/>
    <w:rsid w:val="00C52758"/>
    <w:pPr>
      <w:keepNext/>
      <w:keepLines/>
      <w:pageBreakBefore w:val="0"/>
      <w:numPr>
        <w:numId w:val="0"/>
      </w:numPr>
      <w:tabs>
        <w:tab w:val="clear" w:pos="10188"/>
      </w:tabs>
      <w:spacing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C52758"/>
    <w:pPr>
      <w:spacing w:after="100"/>
      <w:ind w:left="0"/>
    </w:pPr>
  </w:style>
  <w:style w:type="paragraph" w:styleId="TOC2">
    <w:name w:val="toc 2"/>
    <w:basedOn w:val="Normal"/>
    <w:next w:val="Normal"/>
    <w:autoRedefine/>
    <w:uiPriority w:val="39"/>
    <w:unhideWhenUsed/>
    <w:rsid w:val="0049736E"/>
    <w:pPr>
      <w:tabs>
        <w:tab w:val="left" w:pos="880"/>
        <w:tab w:val="right" w:leader="dot" w:pos="10025"/>
      </w:tabs>
      <w:spacing w:after="100"/>
      <w:ind w:left="426"/>
    </w:pPr>
  </w:style>
  <w:style w:type="paragraph" w:styleId="TOC3">
    <w:name w:val="toc 3"/>
    <w:basedOn w:val="Normal"/>
    <w:next w:val="Normal"/>
    <w:autoRedefine/>
    <w:uiPriority w:val="39"/>
    <w:unhideWhenUsed/>
    <w:rsid w:val="0049736E"/>
    <w:pPr>
      <w:tabs>
        <w:tab w:val="left" w:pos="1560"/>
        <w:tab w:val="right" w:leader="dot" w:pos="10025"/>
      </w:tabs>
      <w:spacing w:after="100"/>
      <w:ind w:left="851"/>
    </w:pPr>
  </w:style>
  <w:style w:type="character" w:styleId="Strong">
    <w:name w:val="Strong"/>
    <w:basedOn w:val="DefaultParagraphFont"/>
    <w:uiPriority w:val="22"/>
    <w:qFormat/>
    <w:rsid w:val="00462BF1"/>
    <w:rPr>
      <w:b/>
      <w:bCs/>
    </w:rPr>
  </w:style>
  <w:style w:type="table" w:customStyle="1" w:styleId="TableGrid1">
    <w:name w:val="Table Grid1"/>
    <w:basedOn w:val="TableNormal"/>
    <w:next w:val="TableGrid"/>
    <w:uiPriority w:val="39"/>
    <w:rsid w:val="0047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A0D9F"/>
    <w:pPr>
      <w:spacing w:before="0" w:after="0"/>
      <w:ind w:left="0"/>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A0D9F"/>
    <w:rPr>
      <w:rFonts w:ascii="Calibri" w:hAnsi="Calibri"/>
      <w:szCs w:val="21"/>
    </w:rPr>
  </w:style>
  <w:style w:type="character" w:styleId="CommentReference">
    <w:name w:val="annotation reference"/>
    <w:basedOn w:val="DefaultParagraphFont"/>
    <w:semiHidden/>
    <w:unhideWhenUsed/>
    <w:rsid w:val="0025606A"/>
    <w:rPr>
      <w:sz w:val="16"/>
      <w:szCs w:val="16"/>
    </w:rPr>
  </w:style>
  <w:style w:type="character" w:customStyle="1" w:styleId="BodyText1Char">
    <w:name w:val="Body Text1 Char"/>
    <w:basedOn w:val="DefaultParagraphFont"/>
    <w:link w:val="BodyText1"/>
    <w:locked/>
    <w:rsid w:val="0025606A"/>
    <w:rPr>
      <w:rFonts w:ascii="Cambria" w:eastAsia="Times New Roman" w:hAnsi="Cambria" w:cs="Times New Roman"/>
      <w:szCs w:val="24"/>
    </w:rPr>
  </w:style>
  <w:style w:type="paragraph" w:customStyle="1" w:styleId="BodyText1">
    <w:name w:val="Body Text1"/>
    <w:link w:val="BodyText1Char"/>
    <w:qFormat/>
    <w:rsid w:val="0025606A"/>
    <w:pPr>
      <w:spacing w:after="113" w:line="260" w:lineRule="atLeast"/>
    </w:pPr>
    <w:rPr>
      <w:rFonts w:ascii="Cambria" w:eastAsia="Times New Roman" w:hAnsi="Cambria" w:cs="Times New Roman"/>
      <w:szCs w:val="24"/>
    </w:rPr>
  </w:style>
  <w:style w:type="paragraph" w:customStyle="1" w:styleId="TableTitle">
    <w:name w:val="Table Title"/>
    <w:basedOn w:val="BodyText"/>
    <w:qFormat/>
    <w:rsid w:val="0025606A"/>
    <w:pPr>
      <w:spacing w:line="288" w:lineRule="auto"/>
      <w:ind w:left="0"/>
    </w:pPr>
    <w:rPr>
      <w:rFonts w:eastAsiaTheme="minorHAnsi" w:cstheme="minorBidi"/>
      <w:b/>
      <w:color w:val="000000" w:themeColor="text1"/>
      <w:szCs w:val="24"/>
    </w:rPr>
  </w:style>
  <w:style w:type="table" w:styleId="LightShading-Accent4">
    <w:name w:val="Light Shading Accent 4"/>
    <w:basedOn w:val="TableNormal"/>
    <w:uiPriority w:val="60"/>
    <w:unhideWhenUsed/>
    <w:rsid w:val="0025606A"/>
    <w:pPr>
      <w:keepLines/>
      <w:spacing w:after="80" w:line="240" w:lineRule="auto"/>
      <w:ind w:left="113" w:right="113"/>
    </w:pPr>
    <w:rPr>
      <w:rFonts w:ascii="Arial" w:eastAsiaTheme="minorEastAsia" w:hAnsi="Arial"/>
      <w:lang w:val="en-US" w:eastAsia="ja-JP"/>
    </w:rPr>
    <w:tblPr>
      <w:tblStyleRowBandSize w:val="1"/>
      <w:tblStyleColBandSize w:val="1"/>
      <w:tblInd w:w="0" w:type="nil"/>
      <w:tblBorders>
        <w:top w:val="single" w:sz="8" w:space="0" w:color="FFC000" w:themeColor="accent4"/>
        <w:bottom w:val="single" w:sz="8" w:space="0" w:color="FFC000" w:themeColor="accent4"/>
      </w:tblBorders>
    </w:tblPr>
    <w:tblStylePr w:type="firstRow">
      <w:pPr>
        <w:wordWrap/>
        <w:spacing w:beforeLines="0" w:before="100" w:beforeAutospacing="1" w:afterLines="0" w:after="100" w:afterAutospacing="1" w:line="240" w:lineRule="auto"/>
        <w:ind w:leftChars="0" w:left="0" w:rightChars="0" w:right="0"/>
      </w:pPr>
      <w:rPr>
        <w:rFonts w:ascii="Arial" w:hAnsi="Arial" w:cs="Arial" w:hint="default"/>
        <w:b/>
        <w:bCs/>
        <w:color w:val="FFFFFF" w:themeColor="background1"/>
        <w:sz w:val="22"/>
        <w:szCs w:val="22"/>
      </w:rPr>
      <w:tblPr/>
      <w:tcPr>
        <w:shd w:val="clear" w:color="auto" w:fill="660066"/>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0" w:before="100" w:beforeAutospacing="1" w:afterLines="0" w:after="100" w:afterAutospacing="1"/>
        <w:ind w:leftChars="0" w:left="0" w:rightChars="0" w:right="0"/>
      </w:pPr>
      <w:rPr>
        <w:b/>
        <w:bCs/>
      </w:rPr>
    </w:tblStylePr>
    <w:tblStylePr w:type="band1Vert">
      <w:pPr>
        <w:wordWrap/>
        <w:spacing w:beforeLines="0" w:before="100" w:beforeAutospacing="1" w:afterLines="0" w:after="100" w:afterAutospacing="1"/>
        <w:ind w:leftChars="0" w:left="0" w:rightChars="0" w:right="0"/>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Footnotes">
    <w:name w:val="Footnotes"/>
    <w:basedOn w:val="FootnoteText"/>
    <w:link w:val="FootnotesChar"/>
    <w:qFormat/>
    <w:rsid w:val="0025606A"/>
    <w:pPr>
      <w:spacing w:before="0"/>
      <w:ind w:left="0"/>
    </w:pPr>
    <w:rPr>
      <w:sz w:val="20"/>
      <w:szCs w:val="20"/>
      <w:vertAlign w:val="superscript"/>
    </w:rPr>
  </w:style>
  <w:style w:type="character" w:customStyle="1" w:styleId="FootnotesChar">
    <w:name w:val="Footnotes Char"/>
    <w:basedOn w:val="FootnoteTextChar"/>
    <w:link w:val="Footnotes"/>
    <w:rsid w:val="0025606A"/>
    <w:rPr>
      <w:rFonts w:ascii="Arial" w:eastAsiaTheme="minorEastAsia" w:hAnsi="Arial" w:cs="Arial"/>
      <w:sz w:val="20"/>
      <w:szCs w:val="20"/>
      <w:vertAlign w:val="superscript"/>
      <w:lang w:eastAsia="ja-JP"/>
    </w:rPr>
  </w:style>
  <w:style w:type="paragraph" w:customStyle="1" w:styleId="Pa9">
    <w:name w:val="Pa9"/>
    <w:basedOn w:val="Default"/>
    <w:next w:val="Default"/>
    <w:uiPriority w:val="99"/>
    <w:rsid w:val="0025606A"/>
    <w:pPr>
      <w:spacing w:line="221" w:lineRule="atLeast"/>
    </w:pPr>
    <w:rPr>
      <w:rFonts w:ascii="FS Me Pro Light" w:hAnsi="FS Me Pro Light" w:cstheme="minorBidi"/>
      <w:color w:val="auto"/>
    </w:rPr>
  </w:style>
  <w:style w:type="paragraph" w:customStyle="1" w:styleId="Normal85">
    <w:name w:val="Normal_85"/>
    <w:qFormat/>
    <w:rsid w:val="0025606A"/>
    <w:pPr>
      <w:tabs>
        <w:tab w:val="left" w:pos="709"/>
      </w:tabs>
      <w:spacing w:after="200" w:line="276" w:lineRule="auto"/>
    </w:pPr>
    <w:rPr>
      <w:rFonts w:ascii="Book Antiqua" w:hAnsi="Book Antiqua"/>
      <w:sz w:val="20"/>
      <w:szCs w:val="20"/>
    </w:rPr>
  </w:style>
  <w:style w:type="paragraph" w:customStyle="1" w:styleId="Pa28">
    <w:name w:val="Pa28"/>
    <w:basedOn w:val="Default"/>
    <w:next w:val="Default"/>
    <w:uiPriority w:val="99"/>
    <w:rsid w:val="0025606A"/>
    <w:pPr>
      <w:spacing w:line="171" w:lineRule="atLeast"/>
    </w:pPr>
    <w:rPr>
      <w:rFonts w:ascii="FS Me Pro Light" w:hAnsi="FS Me Pro Light" w:cstheme="minorBidi"/>
      <w:color w:val="auto"/>
    </w:rPr>
  </w:style>
  <w:style w:type="paragraph" w:styleId="CommentText">
    <w:name w:val="annotation text"/>
    <w:basedOn w:val="Normal"/>
    <w:link w:val="CommentTextChar"/>
    <w:semiHidden/>
    <w:unhideWhenUsed/>
    <w:rsid w:val="00463F33"/>
    <w:rPr>
      <w:sz w:val="20"/>
      <w:szCs w:val="20"/>
    </w:rPr>
  </w:style>
  <w:style w:type="character" w:customStyle="1" w:styleId="CommentTextChar">
    <w:name w:val="Comment Text Char"/>
    <w:basedOn w:val="DefaultParagraphFont"/>
    <w:link w:val="CommentText"/>
    <w:uiPriority w:val="99"/>
    <w:semiHidden/>
    <w:rsid w:val="00463F33"/>
    <w:rPr>
      <w:rFonts w:ascii="Arial" w:eastAsiaTheme="minorEastAsia" w:hAnsi="Arial" w:cs="Arial"/>
      <w:sz w:val="20"/>
      <w:szCs w:val="20"/>
      <w:lang w:eastAsia="ja-JP"/>
    </w:rPr>
  </w:style>
  <w:style w:type="paragraph" w:styleId="CommentSubject">
    <w:name w:val="annotation subject"/>
    <w:basedOn w:val="CommentText"/>
    <w:next w:val="CommentText"/>
    <w:link w:val="CommentSubjectChar"/>
    <w:semiHidden/>
    <w:unhideWhenUsed/>
    <w:rsid w:val="00463F33"/>
    <w:rPr>
      <w:b/>
      <w:bCs/>
    </w:rPr>
  </w:style>
  <w:style w:type="character" w:customStyle="1" w:styleId="CommentSubjectChar">
    <w:name w:val="Comment Subject Char"/>
    <w:basedOn w:val="CommentTextChar"/>
    <w:link w:val="CommentSubject"/>
    <w:uiPriority w:val="99"/>
    <w:semiHidden/>
    <w:rsid w:val="00463F33"/>
    <w:rPr>
      <w:rFonts w:ascii="Arial" w:eastAsiaTheme="minorEastAsia" w:hAnsi="Arial" w:cs="Arial"/>
      <w:b/>
      <w:bCs/>
      <w:sz w:val="20"/>
      <w:szCs w:val="20"/>
      <w:lang w:eastAsia="ja-JP"/>
    </w:rPr>
  </w:style>
  <w:style w:type="paragraph" w:customStyle="1" w:styleId="sopara">
    <w:name w:val="sopara"/>
    <w:basedOn w:val="Normal"/>
    <w:rsid w:val="00E26548"/>
    <w:pP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01squarebullet">
    <w:name w:val="01 square bullet"/>
    <w:basedOn w:val="Normal"/>
    <w:uiPriority w:val="4"/>
    <w:qFormat/>
    <w:rsid w:val="00034EE3"/>
    <w:pPr>
      <w:numPr>
        <w:numId w:val="25"/>
      </w:numPr>
      <w:spacing w:after="60" w:line="264" w:lineRule="auto"/>
      <w:ind w:right="142"/>
    </w:pPr>
    <w:rPr>
      <w:rFonts w:eastAsia="Times New Roman"/>
      <w:sz w:val="20"/>
      <w:lang w:eastAsia="en-AU"/>
    </w:rPr>
  </w:style>
  <w:style w:type="paragraph" w:styleId="Header">
    <w:name w:val="header"/>
    <w:basedOn w:val="Normal"/>
    <w:link w:val="HeaderChar"/>
    <w:uiPriority w:val="99"/>
    <w:unhideWhenUsed/>
    <w:rsid w:val="00211048"/>
    <w:pPr>
      <w:tabs>
        <w:tab w:val="center" w:pos="4513"/>
        <w:tab w:val="right" w:pos="9026"/>
      </w:tabs>
      <w:spacing w:before="0" w:after="0"/>
    </w:pPr>
  </w:style>
  <w:style w:type="character" w:customStyle="1" w:styleId="HeaderChar">
    <w:name w:val="Header Char"/>
    <w:basedOn w:val="DefaultParagraphFont"/>
    <w:link w:val="Header"/>
    <w:uiPriority w:val="99"/>
    <w:rsid w:val="00211048"/>
    <w:rPr>
      <w:rFonts w:ascii="Arial" w:eastAsiaTheme="minorEastAsia" w:hAnsi="Arial" w:cs="Arial"/>
      <w:lang w:eastAsia="ja-JP"/>
    </w:rPr>
  </w:style>
  <w:style w:type="paragraph" w:styleId="Footer">
    <w:name w:val="footer"/>
    <w:basedOn w:val="Normal"/>
    <w:link w:val="FooterChar"/>
    <w:uiPriority w:val="99"/>
    <w:unhideWhenUsed/>
    <w:rsid w:val="00211048"/>
    <w:pPr>
      <w:tabs>
        <w:tab w:val="center" w:pos="4513"/>
        <w:tab w:val="right" w:pos="9026"/>
      </w:tabs>
      <w:spacing w:before="0" w:after="0"/>
    </w:pPr>
  </w:style>
  <w:style w:type="character" w:customStyle="1" w:styleId="FooterChar">
    <w:name w:val="Footer Char"/>
    <w:basedOn w:val="DefaultParagraphFont"/>
    <w:link w:val="Footer"/>
    <w:uiPriority w:val="99"/>
    <w:rsid w:val="00211048"/>
    <w:rPr>
      <w:rFonts w:ascii="Arial" w:eastAsiaTheme="minorEastAsia" w:hAnsi="Arial" w:cs="Arial"/>
      <w:lang w:eastAsia="ja-JP"/>
    </w:rPr>
  </w:style>
  <w:style w:type="paragraph" w:customStyle="1" w:styleId="FSRnormal">
    <w:name w:val="FSR_normal"/>
    <w:basedOn w:val="Normal"/>
    <w:link w:val="FSRnormalChar"/>
    <w:qFormat/>
    <w:rsid w:val="00262F3A"/>
    <w:pPr>
      <w:spacing w:line="288" w:lineRule="auto"/>
      <w:ind w:left="0"/>
    </w:pPr>
    <w:rPr>
      <w:rFonts w:cstheme="minorBidi"/>
      <w:szCs w:val="24"/>
      <w:lang w:val="en-US"/>
    </w:rPr>
  </w:style>
  <w:style w:type="character" w:customStyle="1" w:styleId="FSRnormalChar">
    <w:name w:val="FSR_normal Char"/>
    <w:basedOn w:val="DefaultParagraphFont"/>
    <w:link w:val="FSRnormal"/>
    <w:rsid w:val="00262F3A"/>
    <w:rPr>
      <w:rFonts w:ascii="Arial" w:eastAsiaTheme="minorEastAsia" w:hAnsi="Arial"/>
      <w:szCs w:val="24"/>
      <w:lang w:val="en-US" w:eastAsia="ja-JP"/>
    </w:rPr>
  </w:style>
  <w:style w:type="paragraph" w:styleId="EndnoteText">
    <w:name w:val="endnote text"/>
    <w:basedOn w:val="Normal"/>
    <w:link w:val="EndnoteTextChar"/>
    <w:semiHidden/>
    <w:unhideWhenUsed/>
    <w:rsid w:val="00F21FDC"/>
    <w:pPr>
      <w:spacing w:before="0" w:after="0"/>
    </w:pPr>
    <w:rPr>
      <w:sz w:val="20"/>
      <w:szCs w:val="20"/>
    </w:rPr>
  </w:style>
  <w:style w:type="character" w:customStyle="1" w:styleId="EndnoteTextChar">
    <w:name w:val="Endnote Text Char"/>
    <w:basedOn w:val="DefaultParagraphFont"/>
    <w:link w:val="EndnoteText"/>
    <w:semiHidden/>
    <w:rsid w:val="00F21FDC"/>
    <w:rPr>
      <w:rFonts w:ascii="Arial" w:eastAsiaTheme="minorEastAsia" w:hAnsi="Arial" w:cs="Arial"/>
      <w:sz w:val="20"/>
      <w:szCs w:val="20"/>
      <w:lang w:eastAsia="ja-JP"/>
    </w:rPr>
  </w:style>
  <w:style w:type="character" w:styleId="EndnoteReference">
    <w:name w:val="endnote reference"/>
    <w:basedOn w:val="DefaultParagraphFont"/>
    <w:semiHidden/>
    <w:unhideWhenUsed/>
    <w:rsid w:val="00F21FDC"/>
    <w:rPr>
      <w:vertAlign w:val="superscript"/>
    </w:rPr>
  </w:style>
  <w:style w:type="paragraph" w:customStyle="1" w:styleId="StatementDateHeader">
    <w:name w:val="Statement Date Header"/>
    <w:basedOn w:val="Normal"/>
    <w:next w:val="Normal"/>
    <w:rsid w:val="00125069"/>
    <w:pPr>
      <w:pBdr>
        <w:bottom w:val="single" w:sz="4" w:space="1" w:color="auto"/>
      </w:pBdr>
      <w:spacing w:before="0" w:after="0" w:line="260" w:lineRule="atLeast"/>
      <w:ind w:left="0"/>
    </w:pPr>
    <w:rPr>
      <w:rFonts w:eastAsia="Times New Roman" w:cs="Times New Roman"/>
      <w:i/>
      <w:sz w:val="24"/>
      <w:szCs w:val="20"/>
      <w:lang w:eastAsia="en-US"/>
    </w:rPr>
  </w:style>
  <w:style w:type="paragraph" w:customStyle="1" w:styleId="StatementHeading">
    <w:name w:val="Statement Heading"/>
    <w:basedOn w:val="Normal"/>
    <w:rsid w:val="00125069"/>
    <w:pPr>
      <w:spacing w:before="0" w:after="0" w:line="260" w:lineRule="atLeast"/>
      <w:ind w:left="0"/>
    </w:pPr>
    <w:rPr>
      <w:rFonts w:eastAsia="Times New Roman" w:cs="Times New Roman"/>
      <w:b/>
      <w:sz w:val="24"/>
      <w:szCs w:val="20"/>
      <w:lang w:eastAsia="en-US"/>
    </w:rPr>
  </w:style>
  <w:style w:type="paragraph" w:customStyle="1" w:styleId="StatementName">
    <w:name w:val="Statement Name"/>
    <w:basedOn w:val="Normal"/>
    <w:next w:val="Normal"/>
    <w:link w:val="StatementNameChar"/>
    <w:autoRedefine/>
    <w:rsid w:val="00361BA1"/>
    <w:pPr>
      <w:pBdr>
        <w:bottom w:val="single" w:sz="4" w:space="1" w:color="auto"/>
      </w:pBdr>
      <w:spacing w:before="0" w:after="0" w:line="260" w:lineRule="atLeast"/>
      <w:ind w:left="0"/>
    </w:pPr>
    <w:rPr>
      <w:rFonts w:eastAsia="Times New Roman"/>
      <w:b/>
      <w:sz w:val="24"/>
      <w:szCs w:val="24"/>
      <w:lang w:eastAsia="en-US"/>
    </w:rPr>
  </w:style>
  <w:style w:type="character" w:customStyle="1" w:styleId="StatementNameChar">
    <w:name w:val="Statement Name Char"/>
    <w:basedOn w:val="DefaultParagraphFont"/>
    <w:link w:val="StatementName"/>
    <w:rsid w:val="00361BA1"/>
    <w:rPr>
      <w:rFonts w:ascii="Arial" w:eastAsia="Times New Roman" w:hAnsi="Arial" w:cs="Arial"/>
      <w:b/>
      <w:sz w:val="24"/>
      <w:szCs w:val="24"/>
    </w:rPr>
  </w:style>
  <w:style w:type="numbering" w:customStyle="1" w:styleId="NoList1">
    <w:name w:val="No List1"/>
    <w:next w:val="NoList"/>
    <w:uiPriority w:val="99"/>
    <w:semiHidden/>
    <w:unhideWhenUsed/>
    <w:rsid w:val="00361BA1"/>
  </w:style>
  <w:style w:type="paragraph" w:customStyle="1" w:styleId="StatementTextLevel3">
    <w:name w:val="Statement Text Level 3"/>
    <w:basedOn w:val="Normal"/>
    <w:next w:val="Normal"/>
    <w:rsid w:val="00361BA1"/>
    <w:pPr>
      <w:spacing w:before="0" w:after="0" w:line="260" w:lineRule="atLeast"/>
      <w:ind w:left="0"/>
    </w:pPr>
    <w:rPr>
      <w:rFonts w:eastAsia="Times New Roman" w:cs="Times New Roman"/>
      <w:sz w:val="18"/>
      <w:szCs w:val="20"/>
      <w:lang w:eastAsia="en-US"/>
    </w:rPr>
  </w:style>
  <w:style w:type="paragraph" w:customStyle="1" w:styleId="ContinuedNotesHeading-Level1">
    <w:name w:val="Continued Notes Heading - Level 1"/>
    <w:basedOn w:val="NotesHeading-Level1"/>
    <w:qFormat/>
    <w:rsid w:val="00361BA1"/>
    <w:pPr>
      <w:numPr>
        <w:numId w:val="0"/>
      </w:numPr>
      <w:spacing w:line="240" w:lineRule="auto"/>
      <w:outlineLvl w:val="9"/>
    </w:pPr>
  </w:style>
  <w:style w:type="paragraph" w:customStyle="1" w:styleId="TableHeaderLevel1">
    <w:name w:val="Table Header Level 1"/>
    <w:basedOn w:val="Normal"/>
    <w:semiHidden/>
    <w:rsid w:val="00361BA1"/>
    <w:pPr>
      <w:spacing w:before="0" w:after="0" w:line="260" w:lineRule="atLeast"/>
      <w:ind w:left="0"/>
      <w:jc w:val="center"/>
    </w:pPr>
    <w:rPr>
      <w:rFonts w:eastAsia="Times New Roman" w:cs="Times New Roman"/>
      <w:b/>
      <w:sz w:val="18"/>
      <w:szCs w:val="18"/>
      <w:lang w:eastAsia="en-US"/>
    </w:rPr>
  </w:style>
  <w:style w:type="table" w:customStyle="1" w:styleId="TableGrid2">
    <w:name w:val="Table Grid2"/>
    <w:basedOn w:val="TableNormal"/>
    <w:next w:val="TableGrid"/>
    <w:uiPriority w:val="59"/>
    <w:rsid w:val="00361BA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361BA1"/>
    <w:pPr>
      <w:spacing w:before="0" w:after="0" w:line="260" w:lineRule="atLeast"/>
      <w:ind w:left="0"/>
    </w:pPr>
    <w:rPr>
      <w:rFonts w:eastAsia="Times New Roman" w:cs="Times New Roman"/>
      <w:b/>
      <w:bCs/>
      <w:i/>
      <w:iCs/>
      <w:sz w:val="18"/>
      <w:szCs w:val="18"/>
      <w:lang w:eastAsia="en-US"/>
    </w:rPr>
  </w:style>
  <w:style w:type="paragraph" w:customStyle="1" w:styleId="Graphic">
    <w:name w:val="Graphic"/>
    <w:basedOn w:val="Signature"/>
    <w:rsid w:val="00361BA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361BA1"/>
    <w:pPr>
      <w:spacing w:before="0" w:after="0"/>
      <w:ind w:left="0"/>
    </w:pPr>
    <w:rPr>
      <w:rFonts w:ascii="Times New Roman" w:eastAsia="Times New Roman" w:hAnsi="Times New Roman" w:cs="Times New Roman"/>
      <w:szCs w:val="20"/>
      <w:lang w:eastAsia="en-US"/>
    </w:rPr>
  </w:style>
  <w:style w:type="character" w:customStyle="1" w:styleId="SignatureChar">
    <w:name w:val="Signature Char"/>
    <w:basedOn w:val="DefaultParagraphFont"/>
    <w:link w:val="Signature"/>
    <w:rsid w:val="00361BA1"/>
    <w:rPr>
      <w:rFonts w:ascii="Times New Roman" w:eastAsia="Times New Roman" w:hAnsi="Times New Roman" w:cs="Times New Roman"/>
      <w:szCs w:val="20"/>
    </w:rPr>
  </w:style>
  <w:style w:type="paragraph" w:styleId="MacroText">
    <w:name w:val="macro"/>
    <w:link w:val="MacroTextChar"/>
    <w:semiHidden/>
    <w:rsid w:val="00361BA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361BA1"/>
    <w:rPr>
      <w:rFonts w:ascii="Courier New" w:eastAsia="Times New Roman" w:hAnsi="Courier New" w:cs="Courier New"/>
      <w:sz w:val="18"/>
      <w:szCs w:val="20"/>
      <w:lang w:val="en-GB"/>
    </w:rPr>
  </w:style>
  <w:style w:type="paragraph" w:customStyle="1" w:styleId="NotesTotal">
    <w:name w:val="Notes Total"/>
    <w:basedOn w:val="Normal"/>
    <w:autoRedefine/>
    <w:rsid w:val="00361BA1"/>
    <w:pPr>
      <w:spacing w:before="0" w:after="0" w:line="260" w:lineRule="atLeast"/>
      <w:ind w:left="139" w:right="57"/>
    </w:pPr>
    <w:rPr>
      <w:rFonts w:ascii="Times New Roman" w:eastAsia="Times New Roman" w:hAnsi="Times New Roman" w:cs="Times New Roman"/>
      <w:b/>
      <w:iCs/>
      <w:sz w:val="20"/>
      <w:szCs w:val="20"/>
      <w:lang w:eastAsia="en-US"/>
    </w:rPr>
  </w:style>
  <w:style w:type="paragraph" w:customStyle="1" w:styleId="TitlePage">
    <w:name w:val="Title Page"/>
    <w:basedOn w:val="Normal"/>
    <w:autoRedefine/>
    <w:rsid w:val="00361BA1"/>
    <w:pPr>
      <w:spacing w:before="1200" w:after="1200" w:line="260" w:lineRule="atLeast"/>
      <w:ind w:left="57" w:right="57"/>
      <w:jc w:val="right"/>
    </w:pPr>
    <w:rPr>
      <w:rFonts w:ascii="Times New Roman" w:eastAsia="Times New Roman" w:hAnsi="Times New Roman" w:cs="Times New Roman"/>
      <w:b/>
      <w:bCs/>
      <w:sz w:val="48"/>
      <w:szCs w:val="20"/>
      <w:lang w:eastAsia="en-US"/>
    </w:rPr>
  </w:style>
  <w:style w:type="paragraph" w:styleId="TOC4">
    <w:name w:val="toc 4"/>
    <w:basedOn w:val="Normal"/>
    <w:next w:val="Normal"/>
    <w:autoRedefine/>
    <w:uiPriority w:val="39"/>
    <w:rsid w:val="00361BA1"/>
    <w:pPr>
      <w:spacing w:before="0" w:after="0" w:line="260" w:lineRule="atLeast"/>
      <w:ind w:left="660"/>
    </w:pPr>
    <w:rPr>
      <w:rFonts w:ascii="Times New Roman" w:eastAsia="Times New Roman" w:hAnsi="Times New Roman" w:cs="Times New Roman"/>
      <w:sz w:val="20"/>
      <w:szCs w:val="20"/>
      <w:lang w:eastAsia="en-US"/>
    </w:rPr>
  </w:style>
  <w:style w:type="paragraph" w:styleId="TOC5">
    <w:name w:val="toc 5"/>
    <w:basedOn w:val="Normal"/>
    <w:next w:val="Normal"/>
    <w:autoRedefine/>
    <w:uiPriority w:val="39"/>
    <w:rsid w:val="00361BA1"/>
    <w:pPr>
      <w:spacing w:before="0" w:after="0" w:line="260" w:lineRule="atLeast"/>
      <w:ind w:left="880"/>
    </w:pPr>
    <w:rPr>
      <w:rFonts w:ascii="Times New Roman" w:eastAsia="Times New Roman" w:hAnsi="Times New Roman" w:cs="Times New Roman"/>
      <w:sz w:val="20"/>
      <w:szCs w:val="20"/>
      <w:lang w:eastAsia="en-US"/>
    </w:rPr>
  </w:style>
  <w:style w:type="paragraph" w:styleId="TOC6">
    <w:name w:val="toc 6"/>
    <w:basedOn w:val="Normal"/>
    <w:next w:val="Normal"/>
    <w:autoRedefine/>
    <w:uiPriority w:val="39"/>
    <w:rsid w:val="00361BA1"/>
    <w:pPr>
      <w:spacing w:before="0" w:after="0" w:line="260" w:lineRule="atLeast"/>
      <w:ind w:left="1100"/>
    </w:pPr>
    <w:rPr>
      <w:rFonts w:ascii="Times New Roman" w:eastAsia="Times New Roman" w:hAnsi="Times New Roman" w:cs="Times New Roman"/>
      <w:sz w:val="20"/>
      <w:szCs w:val="20"/>
      <w:lang w:eastAsia="en-US"/>
    </w:rPr>
  </w:style>
  <w:style w:type="paragraph" w:styleId="TOC7">
    <w:name w:val="toc 7"/>
    <w:basedOn w:val="Normal"/>
    <w:next w:val="Normal"/>
    <w:autoRedefine/>
    <w:uiPriority w:val="39"/>
    <w:rsid w:val="00361BA1"/>
    <w:pPr>
      <w:spacing w:before="0" w:after="0" w:line="260" w:lineRule="atLeast"/>
      <w:ind w:left="1320"/>
    </w:pPr>
    <w:rPr>
      <w:rFonts w:ascii="Times New Roman" w:eastAsia="Times New Roman" w:hAnsi="Times New Roman" w:cs="Times New Roman"/>
      <w:sz w:val="20"/>
      <w:szCs w:val="20"/>
      <w:lang w:eastAsia="en-US"/>
    </w:rPr>
  </w:style>
  <w:style w:type="paragraph" w:styleId="TOC8">
    <w:name w:val="toc 8"/>
    <w:basedOn w:val="Normal"/>
    <w:next w:val="Normal"/>
    <w:autoRedefine/>
    <w:uiPriority w:val="39"/>
    <w:rsid w:val="00361BA1"/>
    <w:pPr>
      <w:spacing w:before="0" w:after="0" w:line="260" w:lineRule="atLeast"/>
      <w:ind w:left="1540"/>
    </w:pPr>
    <w:rPr>
      <w:rFonts w:ascii="Times New Roman" w:eastAsia="Times New Roman" w:hAnsi="Times New Roman" w:cs="Times New Roman"/>
      <w:sz w:val="20"/>
      <w:szCs w:val="20"/>
      <w:lang w:eastAsia="en-US"/>
    </w:rPr>
  </w:style>
  <w:style w:type="paragraph" w:styleId="TOC9">
    <w:name w:val="toc 9"/>
    <w:basedOn w:val="Normal"/>
    <w:next w:val="Normal"/>
    <w:autoRedefine/>
    <w:uiPriority w:val="39"/>
    <w:rsid w:val="00361BA1"/>
    <w:pPr>
      <w:spacing w:before="0" w:after="0" w:line="260" w:lineRule="atLeast"/>
      <w:ind w:left="1760"/>
    </w:pPr>
    <w:rPr>
      <w:rFonts w:ascii="Times New Roman" w:eastAsia="Times New Roman" w:hAnsi="Times New Roman" w:cs="Times New Roman"/>
      <w:sz w:val="20"/>
      <w:szCs w:val="20"/>
      <w:lang w:eastAsia="en-US"/>
    </w:rPr>
  </w:style>
  <w:style w:type="paragraph" w:customStyle="1" w:styleId="zcontents">
    <w:name w:val="zcontents"/>
    <w:basedOn w:val="Normal"/>
    <w:semiHidden/>
    <w:rsid w:val="00361BA1"/>
    <w:pPr>
      <w:spacing w:before="0" w:after="260"/>
      <w:ind w:left="0"/>
    </w:pPr>
    <w:rPr>
      <w:rFonts w:ascii="Times New Roman" w:eastAsia="Times New Roman" w:hAnsi="Times New Roman" w:cs="Times New Roman"/>
      <w:b/>
      <w:sz w:val="32"/>
      <w:szCs w:val="20"/>
      <w:lang w:eastAsia="en-US"/>
    </w:rPr>
  </w:style>
  <w:style w:type="paragraph" w:customStyle="1" w:styleId="Normal10pt">
    <w:name w:val="Normal + 10 pt"/>
    <w:aliases w:val="Line spacing:  single"/>
    <w:basedOn w:val="Normal"/>
    <w:rsid w:val="00361BA1"/>
    <w:pPr>
      <w:spacing w:before="130" w:after="130" w:line="260" w:lineRule="atLeast"/>
      <w:ind w:left="0"/>
    </w:pPr>
    <w:rPr>
      <w:rFonts w:ascii="Times New Roman" w:eastAsia="Times New Roman" w:hAnsi="Times New Roman" w:cs="Times New Roman"/>
      <w:b/>
      <w:sz w:val="20"/>
      <w:szCs w:val="20"/>
      <w:lang w:eastAsia="en-US"/>
    </w:rPr>
  </w:style>
  <w:style w:type="paragraph" w:styleId="z-BottomofForm">
    <w:name w:val="HTML Bottom of Form"/>
    <w:basedOn w:val="Normal"/>
    <w:next w:val="Normal"/>
    <w:link w:val="z-BottomofFormChar"/>
    <w:hidden/>
    <w:rsid w:val="00361BA1"/>
    <w:pPr>
      <w:pBdr>
        <w:top w:val="single" w:sz="6" w:space="1" w:color="auto"/>
      </w:pBdr>
      <w:spacing w:before="0" w:after="0" w:line="260" w:lineRule="atLeast"/>
      <w:ind w:left="0"/>
      <w:jc w:val="center"/>
    </w:pPr>
    <w:rPr>
      <w:rFonts w:eastAsia="Times New Roman"/>
      <w:vanish/>
      <w:sz w:val="16"/>
      <w:szCs w:val="16"/>
      <w:lang w:eastAsia="en-US"/>
    </w:rPr>
  </w:style>
  <w:style w:type="character" w:customStyle="1" w:styleId="z-BottomofFormChar">
    <w:name w:val="z-Bottom of Form Char"/>
    <w:basedOn w:val="DefaultParagraphFont"/>
    <w:link w:val="z-BottomofForm"/>
    <w:rsid w:val="00361BA1"/>
    <w:rPr>
      <w:rFonts w:ascii="Arial" w:eastAsia="Times New Roman" w:hAnsi="Arial" w:cs="Arial"/>
      <w:vanish/>
      <w:sz w:val="16"/>
      <w:szCs w:val="16"/>
    </w:rPr>
  </w:style>
  <w:style w:type="paragraph" w:styleId="z-TopofForm">
    <w:name w:val="HTML Top of Form"/>
    <w:basedOn w:val="Normal"/>
    <w:next w:val="Normal"/>
    <w:link w:val="z-TopofFormChar"/>
    <w:hidden/>
    <w:rsid w:val="00361BA1"/>
    <w:pPr>
      <w:pBdr>
        <w:bottom w:val="single" w:sz="6" w:space="1" w:color="auto"/>
      </w:pBdr>
      <w:spacing w:before="0" w:after="0" w:line="260" w:lineRule="atLeast"/>
      <w:ind w:left="0"/>
      <w:jc w:val="center"/>
    </w:pPr>
    <w:rPr>
      <w:rFonts w:eastAsia="Times New Roman"/>
      <w:vanish/>
      <w:sz w:val="16"/>
      <w:szCs w:val="16"/>
      <w:lang w:eastAsia="en-US"/>
    </w:rPr>
  </w:style>
  <w:style w:type="character" w:customStyle="1" w:styleId="z-TopofFormChar">
    <w:name w:val="z-Top of Form Char"/>
    <w:basedOn w:val="DefaultParagraphFont"/>
    <w:link w:val="z-TopofForm"/>
    <w:rsid w:val="00361BA1"/>
    <w:rPr>
      <w:rFonts w:ascii="Arial" w:eastAsia="Times New Roman" w:hAnsi="Arial" w:cs="Arial"/>
      <w:vanish/>
      <w:sz w:val="16"/>
      <w:szCs w:val="16"/>
    </w:rPr>
  </w:style>
  <w:style w:type="paragraph" w:styleId="DocumentMap">
    <w:name w:val="Document Map"/>
    <w:basedOn w:val="Normal"/>
    <w:link w:val="DocumentMapChar"/>
    <w:semiHidden/>
    <w:rsid w:val="00361BA1"/>
    <w:pPr>
      <w:shd w:val="clear" w:color="auto" w:fill="000080"/>
      <w:spacing w:before="0" w:after="0"/>
      <w:ind w:left="0"/>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semiHidden/>
    <w:rsid w:val="00361BA1"/>
    <w:rPr>
      <w:rFonts w:ascii="Tahoma" w:eastAsia="Times New Roman" w:hAnsi="Tahoma" w:cs="Times New Roman"/>
      <w:sz w:val="20"/>
      <w:szCs w:val="20"/>
      <w:shd w:val="clear" w:color="auto" w:fill="000080"/>
      <w:lang w:eastAsia="en-AU"/>
    </w:rPr>
  </w:style>
  <w:style w:type="numbering" w:customStyle="1" w:styleId="NoList11">
    <w:name w:val="No List11"/>
    <w:next w:val="NoList"/>
    <w:semiHidden/>
    <w:rsid w:val="00361BA1"/>
  </w:style>
  <w:style w:type="paragraph" w:customStyle="1" w:styleId="Normal8pt">
    <w:name w:val="Normal + 8 pt"/>
    <w:basedOn w:val="Normal"/>
    <w:rsid w:val="00361BA1"/>
    <w:pPr>
      <w:widowControl w:val="0"/>
      <w:autoSpaceDE w:val="0"/>
      <w:autoSpaceDN w:val="0"/>
      <w:spacing w:before="0" w:after="0"/>
      <w:ind w:left="0"/>
    </w:pPr>
    <w:rPr>
      <w:rFonts w:ascii="Times New Roman" w:eastAsia="Times New Roman" w:hAnsi="Times New Roman" w:cs="Times New Roman"/>
      <w:bCs/>
      <w:iCs/>
      <w:spacing w:val="-6"/>
      <w:sz w:val="16"/>
      <w:szCs w:val="16"/>
      <w:lang w:val="en-US" w:eastAsia="en-US"/>
    </w:rPr>
  </w:style>
  <w:style w:type="paragraph" w:customStyle="1" w:styleId="NormalCalistoMT">
    <w:name w:val="Normal + Calisto MT"/>
    <w:aliases w:val="8 pt,Right"/>
    <w:basedOn w:val="Normal"/>
    <w:rsid w:val="00361BA1"/>
    <w:pPr>
      <w:framePr w:hSpace="180" w:wrap="around" w:vAnchor="text" w:hAnchor="margin" w:y="1"/>
      <w:spacing w:before="0" w:after="0" w:line="260" w:lineRule="atLeast"/>
      <w:ind w:left="0" w:right="212"/>
      <w:suppressOverlap/>
      <w:jc w:val="right"/>
    </w:pPr>
    <w:rPr>
      <w:rFonts w:ascii="Calisto MT" w:eastAsia="Times New Roman" w:hAnsi="Calisto MT" w:cs="Times New Roman"/>
      <w:sz w:val="16"/>
      <w:szCs w:val="20"/>
      <w:lang w:eastAsia="en-US"/>
    </w:rPr>
  </w:style>
  <w:style w:type="paragraph" w:customStyle="1" w:styleId="ReferenceText">
    <w:name w:val="Reference Text"/>
    <w:basedOn w:val="Normal"/>
    <w:link w:val="ReferenceTextChar"/>
    <w:autoRedefine/>
    <w:qFormat/>
    <w:rsid w:val="00361BA1"/>
    <w:pPr>
      <w:spacing w:before="0" w:after="80"/>
      <w:ind w:left="0"/>
    </w:pPr>
    <w:rPr>
      <w:rFonts w:eastAsia="Times New Roman" w:cs="Times New Roman"/>
      <w:sz w:val="18"/>
      <w:szCs w:val="20"/>
      <w:lang w:eastAsia="en-AU"/>
    </w:rPr>
  </w:style>
  <w:style w:type="paragraph" w:customStyle="1" w:styleId="NotesHeading-Level1">
    <w:name w:val="Notes Heading - Level 1"/>
    <w:basedOn w:val="Normal"/>
    <w:qFormat/>
    <w:rsid w:val="00361BA1"/>
    <w:pPr>
      <w:numPr>
        <w:numId w:val="45"/>
      </w:numPr>
      <w:tabs>
        <w:tab w:val="clear" w:pos="10491"/>
        <w:tab w:val="num" w:pos="851"/>
      </w:tabs>
      <w:spacing w:before="0" w:after="0" w:line="260" w:lineRule="atLeast"/>
      <w:ind w:left="1134" w:right="607"/>
      <w:outlineLvl w:val="0"/>
    </w:pPr>
    <w:rPr>
      <w:rFonts w:eastAsia="Times New Roman" w:cs="Times New Roman"/>
      <w:b/>
      <w:sz w:val="20"/>
      <w:szCs w:val="20"/>
      <w:lang w:eastAsia="en-US"/>
    </w:rPr>
  </w:style>
  <w:style w:type="paragraph" w:customStyle="1" w:styleId="NotesHeading-Level2">
    <w:name w:val="Notes Heading - Level 2"/>
    <w:basedOn w:val="NotesHeading-Level1"/>
    <w:rsid w:val="00361BA1"/>
    <w:pPr>
      <w:framePr w:hSpace="180" w:wrap="around" w:vAnchor="text" w:hAnchor="margin" w:y="1"/>
      <w:numPr>
        <w:ilvl w:val="1"/>
      </w:numPr>
      <w:suppressOverlap/>
    </w:pPr>
    <w:rPr>
      <w:sz w:val="18"/>
    </w:rPr>
  </w:style>
  <w:style w:type="numbering" w:customStyle="1" w:styleId="CurrentList1">
    <w:name w:val="Current List1"/>
    <w:rsid w:val="00361BA1"/>
    <w:pPr>
      <w:numPr>
        <w:numId w:val="46"/>
      </w:numPr>
    </w:pPr>
  </w:style>
  <w:style w:type="numbering" w:customStyle="1" w:styleId="Style2">
    <w:name w:val="Style2"/>
    <w:rsid w:val="00361BA1"/>
    <w:pPr>
      <w:numPr>
        <w:numId w:val="47"/>
      </w:numPr>
    </w:pPr>
  </w:style>
  <w:style w:type="numbering" w:customStyle="1" w:styleId="CurrentList2">
    <w:name w:val="Current List2"/>
    <w:rsid w:val="00361BA1"/>
    <w:pPr>
      <w:numPr>
        <w:numId w:val="48"/>
      </w:numPr>
    </w:pPr>
  </w:style>
  <w:style w:type="character" w:customStyle="1" w:styleId="ReferenceTextChar">
    <w:name w:val="Reference Text Char"/>
    <w:basedOn w:val="DefaultParagraphFont"/>
    <w:link w:val="ReferenceText"/>
    <w:rsid w:val="00361BA1"/>
    <w:rPr>
      <w:rFonts w:ascii="Arial" w:eastAsia="Times New Roman" w:hAnsi="Arial" w:cs="Times New Roman"/>
      <w:sz w:val="18"/>
      <w:szCs w:val="20"/>
      <w:lang w:eastAsia="en-AU"/>
    </w:rPr>
  </w:style>
  <w:style w:type="table" w:customStyle="1" w:styleId="TableGrid11">
    <w:name w:val="Table Grid11"/>
    <w:basedOn w:val="TableNormal"/>
    <w:next w:val="TableGrid"/>
    <w:rsid w:val="00361BA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361BA1"/>
    <w:pPr>
      <w:spacing w:before="0" w:after="0" w:line="260" w:lineRule="atLeast"/>
      <w:ind w:left="0"/>
    </w:pPr>
    <w:rPr>
      <w:rFonts w:ascii="Times New Roman" w:eastAsia="Times New Roman" w:hAnsi="Times New Roman" w:cs="Times New Roman"/>
      <w:szCs w:val="20"/>
      <w:lang w:eastAsia="en-US"/>
    </w:rPr>
  </w:style>
  <w:style w:type="paragraph" w:customStyle="1" w:styleId="GreyShadeTableBreak">
    <w:name w:val="Grey Shade Table Break"/>
    <w:basedOn w:val="Normal"/>
    <w:qFormat/>
    <w:rsid w:val="00361BA1"/>
    <w:pPr>
      <w:shd w:val="clear" w:color="auto" w:fill="D9D9D9"/>
      <w:tabs>
        <w:tab w:val="left" w:pos="9214"/>
      </w:tabs>
      <w:spacing w:before="0" w:after="0" w:line="260" w:lineRule="atLeast"/>
      <w:ind w:left="0" w:right="607"/>
    </w:pPr>
    <w:rPr>
      <w:rFonts w:ascii="Times New Roman" w:eastAsia="Times New Roman" w:hAnsi="Times New Roman" w:cs="Times New Roman"/>
      <w:szCs w:val="20"/>
      <w:lang w:eastAsia="en-US"/>
    </w:rPr>
  </w:style>
  <w:style w:type="paragraph" w:customStyle="1" w:styleId="GreyShadeTableBreaknon-Standard">
    <w:name w:val="Grey Shade Table Break non-Standard"/>
    <w:qFormat/>
    <w:rsid w:val="00361BA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361BA1"/>
    <w:pPr>
      <w:ind w:left="567" w:right="567"/>
    </w:pPr>
    <w:rPr>
      <w:rFonts w:cs="Arial"/>
      <w:szCs w:val="18"/>
    </w:rPr>
  </w:style>
  <w:style w:type="paragraph" w:customStyle="1" w:styleId="StyleNotesHeaderLeftLeft-008cm">
    <w:name w:val="Style Notes Header + Left Left:  -0.08 cm"/>
    <w:basedOn w:val="Normal"/>
    <w:rsid w:val="00361BA1"/>
    <w:pPr>
      <w:numPr>
        <w:ilvl w:val="1"/>
        <w:numId w:val="49"/>
      </w:numPr>
      <w:spacing w:before="180" w:after="60"/>
    </w:pPr>
    <w:rPr>
      <w:rFonts w:eastAsia="Times New Roman" w:cs="Times New Roman"/>
      <w:b/>
      <w:bCs/>
      <w:sz w:val="18"/>
      <w:szCs w:val="20"/>
      <w:lang w:eastAsia="en-US"/>
    </w:rPr>
  </w:style>
  <w:style w:type="paragraph" w:customStyle="1" w:styleId="NotesText">
    <w:name w:val="Notes Text"/>
    <w:basedOn w:val="ReferenceText"/>
    <w:rsid w:val="00361BA1"/>
    <w:pPr>
      <w:spacing w:before="100" w:after="100"/>
    </w:pPr>
  </w:style>
  <w:style w:type="table" w:customStyle="1" w:styleId="LightShading1">
    <w:name w:val="Light Shading1"/>
    <w:basedOn w:val="TableNormal"/>
    <w:uiPriority w:val="60"/>
    <w:rsid w:val="00361BA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1"/>
    <w:uiPriority w:val="60"/>
    <w:rsid w:val="00361BA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361BA1"/>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361BA1"/>
    <w:rPr>
      <w:i/>
      <w:iCs/>
      <w:smallCaps/>
      <w:spacing w:val="5"/>
    </w:rPr>
  </w:style>
  <w:style w:type="paragraph" w:styleId="Revision">
    <w:name w:val="Revision"/>
    <w:hidden/>
    <w:uiPriority w:val="99"/>
    <w:semiHidden/>
    <w:rsid w:val="00361BA1"/>
    <w:pPr>
      <w:spacing w:after="0" w:line="240" w:lineRule="auto"/>
    </w:pPr>
    <w:rPr>
      <w:rFonts w:ascii="Times New Roman" w:eastAsia="Times New Roman" w:hAnsi="Times New Roman" w:cs="Times New Roman"/>
      <w:szCs w:val="20"/>
    </w:rPr>
  </w:style>
  <w:style w:type="paragraph" w:customStyle="1" w:styleId="PolicytextDept">
    <w:name w:val="Policy text Dept"/>
    <w:basedOn w:val="Normal"/>
    <w:link w:val="PolicytextDeptChar"/>
    <w:qFormat/>
    <w:rsid w:val="00361BA1"/>
    <w:pPr>
      <w:pBdr>
        <w:top w:val="single" w:sz="4" w:space="1" w:color="800080"/>
        <w:left w:val="single" w:sz="4" w:space="0" w:color="800080"/>
        <w:bottom w:val="single" w:sz="4" w:space="1" w:color="800080"/>
        <w:right w:val="single" w:sz="4" w:space="0" w:color="800080"/>
      </w:pBdr>
      <w:spacing w:before="0" w:line="120" w:lineRule="atLeast"/>
      <w:ind w:left="0"/>
    </w:pPr>
    <w:rPr>
      <w:rFonts w:eastAsia="Times New Roman"/>
      <w:bCs/>
      <w:sz w:val="18"/>
      <w:szCs w:val="18"/>
      <w:lang w:eastAsia="en-US"/>
    </w:rPr>
  </w:style>
  <w:style w:type="character" w:customStyle="1" w:styleId="PolicytextDeptChar">
    <w:name w:val="Policy text Dept Char"/>
    <w:basedOn w:val="DefaultParagraphFont"/>
    <w:link w:val="PolicytextDept"/>
    <w:rsid w:val="00361BA1"/>
    <w:rPr>
      <w:rFonts w:ascii="Arial" w:eastAsia="Times New Roman" w:hAnsi="Arial" w:cs="Arial"/>
      <w:bCs/>
      <w:sz w:val="18"/>
      <w:szCs w:val="18"/>
    </w:rPr>
  </w:style>
  <w:style w:type="paragraph" w:customStyle="1" w:styleId="PolicyheadingDept">
    <w:name w:val="Policy heading Dept"/>
    <w:basedOn w:val="PolicytextDept"/>
    <w:qFormat/>
    <w:rsid w:val="00361BA1"/>
    <w:rPr>
      <w:b/>
    </w:rPr>
  </w:style>
  <w:style w:type="paragraph" w:customStyle="1" w:styleId="SectionHeading">
    <w:name w:val="Section Heading"/>
    <w:basedOn w:val="Normal"/>
    <w:link w:val="SectionHeadingChar"/>
    <w:qFormat/>
    <w:rsid w:val="00361BA1"/>
    <w:pPr>
      <w:numPr>
        <w:numId w:val="51"/>
      </w:numPr>
      <w:shd w:val="clear" w:color="00CC99" w:fill="800080"/>
      <w:spacing w:before="0" w:after="0" w:line="260" w:lineRule="atLeast"/>
      <w:outlineLvl w:val="0"/>
    </w:pPr>
    <w:rPr>
      <w:rFonts w:ascii="Arial Bold" w:eastAsia="Times New Roman" w:hAnsi="Arial Bold" w:cs="Times New Roman"/>
      <w:b/>
      <w:color w:val="FFFFFF"/>
      <w:sz w:val="24"/>
      <w:szCs w:val="20"/>
      <w:lang w:eastAsia="en-US"/>
    </w:rPr>
  </w:style>
  <w:style w:type="character" w:customStyle="1" w:styleId="SectionHeadingChar">
    <w:name w:val="Section Heading Char"/>
    <w:basedOn w:val="DefaultParagraphFont"/>
    <w:link w:val="SectionHeading"/>
    <w:rsid w:val="00361BA1"/>
    <w:rPr>
      <w:rFonts w:ascii="Arial Bold" w:eastAsia="Times New Roman" w:hAnsi="Arial Bold" w:cs="Times New Roman"/>
      <w:b/>
      <w:color w:val="FFFFFF"/>
      <w:sz w:val="24"/>
      <w:szCs w:val="20"/>
      <w:shd w:val="clear" w:color="00CC99" w:fill="800080"/>
    </w:rPr>
  </w:style>
  <w:style w:type="paragraph" w:customStyle="1" w:styleId="SubHeading">
    <w:name w:val="Sub Heading"/>
    <w:basedOn w:val="SectionHeading"/>
    <w:link w:val="SubHeadingChar"/>
    <w:qFormat/>
    <w:rsid w:val="00361BA1"/>
    <w:pPr>
      <w:numPr>
        <w:ilvl w:val="1"/>
        <w:numId w:val="52"/>
      </w:numPr>
      <w:shd w:val="clear" w:color="auto" w:fill="000000"/>
      <w:ind w:left="426" w:hanging="426"/>
      <w:outlineLvl w:val="1"/>
    </w:pPr>
    <w:rPr>
      <w:rFonts w:ascii="Arial" w:hAnsi="Arial" w:cs="Arial"/>
      <w:sz w:val="20"/>
    </w:rPr>
  </w:style>
  <w:style w:type="paragraph" w:customStyle="1" w:styleId="SectionHeadingDescription">
    <w:name w:val="Section Heading Description"/>
    <w:basedOn w:val="SectionHeading"/>
    <w:next w:val="SubHeading"/>
    <w:qFormat/>
    <w:rsid w:val="00361BA1"/>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361BA1"/>
    <w:rPr>
      <w:rFonts w:ascii="Arial" w:eastAsia="Times New Roman" w:hAnsi="Arial" w:cs="Arial"/>
      <w:b/>
      <w:color w:val="FFFFFF"/>
      <w:sz w:val="20"/>
      <w:szCs w:val="20"/>
      <w:shd w:val="clear" w:color="auto" w:fill="000000"/>
    </w:rPr>
  </w:style>
  <w:style w:type="paragraph" w:customStyle="1" w:styleId="AccountingPolicy-Departmental">
    <w:name w:val="Accounting Policy - Departmental"/>
    <w:basedOn w:val="Normal"/>
    <w:qFormat/>
    <w:rsid w:val="00361BA1"/>
    <w:pPr>
      <w:pBdr>
        <w:top w:val="single" w:sz="4" w:space="1" w:color="800080"/>
        <w:left w:val="single" w:sz="4" w:space="4" w:color="800080"/>
        <w:bottom w:val="single" w:sz="4" w:space="1" w:color="800080"/>
        <w:right w:val="single" w:sz="4" w:space="4" w:color="800080"/>
      </w:pBdr>
      <w:spacing w:before="0" w:after="20" w:line="260" w:lineRule="atLeast"/>
      <w:ind w:left="85" w:right="142"/>
      <w:outlineLvl w:val="0"/>
    </w:pPr>
    <w:rPr>
      <w:rFonts w:eastAsia="Times New Roman" w:cs="Helvetica"/>
      <w:sz w:val="18"/>
      <w:szCs w:val="18"/>
      <w:lang w:eastAsia="en-US"/>
    </w:rPr>
  </w:style>
  <w:style w:type="character" w:customStyle="1" w:styleId="FollowedHyperlink1">
    <w:name w:val="FollowedHyperlink1"/>
    <w:basedOn w:val="DefaultParagraphFont"/>
    <w:uiPriority w:val="99"/>
    <w:semiHidden/>
    <w:unhideWhenUsed/>
    <w:rsid w:val="00361BA1"/>
    <w:rPr>
      <w:color w:val="800080"/>
      <w:u w:val="single"/>
    </w:rPr>
  </w:style>
  <w:style w:type="paragraph" w:customStyle="1" w:styleId="SectionHeading-NoNumber">
    <w:name w:val="Section Heading - No Number"/>
    <w:basedOn w:val="SectionHeading"/>
    <w:link w:val="SectionHeading-NoNumberChar"/>
    <w:qFormat/>
    <w:rsid w:val="00361BA1"/>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361BA1"/>
    <w:rPr>
      <w:rFonts w:ascii="Arial Bold" w:eastAsia="Times New Roman" w:hAnsi="Arial Bold" w:cs="Times New Roman"/>
      <w:b/>
      <w:color w:val="FFFFFF"/>
      <w:sz w:val="24"/>
      <w:szCs w:val="20"/>
      <w:shd w:val="clear" w:color="auto" w:fill="800080"/>
    </w:rPr>
  </w:style>
  <w:style w:type="paragraph" w:customStyle="1" w:styleId="Dash">
    <w:name w:val="Dash"/>
    <w:basedOn w:val="Normal"/>
    <w:rsid w:val="00361BA1"/>
    <w:pPr>
      <w:spacing w:before="0" w:after="240"/>
      <w:ind w:left="0"/>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361BA1"/>
    <w:rPr>
      <w:color w:val="954F72" w:themeColor="followedHyperlink"/>
      <w:u w:val="single"/>
    </w:rPr>
  </w:style>
  <w:style w:type="numbering" w:customStyle="1" w:styleId="Style1">
    <w:name w:val="Style1"/>
    <w:basedOn w:val="NoList"/>
    <w:uiPriority w:val="99"/>
    <w:rsid w:val="0097218B"/>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93905">
      <w:bodyDiv w:val="1"/>
      <w:marLeft w:val="0"/>
      <w:marRight w:val="0"/>
      <w:marTop w:val="0"/>
      <w:marBottom w:val="0"/>
      <w:divBdr>
        <w:top w:val="none" w:sz="0" w:space="0" w:color="auto"/>
        <w:left w:val="none" w:sz="0" w:space="0" w:color="auto"/>
        <w:bottom w:val="none" w:sz="0" w:space="0" w:color="auto"/>
        <w:right w:val="none" w:sz="0" w:space="0" w:color="auto"/>
      </w:divBdr>
    </w:div>
    <w:div w:id="652949634">
      <w:bodyDiv w:val="1"/>
      <w:marLeft w:val="0"/>
      <w:marRight w:val="0"/>
      <w:marTop w:val="0"/>
      <w:marBottom w:val="0"/>
      <w:divBdr>
        <w:top w:val="none" w:sz="0" w:space="0" w:color="auto"/>
        <w:left w:val="none" w:sz="0" w:space="0" w:color="auto"/>
        <w:bottom w:val="none" w:sz="0" w:space="0" w:color="auto"/>
        <w:right w:val="none" w:sz="0" w:space="0" w:color="auto"/>
      </w:divBdr>
    </w:div>
    <w:div w:id="1105463371">
      <w:bodyDiv w:val="1"/>
      <w:marLeft w:val="0"/>
      <w:marRight w:val="0"/>
      <w:marTop w:val="0"/>
      <w:marBottom w:val="0"/>
      <w:divBdr>
        <w:top w:val="none" w:sz="0" w:space="0" w:color="auto"/>
        <w:left w:val="none" w:sz="0" w:space="0" w:color="auto"/>
        <w:bottom w:val="none" w:sz="0" w:space="0" w:color="auto"/>
        <w:right w:val="none" w:sz="0" w:space="0" w:color="auto"/>
      </w:divBdr>
    </w:div>
    <w:div w:id="1318150330">
      <w:bodyDiv w:val="1"/>
      <w:marLeft w:val="0"/>
      <w:marRight w:val="0"/>
      <w:marTop w:val="0"/>
      <w:marBottom w:val="0"/>
      <w:divBdr>
        <w:top w:val="none" w:sz="0" w:space="0" w:color="auto"/>
        <w:left w:val="none" w:sz="0" w:space="0" w:color="auto"/>
        <w:bottom w:val="none" w:sz="0" w:space="0" w:color="auto"/>
        <w:right w:val="none" w:sz="0" w:space="0" w:color="auto"/>
      </w:divBdr>
    </w:div>
    <w:div w:id="1375928482">
      <w:bodyDiv w:val="1"/>
      <w:marLeft w:val="0"/>
      <w:marRight w:val="0"/>
      <w:marTop w:val="0"/>
      <w:marBottom w:val="0"/>
      <w:divBdr>
        <w:top w:val="none" w:sz="0" w:space="0" w:color="auto"/>
        <w:left w:val="none" w:sz="0" w:space="0" w:color="auto"/>
        <w:bottom w:val="none" w:sz="0" w:space="0" w:color="auto"/>
        <w:right w:val="none" w:sz="0" w:space="0" w:color="auto"/>
      </w:divBdr>
    </w:div>
    <w:div w:id="1653214287">
      <w:bodyDiv w:val="1"/>
      <w:marLeft w:val="0"/>
      <w:marRight w:val="0"/>
      <w:marTop w:val="0"/>
      <w:marBottom w:val="0"/>
      <w:divBdr>
        <w:top w:val="none" w:sz="0" w:space="0" w:color="auto"/>
        <w:left w:val="none" w:sz="0" w:space="0" w:color="auto"/>
        <w:bottom w:val="none" w:sz="0" w:space="0" w:color="auto"/>
        <w:right w:val="none" w:sz="0" w:space="0" w:color="auto"/>
      </w:divBdr>
    </w:div>
    <w:div w:id="1967084743">
      <w:bodyDiv w:val="1"/>
      <w:marLeft w:val="0"/>
      <w:marRight w:val="0"/>
      <w:marTop w:val="0"/>
      <w:marBottom w:val="0"/>
      <w:divBdr>
        <w:top w:val="none" w:sz="0" w:space="0" w:color="auto"/>
        <w:left w:val="none" w:sz="0" w:space="0" w:color="auto"/>
        <w:bottom w:val="none" w:sz="0" w:space="0" w:color="auto"/>
        <w:right w:val="none" w:sz="0" w:space="0" w:color="auto"/>
      </w:divBdr>
    </w:div>
    <w:div w:id="197482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JPG"/><Relationship Id="rId21" Type="http://schemas.openxmlformats.org/officeDocument/2006/relationships/hyperlink" Target="http://www.ndis.gov.au/" TargetMode="External"/><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header" Target="header5.xml"/><Relationship Id="rId50" Type="http://schemas.openxmlformats.org/officeDocument/2006/relationships/header" Target="header7.xml"/><Relationship Id="rId55" Type="http://schemas.openxmlformats.org/officeDocument/2006/relationships/header" Target="header12.xml"/><Relationship Id="rId63" Type="http://schemas.openxmlformats.org/officeDocument/2006/relationships/image" Target="media/image37.jpeg"/><Relationship Id="rId68" Type="http://schemas.openxmlformats.org/officeDocument/2006/relationships/image" Target="media/image42.jpeg"/><Relationship Id="rId76" Type="http://schemas.openxmlformats.org/officeDocument/2006/relationships/image" Target="media/image49.jpeg"/><Relationship Id="rId84" Type="http://schemas.openxmlformats.org/officeDocument/2006/relationships/hyperlink" Target="https://www.ndis.gov.au/media/2466/download" TargetMode="External"/><Relationship Id="rId7" Type="http://schemas.openxmlformats.org/officeDocument/2006/relationships/endnotes" Target="endnotes.xml"/><Relationship Id="rId71" Type="http://schemas.openxmlformats.org/officeDocument/2006/relationships/image" Target="media/image45.emf"/><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45" Type="http://schemas.openxmlformats.org/officeDocument/2006/relationships/header" Target="header3.xml"/><Relationship Id="rId53" Type="http://schemas.openxmlformats.org/officeDocument/2006/relationships/header" Target="header10.xml"/><Relationship Id="rId58" Type="http://schemas.openxmlformats.org/officeDocument/2006/relationships/image" Target="media/image33.JPG"/><Relationship Id="rId66" Type="http://schemas.openxmlformats.org/officeDocument/2006/relationships/image" Target="media/image40.jpeg"/><Relationship Id="rId74" Type="http://schemas.openxmlformats.org/officeDocument/2006/relationships/image" Target="media/image47.jpeg"/><Relationship Id="rId79" Type="http://schemas.openxmlformats.org/officeDocument/2006/relationships/image" Target="media/image52.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image" Target="media/image5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jpg"/><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header" Target="header13.xml"/><Relationship Id="rId64" Type="http://schemas.openxmlformats.org/officeDocument/2006/relationships/image" Target="media/image38.jpeg"/><Relationship Id="rId69" Type="http://schemas.openxmlformats.org/officeDocument/2006/relationships/image" Target="media/image43.jpeg"/><Relationship Id="rId77" Type="http://schemas.openxmlformats.org/officeDocument/2006/relationships/image" Target="media/image50.jpeg"/><Relationship Id="rId8" Type="http://schemas.openxmlformats.org/officeDocument/2006/relationships/image" Target="media/image1.jpg"/><Relationship Id="rId51" Type="http://schemas.openxmlformats.org/officeDocument/2006/relationships/header" Target="header8.xml"/><Relationship Id="rId72" Type="http://schemas.openxmlformats.org/officeDocument/2006/relationships/hyperlink" Target="https://www.ndis-iac.com.au/" TargetMode="External"/><Relationship Id="rId80" Type="http://schemas.openxmlformats.org/officeDocument/2006/relationships/image" Target="media/image53.jpeg"/><Relationship Id="rId85" Type="http://schemas.openxmlformats.org/officeDocument/2006/relationships/header" Target="header15.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G"/><Relationship Id="rId46" Type="http://schemas.openxmlformats.org/officeDocument/2006/relationships/header" Target="header4.xml"/><Relationship Id="rId59" Type="http://schemas.openxmlformats.org/officeDocument/2006/relationships/hyperlink" Target="https://pmc.gov.au/" TargetMode="External"/><Relationship Id="rId67" Type="http://schemas.openxmlformats.org/officeDocument/2006/relationships/image" Target="media/image41.jpeg"/><Relationship Id="rId20" Type="http://schemas.openxmlformats.org/officeDocument/2006/relationships/image" Target="media/image13.png"/><Relationship Id="rId41" Type="http://schemas.openxmlformats.org/officeDocument/2006/relationships/footer" Target="footer2.xml"/><Relationship Id="rId54" Type="http://schemas.openxmlformats.org/officeDocument/2006/relationships/header" Target="header11.xml"/><Relationship Id="rId62" Type="http://schemas.openxmlformats.org/officeDocument/2006/relationships/image" Target="media/image36.jpeg"/><Relationship Id="rId70" Type="http://schemas.openxmlformats.org/officeDocument/2006/relationships/image" Target="media/image44.jpeg"/><Relationship Id="rId75" Type="http://schemas.openxmlformats.org/officeDocument/2006/relationships/image" Target="media/image48.jpeg"/><Relationship Id="rId83"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G"/><Relationship Id="rId49" Type="http://schemas.openxmlformats.org/officeDocument/2006/relationships/header" Target="header6.xml"/><Relationship Id="rId57" Type="http://schemas.openxmlformats.org/officeDocument/2006/relationships/header" Target="header14.xml"/><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header" Target="header2.xml"/><Relationship Id="rId52" Type="http://schemas.openxmlformats.org/officeDocument/2006/relationships/header" Target="header9.xml"/><Relationship Id="rId60" Type="http://schemas.openxmlformats.org/officeDocument/2006/relationships/image" Target="media/image34.png"/><Relationship Id="rId65" Type="http://schemas.openxmlformats.org/officeDocument/2006/relationships/image" Target="media/image39.jpeg"/><Relationship Id="rId73" Type="http://schemas.openxmlformats.org/officeDocument/2006/relationships/image" Target="media/image46.png"/><Relationship Id="rId78" Type="http://schemas.openxmlformats.org/officeDocument/2006/relationships/image" Target="media/image51.jpeg"/><Relationship Id="rId81" Type="http://schemas.openxmlformats.org/officeDocument/2006/relationships/image" Target="media/image54.png"/><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c.gov.au/inquiries/completed/disabili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56D13-4993-444F-8D35-053D3384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145</Pages>
  <Words>48024</Words>
  <Characters>273738</Characters>
  <Application>Microsoft Office Word</Application>
  <DocSecurity>0</DocSecurity>
  <Lines>2281</Lines>
  <Paragraphs>642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Kerry</dc:creator>
  <cp:keywords/>
  <dc:description/>
  <cp:lastModifiedBy>COAD, Cath</cp:lastModifiedBy>
  <cp:revision>6</cp:revision>
  <dcterms:created xsi:type="dcterms:W3CDTF">2020-10-11T21:28:00Z</dcterms:created>
  <dcterms:modified xsi:type="dcterms:W3CDTF">2020-10-16T00:12:00Z</dcterms:modified>
</cp:coreProperties>
</file>