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B54" w:rsidRDefault="00262B54" w:rsidP="00234943">
      <w:bookmarkStart w:id="0" w:name="_GoBack"/>
      <w:bookmarkEnd w:id="0"/>
    </w:p>
    <w:p w:rsidR="005B3A84" w:rsidRDefault="005B3A84" w:rsidP="00234943"/>
    <w:p w:rsidR="00B13E58" w:rsidRPr="008501E0" w:rsidRDefault="00B13E58" w:rsidP="00234943"/>
    <w:p w:rsidR="00B13E58" w:rsidRPr="008501E0" w:rsidRDefault="00B13E58" w:rsidP="00234943"/>
    <w:p w:rsidR="00B13E58" w:rsidRDefault="00B13E58" w:rsidP="00234943">
      <w:r w:rsidRPr="008501E0">
        <w:t>Dear</w:t>
      </w:r>
      <w:r w:rsidR="00683AC0">
        <w:t xml:space="preserve"> </w:t>
      </w:r>
      <w:r w:rsidR="009D69A1">
        <w:t>Providers</w:t>
      </w:r>
    </w:p>
    <w:p w:rsidR="00EB1653" w:rsidRDefault="00EB1653" w:rsidP="00234943"/>
    <w:p w:rsidR="007D4919" w:rsidRPr="008501E0" w:rsidRDefault="00EB1653" w:rsidP="00234943">
      <w:r>
        <w:t>This letter provides an update on the Independent Pricing Review (IPR).</w:t>
      </w:r>
    </w:p>
    <w:p w:rsidR="00B13E58" w:rsidRPr="00065F7E" w:rsidRDefault="00B13E58" w:rsidP="00234943"/>
    <w:p w:rsidR="009D69A1" w:rsidRDefault="009D69A1" w:rsidP="009D69A1">
      <w:r>
        <w:t>In response to market feedback that</w:t>
      </w:r>
      <w:r w:rsidR="007D4919">
        <w:t>,</w:t>
      </w:r>
      <w:r>
        <w:t xml:space="preserve"> in some areas</w:t>
      </w:r>
      <w:r w:rsidR="007D4919">
        <w:t xml:space="preserve">, price limits set by the NDIA </w:t>
      </w:r>
      <w:r>
        <w:t>required more detailed consideration, the National Disability Insurance Agency (</w:t>
      </w:r>
      <w:r w:rsidR="00EB1653">
        <w:t>NDIA) Board engaged McKinsey &amp;</w:t>
      </w:r>
      <w:r w:rsidR="000E16F4">
        <w:t xml:space="preserve"> Company in June</w:t>
      </w:r>
      <w:r>
        <w:t xml:space="preserve"> 2017 to undertake an In</w:t>
      </w:r>
      <w:r w:rsidR="00EB1653">
        <w:t>dependent Pricing Review f</w:t>
      </w:r>
      <w:r>
        <w:t xml:space="preserve">or the National Disability Insurance Scheme (NDIS). </w:t>
      </w:r>
      <w:r w:rsidR="007D4919">
        <w:t>As the NDIS is rolled out across Australia, the establishment of the IPR reflected the NDIA’s commitment to developing a vi</w:t>
      </w:r>
      <w:r w:rsidR="00FE2CD5">
        <w:t>brant provider sector that can</w:t>
      </w:r>
      <w:r w:rsidR="007D4919">
        <w:t xml:space="preserve"> provide reasonable and necessar</w:t>
      </w:r>
      <w:r w:rsidR="00FE2CD5">
        <w:t>y supports to NDIS participants to help them live a better life.</w:t>
      </w:r>
    </w:p>
    <w:p w:rsidR="009D69A1" w:rsidRDefault="009D69A1" w:rsidP="009D69A1"/>
    <w:p w:rsidR="009D69A1" w:rsidRDefault="009D69A1" w:rsidP="009D69A1">
      <w:r>
        <w:t>As part of this independent process, McKinsey &amp; Company consulted with over 1000 individuals, held ten open forums, nine webinars, and 45 one-on-one meetings in the second half of 2017.</w:t>
      </w:r>
    </w:p>
    <w:p w:rsidR="009D69A1" w:rsidRDefault="009D69A1" w:rsidP="009D69A1"/>
    <w:p w:rsidR="009D69A1" w:rsidRDefault="009D69A1" w:rsidP="009D69A1">
      <w:r>
        <w:t>The IPR was commission</w:t>
      </w:r>
      <w:r w:rsidR="000E16F4">
        <w:t xml:space="preserve">ed recognising </w:t>
      </w:r>
      <w:r>
        <w:t>the im</w:t>
      </w:r>
      <w:r w:rsidR="000E16F4">
        <w:t>portant role that price</w:t>
      </w:r>
      <w:r>
        <w:t xml:space="preserve"> play</w:t>
      </w:r>
      <w:r w:rsidR="000E16F4">
        <w:t>s</w:t>
      </w:r>
      <w:r>
        <w:t xml:space="preserve"> as a key driver of value for participants, part</w:t>
      </w:r>
      <w:r w:rsidR="000E16F4">
        <w:t xml:space="preserve">icularly during transition. In commissioning the review, it was </w:t>
      </w:r>
      <w:r>
        <w:t>acknowledged that price</w:t>
      </w:r>
      <w:r w:rsidR="00FE2CD5">
        <w:t xml:space="preserve">s paid to providers </w:t>
      </w:r>
      <w:r>
        <w:t>must be suff</w:t>
      </w:r>
      <w:r w:rsidR="000E16F4">
        <w:t xml:space="preserve">icient </w:t>
      </w:r>
      <w:r w:rsidR="00FE2CD5">
        <w:t xml:space="preserve">to create adequate supply </w:t>
      </w:r>
      <w:r w:rsidR="000E16F4">
        <w:t xml:space="preserve">to </w:t>
      </w:r>
      <w:r>
        <w:t xml:space="preserve">meet the </w:t>
      </w:r>
      <w:r w:rsidR="00FE2CD5">
        <w:t xml:space="preserve">short and longer term needs </w:t>
      </w:r>
      <w:r w:rsidR="000E16F4">
        <w:t>of participants. To that</w:t>
      </w:r>
      <w:r>
        <w:t xml:space="preserve"> end, the IPR undertook detailed analysis of provider economics, market developmen</w:t>
      </w:r>
      <w:r w:rsidR="000E16F4">
        <w:t>t, and Scheme and sector data, resulting in a deeper</w:t>
      </w:r>
      <w:r>
        <w:t xml:space="preserve"> understanding </w:t>
      </w:r>
      <w:r w:rsidR="000E16F4">
        <w:t>of the complex environment in which providers operate</w:t>
      </w:r>
      <w:r>
        <w:t xml:space="preserve">.    </w:t>
      </w:r>
    </w:p>
    <w:p w:rsidR="009D69A1" w:rsidRDefault="009D69A1" w:rsidP="009D69A1"/>
    <w:p w:rsidR="009D69A1" w:rsidRDefault="009D69A1" w:rsidP="009D69A1">
      <w:r>
        <w:t xml:space="preserve">In March 2018, the </w:t>
      </w:r>
      <w:r w:rsidR="000E16F4">
        <w:t xml:space="preserve">full </w:t>
      </w:r>
      <w:r>
        <w:t xml:space="preserve">IPR and </w:t>
      </w:r>
      <w:r w:rsidR="000E16F4">
        <w:t xml:space="preserve">the </w:t>
      </w:r>
      <w:r>
        <w:t>NDIA Respon</w:t>
      </w:r>
      <w:r w:rsidR="000E16F4">
        <w:t xml:space="preserve">se were published, including in </w:t>
      </w:r>
      <w:r>
        <w:t>principle endorsement of the report’s 25 recommendations. The NDIA response also outlined th</w:t>
      </w:r>
      <w:r w:rsidR="007D4919">
        <w:t>at</w:t>
      </w:r>
      <w:r>
        <w:t xml:space="preserve"> additional work </w:t>
      </w:r>
      <w:r w:rsidR="007D4919">
        <w:t xml:space="preserve">was </w:t>
      </w:r>
      <w:r>
        <w:t xml:space="preserve">required prior to implementation for some of the more complex recommendations.  </w:t>
      </w:r>
    </w:p>
    <w:p w:rsidR="009D69A1" w:rsidRDefault="009D69A1" w:rsidP="009D69A1"/>
    <w:p w:rsidR="009D69A1" w:rsidRDefault="009D69A1" w:rsidP="009D69A1">
      <w:r>
        <w:t>The disability sector h</w:t>
      </w:r>
      <w:r w:rsidR="000E16F4">
        <w:t>as welcomed the IPR’s message that close attention must be paid to price, and in particular that a</w:t>
      </w:r>
      <w:r>
        <w:t xml:space="preserve">ction </w:t>
      </w:r>
      <w:r w:rsidR="00FE2CD5">
        <w:t xml:space="preserve">was needed </w:t>
      </w:r>
      <w:r>
        <w:t>to support providers during their tran</w:t>
      </w:r>
      <w:r w:rsidR="007D4919">
        <w:t xml:space="preserve">sition to the participant centred funding approach that is integral to the NDIS </w:t>
      </w:r>
      <w:r>
        <w:t xml:space="preserve">. The NDIA has continued to engage and consult </w:t>
      </w:r>
      <w:r w:rsidR="000E16F4">
        <w:t>with providers about the impact</w:t>
      </w:r>
      <w:r>
        <w:t xml:space="preserve"> of </w:t>
      </w:r>
      <w:r w:rsidR="000E16F4">
        <w:t xml:space="preserve">the </w:t>
      </w:r>
      <w:r>
        <w:t>IPR</w:t>
      </w:r>
      <w:r w:rsidR="007D4919">
        <w:t>’s</w:t>
      </w:r>
      <w:r>
        <w:t xml:space="preserve"> </w:t>
      </w:r>
      <w:r w:rsidR="007D4919">
        <w:t>recommendations</w:t>
      </w:r>
      <w:r>
        <w:t xml:space="preserve">, and has committed to </w:t>
      </w:r>
      <w:r w:rsidR="0019619A">
        <w:t xml:space="preserve">communicate </w:t>
      </w:r>
      <w:r w:rsidR="00FE2CD5">
        <w:t xml:space="preserve">with providers </w:t>
      </w:r>
      <w:r w:rsidR="0019619A">
        <w:t xml:space="preserve">and </w:t>
      </w:r>
      <w:r>
        <w:t xml:space="preserve">implement </w:t>
      </w:r>
      <w:r w:rsidR="000E16F4">
        <w:t xml:space="preserve">the </w:t>
      </w:r>
      <w:r>
        <w:t xml:space="preserve">IPR recommendations in a thorough and timely way. </w:t>
      </w:r>
      <w:r w:rsidR="0019619A">
        <w:t xml:space="preserve">Following those initial soundings, </w:t>
      </w:r>
      <w:r w:rsidR="000E16F4">
        <w:t xml:space="preserve">the NDIA provided an update to the market in April, 2018 </w:t>
      </w:r>
      <w:r w:rsidR="00FE2CD5">
        <w:t>revising</w:t>
      </w:r>
      <w:r w:rsidR="000E16F4">
        <w:t xml:space="preserve"> those recommendations that would be progressed immediately and those where further work was required.</w:t>
      </w:r>
    </w:p>
    <w:p w:rsidR="009D69A1" w:rsidRDefault="009D69A1" w:rsidP="009D69A1"/>
    <w:p w:rsidR="009D69A1" w:rsidRDefault="009D69A1" w:rsidP="009D69A1">
      <w:r>
        <w:t>The NDIA now confirm</w:t>
      </w:r>
      <w:r w:rsidR="0019619A">
        <w:t>s</w:t>
      </w:r>
      <w:r>
        <w:t xml:space="preserve"> the specific IPR recommendations that will be implemented for 20</w:t>
      </w:r>
      <w:r w:rsidR="000E16F4">
        <w:t xml:space="preserve">18/19 from </w:t>
      </w:r>
      <w:r>
        <w:t xml:space="preserve">1 July 2018. These changes will give providers immediate support to meet the challenges of transitioning to the </w:t>
      </w:r>
      <w:r w:rsidR="0019619A">
        <w:t xml:space="preserve">participant centred </w:t>
      </w:r>
      <w:r>
        <w:t>NDIS funding</w:t>
      </w:r>
      <w:r w:rsidR="0019619A">
        <w:t xml:space="preserve"> approach.</w:t>
      </w:r>
    </w:p>
    <w:p w:rsidR="009D69A1" w:rsidRDefault="009D69A1" w:rsidP="009D69A1"/>
    <w:p w:rsidR="009D69A1" w:rsidRDefault="009D69A1" w:rsidP="009D69A1">
      <w:r>
        <w:t xml:space="preserve">Price limits for most supports will increase. For standard intensity attendant care supports, price limits will include a new 2.5% loading, following the IPR recommendation to give providers temporary support for their overhead costs (TSO). ‘Attendant care’ refers both </w:t>
      </w:r>
      <w:r w:rsidR="0019619A">
        <w:t xml:space="preserve">to </w:t>
      </w:r>
      <w:r>
        <w:t xml:space="preserve">assistance with daily personal activities and assistance with community participation. </w:t>
      </w:r>
    </w:p>
    <w:p w:rsidR="009D69A1" w:rsidRDefault="009D69A1" w:rsidP="009D69A1"/>
    <w:p w:rsidR="009D69A1" w:rsidRDefault="000E16F4" w:rsidP="009D69A1">
      <w:r>
        <w:t xml:space="preserve">The initial IPR recommendation was that this should be put in place for one year.  However, </w:t>
      </w:r>
      <w:r w:rsidR="009D69A1">
        <w:t xml:space="preserve"> the NDIA Board has decided that this TSO measure will remain partially in place </w:t>
      </w:r>
      <w:r w:rsidR="00792928">
        <w:t xml:space="preserve">(at 1.25%) </w:t>
      </w:r>
      <w:r w:rsidR="009D69A1">
        <w:t xml:space="preserve">in 2019/20, rather than </w:t>
      </w:r>
      <w:r w:rsidR="0019619A">
        <w:t xml:space="preserve">be </w:t>
      </w:r>
      <w:r w:rsidR="009D69A1">
        <w:t xml:space="preserve">removed after 12 months as originally recommended. While this </w:t>
      </w:r>
      <w:r w:rsidR="009D69A1">
        <w:lastRenderedPageBreak/>
        <w:t>TSO loadin</w:t>
      </w:r>
      <w:r w:rsidR="00792928">
        <w:t xml:space="preserve">g is in place, the NDIA </w:t>
      </w:r>
      <w:r w:rsidR="00FE2CD5">
        <w:t xml:space="preserve">will </w:t>
      </w:r>
      <w:r w:rsidR="00BC305C">
        <w:t xml:space="preserve">continue to work </w:t>
      </w:r>
      <w:r w:rsidR="00FE2CD5">
        <w:t xml:space="preserve">to </w:t>
      </w:r>
      <w:r w:rsidR="00BC305C">
        <w:t>deliver</w:t>
      </w:r>
      <w:r w:rsidR="00FE2CD5">
        <w:t xml:space="preserve"> </w:t>
      </w:r>
      <w:r w:rsidR="00BC305C">
        <w:t xml:space="preserve">initiatives which </w:t>
      </w:r>
      <w:r w:rsidR="00FE2CD5">
        <w:t xml:space="preserve">will </w:t>
      </w:r>
      <w:r w:rsidR="00792928">
        <w:t>reduce provider administrative</w:t>
      </w:r>
      <w:r w:rsidR="009D69A1">
        <w:t xml:space="preserve"> costs and deliver a better NDIS provider experience</w:t>
      </w:r>
      <w:r w:rsidR="00BC305C">
        <w:t>.  Significant progress has been made, with the NDIA delivering</w:t>
      </w:r>
      <w:r w:rsidR="009D69A1">
        <w:t xml:space="preserve"> provider portal</w:t>
      </w:r>
      <w:r w:rsidR="00BC305C">
        <w:t xml:space="preserve"> enhancements, payments process improvements</w:t>
      </w:r>
      <w:r w:rsidR="009D69A1">
        <w:t xml:space="preserve">, and </w:t>
      </w:r>
      <w:r w:rsidR="00BC305C">
        <w:t xml:space="preserve">continuous development of </w:t>
      </w:r>
      <w:r w:rsidR="009D69A1">
        <w:t>helpful tools such as the provider finder.</w:t>
      </w:r>
      <w:r w:rsidR="00792928">
        <w:t xml:space="preserve"> </w:t>
      </w:r>
      <w:r w:rsidR="00BC305C">
        <w:t xml:space="preserve">The NDIA has clear initiatives for delivery over the coming financial year, which will build on this work, and </w:t>
      </w:r>
      <w:r w:rsidR="00792928">
        <w:t>will also work with providers to help improve their efficiency.</w:t>
      </w:r>
    </w:p>
    <w:p w:rsidR="009D69A1" w:rsidRDefault="009D69A1" w:rsidP="009D69A1"/>
    <w:p w:rsidR="009D69A1" w:rsidRDefault="00792928" w:rsidP="009D69A1">
      <w:r>
        <w:t>New price limits will also t</w:t>
      </w:r>
      <w:r w:rsidR="009D69A1">
        <w:t>ake full account of growth in wage costs under the Social, Community, Home Care and Disability Services Industry Award</w:t>
      </w:r>
      <w:r w:rsidR="0019619A">
        <w:t xml:space="preserve"> and the Equal Remuneration Order.  The cumulative impact of both is 5.14%.  When combined </w:t>
      </w:r>
      <w:r w:rsidR="00FE1A51">
        <w:t xml:space="preserve">with the TSO of 2.5% for the year, this means that </w:t>
      </w:r>
      <w:r w:rsidR="009D69A1">
        <w:t xml:space="preserve">the price limit for </w:t>
      </w:r>
      <w:r w:rsidR="00AC2385">
        <w:t xml:space="preserve">standard </w:t>
      </w:r>
      <w:r w:rsidR="009D69A1">
        <w:t xml:space="preserve">attendant care supports will increase by 7.6% </w:t>
      </w:r>
      <w:r w:rsidR="00FE1A51">
        <w:t>from</w:t>
      </w:r>
      <w:r w:rsidR="009D69A1">
        <w:t xml:space="preserve"> 1 July 2018.</w:t>
      </w:r>
    </w:p>
    <w:p w:rsidR="009D69A1" w:rsidRDefault="009D69A1" w:rsidP="009D69A1"/>
    <w:p w:rsidR="009D69A1" w:rsidRDefault="009D69A1" w:rsidP="009D69A1">
      <w:r>
        <w:t>Group community participation supports will be converted to a new, consistent structure in the NDIS support catalogue, to give providers and participants more clarity and flexibility. Providers will also benefit from new price limits that recognise per-person costs when delivering group supports, and include an allowance for capital costs when these supports are delivered in a specialist centre.</w:t>
      </w:r>
    </w:p>
    <w:p w:rsidR="009D69A1" w:rsidRDefault="009D69A1" w:rsidP="009D69A1"/>
    <w:p w:rsidR="009D69A1" w:rsidRDefault="009D69A1" w:rsidP="009D69A1">
      <w:r>
        <w:t xml:space="preserve">New, more flexible arrangements for provider travel and appointment cancellations will also be introduced from 1 July 2018. </w:t>
      </w:r>
    </w:p>
    <w:p w:rsidR="009D69A1" w:rsidRDefault="009D69A1" w:rsidP="009D69A1"/>
    <w:p w:rsidR="009D69A1" w:rsidRDefault="009D69A1" w:rsidP="009D69A1">
      <w:r>
        <w:t xml:space="preserve">To ensure that participants </w:t>
      </w:r>
      <w:r w:rsidR="00FE1A51">
        <w:t>are not adversely impact</w:t>
      </w:r>
      <w:r w:rsidR="00105211">
        <w:t>ed</w:t>
      </w:r>
      <w:r w:rsidR="00FE1A51">
        <w:t xml:space="preserve"> by this price increase and that they </w:t>
      </w:r>
      <w:r>
        <w:t>can purchase their reasonable and necessary supports, the 1 July 2018 price limit changes will be accompanied by automatic updates to participant budgets and service bookings. These adjustments will reflect the additional costs that each individual participant will face as a result of the increases in price limits.</w:t>
      </w:r>
      <w:r w:rsidR="00FE1A51">
        <w:t xml:space="preserve">  Other changes, such as for cancellation and travel cannot readily be adjusted, but will be monitored closely for individual participants to ensure they are not adversely affected.</w:t>
      </w:r>
    </w:p>
    <w:p w:rsidR="00FE1A51" w:rsidRDefault="00FE1A51" w:rsidP="009D69A1"/>
    <w:p w:rsidR="00FE1A51" w:rsidRDefault="00FE1A51" w:rsidP="009D69A1">
      <w:r>
        <w:t>Full details of</w:t>
      </w:r>
      <w:r w:rsidR="00105211">
        <w:t xml:space="preserve"> </w:t>
      </w:r>
      <w:r>
        <w:t>all price limit changes are being published at the same time as this advice is provided.</w:t>
      </w:r>
    </w:p>
    <w:p w:rsidR="00FE1A51" w:rsidRDefault="00FE1A51" w:rsidP="009D69A1"/>
    <w:p w:rsidR="00FE1A51" w:rsidRDefault="00FE1A51" w:rsidP="009D69A1">
      <w:r>
        <w:t xml:space="preserve">As advised in April, some other changes—originally envisaged to be implemented on July 1—will be delayed pending further consultation.  </w:t>
      </w:r>
    </w:p>
    <w:p w:rsidR="009D69A1" w:rsidRDefault="009D69A1" w:rsidP="009D69A1"/>
    <w:p w:rsidR="009D69A1" w:rsidRDefault="00FE1A51" w:rsidP="009D69A1">
      <w:r>
        <w:t xml:space="preserve">Specifically, this applies to therapy support.  </w:t>
      </w:r>
      <w:r w:rsidR="009D69A1">
        <w:t>Therapy support is crucial for many participants, and providers are respo</w:t>
      </w:r>
      <w:r w:rsidR="00792928">
        <w:t xml:space="preserve">nding to the opportunity that the roll-out of the </w:t>
      </w:r>
      <w:r w:rsidR="009D69A1">
        <w:t>NDIS</w:t>
      </w:r>
      <w:r w:rsidR="00792928">
        <w:t xml:space="preserve"> provides. For instance, while variations in growth rates occur among states and territories, i</w:t>
      </w:r>
      <w:r w:rsidR="009D69A1">
        <w:t>n the year to 30 March 2018, the number of registered providers across Australia offering therapeutic support</w:t>
      </w:r>
      <w:r w:rsidR="00792928">
        <w:t>s more than doubled</w:t>
      </w:r>
      <w:r w:rsidR="009D69A1">
        <w:t xml:space="preserve"> from 3560 to 7161. Therapy providers are the single largest group of registered providers in all states, other than Western Australia where many are expected to register now that the NDIS is fully national. </w:t>
      </w:r>
    </w:p>
    <w:p w:rsidR="009D69A1" w:rsidRDefault="009D69A1" w:rsidP="009D69A1"/>
    <w:p w:rsidR="009D69A1" w:rsidRDefault="00FE1A51" w:rsidP="009D69A1">
      <w:r>
        <w:t>However, b</w:t>
      </w:r>
      <w:r w:rsidR="009D69A1">
        <w:t>ased on therapy p</w:t>
      </w:r>
      <w:r w:rsidR="00EB1653">
        <w:t>rovider feedback since the IPR</w:t>
      </w:r>
      <w:r w:rsidR="00792928">
        <w:t>;</w:t>
      </w:r>
      <w:r w:rsidR="00EB1653">
        <w:t xml:space="preserve"> the interrelationship of therapy prices with </w:t>
      </w:r>
      <w:r w:rsidR="00792928">
        <w:t xml:space="preserve">the IPR’s recommendations in relation to pricing for complexity; and Western Australia’s </w:t>
      </w:r>
      <w:r w:rsidR="00EB1653">
        <w:t xml:space="preserve">decision to join the NDIS, the NDIA has asked McKinsey &amp; </w:t>
      </w:r>
      <w:r w:rsidR="00792928">
        <w:t xml:space="preserve">Company to ensure the appropriateness of its </w:t>
      </w:r>
      <w:r w:rsidR="009D69A1">
        <w:t>therapy price control recommendations</w:t>
      </w:r>
      <w:r w:rsidR="007645B2">
        <w:t>. The NDIA was particularly eager</w:t>
      </w:r>
      <w:r w:rsidR="009D69A1">
        <w:t xml:space="preserve"> to ensure that initial IPR recommendations captured differences among states, including those with a substantial number of participants in remote areas, a</w:t>
      </w:r>
      <w:r>
        <w:t xml:space="preserve">long with </w:t>
      </w:r>
      <w:r w:rsidR="009D69A1">
        <w:t xml:space="preserve">differentiation by therapy types. </w:t>
      </w:r>
      <w:r w:rsidR="00EB1653">
        <w:t>For this reason</w:t>
      </w:r>
      <w:r w:rsidR="00792928">
        <w:t>, adjust</w:t>
      </w:r>
      <w:r w:rsidR="00EB1653">
        <w:t>ments to therapy prices will only be implemented after this work is complete and fully considered.</w:t>
      </w:r>
    </w:p>
    <w:p w:rsidR="009D69A1" w:rsidRDefault="009D69A1" w:rsidP="009D69A1"/>
    <w:p w:rsidR="009D69A1" w:rsidRDefault="00EB1653" w:rsidP="009D69A1">
      <w:r>
        <w:lastRenderedPageBreak/>
        <w:t xml:space="preserve">This approach reflects </w:t>
      </w:r>
      <w:r w:rsidR="009D69A1">
        <w:t>the NDIA’s commitment to working collaboratively with the sector to deliver a strong, vibrant and innovative market for quality disability support</w:t>
      </w:r>
      <w:r w:rsidR="00062BD4">
        <w:t>s</w:t>
      </w:r>
      <w:r w:rsidR="00FE1A51">
        <w:t>.</w:t>
      </w:r>
    </w:p>
    <w:p w:rsidR="009D69A1" w:rsidRDefault="009D69A1" w:rsidP="009D69A1"/>
    <w:p w:rsidR="009D69A1" w:rsidRDefault="00EB1653" w:rsidP="009D69A1">
      <w:r>
        <w:t>Following imple</w:t>
      </w:r>
      <w:r w:rsidR="00062BD4">
        <w:t>mentation of th</w:t>
      </w:r>
      <w:r w:rsidR="00FE1A51">
        <w:t>e</w:t>
      </w:r>
      <w:r>
        <w:t xml:space="preserve"> first set of IPR recommendations, </w:t>
      </w:r>
      <w:r w:rsidR="009D69A1">
        <w:t>the NDIA will move immediate</w:t>
      </w:r>
      <w:r>
        <w:t>ly to finalise the next s</w:t>
      </w:r>
      <w:r w:rsidR="00062BD4">
        <w:t xml:space="preserve">et of </w:t>
      </w:r>
      <w:r>
        <w:t xml:space="preserve">recommendations, including </w:t>
      </w:r>
      <w:r w:rsidR="009D69A1">
        <w:t>therapy pr</w:t>
      </w:r>
      <w:r w:rsidR="00062BD4">
        <w:t xml:space="preserve">ice limits and complexity.  Consultation with </w:t>
      </w:r>
      <w:r w:rsidR="009D69A1">
        <w:t xml:space="preserve">provider groups and experts from the sector </w:t>
      </w:r>
      <w:r w:rsidR="00062BD4">
        <w:t>in relation to these recommendations will occur before implementation. We expect the outcomes of the</w:t>
      </w:r>
      <w:r w:rsidR="009D69A1">
        <w:t xml:space="preserve"> important work on therapy and complexity to be implemented in </w:t>
      </w:r>
      <w:r w:rsidR="002F0956">
        <w:t>late</w:t>
      </w:r>
      <w:r w:rsidR="009D69A1">
        <w:t xml:space="preserve"> 2018. </w:t>
      </w:r>
    </w:p>
    <w:p w:rsidR="009D69A1" w:rsidRDefault="009D69A1" w:rsidP="009D69A1"/>
    <w:p w:rsidR="009D69A1" w:rsidRDefault="007645B2" w:rsidP="009D69A1">
      <w:r>
        <w:t>You can find</w:t>
      </w:r>
      <w:r w:rsidR="009D69A1">
        <w:t xml:space="preserve"> more information relating to the implementation of IPR recommendations on the NDIS website: </w:t>
      </w:r>
      <w:hyperlink r:id="rId11" w:history="1">
        <w:r w:rsidR="009D69A1" w:rsidRPr="00A54C0E">
          <w:rPr>
            <w:rStyle w:val="Hyperlink"/>
          </w:rPr>
          <w:t>https://www.ndis.gov.au/providers/independent-pricing-review.html</w:t>
        </w:r>
      </w:hyperlink>
      <w:r w:rsidR="009D69A1">
        <w:t>.</w:t>
      </w:r>
    </w:p>
    <w:p w:rsidR="009D69A1" w:rsidRDefault="009D69A1" w:rsidP="009D69A1"/>
    <w:p w:rsidR="009D69A1" w:rsidRDefault="009D69A1" w:rsidP="009D69A1">
      <w:r>
        <w:t>Regards</w:t>
      </w:r>
    </w:p>
    <w:p w:rsidR="005B43CC" w:rsidRDefault="005B43CC" w:rsidP="005B43CC"/>
    <w:p w:rsidR="00C7132F" w:rsidRDefault="0046453E" w:rsidP="00234943">
      <w:pPr>
        <w:rPr>
          <w:rStyle w:val="NoSpacingChar"/>
        </w:rPr>
      </w:pPr>
      <w:sdt>
        <w:sdtPr>
          <w:rPr>
            <w:rStyle w:val="ClearingOfficer"/>
          </w:rPr>
          <w:alias w:val="Clearing Officer"/>
          <w:tag w:val="LastClearingOfficer"/>
          <w:id w:val="-1409224536"/>
          <w:placeholder>
            <w:docPart w:val="DefaultPlaceholder_1082065158"/>
          </w:placeholder>
        </w:sdtPr>
        <w:sdtEndPr>
          <w:rPr>
            <w:rStyle w:val="NoSpacingChar"/>
            <w:b w:val="0"/>
          </w:rPr>
        </w:sdtEndPr>
        <w:sdtContent>
          <w:r w:rsidR="009D69A1">
            <w:rPr>
              <w:rStyle w:val="NoSpacingChar"/>
              <w:b/>
            </w:rPr>
            <w:t>Robert De Luca</w:t>
          </w:r>
        </w:sdtContent>
      </w:sdt>
    </w:p>
    <w:p w:rsidR="006F3528" w:rsidRDefault="009D69A1" w:rsidP="00234943">
      <w:r>
        <w:t>Chief Executive Officer</w:t>
      </w:r>
    </w:p>
    <w:p w:rsidR="004D1B91" w:rsidRDefault="009D69A1" w:rsidP="00234943">
      <w:r>
        <w:t>National Disability Insurance Agency</w:t>
      </w:r>
    </w:p>
    <w:p w:rsidR="006F3528" w:rsidRDefault="006F3528" w:rsidP="00234943"/>
    <w:p w:rsidR="009D69A1" w:rsidRDefault="009D69A1" w:rsidP="00234943">
      <w:pPr>
        <w:rPr>
          <w:rStyle w:val="BookTitle"/>
          <w:i w:val="0"/>
          <w:iCs w:val="0"/>
          <w:smallCaps w:val="0"/>
          <w:spacing w:val="0"/>
        </w:rPr>
      </w:pPr>
    </w:p>
    <w:p w:rsidR="002A4A28" w:rsidRDefault="002A4A28">
      <w:pPr>
        <w:rPr>
          <w:rFonts w:eastAsia="Calibri"/>
        </w:rPr>
      </w:pPr>
      <w:r>
        <w:rPr>
          <w:rFonts w:eastAsia="Calibri"/>
        </w:rPr>
        <w:br w:type="page"/>
      </w:r>
    </w:p>
    <w:p w:rsidR="009D69A1" w:rsidRPr="009D69A1" w:rsidRDefault="009D69A1" w:rsidP="009D69A1">
      <w:pPr>
        <w:rPr>
          <w:rFonts w:eastAsia="Calibri"/>
        </w:rPr>
      </w:pPr>
    </w:p>
    <w:p w:rsidR="00F3774C" w:rsidRDefault="00F3774C" w:rsidP="009D69A1">
      <w:pPr>
        <w:rPr>
          <w:b/>
          <w:color w:val="652F76"/>
          <w:sz w:val="72"/>
        </w:rPr>
      </w:pPr>
      <w:r>
        <w:rPr>
          <w:b/>
          <w:color w:val="652F76"/>
          <w:sz w:val="72"/>
        </w:rPr>
        <w:t>IPR Implementation</w:t>
      </w:r>
    </w:p>
    <w:p w:rsidR="00F3774C" w:rsidRDefault="00F3774C" w:rsidP="009D69A1">
      <w:pPr>
        <w:rPr>
          <w:rFonts w:eastAsia="Calibri"/>
        </w:rPr>
      </w:pPr>
    </w:p>
    <w:p w:rsidR="009D69A1" w:rsidRPr="009D69A1" w:rsidRDefault="009D69A1" w:rsidP="009D69A1">
      <w:pPr>
        <w:rPr>
          <w:rFonts w:eastAsia="Calibri"/>
        </w:rPr>
      </w:pPr>
      <w:r w:rsidRPr="009D69A1">
        <w:rPr>
          <w:rFonts w:eastAsia="Calibri"/>
        </w:rPr>
        <w:t xml:space="preserve">The NDIA </w:t>
      </w:r>
      <w:r w:rsidR="00FE1A51">
        <w:rPr>
          <w:rFonts w:eastAsia="Calibri"/>
        </w:rPr>
        <w:t>confirms that</w:t>
      </w:r>
      <w:r w:rsidRPr="009D69A1">
        <w:rPr>
          <w:rFonts w:eastAsia="Calibri"/>
        </w:rPr>
        <w:t xml:space="preserve"> the Independent Pricing Review (IPR) recommendations that will be implemented for 2018/19, t</w:t>
      </w:r>
      <w:r w:rsidR="00FE1A51">
        <w:rPr>
          <w:rFonts w:eastAsia="Calibri"/>
        </w:rPr>
        <w:t xml:space="preserve">aking </w:t>
      </w:r>
      <w:r w:rsidRPr="009D69A1">
        <w:rPr>
          <w:rFonts w:eastAsia="Calibri"/>
        </w:rPr>
        <w:t>effect on 1 July 201</w:t>
      </w:r>
      <w:r w:rsidR="00FE1A51">
        <w:rPr>
          <w:rFonts w:eastAsia="Calibri"/>
        </w:rPr>
        <w:t>8 are as follows:</w:t>
      </w:r>
    </w:p>
    <w:p w:rsidR="009D69A1" w:rsidRPr="009D69A1" w:rsidRDefault="009D69A1" w:rsidP="009D69A1">
      <w:pPr>
        <w:rPr>
          <w:rFonts w:eastAsia="Calibri"/>
        </w:rPr>
      </w:pP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4 - Regional Travel</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9 – High intensity loading for centre-based activities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10 - Short Term Accommodation</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14 - Temporary Support for Overheads (TSO)</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15 - Cancellation policy for core supports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16 - Group supports</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18 - Therapy Assistants (phase one)</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19 - Therapy travel (phase one)</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20 – Cancellation policy for therapy</w:t>
      </w:r>
    </w:p>
    <w:p w:rsidR="009D69A1" w:rsidRPr="009D69A1" w:rsidRDefault="009D69A1" w:rsidP="009D69A1">
      <w:pPr>
        <w:numPr>
          <w:ilvl w:val="0"/>
          <w:numId w:val="1"/>
        </w:numPr>
        <w:spacing w:after="120" w:line="276" w:lineRule="auto"/>
        <w:contextualSpacing/>
        <w:rPr>
          <w:rFonts w:eastAsia="Calibri"/>
          <w:color w:val="000000"/>
        </w:rPr>
      </w:pPr>
      <w:r w:rsidRPr="009D69A1">
        <w:rPr>
          <w:rFonts w:eastAsia="Calibri"/>
          <w:color w:val="000000"/>
        </w:rPr>
        <w:t>21 – Reports requested by the NDIA</w:t>
      </w:r>
    </w:p>
    <w:p w:rsidR="009D69A1" w:rsidRPr="009D69A1" w:rsidRDefault="009D69A1" w:rsidP="009D69A1">
      <w:pPr>
        <w:spacing w:after="120"/>
        <w:rPr>
          <w:rFonts w:eastAsia="Calibri"/>
        </w:rPr>
      </w:pPr>
    </w:p>
    <w:p w:rsidR="009D69A1" w:rsidRPr="009D69A1" w:rsidRDefault="009D69A1" w:rsidP="009D69A1">
      <w:pPr>
        <w:spacing w:after="120"/>
        <w:rPr>
          <w:rFonts w:eastAsia="Calibri"/>
        </w:rPr>
      </w:pPr>
      <w:r w:rsidRPr="009D69A1">
        <w:rPr>
          <w:rFonts w:eastAsia="Calibri"/>
        </w:rPr>
        <w:t xml:space="preserve">Full details of these changes </w:t>
      </w:r>
      <w:r w:rsidR="00BC305C">
        <w:rPr>
          <w:rFonts w:eastAsia="Calibri"/>
        </w:rPr>
        <w:t xml:space="preserve">are available in the link to the </w:t>
      </w:r>
      <w:r w:rsidRPr="009D69A1">
        <w:rPr>
          <w:rFonts w:eastAsia="Calibri"/>
        </w:rPr>
        <w:t>2018-19 NDIS Price Guide.  Key changes, to take effect on 1 July 2018, include the following:</w:t>
      </w:r>
    </w:p>
    <w:p w:rsidR="009D69A1" w:rsidRPr="009D69A1" w:rsidRDefault="009D69A1" w:rsidP="009D69A1">
      <w:pPr>
        <w:numPr>
          <w:ilvl w:val="0"/>
          <w:numId w:val="2"/>
        </w:numPr>
        <w:spacing w:after="120" w:line="254" w:lineRule="auto"/>
        <w:rPr>
          <w:rFonts w:eastAsia="Calibri"/>
        </w:rPr>
      </w:pPr>
      <w:r w:rsidRPr="009D69A1">
        <w:rPr>
          <w:rFonts w:eastAsia="Calibri"/>
        </w:rPr>
        <w:t xml:space="preserve">A TSO loading of 2.5 per cent will be applied to all standard intensity attendant care price limits in the 2018-19 Price Guide. </w:t>
      </w:r>
    </w:p>
    <w:p w:rsidR="009D69A1" w:rsidRPr="009D69A1" w:rsidRDefault="009D69A1" w:rsidP="009D69A1">
      <w:pPr>
        <w:numPr>
          <w:ilvl w:val="1"/>
          <w:numId w:val="2"/>
        </w:numPr>
        <w:spacing w:after="120" w:line="254" w:lineRule="auto"/>
        <w:rPr>
          <w:rFonts w:eastAsia="Calibri"/>
        </w:rPr>
      </w:pPr>
      <w:r w:rsidRPr="009D69A1">
        <w:rPr>
          <w:rFonts w:eastAsia="Calibri"/>
        </w:rPr>
        <w:t xml:space="preserve">This measure will provide temporary financial relief for providers as they transition to the NDIS funding </w:t>
      </w:r>
      <w:r w:rsidR="00105211">
        <w:rPr>
          <w:rFonts w:eastAsia="Calibri"/>
        </w:rPr>
        <w:t>approach of individualised participant packages</w:t>
      </w:r>
      <w:r w:rsidRPr="009D69A1">
        <w:rPr>
          <w:rFonts w:eastAsia="Calibri"/>
        </w:rPr>
        <w:t xml:space="preserve">. </w:t>
      </w:r>
    </w:p>
    <w:p w:rsidR="009D69A1" w:rsidRPr="009D69A1" w:rsidRDefault="009D69A1" w:rsidP="009D69A1">
      <w:pPr>
        <w:numPr>
          <w:ilvl w:val="1"/>
          <w:numId w:val="2"/>
        </w:numPr>
        <w:spacing w:after="120" w:line="254" w:lineRule="auto"/>
        <w:rPr>
          <w:rFonts w:eastAsia="Calibri"/>
        </w:rPr>
      </w:pPr>
      <w:r w:rsidRPr="009D69A1">
        <w:rPr>
          <w:rFonts w:eastAsia="Calibri"/>
        </w:rPr>
        <w:t xml:space="preserve">Half of this loading </w:t>
      </w:r>
      <w:r w:rsidR="00105211">
        <w:rPr>
          <w:rFonts w:eastAsia="Calibri"/>
        </w:rPr>
        <w:t xml:space="preserve">(1.25%) </w:t>
      </w:r>
      <w:r w:rsidRPr="009D69A1">
        <w:rPr>
          <w:rFonts w:eastAsia="Calibri"/>
        </w:rPr>
        <w:t>will remain in place during 2019-20.</w:t>
      </w:r>
    </w:p>
    <w:p w:rsidR="009D69A1" w:rsidRPr="009D69A1" w:rsidRDefault="009D69A1" w:rsidP="009D69A1">
      <w:pPr>
        <w:numPr>
          <w:ilvl w:val="1"/>
          <w:numId w:val="2"/>
        </w:numPr>
        <w:spacing w:after="120" w:line="254" w:lineRule="auto"/>
        <w:rPr>
          <w:rFonts w:eastAsia="Calibri"/>
        </w:rPr>
      </w:pPr>
      <w:r w:rsidRPr="009D69A1">
        <w:rPr>
          <w:rFonts w:eastAsia="Calibri"/>
        </w:rPr>
        <w:t>The loading will be removed in 2020-21</w:t>
      </w:r>
      <w:r w:rsidR="005863BA">
        <w:rPr>
          <w:rFonts w:eastAsia="Calibri"/>
        </w:rPr>
        <w:t>, as an adjustment to the annual price review.</w:t>
      </w:r>
    </w:p>
    <w:p w:rsidR="009D69A1" w:rsidRPr="009D69A1" w:rsidRDefault="009D69A1" w:rsidP="009D69A1">
      <w:pPr>
        <w:numPr>
          <w:ilvl w:val="1"/>
          <w:numId w:val="2"/>
        </w:numPr>
        <w:spacing w:after="120" w:line="254" w:lineRule="auto"/>
        <w:rPr>
          <w:rFonts w:eastAsia="Calibri"/>
        </w:rPr>
      </w:pPr>
      <w:r w:rsidRPr="009D69A1">
        <w:rPr>
          <w:rFonts w:eastAsia="Calibri"/>
        </w:rPr>
        <w:t>While the TSO loading is in place, the NDIA will continue to work on pathway initiatives that will provide ongoing cost reductions and a</w:t>
      </w:r>
      <w:r w:rsidR="005863BA">
        <w:rPr>
          <w:rFonts w:eastAsia="Calibri"/>
        </w:rPr>
        <w:t xml:space="preserve">n improved and easier </w:t>
      </w:r>
      <w:r w:rsidRPr="009D69A1">
        <w:rPr>
          <w:rFonts w:eastAsia="Calibri"/>
        </w:rPr>
        <w:t>experience for disability support providers</w:t>
      </w:r>
      <w:r w:rsidR="005863BA">
        <w:rPr>
          <w:rFonts w:eastAsia="Calibri"/>
        </w:rPr>
        <w:t>.</w:t>
      </w:r>
      <w:r w:rsidRPr="009D69A1">
        <w:rPr>
          <w:rFonts w:eastAsia="Calibri"/>
        </w:rPr>
        <w:t>.</w:t>
      </w:r>
      <w:r w:rsidR="00105211">
        <w:rPr>
          <w:rFonts w:eastAsia="Calibri"/>
        </w:rPr>
        <w:t xml:space="preserve"> I</w:t>
      </w:r>
      <w:r w:rsidRPr="009D69A1">
        <w:rPr>
          <w:rFonts w:eastAsia="Calibri"/>
        </w:rPr>
        <w:t xml:space="preserve">nitiatives </w:t>
      </w:r>
      <w:r w:rsidR="00105211">
        <w:rPr>
          <w:rFonts w:eastAsia="Calibri"/>
        </w:rPr>
        <w:t xml:space="preserve">already underway or completed </w:t>
      </w:r>
      <w:r w:rsidRPr="009D69A1">
        <w:rPr>
          <w:rFonts w:eastAsia="Calibri"/>
        </w:rPr>
        <w:t>include improvements to the provider portal, provider payments systems, and helpful tools such as the provider finder.</w:t>
      </w:r>
    </w:p>
    <w:p w:rsidR="009D69A1" w:rsidRPr="009D69A1" w:rsidRDefault="009D69A1" w:rsidP="009D69A1">
      <w:pPr>
        <w:rPr>
          <w:rFonts w:ascii="Calibri" w:eastAsia="Calibri" w:hAnsi="Calibri" w:cs="Times New Roman"/>
        </w:rPr>
      </w:pPr>
    </w:p>
    <w:tbl>
      <w:tblPr>
        <w:tblStyle w:val="TableGrid1"/>
        <w:tblW w:w="0" w:type="auto"/>
        <w:tblLook w:val="04A0" w:firstRow="1" w:lastRow="0" w:firstColumn="1" w:lastColumn="0" w:noHBand="0" w:noVBand="1"/>
      </w:tblPr>
      <w:tblGrid>
        <w:gridCol w:w="3256"/>
        <w:gridCol w:w="1920"/>
        <w:gridCol w:w="1920"/>
        <w:gridCol w:w="1920"/>
      </w:tblGrid>
      <w:tr w:rsidR="009D69A1" w:rsidRPr="009D69A1" w:rsidTr="009D69A1">
        <w:tc>
          <w:tcPr>
            <w:tcW w:w="3256" w:type="dxa"/>
            <w:vAlign w:val="bottom"/>
          </w:tcPr>
          <w:p w:rsidR="009D69A1" w:rsidRPr="009D69A1" w:rsidRDefault="009D69A1" w:rsidP="009D69A1">
            <w:pPr>
              <w:spacing w:before="120" w:after="120"/>
              <w:rPr>
                <w:b/>
                <w:color w:val="000000"/>
                <w:sz w:val="20"/>
                <w:szCs w:val="20"/>
              </w:rPr>
            </w:pPr>
            <w:r w:rsidRPr="009D69A1">
              <w:rPr>
                <w:b/>
                <w:color w:val="000000"/>
                <w:sz w:val="20"/>
                <w:szCs w:val="20"/>
              </w:rPr>
              <w:t>Standard needs attendant care price limit per hour</w:t>
            </w:r>
          </w:p>
        </w:tc>
        <w:tc>
          <w:tcPr>
            <w:tcW w:w="1920" w:type="dxa"/>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Without TSO</w:t>
            </w:r>
          </w:p>
        </w:tc>
        <w:tc>
          <w:tcPr>
            <w:tcW w:w="1920" w:type="dxa"/>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TSO for 12 months</w:t>
            </w:r>
          </w:p>
        </w:tc>
        <w:tc>
          <w:tcPr>
            <w:tcW w:w="1920" w:type="dxa"/>
            <w:shd w:val="clear" w:color="auto" w:fill="DBDBDB"/>
            <w:vAlign w:val="bottom"/>
          </w:tcPr>
          <w:p w:rsidR="009D69A1" w:rsidRPr="009D69A1" w:rsidRDefault="009D69A1" w:rsidP="009D69A1">
            <w:pPr>
              <w:spacing w:before="120" w:after="120"/>
              <w:jc w:val="center"/>
              <w:rPr>
                <w:b/>
                <w:color w:val="000000"/>
                <w:sz w:val="20"/>
                <w:szCs w:val="20"/>
              </w:rPr>
            </w:pPr>
            <w:r w:rsidRPr="009D69A1">
              <w:rPr>
                <w:b/>
                <w:color w:val="000000"/>
                <w:sz w:val="20"/>
                <w:szCs w:val="20"/>
              </w:rPr>
              <w:t>Decision - extended TSO</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 xml:space="preserve">2017/18 </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c>
          <w:tcPr>
            <w:tcW w:w="1920" w:type="dxa"/>
            <w:shd w:val="clear" w:color="auto" w:fill="DBDBDB"/>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$44.72</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2018/19</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$47.02</w:t>
            </w:r>
          </w:p>
        </w:tc>
        <w:tc>
          <w:tcPr>
            <w:tcW w:w="1920" w:type="dxa"/>
            <w:vAlign w:val="bottom"/>
          </w:tcPr>
          <w:p w:rsidR="009D69A1" w:rsidRPr="009D69A1" w:rsidRDefault="002F0956" w:rsidP="009D69A1">
            <w:pPr>
              <w:spacing w:before="120" w:after="120"/>
              <w:jc w:val="center"/>
              <w:rPr>
                <w:color w:val="000000"/>
                <w:sz w:val="20"/>
                <w:szCs w:val="20"/>
              </w:rPr>
            </w:pPr>
            <w:r>
              <w:rPr>
                <w:color w:val="000000"/>
                <w:sz w:val="20"/>
                <w:szCs w:val="20"/>
              </w:rPr>
              <w:t>$48.14</w:t>
            </w:r>
          </w:p>
        </w:tc>
        <w:tc>
          <w:tcPr>
            <w:tcW w:w="1920" w:type="dxa"/>
            <w:shd w:val="clear" w:color="auto" w:fill="DBDBDB"/>
            <w:vAlign w:val="bottom"/>
          </w:tcPr>
          <w:p w:rsidR="009D69A1" w:rsidRPr="009D69A1" w:rsidRDefault="002F0956" w:rsidP="009D69A1">
            <w:pPr>
              <w:spacing w:before="120" w:after="120"/>
              <w:jc w:val="center"/>
              <w:rPr>
                <w:color w:val="000000"/>
                <w:sz w:val="20"/>
                <w:szCs w:val="20"/>
              </w:rPr>
            </w:pPr>
            <w:r>
              <w:rPr>
                <w:color w:val="000000"/>
                <w:sz w:val="20"/>
                <w:szCs w:val="20"/>
              </w:rPr>
              <w:t>$48.14</w:t>
            </w:r>
          </w:p>
        </w:tc>
      </w:tr>
      <w:tr w:rsidR="009D69A1" w:rsidRPr="009D69A1" w:rsidTr="009D69A1">
        <w:tc>
          <w:tcPr>
            <w:tcW w:w="3256" w:type="dxa"/>
            <w:vAlign w:val="bottom"/>
          </w:tcPr>
          <w:p w:rsidR="009D69A1" w:rsidRPr="009D69A1" w:rsidRDefault="009D69A1" w:rsidP="009D69A1">
            <w:pPr>
              <w:spacing w:before="120" w:after="120"/>
              <w:rPr>
                <w:color w:val="000000"/>
                <w:sz w:val="20"/>
                <w:szCs w:val="20"/>
              </w:rPr>
            </w:pPr>
            <w:r w:rsidRPr="009D69A1">
              <w:rPr>
                <w:color w:val="000000"/>
                <w:sz w:val="20"/>
                <w:szCs w:val="20"/>
              </w:rPr>
              <w:t>2019/20*</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$49.44</w:t>
            </w:r>
          </w:p>
        </w:tc>
        <w:tc>
          <w:tcPr>
            <w:tcW w:w="1920" w:type="dxa"/>
            <w:vAlign w:val="bottom"/>
          </w:tcPr>
          <w:p w:rsidR="009D69A1" w:rsidRPr="009D69A1" w:rsidRDefault="009D69A1" w:rsidP="009D69A1">
            <w:pPr>
              <w:spacing w:before="120" w:after="120"/>
              <w:jc w:val="center"/>
              <w:rPr>
                <w:color w:val="000000"/>
                <w:sz w:val="20"/>
                <w:szCs w:val="20"/>
              </w:rPr>
            </w:pPr>
            <w:r w:rsidRPr="009D69A1">
              <w:rPr>
                <w:color w:val="000000"/>
                <w:sz w:val="20"/>
                <w:szCs w:val="20"/>
              </w:rPr>
              <w:t>$49.44</w:t>
            </w:r>
          </w:p>
        </w:tc>
        <w:tc>
          <w:tcPr>
            <w:tcW w:w="1920" w:type="dxa"/>
            <w:shd w:val="clear" w:color="auto" w:fill="DBDBDB"/>
            <w:vAlign w:val="bottom"/>
          </w:tcPr>
          <w:p w:rsidR="009D69A1" w:rsidRPr="009D69A1" w:rsidRDefault="002F0956" w:rsidP="009D69A1">
            <w:pPr>
              <w:spacing w:before="120" w:after="120"/>
              <w:jc w:val="center"/>
              <w:rPr>
                <w:color w:val="000000"/>
                <w:sz w:val="20"/>
                <w:szCs w:val="20"/>
              </w:rPr>
            </w:pPr>
            <w:r>
              <w:rPr>
                <w:color w:val="000000"/>
                <w:sz w:val="20"/>
                <w:szCs w:val="20"/>
              </w:rPr>
              <w:t>$50.02</w:t>
            </w:r>
          </w:p>
        </w:tc>
      </w:tr>
    </w:tbl>
    <w:p w:rsidR="009D69A1" w:rsidRPr="009D69A1" w:rsidRDefault="009D69A1" w:rsidP="009D69A1">
      <w:pPr>
        <w:spacing w:after="160" w:line="259" w:lineRule="auto"/>
        <w:ind w:left="720"/>
        <w:jc w:val="both"/>
        <w:rPr>
          <w:rFonts w:ascii="Calibri" w:eastAsia="Calibri" w:hAnsi="Calibri" w:cs="Times New Roman"/>
        </w:rPr>
      </w:pPr>
      <w:r w:rsidRPr="009D69A1">
        <w:rPr>
          <w:rFonts w:ascii="Calibri" w:eastAsia="Calibri" w:hAnsi="Calibri" w:cs="Times New Roman"/>
        </w:rPr>
        <w:t>*The</w:t>
      </w:r>
      <w:r w:rsidR="00AC2385">
        <w:rPr>
          <w:rFonts w:ascii="Calibri" w:eastAsia="Calibri" w:hAnsi="Calibri" w:cs="Times New Roman"/>
        </w:rPr>
        <w:t xml:space="preserve"> 2019/20</w:t>
      </w:r>
      <w:r w:rsidRPr="009D69A1">
        <w:rPr>
          <w:rFonts w:ascii="Calibri" w:eastAsia="Calibri" w:hAnsi="Calibri" w:cs="Times New Roman"/>
        </w:rPr>
        <w:t xml:space="preserve"> figures are projections only, assuming a 3.5% growth in Modern Award wage levels on 1 July 2019.</w:t>
      </w:r>
    </w:p>
    <w:p w:rsidR="009D69A1" w:rsidRPr="009D69A1" w:rsidRDefault="009D69A1" w:rsidP="002707E7">
      <w:pPr>
        <w:spacing w:after="120" w:line="254" w:lineRule="auto"/>
        <w:ind w:left="1440"/>
        <w:rPr>
          <w:rFonts w:eastAsia="Calibri"/>
        </w:rPr>
      </w:pPr>
    </w:p>
    <w:p w:rsidR="009D69A1" w:rsidRDefault="009D69A1" w:rsidP="009D69A1">
      <w:pPr>
        <w:numPr>
          <w:ilvl w:val="0"/>
          <w:numId w:val="2"/>
        </w:numPr>
        <w:spacing w:after="120" w:line="254" w:lineRule="auto"/>
        <w:rPr>
          <w:rFonts w:eastAsia="Calibri"/>
        </w:rPr>
      </w:pPr>
      <w:r w:rsidRPr="009D69A1">
        <w:rPr>
          <w:rFonts w:eastAsia="Calibri"/>
        </w:rPr>
        <w:lastRenderedPageBreak/>
        <w:t xml:space="preserve">As in previous years, price limit increases for attendant care take full account of growth in wages under the </w:t>
      </w:r>
      <w:r w:rsidRPr="009D69A1">
        <w:rPr>
          <w:rFonts w:eastAsia="Calibri"/>
          <w:i/>
        </w:rPr>
        <w:t xml:space="preserve">Social, Community, Home Care and Disability Services Industry </w:t>
      </w:r>
      <w:r w:rsidR="002707E7">
        <w:rPr>
          <w:rFonts w:eastAsia="Calibri"/>
          <w:i/>
        </w:rPr>
        <w:t xml:space="preserve">(SCHADS) </w:t>
      </w:r>
      <w:r w:rsidRPr="009D69A1">
        <w:rPr>
          <w:rFonts w:eastAsia="Calibri"/>
          <w:i/>
        </w:rPr>
        <w:t>Award</w:t>
      </w:r>
      <w:r w:rsidR="00AC2385">
        <w:rPr>
          <w:rFonts w:eastAsia="Calibri"/>
        </w:rPr>
        <w:t xml:space="preserve"> as well as the </w:t>
      </w:r>
      <w:r w:rsidRPr="009D69A1">
        <w:rPr>
          <w:rFonts w:eastAsia="Calibri"/>
        </w:rPr>
        <w:t>Equal Remuneration Order (ERO) by Fair Work Australia</w:t>
      </w:r>
      <w:r w:rsidR="00AC2385">
        <w:rPr>
          <w:rFonts w:eastAsia="Calibri"/>
        </w:rPr>
        <w:t>.  This results in the following adjustments</w:t>
      </w:r>
      <w:r w:rsidRPr="009D69A1">
        <w:rPr>
          <w:rFonts w:eastAsia="Calibri"/>
        </w:rPr>
        <w:t>.</w:t>
      </w:r>
    </w:p>
    <w:tbl>
      <w:tblPr>
        <w:tblStyle w:val="TableGrid"/>
        <w:tblW w:w="0" w:type="auto"/>
        <w:tblInd w:w="720" w:type="dxa"/>
        <w:tblLook w:val="04A0" w:firstRow="1" w:lastRow="0" w:firstColumn="1" w:lastColumn="0" w:noHBand="0" w:noVBand="1"/>
      </w:tblPr>
      <w:tblGrid>
        <w:gridCol w:w="4237"/>
        <w:gridCol w:w="2029"/>
        <w:gridCol w:w="2030"/>
      </w:tblGrid>
      <w:tr w:rsidR="005366EF" w:rsidTr="005366EF">
        <w:tc>
          <w:tcPr>
            <w:tcW w:w="4237" w:type="dxa"/>
            <w:vAlign w:val="center"/>
          </w:tcPr>
          <w:p w:rsidR="005366EF" w:rsidRDefault="005366EF" w:rsidP="005366EF">
            <w:pPr>
              <w:spacing w:before="60" w:after="60"/>
              <w:rPr>
                <w:rFonts w:ascii="Times New Roman" w:hAnsi="Times New Roman" w:cs="Times New Roman"/>
              </w:rPr>
            </w:pPr>
          </w:p>
        </w:tc>
        <w:tc>
          <w:tcPr>
            <w:tcW w:w="2029" w:type="dxa"/>
            <w:vAlign w:val="center"/>
          </w:tcPr>
          <w:p w:rsidR="005366EF" w:rsidRPr="005366EF" w:rsidRDefault="005366EF" w:rsidP="005366EF">
            <w:pPr>
              <w:spacing w:before="60" w:after="60"/>
              <w:jc w:val="center"/>
              <w:rPr>
                <w:rFonts w:ascii="Calibri" w:hAnsi="Calibri"/>
                <w:b/>
                <w:color w:val="000000"/>
              </w:rPr>
            </w:pPr>
            <w:r w:rsidRPr="005366EF">
              <w:rPr>
                <w:rFonts w:ascii="Calibri" w:hAnsi="Calibri"/>
                <w:b/>
                <w:color w:val="000000"/>
              </w:rPr>
              <w:t>Component</w:t>
            </w:r>
          </w:p>
        </w:tc>
        <w:tc>
          <w:tcPr>
            <w:tcW w:w="2030" w:type="dxa"/>
            <w:vAlign w:val="center"/>
          </w:tcPr>
          <w:p w:rsidR="005366EF" w:rsidRPr="005366EF" w:rsidRDefault="005366EF" w:rsidP="005366EF">
            <w:pPr>
              <w:spacing w:before="60" w:after="60"/>
              <w:jc w:val="center"/>
              <w:rPr>
                <w:rFonts w:ascii="Calibri" w:hAnsi="Calibri"/>
                <w:b/>
                <w:color w:val="000000"/>
              </w:rPr>
            </w:pPr>
            <w:r w:rsidRPr="005366EF">
              <w:rPr>
                <w:rFonts w:ascii="Calibri" w:hAnsi="Calibri"/>
                <w:b/>
                <w:color w:val="000000"/>
              </w:rPr>
              <w:t>Cumulative</w:t>
            </w: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ERO 1 December 2017</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2.27%</w:t>
            </w:r>
          </w:p>
        </w:tc>
        <w:tc>
          <w:tcPr>
            <w:tcW w:w="2030" w:type="dxa"/>
            <w:vAlign w:val="center"/>
          </w:tcPr>
          <w:p w:rsidR="005366EF" w:rsidRDefault="005366EF" w:rsidP="005366EF">
            <w:pPr>
              <w:spacing w:before="60" w:after="60"/>
              <w:jc w:val="center"/>
              <w:rPr>
                <w:rFonts w:ascii="Calibri" w:hAnsi="Calibri"/>
                <w:color w:val="000000"/>
              </w:rPr>
            </w:pP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SCHADS wage growth 1 July 2018</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3.50%</w:t>
            </w:r>
          </w:p>
        </w:tc>
        <w:tc>
          <w:tcPr>
            <w:tcW w:w="2030" w:type="dxa"/>
            <w:vAlign w:val="center"/>
          </w:tcPr>
          <w:p w:rsidR="005366EF" w:rsidRDefault="005366EF" w:rsidP="005366EF">
            <w:pPr>
              <w:spacing w:before="60" w:after="60"/>
              <w:jc w:val="center"/>
              <w:rPr>
                <w:rFonts w:ascii="Calibri" w:hAnsi="Calibri"/>
                <w:color w:val="000000"/>
              </w:rPr>
            </w:pPr>
            <w:r>
              <w:rPr>
                <w:rFonts w:ascii="Calibri" w:hAnsi="Calibri"/>
                <w:color w:val="000000"/>
              </w:rPr>
              <w:t>5.14%*</w:t>
            </w:r>
          </w:p>
        </w:tc>
      </w:tr>
      <w:tr w:rsidR="005366EF" w:rsidTr="005366EF">
        <w:tc>
          <w:tcPr>
            <w:tcW w:w="4237" w:type="dxa"/>
            <w:vAlign w:val="center"/>
          </w:tcPr>
          <w:p w:rsidR="005366EF" w:rsidRDefault="005366EF" w:rsidP="005366EF">
            <w:pPr>
              <w:spacing w:before="60" w:after="60"/>
              <w:rPr>
                <w:rFonts w:ascii="Calibri" w:hAnsi="Calibri"/>
                <w:color w:val="000000"/>
              </w:rPr>
            </w:pPr>
            <w:r>
              <w:rPr>
                <w:rFonts w:ascii="Calibri" w:hAnsi="Calibri"/>
                <w:color w:val="000000"/>
              </w:rPr>
              <w:t xml:space="preserve">TSO (applies to </w:t>
            </w:r>
            <w:r w:rsidRPr="005366EF">
              <w:rPr>
                <w:rFonts w:ascii="Calibri" w:hAnsi="Calibri"/>
                <w:color w:val="000000"/>
              </w:rPr>
              <w:t>standard intensity</w:t>
            </w:r>
            <w:r>
              <w:rPr>
                <w:rFonts w:ascii="Calibri" w:hAnsi="Calibri"/>
                <w:color w:val="000000"/>
              </w:rPr>
              <w:t xml:space="preserve"> supports)</w:t>
            </w:r>
          </w:p>
        </w:tc>
        <w:tc>
          <w:tcPr>
            <w:tcW w:w="2029" w:type="dxa"/>
            <w:vAlign w:val="center"/>
          </w:tcPr>
          <w:p w:rsidR="005366EF" w:rsidRDefault="005366EF" w:rsidP="005366EF">
            <w:pPr>
              <w:spacing w:before="60" w:after="60"/>
              <w:jc w:val="center"/>
              <w:rPr>
                <w:rFonts w:ascii="Calibri" w:hAnsi="Calibri"/>
                <w:color w:val="000000"/>
              </w:rPr>
            </w:pPr>
            <w:r>
              <w:rPr>
                <w:rFonts w:ascii="Calibri" w:hAnsi="Calibri"/>
                <w:color w:val="000000"/>
              </w:rPr>
              <w:t>2.50%</w:t>
            </w:r>
          </w:p>
        </w:tc>
        <w:tc>
          <w:tcPr>
            <w:tcW w:w="2030" w:type="dxa"/>
            <w:vAlign w:val="center"/>
          </w:tcPr>
          <w:p w:rsidR="005366EF" w:rsidRDefault="005366EF" w:rsidP="005366EF">
            <w:pPr>
              <w:spacing w:before="60" w:after="60"/>
              <w:jc w:val="center"/>
              <w:rPr>
                <w:rFonts w:ascii="Calibri" w:hAnsi="Calibri"/>
                <w:color w:val="000000"/>
              </w:rPr>
            </w:pPr>
            <w:r>
              <w:rPr>
                <w:rFonts w:ascii="Calibri" w:hAnsi="Calibri"/>
                <w:color w:val="000000"/>
              </w:rPr>
              <w:t>7.64%</w:t>
            </w:r>
          </w:p>
        </w:tc>
      </w:tr>
    </w:tbl>
    <w:p w:rsidR="005366EF" w:rsidRPr="005366EF" w:rsidRDefault="005366EF" w:rsidP="005366EF">
      <w:pPr>
        <w:spacing w:before="120" w:after="120" w:line="254" w:lineRule="auto"/>
        <w:ind w:left="720"/>
        <w:rPr>
          <w:rFonts w:eastAsia="Calibri"/>
          <w:sz w:val="18"/>
        </w:rPr>
      </w:pPr>
      <w:r w:rsidRPr="005366EF">
        <w:rPr>
          <w:rFonts w:eastAsia="Calibri"/>
          <w:sz w:val="18"/>
        </w:rPr>
        <w:t xml:space="preserve">* </w:t>
      </w:r>
      <w:r w:rsidR="00C970CC">
        <w:rPr>
          <w:rFonts w:eastAsia="Calibri"/>
          <w:sz w:val="18"/>
        </w:rPr>
        <w:t>See Appendix A for further detail.</w:t>
      </w:r>
    </w:p>
    <w:p w:rsidR="002707E7" w:rsidRPr="009D69A1" w:rsidRDefault="002707E7" w:rsidP="002707E7">
      <w:pPr>
        <w:keepNext/>
        <w:numPr>
          <w:ilvl w:val="0"/>
          <w:numId w:val="2"/>
        </w:numPr>
        <w:spacing w:after="120" w:line="254" w:lineRule="auto"/>
        <w:ind w:left="714" w:hanging="357"/>
        <w:rPr>
          <w:rFonts w:eastAsia="Calibri"/>
        </w:rPr>
      </w:pPr>
      <w:r w:rsidRPr="009D69A1">
        <w:rPr>
          <w:rFonts w:eastAsia="Calibri"/>
        </w:rPr>
        <w:t>Combined with annual ‘indexation’ adjustments to account for growth in provider costs, this means that price limits will increase in 2018/19 by:</w:t>
      </w:r>
    </w:p>
    <w:p w:rsidR="002707E7" w:rsidRPr="009D69A1" w:rsidRDefault="002707E7" w:rsidP="002707E7">
      <w:pPr>
        <w:numPr>
          <w:ilvl w:val="1"/>
          <w:numId w:val="2"/>
        </w:numPr>
        <w:spacing w:after="120" w:line="254" w:lineRule="auto"/>
        <w:rPr>
          <w:rFonts w:eastAsia="Calibri"/>
        </w:rPr>
      </w:pPr>
      <w:r w:rsidRPr="009D69A1">
        <w:rPr>
          <w:rFonts w:eastAsia="Calibri"/>
        </w:rPr>
        <w:t>7.64% for standard intensity attendant care supports</w:t>
      </w:r>
      <w:r>
        <w:rPr>
          <w:rFonts w:eastAsia="Calibri"/>
        </w:rPr>
        <w:t xml:space="preserve"> (including TSO)</w:t>
      </w:r>
      <w:r w:rsidRPr="009D69A1">
        <w:rPr>
          <w:rFonts w:eastAsia="Calibri"/>
        </w:rPr>
        <w:t>,</w:t>
      </w:r>
    </w:p>
    <w:p w:rsidR="002707E7" w:rsidRPr="009D69A1" w:rsidRDefault="002707E7" w:rsidP="002707E7">
      <w:pPr>
        <w:numPr>
          <w:ilvl w:val="1"/>
          <w:numId w:val="2"/>
        </w:numPr>
        <w:spacing w:after="120" w:line="254" w:lineRule="auto"/>
        <w:rPr>
          <w:rFonts w:eastAsia="Calibri"/>
        </w:rPr>
      </w:pPr>
      <w:r w:rsidRPr="009D69A1">
        <w:rPr>
          <w:rFonts w:eastAsia="Calibri"/>
        </w:rPr>
        <w:t>5.14% for high intensity attendant care supports</w:t>
      </w:r>
      <w:r>
        <w:rPr>
          <w:rFonts w:eastAsia="Calibri"/>
        </w:rPr>
        <w:t xml:space="preserve"> (</w:t>
      </w:r>
      <w:r w:rsidRPr="00455CC1">
        <w:rPr>
          <w:rFonts w:eastAsia="Calibri"/>
        </w:rPr>
        <w:t>TSO does not apply</w:t>
      </w:r>
      <w:r w:rsidR="00455CC1">
        <w:rPr>
          <w:rFonts w:eastAsia="Calibri"/>
        </w:rPr>
        <w:t xml:space="preserve"> – see Appendix A</w:t>
      </w:r>
      <w:r>
        <w:rPr>
          <w:rFonts w:eastAsia="Calibri"/>
        </w:rPr>
        <w:t>)</w:t>
      </w:r>
      <w:r w:rsidRPr="009D69A1">
        <w:rPr>
          <w:rFonts w:eastAsia="Calibri"/>
        </w:rPr>
        <w:t>, and</w:t>
      </w:r>
    </w:p>
    <w:p w:rsidR="002707E7" w:rsidRDefault="002707E7" w:rsidP="002707E7">
      <w:pPr>
        <w:numPr>
          <w:ilvl w:val="1"/>
          <w:numId w:val="2"/>
        </w:numPr>
        <w:spacing w:after="120" w:line="254" w:lineRule="auto"/>
        <w:rPr>
          <w:rFonts w:eastAsia="Calibri"/>
        </w:rPr>
      </w:pPr>
      <w:r w:rsidRPr="009D69A1">
        <w:rPr>
          <w:rFonts w:eastAsia="Calibri"/>
        </w:rPr>
        <w:t>2.1% for capacity-building supports, including therapy</w:t>
      </w:r>
      <w:r>
        <w:rPr>
          <w:rFonts w:eastAsia="Calibri"/>
        </w:rPr>
        <w:t>, based on growth in the national Wage Price Index (these supports are delivered by highly skilled workers, for whom the SCHADS award is not an appropriate reference)</w:t>
      </w:r>
      <w:r w:rsidRPr="009D69A1">
        <w:rPr>
          <w:rFonts w:eastAsia="Calibri"/>
        </w:rPr>
        <w:t>.</w:t>
      </w:r>
    </w:p>
    <w:p w:rsidR="009D69A1" w:rsidRPr="009D69A1" w:rsidRDefault="009D69A1" w:rsidP="002707E7">
      <w:pPr>
        <w:numPr>
          <w:ilvl w:val="0"/>
          <w:numId w:val="2"/>
        </w:numPr>
        <w:spacing w:after="120" w:line="254" w:lineRule="auto"/>
        <w:rPr>
          <w:rFonts w:eastAsia="Calibri"/>
        </w:rPr>
      </w:pPr>
      <w:r w:rsidRPr="009D69A1">
        <w:rPr>
          <w:rFonts w:eastAsia="Calibri"/>
        </w:rPr>
        <w:t>Based on provider feedback, a new price limit will be added for Short Term Accommodation (STA) to allow for a 1:3 support worker to participant ratio. The new limit will be consistent with existing STA price limits, and will provide more flexibility to providers and participants in making support arrangements.</w:t>
      </w:r>
    </w:p>
    <w:p w:rsidR="009D69A1" w:rsidRPr="009D69A1" w:rsidRDefault="009D69A1" w:rsidP="009D69A1">
      <w:pPr>
        <w:numPr>
          <w:ilvl w:val="0"/>
          <w:numId w:val="2"/>
        </w:numPr>
        <w:spacing w:after="120" w:line="254" w:lineRule="auto"/>
        <w:rPr>
          <w:rFonts w:eastAsia="Calibri"/>
        </w:rPr>
      </w:pPr>
      <w:r w:rsidRPr="009D69A1">
        <w:rPr>
          <w:rFonts w:eastAsia="Calibri"/>
        </w:rPr>
        <w:t>Providers will be able to charge 90 per cent of the service booking price for short notice cancellations, up to a maximum of 12 cancellations per year for core supports and 6 hours per year for therapy.</w:t>
      </w:r>
    </w:p>
    <w:p w:rsidR="009D69A1" w:rsidRPr="009D69A1" w:rsidRDefault="009D69A1" w:rsidP="009D69A1">
      <w:pPr>
        <w:numPr>
          <w:ilvl w:val="0"/>
          <w:numId w:val="2"/>
        </w:numPr>
        <w:spacing w:after="120" w:line="254" w:lineRule="auto"/>
        <w:rPr>
          <w:rFonts w:eastAsia="Calibri"/>
        </w:rPr>
      </w:pPr>
      <w:r w:rsidRPr="009D69A1">
        <w:rPr>
          <w:rFonts w:eastAsia="Calibri"/>
        </w:rPr>
        <w:t xml:space="preserve">New price limits will be introduced for both standard and high intensity community-based group supports, to allow for support ratios of 1:4 and 1:5 (i.e. worker:participant ratio). </w:t>
      </w:r>
    </w:p>
    <w:p w:rsidR="009D69A1" w:rsidRPr="009D69A1" w:rsidRDefault="009D69A1" w:rsidP="009D69A1">
      <w:pPr>
        <w:numPr>
          <w:ilvl w:val="0"/>
          <w:numId w:val="2"/>
        </w:numPr>
        <w:spacing w:after="120" w:line="254" w:lineRule="auto"/>
        <w:rPr>
          <w:rFonts w:eastAsia="Calibri"/>
        </w:rPr>
      </w:pPr>
      <w:r w:rsidRPr="009D69A1">
        <w:rPr>
          <w:rFonts w:eastAsia="Calibri"/>
        </w:rPr>
        <w:t>A capital allowance will be included in the price limits for centre-based group care.</w:t>
      </w:r>
    </w:p>
    <w:p w:rsidR="009D69A1" w:rsidRPr="009D69A1" w:rsidRDefault="009D69A1" w:rsidP="009D69A1">
      <w:pPr>
        <w:numPr>
          <w:ilvl w:val="0"/>
          <w:numId w:val="2"/>
        </w:numPr>
        <w:spacing w:after="120" w:line="254" w:lineRule="auto"/>
        <w:rPr>
          <w:rFonts w:eastAsia="Calibri"/>
        </w:rPr>
      </w:pPr>
      <w:r w:rsidRPr="009D69A1">
        <w:rPr>
          <w:rFonts w:eastAsia="Calibri"/>
        </w:rPr>
        <w:t>Therapy travel recommendations that will benefit providers will also be introduced from 1 July 2018 (i.e. allowing providers to charge up to 45 minutes of travel time in rural areas). More specific travel claiming arrangements for remote areas that were flagged in the IPR (allowing travel costs on a quote basis) will be implemented as soon as possible. In the meantime, travel cost arrangements for remote areas can still be claimed, subject to explicit agreement by the participant in advance.</w:t>
      </w:r>
    </w:p>
    <w:p w:rsidR="009D69A1" w:rsidRPr="009D69A1" w:rsidRDefault="009D69A1" w:rsidP="009D69A1">
      <w:pPr>
        <w:rPr>
          <w:rFonts w:eastAsia="Calibri"/>
        </w:rPr>
      </w:pPr>
      <w:r w:rsidRPr="009D69A1">
        <w:rPr>
          <w:rFonts w:eastAsia="Calibri"/>
        </w:rPr>
        <w:t>The implementation schedule for the remaining IPR recommendations remains as outlined in the 24 April update (</w:t>
      </w:r>
      <w:hyperlink r:id="rId12" w:history="1">
        <w:r w:rsidRPr="009D69A1">
          <w:rPr>
            <w:rFonts w:eastAsia="Calibri"/>
            <w:color w:val="0563C1"/>
            <w:u w:val="single"/>
          </w:rPr>
          <w:t>https://www.ndis.gov.au/news/ipr-implementation-update.html</w:t>
        </w:r>
      </w:hyperlink>
      <w:r w:rsidRPr="009D69A1">
        <w:rPr>
          <w:rFonts w:eastAsia="Calibri"/>
        </w:rPr>
        <w:t>).</w:t>
      </w:r>
    </w:p>
    <w:p w:rsidR="009D69A1" w:rsidRPr="009D69A1" w:rsidRDefault="009D69A1" w:rsidP="009D69A1">
      <w:pPr>
        <w:rPr>
          <w:rFonts w:eastAsia="Calibri"/>
        </w:rPr>
      </w:pPr>
    </w:p>
    <w:p w:rsidR="009D69A1" w:rsidRPr="009D69A1" w:rsidRDefault="009D69A1" w:rsidP="009D69A1">
      <w:pPr>
        <w:rPr>
          <w:rFonts w:eastAsia="Calibri"/>
        </w:rPr>
      </w:pPr>
      <w:r w:rsidRPr="009D69A1">
        <w:rPr>
          <w:rFonts w:eastAsia="Calibri"/>
        </w:rPr>
        <w:t xml:space="preserve">The NDIA is committed to ensuring that providers are supported as they transition from block funding to the participant-led NDIS, and the eventual creation of a deregulated market for services. </w:t>
      </w:r>
    </w:p>
    <w:p w:rsidR="009D69A1" w:rsidRPr="009D69A1" w:rsidRDefault="009D69A1" w:rsidP="009D69A1">
      <w:pPr>
        <w:rPr>
          <w:rFonts w:eastAsia="Calibri"/>
        </w:rPr>
      </w:pPr>
    </w:p>
    <w:p w:rsidR="009D69A1" w:rsidRPr="009D69A1" w:rsidRDefault="009D69A1" w:rsidP="009D69A1">
      <w:pPr>
        <w:spacing w:after="120"/>
        <w:rPr>
          <w:rFonts w:eastAsia="Calibri"/>
        </w:rPr>
      </w:pPr>
      <w:r w:rsidRPr="009D69A1">
        <w:rPr>
          <w:rFonts w:eastAsia="Calibri"/>
        </w:rPr>
        <w:t xml:space="preserve">Participant Plans will be adjusted to match the </w:t>
      </w:r>
      <w:r w:rsidR="00105211">
        <w:rPr>
          <w:rFonts w:eastAsia="Calibri"/>
        </w:rPr>
        <w:t xml:space="preserve">indexation </w:t>
      </w:r>
      <w:r w:rsidRPr="009D69A1">
        <w:rPr>
          <w:rFonts w:eastAsia="Calibri"/>
        </w:rPr>
        <w:t xml:space="preserve">increases </w:t>
      </w:r>
      <w:r w:rsidR="00105211">
        <w:rPr>
          <w:rFonts w:eastAsia="Calibri"/>
        </w:rPr>
        <w:t>i</w:t>
      </w:r>
      <w:r w:rsidRPr="009D69A1">
        <w:rPr>
          <w:rFonts w:eastAsia="Calibri"/>
        </w:rPr>
        <w:t xml:space="preserve">n price limits for disability supports, ensuring participants will maintain their purchasing power for reasonable </w:t>
      </w:r>
      <w:r w:rsidRPr="009D69A1">
        <w:rPr>
          <w:rFonts w:eastAsia="Calibri"/>
        </w:rPr>
        <w:lastRenderedPageBreak/>
        <w:t>and necessary supports.</w:t>
      </w:r>
      <w:r w:rsidRPr="009D69A1">
        <w:rPr>
          <w:rFonts w:eastAsia="Calibri" w:cs="Times New Roman"/>
          <w:sz w:val="20"/>
          <w:szCs w:val="20"/>
        </w:rPr>
        <w:t xml:space="preserve"> </w:t>
      </w:r>
      <w:r w:rsidRPr="009D69A1">
        <w:rPr>
          <w:rFonts w:eastAsia="Calibri"/>
        </w:rPr>
        <w:t>The specific impact on each participant’s budget will vary, according to the mix of supports that are reasonable and necessary for each individual.</w:t>
      </w:r>
    </w:p>
    <w:p w:rsidR="009D69A1" w:rsidRPr="009D69A1" w:rsidRDefault="009D69A1" w:rsidP="009D69A1">
      <w:pPr>
        <w:rPr>
          <w:rFonts w:eastAsia="Times New Roman"/>
          <w:bCs/>
        </w:rPr>
      </w:pPr>
      <w:r w:rsidRPr="009D69A1">
        <w:rPr>
          <w:rFonts w:eastAsia="Times New Roman"/>
          <w:bCs/>
        </w:rPr>
        <w:t xml:space="preserve">Changes to the group support price limit tiers and cancellation and travel policies will not </w:t>
      </w:r>
      <w:r w:rsidR="00AC2385">
        <w:rPr>
          <w:rFonts w:eastAsia="Times New Roman"/>
          <w:bCs/>
        </w:rPr>
        <w:t>be adjusted in</w:t>
      </w:r>
      <w:r w:rsidRPr="009D69A1">
        <w:rPr>
          <w:rFonts w:eastAsia="Times New Roman"/>
          <w:bCs/>
        </w:rPr>
        <w:t xml:space="preserve"> participant plan budgets. </w:t>
      </w:r>
      <w:r w:rsidR="00AC2385">
        <w:rPr>
          <w:rFonts w:eastAsia="Times New Roman"/>
          <w:bCs/>
        </w:rPr>
        <w:t>While t</w:t>
      </w:r>
      <w:r w:rsidRPr="009D69A1">
        <w:rPr>
          <w:rFonts w:eastAsia="Times New Roman"/>
          <w:bCs/>
        </w:rPr>
        <w:t xml:space="preserve">hese changes will have a positive impact on individual participants through increased flexibility, changes to support arrangements between providers and participants will only come into effect </w:t>
      </w:r>
      <w:r w:rsidR="00AC2385">
        <w:rPr>
          <w:rFonts w:eastAsia="Times New Roman"/>
          <w:bCs/>
        </w:rPr>
        <w:t xml:space="preserve">through </w:t>
      </w:r>
      <w:r w:rsidRPr="009D69A1">
        <w:rPr>
          <w:rFonts w:eastAsia="Times New Roman"/>
          <w:bCs/>
        </w:rPr>
        <w:t>a</w:t>
      </w:r>
      <w:r w:rsidR="00AC2385">
        <w:rPr>
          <w:rFonts w:eastAsia="Times New Roman"/>
          <w:bCs/>
        </w:rPr>
        <w:t>n individual</w:t>
      </w:r>
      <w:r w:rsidRPr="009D69A1">
        <w:rPr>
          <w:rFonts w:eastAsia="Times New Roman"/>
          <w:bCs/>
        </w:rPr>
        <w:t xml:space="preserve"> participant</w:t>
      </w:r>
      <w:r w:rsidR="00AC2385">
        <w:rPr>
          <w:rFonts w:eastAsia="Times New Roman"/>
          <w:bCs/>
        </w:rPr>
        <w:t>’s</w:t>
      </w:r>
      <w:r w:rsidRPr="009D69A1">
        <w:rPr>
          <w:rFonts w:eastAsia="Times New Roman"/>
          <w:bCs/>
        </w:rPr>
        <w:t xml:space="preserve"> cho</w:t>
      </w:r>
      <w:r w:rsidR="00AC2385">
        <w:rPr>
          <w:rFonts w:eastAsia="Times New Roman"/>
          <w:bCs/>
        </w:rPr>
        <w:t>ice, making it difficult to make broader adjustments</w:t>
      </w:r>
      <w:r w:rsidRPr="009D69A1">
        <w:rPr>
          <w:rFonts w:eastAsia="Times New Roman"/>
          <w:bCs/>
        </w:rPr>
        <w:t>. The NDIA will monitor cancellation practices, particularly in areas with high risk of cancellations and heav</w:t>
      </w:r>
      <w:r w:rsidR="00AC2385">
        <w:rPr>
          <w:rFonts w:eastAsia="Times New Roman"/>
          <w:bCs/>
        </w:rPr>
        <w:t>y</w:t>
      </w:r>
      <w:r w:rsidRPr="009D69A1">
        <w:rPr>
          <w:rFonts w:eastAsia="Times New Roman"/>
          <w:bCs/>
        </w:rPr>
        <w:t xml:space="preserve"> reliance on provider travel (e.g. participants living in regional areas)</w:t>
      </w:r>
      <w:r w:rsidR="00AC2385">
        <w:rPr>
          <w:rFonts w:eastAsia="Times New Roman"/>
          <w:bCs/>
        </w:rPr>
        <w:t xml:space="preserve">.  The NDIA </w:t>
      </w:r>
      <w:r w:rsidRPr="009D69A1">
        <w:rPr>
          <w:rFonts w:eastAsia="Times New Roman"/>
          <w:bCs/>
        </w:rPr>
        <w:t>will consider targeted action if there is a risk to the delivery of reasonable and necessary supports</w:t>
      </w:r>
      <w:r w:rsidR="00AC2385">
        <w:rPr>
          <w:rFonts w:eastAsia="Times New Roman"/>
          <w:bCs/>
        </w:rPr>
        <w:t>, without the need for a plan review.</w:t>
      </w:r>
    </w:p>
    <w:p w:rsidR="009D69A1" w:rsidRPr="009D69A1" w:rsidRDefault="009D69A1" w:rsidP="009D69A1">
      <w:pPr>
        <w:rPr>
          <w:rFonts w:eastAsia="Times New Roman"/>
          <w:bCs/>
        </w:rPr>
      </w:pPr>
    </w:p>
    <w:p w:rsidR="009D69A1" w:rsidRPr="009D69A1" w:rsidRDefault="009D69A1" w:rsidP="009D69A1">
      <w:pPr>
        <w:rPr>
          <w:rFonts w:eastAsia="Times New Roman"/>
          <w:bCs/>
        </w:rPr>
      </w:pPr>
      <w:r w:rsidRPr="009D69A1">
        <w:rPr>
          <w:rFonts w:eastAsia="Times New Roman"/>
          <w:bCs/>
        </w:rPr>
        <w:t>The ‘Supported Independent Living (SIL) tool’, used to determine reasonable and necessary support budgets for participants in shared accommodation arrangements, will be updated before 1 July 2018</w:t>
      </w:r>
      <w:r w:rsidR="00BC305C">
        <w:rPr>
          <w:rFonts w:eastAsia="Times New Roman"/>
          <w:bCs/>
        </w:rPr>
        <w:t>.</w:t>
      </w:r>
      <w:r w:rsidRPr="009D69A1">
        <w:rPr>
          <w:rFonts w:eastAsia="Times New Roman"/>
          <w:bCs/>
        </w:rPr>
        <w:t xml:space="preserve"> The new version, for use in 2018/19, will include </w:t>
      </w:r>
      <w:r w:rsidR="00AC2385">
        <w:rPr>
          <w:rFonts w:eastAsia="Times New Roman"/>
          <w:bCs/>
        </w:rPr>
        <w:t xml:space="preserve">specific </w:t>
      </w:r>
      <w:r w:rsidRPr="009D69A1">
        <w:rPr>
          <w:rFonts w:eastAsia="Times New Roman"/>
          <w:bCs/>
        </w:rPr>
        <w:t xml:space="preserve">changes to </w:t>
      </w:r>
      <w:r w:rsidR="00AC2385">
        <w:rPr>
          <w:rFonts w:eastAsia="Times New Roman"/>
          <w:bCs/>
        </w:rPr>
        <w:t xml:space="preserve">provide for </w:t>
      </w:r>
      <w:r w:rsidRPr="009D69A1">
        <w:rPr>
          <w:rFonts w:eastAsia="Times New Roman"/>
          <w:bCs/>
        </w:rPr>
        <w:t>an ‘indexation’ adjustment of 5.14% to account for growth in wages</w:t>
      </w:r>
      <w:r w:rsidR="00AC2385">
        <w:rPr>
          <w:rFonts w:eastAsia="Times New Roman"/>
          <w:bCs/>
        </w:rPr>
        <w:t>.  Consistent with t</w:t>
      </w:r>
      <w:r w:rsidRPr="009D69A1">
        <w:rPr>
          <w:rFonts w:eastAsia="Times New Roman"/>
          <w:bCs/>
        </w:rPr>
        <w:t xml:space="preserve">he IPR recommendation, the TSO will not apply to SIL calculations. </w:t>
      </w:r>
      <w:r w:rsidR="00AC2385">
        <w:rPr>
          <w:rFonts w:eastAsia="Times New Roman"/>
          <w:bCs/>
        </w:rPr>
        <w:t xml:space="preserve">Because the SIL tool will be in use from July 1, </w:t>
      </w:r>
      <w:r w:rsidRPr="009D69A1">
        <w:rPr>
          <w:rFonts w:eastAsia="Times New Roman"/>
          <w:bCs/>
        </w:rPr>
        <w:t xml:space="preserve"> there is no requirement for SIL benchmarks, and they will be removed from the NDIS Price Guide.</w:t>
      </w:r>
    </w:p>
    <w:p w:rsidR="009D69A1" w:rsidRPr="009D69A1" w:rsidRDefault="009D69A1" w:rsidP="009D69A1">
      <w:pPr>
        <w:rPr>
          <w:rFonts w:eastAsia="Calibri"/>
        </w:rPr>
      </w:pPr>
    </w:p>
    <w:p w:rsidR="009D69A1" w:rsidRPr="009D69A1" w:rsidRDefault="00DE3A38" w:rsidP="009D69A1">
      <w:pPr>
        <w:rPr>
          <w:rFonts w:eastAsia="Times New Roman"/>
          <w:bCs/>
        </w:rPr>
      </w:pPr>
      <w:r>
        <w:rPr>
          <w:rFonts w:eastAsia="Times New Roman"/>
          <w:bCs/>
        </w:rPr>
        <w:t>Nonetheless, e</w:t>
      </w:r>
      <w:r w:rsidR="009D69A1" w:rsidRPr="009D69A1">
        <w:rPr>
          <w:rFonts w:eastAsia="Times New Roman"/>
          <w:bCs/>
        </w:rPr>
        <w:t xml:space="preserve">xisting service bookings between providers and participants </w:t>
      </w:r>
      <w:r>
        <w:rPr>
          <w:rFonts w:eastAsia="Times New Roman"/>
          <w:bCs/>
        </w:rPr>
        <w:t xml:space="preserve">for SIL </w:t>
      </w:r>
      <w:r w:rsidR="009D69A1" w:rsidRPr="009D69A1">
        <w:rPr>
          <w:rFonts w:eastAsia="Times New Roman"/>
          <w:bCs/>
        </w:rPr>
        <w:t xml:space="preserve">will be updated </w:t>
      </w:r>
      <w:r>
        <w:rPr>
          <w:rFonts w:eastAsia="Times New Roman"/>
          <w:bCs/>
        </w:rPr>
        <w:t xml:space="preserve">as </w:t>
      </w:r>
      <w:r w:rsidR="009D69A1" w:rsidRPr="009D69A1">
        <w:rPr>
          <w:rFonts w:eastAsia="Times New Roman"/>
          <w:bCs/>
        </w:rPr>
        <w:t>appropriate</w:t>
      </w:r>
      <w:r>
        <w:rPr>
          <w:rFonts w:eastAsia="Times New Roman"/>
          <w:bCs/>
        </w:rPr>
        <w:t xml:space="preserve"> in the following way</w:t>
      </w:r>
      <w:r w:rsidR="00105211">
        <w:rPr>
          <w:rFonts w:eastAsia="Times New Roman"/>
          <w:bCs/>
        </w:rPr>
        <w:t>s</w:t>
      </w:r>
      <w:r>
        <w:rPr>
          <w:rFonts w:eastAsia="Times New Roman"/>
          <w:bCs/>
        </w:rPr>
        <w:t>:</w:t>
      </w:r>
    </w:p>
    <w:p w:rsidR="009D69A1" w:rsidRPr="009D69A1" w:rsidRDefault="009D69A1" w:rsidP="009D69A1">
      <w:pPr>
        <w:rPr>
          <w:rFonts w:eastAsia="Times New Roman"/>
          <w:bCs/>
        </w:rPr>
      </w:pPr>
    </w:p>
    <w:p w:rsidR="009D69A1" w:rsidRPr="009D69A1" w:rsidRDefault="009D69A1" w:rsidP="009D69A1">
      <w:pPr>
        <w:numPr>
          <w:ilvl w:val="0"/>
          <w:numId w:val="3"/>
        </w:numPr>
        <w:spacing w:after="120" w:line="276" w:lineRule="auto"/>
        <w:contextualSpacing/>
        <w:rPr>
          <w:rFonts w:eastAsia="Times New Roman"/>
          <w:bCs/>
        </w:rPr>
      </w:pPr>
      <w:r w:rsidRPr="009D69A1">
        <w:rPr>
          <w:rFonts w:eastAsia="Times New Roman"/>
          <w:bCs/>
        </w:rPr>
        <w:t>The NDIA understands that SIL providers will experience the same wage cost growth on 1 July 2018 as other providers of attendant care supports, but may not have factored this growth into their original quotes. For this reason, the NDIA is taking steps to make sure that any SIL service bookings (and participant budgets) that continue into the 2018/19 financial year are adjusted appropriately.</w:t>
      </w:r>
    </w:p>
    <w:p w:rsidR="009D69A1" w:rsidRDefault="009D69A1" w:rsidP="009D69A1">
      <w:pPr>
        <w:numPr>
          <w:ilvl w:val="0"/>
          <w:numId w:val="3"/>
        </w:numPr>
        <w:spacing w:after="120" w:line="276" w:lineRule="auto"/>
        <w:contextualSpacing/>
        <w:rPr>
          <w:rFonts w:eastAsia="Times New Roman"/>
          <w:bCs/>
        </w:rPr>
      </w:pPr>
      <w:r w:rsidRPr="009D69A1">
        <w:rPr>
          <w:rFonts w:eastAsia="Times New Roman"/>
          <w:bCs/>
        </w:rPr>
        <w:t>In future years, SIL service bookings will not be subject to automatic updates to account for inflation. Instead, the NDIA expects that SIL providers will use the updated SIL tool to anticipate wage growth during the course of their service bookings and factor in indexation as part of the</w:t>
      </w:r>
      <w:r w:rsidR="00DE3A38">
        <w:rPr>
          <w:rFonts w:eastAsia="Times New Roman"/>
          <w:bCs/>
        </w:rPr>
        <w:t>ir</w:t>
      </w:r>
      <w:r w:rsidRPr="009D69A1">
        <w:rPr>
          <w:rFonts w:eastAsia="Times New Roman"/>
          <w:bCs/>
        </w:rPr>
        <w:t xml:space="preserve"> quote.</w:t>
      </w: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455CC1" w:rsidRDefault="00455CC1" w:rsidP="00455CC1">
      <w:pPr>
        <w:spacing w:after="120" w:line="276" w:lineRule="auto"/>
        <w:contextualSpacing/>
        <w:rPr>
          <w:rFonts w:eastAsia="Times New Roman"/>
          <w:bCs/>
        </w:rPr>
      </w:pPr>
    </w:p>
    <w:p w:rsidR="001A317B" w:rsidRDefault="001A317B">
      <w:pPr>
        <w:rPr>
          <w:rFonts w:eastAsia="Times New Roman"/>
          <w:b/>
          <w:bCs/>
        </w:rPr>
      </w:pPr>
      <w:r>
        <w:rPr>
          <w:rFonts w:eastAsia="Times New Roman"/>
          <w:b/>
          <w:bCs/>
        </w:rPr>
        <w:br w:type="page"/>
      </w:r>
    </w:p>
    <w:p w:rsidR="00455CC1" w:rsidRDefault="00455CC1" w:rsidP="00455CC1">
      <w:pPr>
        <w:spacing w:after="120" w:line="276" w:lineRule="auto"/>
        <w:contextualSpacing/>
        <w:rPr>
          <w:rFonts w:eastAsia="Times New Roman"/>
          <w:b/>
          <w:bCs/>
        </w:rPr>
      </w:pPr>
      <w:r>
        <w:rPr>
          <w:rFonts w:eastAsia="Times New Roman"/>
          <w:b/>
          <w:bCs/>
        </w:rPr>
        <w:lastRenderedPageBreak/>
        <w:t xml:space="preserve">APPENDIX A </w:t>
      </w:r>
    </w:p>
    <w:p w:rsidR="00455CC1" w:rsidRDefault="00455CC1" w:rsidP="00455CC1">
      <w:pPr>
        <w:spacing w:after="120" w:line="276" w:lineRule="auto"/>
        <w:contextualSpacing/>
        <w:rPr>
          <w:rFonts w:eastAsia="Times New Roman"/>
          <w:b/>
          <w:bCs/>
        </w:rPr>
      </w:pPr>
    </w:p>
    <w:p w:rsidR="00455CC1" w:rsidRDefault="00455CC1" w:rsidP="00455CC1">
      <w:pPr>
        <w:spacing w:after="120" w:line="276" w:lineRule="auto"/>
        <w:contextualSpacing/>
        <w:rPr>
          <w:rFonts w:eastAsia="Calibri"/>
        </w:rPr>
      </w:pPr>
      <w:r w:rsidRPr="0034758B">
        <w:rPr>
          <w:rFonts w:eastAsia="Calibri"/>
        </w:rPr>
        <w:t xml:space="preserve">Price limits increase in the NDIS line with the increase in costs that providers face in delivering different supports. For attendant care, most of the cost is driven by wages of support workers, who are employed under the </w:t>
      </w:r>
      <w:r w:rsidRPr="0034758B">
        <w:rPr>
          <w:rFonts w:eastAsia="Calibri"/>
          <w:i/>
        </w:rPr>
        <w:t>Social, Community, Home Care and Disability Services Industry</w:t>
      </w:r>
      <w:r w:rsidRPr="0034758B">
        <w:rPr>
          <w:rFonts w:eastAsia="Calibri"/>
        </w:rPr>
        <w:t xml:space="preserve"> (SCHADS) Award. Their wages increase in line with national minimum wage decisions and the Equal Remuneration Order</w:t>
      </w:r>
      <w:r>
        <w:rPr>
          <w:rFonts w:eastAsia="Calibri"/>
        </w:rPr>
        <w:t xml:space="preserve"> (ERO)</w:t>
      </w:r>
      <w:r w:rsidRPr="0034758B">
        <w:rPr>
          <w:rFonts w:eastAsia="Calibri"/>
        </w:rPr>
        <w:t xml:space="preserve">. Some other costs that providers face, such as overheads, increase at a different rate, typically in line with general measures of inflation such as CPI. Combining these increases for different costs results in an </w:t>
      </w:r>
      <w:r>
        <w:rPr>
          <w:rFonts w:eastAsia="Calibri"/>
        </w:rPr>
        <w:t xml:space="preserve">indexation adjustment to </w:t>
      </w:r>
      <w:r w:rsidRPr="0034758B">
        <w:rPr>
          <w:rFonts w:eastAsia="Calibri"/>
        </w:rPr>
        <w:t xml:space="preserve">attendant care price </w:t>
      </w:r>
      <w:r>
        <w:rPr>
          <w:rFonts w:eastAsia="Calibri"/>
        </w:rPr>
        <w:t xml:space="preserve">limits </w:t>
      </w:r>
      <w:r w:rsidRPr="0034758B">
        <w:rPr>
          <w:rFonts w:eastAsia="Calibri"/>
        </w:rPr>
        <w:t xml:space="preserve">of 5.14% in 2018-19. </w:t>
      </w:r>
      <w:r>
        <w:rPr>
          <w:rFonts w:eastAsia="Calibri"/>
        </w:rPr>
        <w:t>The following table explains this calculation in detail.</w:t>
      </w:r>
    </w:p>
    <w:p w:rsidR="00455CC1" w:rsidRPr="00455CC1" w:rsidRDefault="00455CC1" w:rsidP="00455CC1">
      <w:pPr>
        <w:spacing w:after="120" w:line="276" w:lineRule="auto"/>
        <w:contextualSpacing/>
        <w:rPr>
          <w:rFonts w:eastAsia="Times New Roman"/>
          <w:b/>
          <w:bCs/>
        </w:rPr>
      </w:pPr>
    </w:p>
    <w:tbl>
      <w:tblPr>
        <w:tblStyle w:val="TableGrid"/>
        <w:tblW w:w="0" w:type="auto"/>
        <w:tblInd w:w="720" w:type="dxa"/>
        <w:tblLook w:val="04A0" w:firstRow="1" w:lastRow="0" w:firstColumn="1" w:lastColumn="0" w:noHBand="0" w:noVBand="1"/>
      </w:tblPr>
      <w:tblGrid>
        <w:gridCol w:w="1118"/>
        <w:gridCol w:w="2126"/>
        <w:gridCol w:w="903"/>
        <w:gridCol w:w="1383"/>
        <w:gridCol w:w="1383"/>
        <w:gridCol w:w="1383"/>
      </w:tblGrid>
      <w:tr w:rsidR="00455CC1" w:rsidTr="00664B29">
        <w:tc>
          <w:tcPr>
            <w:tcW w:w="4147" w:type="dxa"/>
            <w:gridSpan w:val="3"/>
            <w:vAlign w:val="center"/>
          </w:tcPr>
          <w:p w:rsidR="00455CC1" w:rsidRPr="00A6114E" w:rsidRDefault="00455CC1" w:rsidP="00664B29">
            <w:pPr>
              <w:spacing w:before="120" w:after="120"/>
              <w:rPr>
                <w:b/>
                <w:color w:val="000000"/>
                <w:sz w:val="18"/>
                <w:szCs w:val="18"/>
              </w:rPr>
            </w:pPr>
            <w:r w:rsidRPr="00A6114E">
              <w:rPr>
                <w:b/>
                <w:color w:val="000000"/>
                <w:sz w:val="18"/>
                <w:szCs w:val="18"/>
              </w:rPr>
              <w:t>Components of cost growth</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Cost growth</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Estimated proportion of costs</w:t>
            </w:r>
          </w:p>
        </w:tc>
        <w:tc>
          <w:tcPr>
            <w:tcW w:w="1383" w:type="dxa"/>
            <w:vAlign w:val="center"/>
          </w:tcPr>
          <w:p w:rsidR="00455CC1" w:rsidRPr="00A6114E" w:rsidRDefault="00455CC1" w:rsidP="00664B29">
            <w:pPr>
              <w:spacing w:before="120" w:after="120"/>
              <w:rPr>
                <w:b/>
                <w:color w:val="000000"/>
                <w:sz w:val="18"/>
                <w:szCs w:val="18"/>
              </w:rPr>
            </w:pPr>
            <w:r w:rsidRPr="00A6114E">
              <w:rPr>
                <w:b/>
                <w:color w:val="000000"/>
                <w:sz w:val="18"/>
                <w:szCs w:val="18"/>
              </w:rPr>
              <w:t>Weighted average cost growth</w:t>
            </w:r>
          </w:p>
        </w:tc>
      </w:tr>
      <w:tr w:rsidR="00455CC1" w:rsidTr="00664B29">
        <w:tc>
          <w:tcPr>
            <w:tcW w:w="1118" w:type="dxa"/>
            <w:vMerge w:val="restart"/>
            <w:vAlign w:val="center"/>
          </w:tcPr>
          <w:p w:rsidR="00455CC1" w:rsidRPr="00875469" w:rsidRDefault="00455CC1" w:rsidP="00664B29">
            <w:pPr>
              <w:spacing w:before="120" w:after="120"/>
              <w:rPr>
                <w:b/>
                <w:color w:val="000000"/>
                <w:sz w:val="18"/>
                <w:szCs w:val="18"/>
              </w:rPr>
            </w:pPr>
            <w:r w:rsidRPr="00875469">
              <w:rPr>
                <w:b/>
                <w:color w:val="000000"/>
                <w:sz w:val="18"/>
                <w:szCs w:val="18"/>
              </w:rPr>
              <w:t xml:space="preserve">Labour cost </w:t>
            </w: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ERO 1 December 2017</w:t>
            </w:r>
          </w:p>
        </w:tc>
        <w:tc>
          <w:tcPr>
            <w:tcW w:w="903" w:type="dxa"/>
            <w:vAlign w:val="center"/>
          </w:tcPr>
          <w:p w:rsidR="00455CC1" w:rsidRPr="00A6114E" w:rsidRDefault="00455CC1" w:rsidP="00664B29">
            <w:pPr>
              <w:spacing w:before="120" w:after="120"/>
              <w:jc w:val="center"/>
              <w:rPr>
                <w:color w:val="000000"/>
                <w:sz w:val="18"/>
                <w:szCs w:val="18"/>
              </w:rPr>
            </w:pPr>
            <w:r w:rsidRPr="00A6114E">
              <w:rPr>
                <w:color w:val="000000"/>
                <w:sz w:val="18"/>
                <w:szCs w:val="18"/>
              </w:rPr>
              <w:t>2.27%</w:t>
            </w:r>
          </w:p>
        </w:tc>
        <w:tc>
          <w:tcPr>
            <w:tcW w:w="1383" w:type="dxa"/>
            <w:vMerge w:val="restart"/>
            <w:vAlign w:val="center"/>
          </w:tcPr>
          <w:p w:rsidR="00455CC1" w:rsidRPr="00A6114E" w:rsidRDefault="00455CC1" w:rsidP="00664B29">
            <w:pPr>
              <w:spacing w:before="120" w:after="120"/>
              <w:jc w:val="center"/>
              <w:rPr>
                <w:color w:val="000000"/>
                <w:sz w:val="18"/>
                <w:szCs w:val="18"/>
              </w:rPr>
            </w:pPr>
            <w:r>
              <w:rPr>
                <w:color w:val="000000"/>
                <w:sz w:val="18"/>
                <w:szCs w:val="18"/>
              </w:rPr>
              <w:t xml:space="preserve">A.     </w:t>
            </w:r>
            <w:r w:rsidRPr="00A6114E">
              <w:rPr>
                <w:color w:val="000000"/>
                <w:sz w:val="18"/>
                <w:szCs w:val="18"/>
              </w:rPr>
              <w:t>5.8%</w:t>
            </w:r>
          </w:p>
        </w:tc>
        <w:tc>
          <w:tcPr>
            <w:tcW w:w="1383" w:type="dxa"/>
            <w:vMerge w:val="restart"/>
            <w:vAlign w:val="center"/>
          </w:tcPr>
          <w:p w:rsidR="00455CC1" w:rsidRPr="00A6114E" w:rsidRDefault="00455CC1" w:rsidP="00664B29">
            <w:pPr>
              <w:spacing w:before="120" w:after="120"/>
              <w:jc w:val="center"/>
              <w:rPr>
                <w:color w:val="000000"/>
                <w:sz w:val="18"/>
                <w:szCs w:val="18"/>
              </w:rPr>
            </w:pPr>
            <w:r>
              <w:rPr>
                <w:color w:val="000000"/>
                <w:sz w:val="18"/>
                <w:szCs w:val="18"/>
              </w:rPr>
              <w:t xml:space="preserve">C.    </w:t>
            </w:r>
            <w:r w:rsidRPr="00A6114E">
              <w:rPr>
                <w:color w:val="000000"/>
                <w:sz w:val="18"/>
                <w:szCs w:val="18"/>
              </w:rPr>
              <w:t>82%</w:t>
            </w:r>
          </w:p>
        </w:tc>
        <w:tc>
          <w:tcPr>
            <w:tcW w:w="1383" w:type="dxa"/>
            <w:vMerge w:val="restart"/>
            <w:vAlign w:val="center"/>
          </w:tcPr>
          <w:p w:rsidR="00455CC1" w:rsidRDefault="00455CC1" w:rsidP="00664B29">
            <w:pPr>
              <w:spacing w:before="120" w:after="120"/>
              <w:jc w:val="center"/>
              <w:rPr>
                <w:color w:val="000000"/>
                <w:sz w:val="18"/>
                <w:szCs w:val="18"/>
              </w:rPr>
            </w:pPr>
            <w:r>
              <w:rPr>
                <w:color w:val="000000"/>
                <w:sz w:val="18"/>
                <w:szCs w:val="18"/>
              </w:rPr>
              <w:t>5.14%</w:t>
            </w:r>
          </w:p>
          <w:p w:rsidR="00455CC1" w:rsidRPr="00A6114E" w:rsidRDefault="00455CC1" w:rsidP="00664B29">
            <w:pPr>
              <w:spacing w:before="120" w:after="120"/>
              <w:jc w:val="center"/>
              <w:rPr>
                <w:color w:val="000000"/>
                <w:sz w:val="18"/>
                <w:szCs w:val="18"/>
              </w:rPr>
            </w:pPr>
            <w:r>
              <w:rPr>
                <w:color w:val="000000"/>
                <w:sz w:val="18"/>
                <w:szCs w:val="18"/>
              </w:rPr>
              <w:t>A * C + B * D</w:t>
            </w:r>
          </w:p>
        </w:tc>
      </w:tr>
      <w:tr w:rsidR="00455CC1" w:rsidTr="00664B29">
        <w:tc>
          <w:tcPr>
            <w:tcW w:w="1118" w:type="dxa"/>
            <w:vMerge/>
            <w:vAlign w:val="center"/>
          </w:tcPr>
          <w:p w:rsidR="00455CC1" w:rsidRPr="00875469" w:rsidRDefault="00455CC1" w:rsidP="00664B29">
            <w:pPr>
              <w:spacing w:before="120" w:after="120"/>
              <w:rPr>
                <w:b/>
                <w:color w:val="000000"/>
                <w:sz w:val="18"/>
                <w:szCs w:val="18"/>
              </w:rPr>
            </w:pP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SCHADS wage growth 1 July 2018</w:t>
            </w:r>
          </w:p>
        </w:tc>
        <w:tc>
          <w:tcPr>
            <w:tcW w:w="903" w:type="dxa"/>
            <w:vAlign w:val="center"/>
          </w:tcPr>
          <w:p w:rsidR="00455CC1" w:rsidRPr="00A6114E" w:rsidRDefault="00455CC1" w:rsidP="00664B29">
            <w:pPr>
              <w:spacing w:before="120" w:after="120"/>
              <w:jc w:val="center"/>
              <w:rPr>
                <w:color w:val="000000"/>
                <w:sz w:val="18"/>
                <w:szCs w:val="18"/>
              </w:rPr>
            </w:pPr>
            <w:r>
              <w:rPr>
                <w:color w:val="000000"/>
                <w:sz w:val="18"/>
                <w:szCs w:val="18"/>
              </w:rPr>
              <w:t>3.5</w:t>
            </w:r>
            <w:r w:rsidRPr="00A6114E">
              <w:rPr>
                <w:color w:val="000000"/>
                <w:sz w:val="18"/>
                <w:szCs w:val="18"/>
              </w:rPr>
              <w:t>%</w:t>
            </w:r>
          </w:p>
        </w:tc>
        <w:tc>
          <w:tcPr>
            <w:tcW w:w="1383" w:type="dxa"/>
            <w:vMerge/>
            <w:vAlign w:val="center"/>
          </w:tcPr>
          <w:p w:rsidR="00455CC1" w:rsidRPr="00A6114E" w:rsidRDefault="00455CC1" w:rsidP="00664B29">
            <w:pPr>
              <w:spacing w:before="120" w:after="120"/>
              <w:jc w:val="center"/>
              <w:rPr>
                <w:color w:val="000000"/>
                <w:sz w:val="18"/>
                <w:szCs w:val="18"/>
              </w:rPr>
            </w:pPr>
          </w:p>
        </w:tc>
        <w:tc>
          <w:tcPr>
            <w:tcW w:w="1383" w:type="dxa"/>
            <w:vMerge/>
            <w:vAlign w:val="center"/>
          </w:tcPr>
          <w:p w:rsidR="00455CC1" w:rsidRPr="00A6114E" w:rsidRDefault="00455CC1" w:rsidP="00664B29">
            <w:pPr>
              <w:spacing w:before="120" w:after="120"/>
              <w:jc w:val="center"/>
              <w:rPr>
                <w:color w:val="000000"/>
                <w:sz w:val="18"/>
                <w:szCs w:val="18"/>
              </w:rPr>
            </w:pPr>
          </w:p>
        </w:tc>
        <w:tc>
          <w:tcPr>
            <w:tcW w:w="1383" w:type="dxa"/>
            <w:vMerge/>
            <w:vAlign w:val="center"/>
          </w:tcPr>
          <w:p w:rsidR="00455CC1" w:rsidRPr="00A6114E" w:rsidRDefault="00455CC1" w:rsidP="00664B29">
            <w:pPr>
              <w:spacing w:before="120" w:after="120"/>
              <w:rPr>
                <w:color w:val="000000"/>
                <w:sz w:val="18"/>
                <w:szCs w:val="18"/>
              </w:rPr>
            </w:pPr>
          </w:p>
        </w:tc>
      </w:tr>
      <w:tr w:rsidR="00455CC1" w:rsidTr="00664B29">
        <w:tc>
          <w:tcPr>
            <w:tcW w:w="1118" w:type="dxa"/>
            <w:vAlign w:val="center"/>
          </w:tcPr>
          <w:p w:rsidR="00455CC1" w:rsidRPr="00875469" w:rsidRDefault="00455CC1" w:rsidP="00664B29">
            <w:pPr>
              <w:spacing w:before="120" w:after="120"/>
              <w:rPr>
                <w:b/>
                <w:color w:val="000000"/>
                <w:sz w:val="18"/>
                <w:szCs w:val="18"/>
              </w:rPr>
            </w:pPr>
            <w:r w:rsidRPr="00875469">
              <w:rPr>
                <w:b/>
                <w:color w:val="000000"/>
                <w:sz w:val="18"/>
                <w:szCs w:val="18"/>
              </w:rPr>
              <w:t xml:space="preserve">Other Cost </w:t>
            </w:r>
          </w:p>
        </w:tc>
        <w:tc>
          <w:tcPr>
            <w:tcW w:w="2126" w:type="dxa"/>
            <w:vAlign w:val="center"/>
          </w:tcPr>
          <w:p w:rsidR="00455CC1" w:rsidRPr="00A6114E" w:rsidRDefault="00455CC1" w:rsidP="00664B29">
            <w:pPr>
              <w:spacing w:before="120" w:after="120"/>
              <w:rPr>
                <w:color w:val="000000"/>
                <w:sz w:val="18"/>
                <w:szCs w:val="18"/>
              </w:rPr>
            </w:pPr>
            <w:r w:rsidRPr="00A6114E">
              <w:rPr>
                <w:color w:val="000000"/>
                <w:sz w:val="18"/>
                <w:szCs w:val="18"/>
              </w:rPr>
              <w:t>CPI</w:t>
            </w:r>
          </w:p>
        </w:tc>
        <w:tc>
          <w:tcPr>
            <w:tcW w:w="903" w:type="dxa"/>
            <w:vAlign w:val="center"/>
          </w:tcPr>
          <w:p w:rsidR="00455CC1" w:rsidRPr="00A6114E" w:rsidRDefault="00455CC1" w:rsidP="00664B29">
            <w:pPr>
              <w:spacing w:before="120" w:after="120"/>
              <w:jc w:val="center"/>
              <w:rPr>
                <w:color w:val="000000"/>
                <w:sz w:val="18"/>
                <w:szCs w:val="18"/>
              </w:rPr>
            </w:pPr>
            <w:r>
              <w:rPr>
                <w:color w:val="000000"/>
                <w:sz w:val="18"/>
                <w:szCs w:val="18"/>
              </w:rPr>
              <w:t>1.9</w:t>
            </w:r>
            <w:r w:rsidRPr="00A6114E">
              <w:rPr>
                <w:color w:val="000000"/>
                <w:sz w:val="18"/>
                <w:szCs w:val="18"/>
              </w:rPr>
              <w:t>%</w:t>
            </w:r>
          </w:p>
        </w:tc>
        <w:tc>
          <w:tcPr>
            <w:tcW w:w="1383" w:type="dxa"/>
            <w:vAlign w:val="center"/>
          </w:tcPr>
          <w:p w:rsidR="00455CC1" w:rsidRPr="00A6114E" w:rsidRDefault="00455CC1" w:rsidP="00664B29">
            <w:pPr>
              <w:spacing w:before="120" w:after="120"/>
              <w:jc w:val="center"/>
              <w:rPr>
                <w:color w:val="000000"/>
                <w:sz w:val="18"/>
                <w:szCs w:val="18"/>
              </w:rPr>
            </w:pPr>
            <w:r>
              <w:rPr>
                <w:color w:val="000000"/>
                <w:sz w:val="18"/>
                <w:szCs w:val="18"/>
              </w:rPr>
              <w:t>B.      1.9</w:t>
            </w:r>
            <w:r w:rsidRPr="00A6114E">
              <w:rPr>
                <w:color w:val="000000"/>
                <w:sz w:val="18"/>
                <w:szCs w:val="18"/>
              </w:rPr>
              <w:t>%</w:t>
            </w:r>
          </w:p>
        </w:tc>
        <w:tc>
          <w:tcPr>
            <w:tcW w:w="1383" w:type="dxa"/>
            <w:vAlign w:val="center"/>
          </w:tcPr>
          <w:p w:rsidR="00455CC1" w:rsidRPr="00A6114E" w:rsidRDefault="00455CC1" w:rsidP="00664B29">
            <w:pPr>
              <w:spacing w:before="120" w:after="120"/>
              <w:jc w:val="center"/>
              <w:rPr>
                <w:color w:val="000000"/>
                <w:sz w:val="18"/>
                <w:szCs w:val="18"/>
              </w:rPr>
            </w:pPr>
            <w:r>
              <w:rPr>
                <w:color w:val="000000"/>
                <w:sz w:val="18"/>
                <w:szCs w:val="18"/>
              </w:rPr>
              <w:t xml:space="preserve">D.    </w:t>
            </w:r>
            <w:r w:rsidRPr="00A6114E">
              <w:rPr>
                <w:color w:val="000000"/>
                <w:sz w:val="18"/>
                <w:szCs w:val="18"/>
              </w:rPr>
              <w:t>18%</w:t>
            </w:r>
          </w:p>
        </w:tc>
        <w:tc>
          <w:tcPr>
            <w:tcW w:w="1383" w:type="dxa"/>
            <w:vMerge/>
            <w:vAlign w:val="center"/>
          </w:tcPr>
          <w:p w:rsidR="00455CC1" w:rsidRPr="00A6114E" w:rsidRDefault="00455CC1" w:rsidP="00664B29">
            <w:pPr>
              <w:spacing w:before="120" w:after="120"/>
              <w:rPr>
                <w:color w:val="000000"/>
                <w:sz w:val="18"/>
                <w:szCs w:val="18"/>
              </w:rPr>
            </w:pPr>
          </w:p>
        </w:tc>
      </w:tr>
    </w:tbl>
    <w:p w:rsidR="00455CC1" w:rsidRDefault="00455CC1" w:rsidP="00455CC1">
      <w:pPr>
        <w:keepNext/>
        <w:spacing w:after="120" w:line="254" w:lineRule="auto"/>
        <w:ind w:left="142"/>
        <w:rPr>
          <w:rFonts w:eastAsia="Calibri"/>
        </w:rPr>
      </w:pPr>
    </w:p>
    <w:p w:rsidR="00455CC1" w:rsidRPr="0034758B" w:rsidRDefault="00455CC1" w:rsidP="00455CC1">
      <w:pPr>
        <w:keepNext/>
        <w:spacing w:after="120" w:line="254" w:lineRule="auto"/>
        <w:ind w:left="142"/>
        <w:rPr>
          <w:rFonts w:eastAsia="Calibri"/>
        </w:rPr>
      </w:pPr>
      <w:r w:rsidRPr="0034758B">
        <w:rPr>
          <w:rFonts w:eastAsia="Calibri"/>
        </w:rPr>
        <w:t>Combined with annual ‘indexation’ adjustments to account for growth in provider costs, this means that price limits will increase in 2018/19 by:</w:t>
      </w:r>
    </w:p>
    <w:p w:rsidR="00455CC1" w:rsidRPr="0034758B" w:rsidRDefault="00455CC1" w:rsidP="00455CC1">
      <w:pPr>
        <w:numPr>
          <w:ilvl w:val="1"/>
          <w:numId w:val="2"/>
        </w:numPr>
        <w:spacing w:after="120" w:line="254" w:lineRule="auto"/>
        <w:rPr>
          <w:rFonts w:eastAsia="Calibri"/>
        </w:rPr>
      </w:pPr>
      <w:r w:rsidRPr="0034758B">
        <w:rPr>
          <w:rFonts w:eastAsia="Calibri"/>
        </w:rPr>
        <w:t>7.64% for standard intensity attendant care supports (including TSO),</w:t>
      </w:r>
    </w:p>
    <w:p w:rsidR="00455CC1" w:rsidRPr="0034758B" w:rsidRDefault="00455CC1" w:rsidP="00455CC1">
      <w:pPr>
        <w:numPr>
          <w:ilvl w:val="1"/>
          <w:numId w:val="2"/>
        </w:numPr>
        <w:spacing w:after="120" w:line="254" w:lineRule="auto"/>
        <w:rPr>
          <w:rFonts w:eastAsia="Calibri"/>
        </w:rPr>
      </w:pPr>
      <w:r w:rsidRPr="0034758B">
        <w:rPr>
          <w:rFonts w:eastAsia="Calibri"/>
        </w:rPr>
        <w:t xml:space="preserve">5.14% for high intensity attendant care supports </w:t>
      </w:r>
      <w:r>
        <w:rPr>
          <w:rFonts w:eastAsia="Calibri"/>
        </w:rPr>
        <w:t>(high intensity supports will be addressed by more specific IPR recommendations, so the IPR recommended that the TSO apply to standard intensity supports only), and</w:t>
      </w:r>
    </w:p>
    <w:p w:rsidR="00455CC1" w:rsidRPr="0034758B" w:rsidRDefault="00455CC1" w:rsidP="00455CC1">
      <w:pPr>
        <w:numPr>
          <w:ilvl w:val="1"/>
          <w:numId w:val="2"/>
        </w:numPr>
        <w:spacing w:after="120" w:line="254" w:lineRule="auto"/>
        <w:rPr>
          <w:rFonts w:eastAsia="Calibri"/>
        </w:rPr>
      </w:pPr>
      <w:r w:rsidRPr="0034758B">
        <w:rPr>
          <w:rFonts w:eastAsia="Calibri"/>
        </w:rPr>
        <w:t>2.1% for capacity-building supports, including therapy, based on growth in the national Wage Price Index (these supports are delivered by highly skilled workers, for whom the SCHADS award is not an appropriate reference).</w:t>
      </w:r>
    </w:p>
    <w:p w:rsidR="00AF1492" w:rsidRDefault="00AF1492" w:rsidP="00234943">
      <w:pPr>
        <w:rPr>
          <w:rStyle w:val="BookTitle"/>
          <w:i w:val="0"/>
          <w:iCs w:val="0"/>
          <w:smallCaps w:val="0"/>
          <w:spacing w:val="0"/>
        </w:rPr>
      </w:pPr>
    </w:p>
    <w:sectPr w:rsidR="00AF1492">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3E" w:rsidRDefault="0046453E" w:rsidP="00234943">
      <w:r>
        <w:separator/>
      </w:r>
    </w:p>
  </w:endnote>
  <w:endnote w:type="continuationSeparator" w:id="0">
    <w:p w:rsidR="0046453E" w:rsidRDefault="0046453E" w:rsidP="0023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Pr="00D848E6" w:rsidRDefault="00AC2385" w:rsidP="00D848E6">
    <w:pPr>
      <w:pStyle w:val="Footer"/>
      <w:jc w:val="right"/>
      <w:rPr>
        <w:sz w:val="18"/>
        <w:szCs w:val="18"/>
      </w:rPr>
    </w:pPr>
    <w:r w:rsidRPr="00D848E6">
      <w:rPr>
        <w:sz w:val="18"/>
        <w:szCs w:val="18"/>
      </w:rPr>
      <w:t xml:space="preserve">Page </w:t>
    </w:r>
    <w:r w:rsidRPr="00D848E6">
      <w:rPr>
        <w:sz w:val="18"/>
        <w:szCs w:val="18"/>
      </w:rPr>
      <w:fldChar w:fldCharType="begin"/>
    </w:r>
    <w:r w:rsidRPr="00D848E6">
      <w:rPr>
        <w:sz w:val="18"/>
        <w:szCs w:val="18"/>
      </w:rPr>
      <w:instrText xml:space="preserve"> page </w:instrText>
    </w:r>
    <w:r w:rsidRPr="00D848E6">
      <w:rPr>
        <w:sz w:val="18"/>
        <w:szCs w:val="18"/>
      </w:rPr>
      <w:fldChar w:fldCharType="separate"/>
    </w:r>
    <w:r w:rsidR="002678F1">
      <w:rPr>
        <w:noProof/>
        <w:sz w:val="18"/>
        <w:szCs w:val="18"/>
      </w:rPr>
      <w:t>2</w:t>
    </w:r>
    <w:r w:rsidRPr="00D848E6">
      <w:rPr>
        <w:sz w:val="18"/>
        <w:szCs w:val="18"/>
      </w:rPr>
      <w:fldChar w:fldCharType="end"/>
    </w:r>
    <w:r w:rsidRPr="00D848E6">
      <w:rPr>
        <w:sz w:val="18"/>
        <w:szCs w:val="18"/>
      </w:rPr>
      <w:t xml:space="preserve"> of </w:t>
    </w:r>
    <w:r w:rsidRPr="00D848E6">
      <w:rPr>
        <w:sz w:val="18"/>
        <w:szCs w:val="18"/>
      </w:rPr>
      <w:fldChar w:fldCharType="begin"/>
    </w:r>
    <w:r w:rsidRPr="00D848E6">
      <w:rPr>
        <w:sz w:val="18"/>
        <w:szCs w:val="18"/>
      </w:rPr>
      <w:instrText xml:space="preserve"> numpages </w:instrText>
    </w:r>
    <w:r w:rsidRPr="00D848E6">
      <w:rPr>
        <w:sz w:val="18"/>
        <w:szCs w:val="18"/>
      </w:rPr>
      <w:fldChar w:fldCharType="separate"/>
    </w:r>
    <w:r w:rsidR="002678F1">
      <w:rPr>
        <w:noProof/>
        <w:sz w:val="18"/>
        <w:szCs w:val="18"/>
      </w:rPr>
      <w:t>7</w:t>
    </w:r>
    <w:r w:rsidRPr="00D848E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Pr="00A56A99" w:rsidRDefault="00AC2385" w:rsidP="00A40507">
    <w:pPr>
      <w:pStyle w:val="Footer"/>
    </w:pPr>
    <w:r>
      <w:rPr>
        <w:noProof/>
        <w:lang w:eastAsia="en-AU"/>
      </w:rPr>
      <w:drawing>
        <wp:anchor distT="0" distB="0" distL="114300" distR="114300" simplePos="0" relativeHeight="251655680" behindDoc="1" locked="0" layoutInCell="1" allowOverlap="1" wp14:anchorId="78B6C29E" wp14:editId="456AF026">
          <wp:simplePos x="0" y="0"/>
          <wp:positionH relativeFrom="column">
            <wp:posOffset>-266065</wp:posOffset>
          </wp:positionH>
          <wp:positionV relativeFrom="paragraph">
            <wp:posOffset>-406400</wp:posOffset>
          </wp:positionV>
          <wp:extent cx="1561465" cy="606650"/>
          <wp:effectExtent l="0" t="0" r="635" b="3175"/>
          <wp:wrapNone/>
          <wp:docPr id="22" name="Picture 22" descr="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DeliveredNDIA.jpg"/>
                  <pic:cNvPicPr/>
                </pic:nvPicPr>
                <pic:blipFill>
                  <a:blip r:embed="rId1">
                    <a:extLst>
                      <a:ext uri="{28A0092B-C50C-407E-A947-70E740481C1C}">
                        <a14:useLocalDpi xmlns:a14="http://schemas.microsoft.com/office/drawing/2010/main" val="0"/>
                      </a:ext>
                    </a:extLst>
                  </a:blip>
                  <a:stretch>
                    <a:fillRect/>
                  </a:stretch>
                </pic:blipFill>
                <pic:spPr>
                  <a:xfrm>
                    <a:off x="0" y="0"/>
                    <a:ext cx="1562631" cy="6071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3E" w:rsidRDefault="0046453E" w:rsidP="00234943">
      <w:r>
        <w:separator/>
      </w:r>
    </w:p>
  </w:footnote>
  <w:footnote w:type="continuationSeparator" w:id="0">
    <w:p w:rsidR="0046453E" w:rsidRDefault="0046453E" w:rsidP="0023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Default="00AC2385" w:rsidP="00F3774C">
    <w:pPr>
      <w:pStyle w:val="Header"/>
      <w:tabs>
        <w:tab w:val="clear" w:pos="4513"/>
      </w:tabs>
      <w:rPr>
        <w:rFonts w:cstheme="minorBidi"/>
        <w:b/>
        <w:color w:val="652F76"/>
      </w:rPr>
    </w:pPr>
    <w:r>
      <w:rPr>
        <w:rFonts w:cstheme="minorBidi"/>
        <w:b/>
        <w:color w:val="652F76"/>
      </w:rPr>
      <w:t xml:space="preserve">                                                                                        </w:t>
    </w:r>
    <w:r>
      <w:rPr>
        <w:noProof/>
        <w:lang w:eastAsia="en-AU"/>
      </w:rPr>
      <w:drawing>
        <wp:inline distT="0" distB="0" distL="0" distR="0" wp14:anchorId="480028D5" wp14:editId="492B425A">
          <wp:extent cx="2276475" cy="5397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rsidR="00AC2385" w:rsidRDefault="00AC2385" w:rsidP="00F3774C">
    <w:pPr>
      <w:pStyle w:val="Header"/>
      <w:tabs>
        <w:tab w:val="clear" w:pos="4513"/>
        <w:tab w:val="clear" w:pos="9026"/>
        <w:tab w:val="left" w:pos="274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5" w:rsidRDefault="00AC2385" w:rsidP="00A40507">
    <w:pPr>
      <w:pStyle w:val="NoSpacing"/>
      <w:jc w:val="left"/>
    </w:pPr>
  </w:p>
  <w:p w:rsidR="00AC2385" w:rsidRPr="00754CFC" w:rsidRDefault="00AC2385" w:rsidP="009D69A1">
    <w:pPr>
      <w:tabs>
        <w:tab w:val="right" w:pos="9214"/>
      </w:tabs>
    </w:pPr>
    <w:r>
      <w:rPr>
        <w:noProof/>
        <w:lang w:eastAsia="en-AU"/>
      </w:rPr>
      <mc:AlternateContent>
        <mc:Choice Requires="wps">
          <w:drawing>
            <wp:anchor distT="0" distB="0" distL="114300" distR="114300" simplePos="0" relativeHeight="251658752" behindDoc="0" locked="0" layoutInCell="1" allowOverlap="1" wp14:anchorId="104B9487" wp14:editId="3E8DBD3C">
              <wp:simplePos x="0" y="0"/>
              <wp:positionH relativeFrom="page">
                <wp:posOffset>5903958</wp:posOffset>
              </wp:positionH>
              <wp:positionV relativeFrom="page">
                <wp:posOffset>1109965</wp:posOffset>
              </wp:positionV>
              <wp:extent cx="1371600" cy="81397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371600" cy="813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C2385" w:rsidRDefault="00AC2385" w:rsidP="00A40507">
                          <w:pPr>
                            <w:spacing w:after="120"/>
                            <w:rPr>
                              <w:rFonts w:ascii="FS Me Light" w:hAnsi="FS Me Light"/>
                              <w:color w:val="59595B"/>
                              <w:sz w:val="19"/>
                              <w:szCs w:val="19"/>
                            </w:rPr>
                          </w:pPr>
                          <w:r>
                            <w:rPr>
                              <w:rFonts w:ascii="FS Me Light" w:hAnsi="FS Me Light"/>
                              <w:color w:val="59595B"/>
                              <w:sz w:val="19"/>
                              <w:szCs w:val="19"/>
                            </w:rPr>
                            <w:t>GPO Box 700</w:t>
                          </w:r>
                          <w:r>
                            <w:rPr>
                              <w:rFonts w:ascii="FS Me Light" w:hAnsi="FS Me Light"/>
                              <w:color w:val="59595B"/>
                              <w:sz w:val="19"/>
                              <w:szCs w:val="19"/>
                            </w:rPr>
                            <w:br/>
                            <w:t>Canberra  ACT  2601</w:t>
                          </w:r>
                          <w:r>
                            <w:rPr>
                              <w:rFonts w:ascii="FS Me Light" w:hAnsi="FS Me Light"/>
                              <w:color w:val="59595B"/>
                              <w:sz w:val="19"/>
                              <w:szCs w:val="19"/>
                            </w:rPr>
                            <w:br/>
                          </w:r>
                          <w:r w:rsidRPr="005736DD">
                            <w:rPr>
                              <w:rFonts w:ascii="FS Me Light" w:hAnsi="FS Me Light"/>
                              <w:color w:val="59595B"/>
                              <w:sz w:val="19"/>
                              <w:szCs w:val="19"/>
                            </w:rPr>
                            <w:t>1800 800 110</w:t>
                          </w:r>
                        </w:p>
                        <w:p w:rsidR="00AC2385" w:rsidRPr="005736DD" w:rsidRDefault="00AC2385" w:rsidP="00A40507">
                          <w:pPr>
                            <w:spacing w:after="120"/>
                            <w:rPr>
                              <w:rFonts w:ascii="FS Me Light" w:hAnsi="FS Me Light"/>
                              <w:color w:val="5E2D73"/>
                              <w:sz w:val="19"/>
                              <w:szCs w:val="19"/>
                            </w:rPr>
                          </w:pPr>
                          <w:r w:rsidRPr="005736DD">
                            <w:rPr>
                              <w:rFonts w:ascii="FS Me Light" w:hAnsi="FS Me Light"/>
                              <w:color w:val="5E2D73"/>
                              <w:sz w:val="19"/>
                              <w:szCs w:val="19"/>
                            </w:rPr>
                            <w:t>ndis.gov.au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B9487" id="_x0000_t202" coordsize="21600,21600" o:spt="202" path="m,l,21600r21600,l21600,xe">
              <v:stroke joinstyle="miter"/>
              <v:path gradientshapeok="t" o:connecttype="rect"/>
            </v:shapetype>
            <v:shape id="Text Box 7" o:spid="_x0000_s1026" type="#_x0000_t202" style="position:absolute;margin-left:464.9pt;margin-top:87.4pt;width:108pt;height:64.1pt;z-index:2516587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" filled="f" stroked="f">
              <v:textbox>
                <w:txbxContent>
                  <w:p w:rsidR="00AC2385" w:rsidRDefault="00AC2385" w:rsidP="00A40507">
                    <w:pPr>
                      <w:spacing w:after="120"/>
                      <w:rPr>
                        <w:rFonts w:ascii="FS Me Light" w:hAnsi="FS Me Light"/>
                        <w:color w:val="59595B"/>
                        <w:sz w:val="19"/>
                        <w:szCs w:val="19"/>
                      </w:rPr>
                    </w:pPr>
                    <w:r>
                      <w:rPr>
                        <w:rFonts w:ascii="FS Me Light" w:hAnsi="FS Me Light"/>
                        <w:color w:val="59595B"/>
                        <w:sz w:val="19"/>
                        <w:szCs w:val="19"/>
                      </w:rPr>
                      <w:t>GPO Box 700</w:t>
                    </w:r>
                    <w:r>
                      <w:rPr>
                        <w:rFonts w:ascii="FS Me Light" w:hAnsi="FS Me Light"/>
                        <w:color w:val="59595B"/>
                        <w:sz w:val="19"/>
                        <w:szCs w:val="19"/>
                      </w:rPr>
                      <w:br/>
                    </w:r>
                    <w:proofErr w:type="gramStart"/>
                    <w:r>
                      <w:rPr>
                        <w:rFonts w:ascii="FS Me Light" w:hAnsi="FS Me Light"/>
                        <w:color w:val="59595B"/>
                        <w:sz w:val="19"/>
                        <w:szCs w:val="19"/>
                      </w:rPr>
                      <w:t>Canberra  ACT</w:t>
                    </w:r>
                    <w:proofErr w:type="gramEnd"/>
                    <w:r>
                      <w:rPr>
                        <w:rFonts w:ascii="FS Me Light" w:hAnsi="FS Me Light"/>
                        <w:color w:val="59595B"/>
                        <w:sz w:val="19"/>
                        <w:szCs w:val="19"/>
                      </w:rPr>
                      <w:t xml:space="preserve">  2601</w:t>
                    </w:r>
                    <w:r>
                      <w:rPr>
                        <w:rFonts w:ascii="FS Me Light" w:hAnsi="FS Me Light"/>
                        <w:color w:val="59595B"/>
                        <w:sz w:val="19"/>
                        <w:szCs w:val="19"/>
                      </w:rPr>
                      <w:br/>
                    </w:r>
                    <w:r w:rsidRPr="005736DD">
                      <w:rPr>
                        <w:rFonts w:ascii="FS Me Light" w:hAnsi="FS Me Light"/>
                        <w:color w:val="59595B"/>
                        <w:sz w:val="19"/>
                        <w:szCs w:val="19"/>
                      </w:rPr>
                      <w:t>1800 800 110</w:t>
                    </w:r>
                  </w:p>
                  <w:p w:rsidR="00AC2385" w:rsidRPr="005736DD" w:rsidRDefault="00AC2385" w:rsidP="00A40507">
                    <w:pPr>
                      <w:spacing w:after="120"/>
                      <w:rPr>
                        <w:rFonts w:ascii="FS Me Light" w:hAnsi="FS Me Light"/>
                        <w:color w:val="5E2D73"/>
                        <w:sz w:val="19"/>
                        <w:szCs w:val="19"/>
                      </w:rPr>
                    </w:pPr>
                    <w:r w:rsidRPr="005736DD">
                      <w:rPr>
                        <w:rFonts w:ascii="FS Me Light" w:hAnsi="FS Me Light"/>
                        <w:color w:val="5E2D73"/>
                        <w:sz w:val="19"/>
                        <w:szCs w:val="19"/>
                      </w:rPr>
                      <w:t>ndis.gov.au</w:t>
                    </w:r>
                  </w:p>
                </w:txbxContent>
              </v:textbox>
              <w10:wrap anchorx="page" anchory="page"/>
            </v:shape>
          </w:pict>
        </mc:Fallback>
      </mc:AlternateContent>
    </w:r>
    <w:r>
      <w:rPr>
        <w:noProof/>
        <w:lang w:eastAsia="en-AU"/>
      </w:rPr>
      <w:drawing>
        <wp:anchor distT="0" distB="0" distL="114300" distR="114300" simplePos="0" relativeHeight="251654656" behindDoc="1" locked="0" layoutInCell="1" allowOverlap="1" wp14:anchorId="5EA1777E" wp14:editId="08367866">
          <wp:simplePos x="0" y="0"/>
          <wp:positionH relativeFrom="page">
            <wp:posOffset>5941060</wp:posOffset>
          </wp:positionH>
          <wp:positionV relativeFrom="page">
            <wp:posOffset>360045</wp:posOffset>
          </wp:positionV>
          <wp:extent cx="1244600" cy="647065"/>
          <wp:effectExtent l="0" t="0" r="0" b="635"/>
          <wp:wrapNone/>
          <wp:docPr id="21" name="Picture 21" descr="National Disability Insurance Scheme"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244600" cy="64706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645AD"/>
    <w:multiLevelType w:val="hybridMultilevel"/>
    <w:tmpl w:val="5E02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71332E"/>
    <w:multiLevelType w:val="hybridMultilevel"/>
    <w:tmpl w:val="38581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3368F4"/>
    <w:multiLevelType w:val="hybridMultilevel"/>
    <w:tmpl w:val="5FE8C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58"/>
    <w:rsid w:val="000163DC"/>
    <w:rsid w:val="000467A2"/>
    <w:rsid w:val="00062BD4"/>
    <w:rsid w:val="000803D1"/>
    <w:rsid w:val="000E16F4"/>
    <w:rsid w:val="00105211"/>
    <w:rsid w:val="0019619A"/>
    <w:rsid w:val="001A317B"/>
    <w:rsid w:val="001C45E8"/>
    <w:rsid w:val="001D33DA"/>
    <w:rsid w:val="001E630D"/>
    <w:rsid w:val="00232815"/>
    <w:rsid w:val="00234943"/>
    <w:rsid w:val="00262B54"/>
    <w:rsid w:val="002638A6"/>
    <w:rsid w:val="002678F1"/>
    <w:rsid w:val="002707E7"/>
    <w:rsid w:val="0028521A"/>
    <w:rsid w:val="002A4A28"/>
    <w:rsid w:val="002D4C4F"/>
    <w:rsid w:val="002F0956"/>
    <w:rsid w:val="00380692"/>
    <w:rsid w:val="003B21AB"/>
    <w:rsid w:val="003B2BB8"/>
    <w:rsid w:val="003D34FF"/>
    <w:rsid w:val="003E2449"/>
    <w:rsid w:val="00424982"/>
    <w:rsid w:val="00455CC1"/>
    <w:rsid w:val="0046453E"/>
    <w:rsid w:val="004B54CA"/>
    <w:rsid w:val="004D1B91"/>
    <w:rsid w:val="004E20F3"/>
    <w:rsid w:val="004E5CBF"/>
    <w:rsid w:val="005366EF"/>
    <w:rsid w:val="005863BA"/>
    <w:rsid w:val="005A75A7"/>
    <w:rsid w:val="005B3A84"/>
    <w:rsid w:val="005B43CC"/>
    <w:rsid w:val="005C3AA9"/>
    <w:rsid w:val="006358C9"/>
    <w:rsid w:val="00652EF2"/>
    <w:rsid w:val="006813B4"/>
    <w:rsid w:val="00683AC0"/>
    <w:rsid w:val="006A031D"/>
    <w:rsid w:val="006A4CE7"/>
    <w:rsid w:val="006F3528"/>
    <w:rsid w:val="00754CFC"/>
    <w:rsid w:val="007645B2"/>
    <w:rsid w:val="007733A1"/>
    <w:rsid w:val="00785261"/>
    <w:rsid w:val="0079138F"/>
    <w:rsid w:val="00792928"/>
    <w:rsid w:val="007B0256"/>
    <w:rsid w:val="007D4919"/>
    <w:rsid w:val="00840206"/>
    <w:rsid w:val="00841098"/>
    <w:rsid w:val="00854C6C"/>
    <w:rsid w:val="00877171"/>
    <w:rsid w:val="008D71AB"/>
    <w:rsid w:val="00921ED9"/>
    <w:rsid w:val="009225F0"/>
    <w:rsid w:val="00955B2C"/>
    <w:rsid w:val="009D230D"/>
    <w:rsid w:val="009D69A1"/>
    <w:rsid w:val="00A273D3"/>
    <w:rsid w:val="00A376D6"/>
    <w:rsid w:val="00A40507"/>
    <w:rsid w:val="00A62EC8"/>
    <w:rsid w:val="00AA0BEE"/>
    <w:rsid w:val="00AA5AD3"/>
    <w:rsid w:val="00AC2385"/>
    <w:rsid w:val="00AF1492"/>
    <w:rsid w:val="00B06F36"/>
    <w:rsid w:val="00B13E58"/>
    <w:rsid w:val="00B25E31"/>
    <w:rsid w:val="00B546B7"/>
    <w:rsid w:val="00BA2DB9"/>
    <w:rsid w:val="00BC305C"/>
    <w:rsid w:val="00BE7148"/>
    <w:rsid w:val="00C7132F"/>
    <w:rsid w:val="00C970CC"/>
    <w:rsid w:val="00CB6076"/>
    <w:rsid w:val="00CD503F"/>
    <w:rsid w:val="00CE61B1"/>
    <w:rsid w:val="00D21455"/>
    <w:rsid w:val="00D55E39"/>
    <w:rsid w:val="00D630EE"/>
    <w:rsid w:val="00D71B98"/>
    <w:rsid w:val="00D74B92"/>
    <w:rsid w:val="00D848E6"/>
    <w:rsid w:val="00D972ED"/>
    <w:rsid w:val="00DC0F66"/>
    <w:rsid w:val="00DE3A38"/>
    <w:rsid w:val="00E37FF1"/>
    <w:rsid w:val="00E40BA9"/>
    <w:rsid w:val="00E507F1"/>
    <w:rsid w:val="00EB1653"/>
    <w:rsid w:val="00F33595"/>
    <w:rsid w:val="00F35D24"/>
    <w:rsid w:val="00F368A0"/>
    <w:rsid w:val="00F3774C"/>
    <w:rsid w:val="00F62689"/>
    <w:rsid w:val="00F62A56"/>
    <w:rsid w:val="00F96884"/>
    <w:rsid w:val="00FA1BE8"/>
    <w:rsid w:val="00FB7DDB"/>
    <w:rsid w:val="00FD782C"/>
    <w:rsid w:val="00FE1A51"/>
    <w:rsid w:val="00FE2CD5"/>
    <w:rsid w:val="00FE3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9FDAE-7EBA-4E3A-9CBE-31E40B76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43"/>
    <w:rPr>
      <w:rFonts w:ascii="Arial" w:hAnsi="Arial" w:cs="Arial"/>
    </w:rPr>
  </w:style>
  <w:style w:type="paragraph" w:styleId="Heading1">
    <w:name w:val="heading 1"/>
    <w:aliases w:val="Normal (Bold)"/>
    <w:basedOn w:val="Normal"/>
    <w:next w:val="Normal"/>
    <w:link w:val="Heading1Char"/>
    <w:uiPriority w:val="9"/>
    <w:qFormat/>
    <w:rsid w:val="00F368A0"/>
    <w:pPr>
      <w:spacing w:before="480"/>
      <w:contextualSpacing/>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358C9"/>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358C9"/>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6358C9"/>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6358C9"/>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6358C9"/>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6358C9"/>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6358C9"/>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6358C9"/>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 (Bold) Char"/>
    <w:basedOn w:val="DefaultParagraphFont"/>
    <w:link w:val="Heading1"/>
    <w:uiPriority w:val="9"/>
    <w:rsid w:val="00F368A0"/>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6358C9"/>
    <w:rPr>
      <w:rFonts w:ascii="Arial" w:eastAsiaTheme="majorEastAsia" w:hAnsi="Arial" w:cstheme="majorBidi"/>
      <w:b/>
      <w:bCs/>
      <w:sz w:val="26"/>
      <w:szCs w:val="26"/>
    </w:rPr>
  </w:style>
  <w:style w:type="paragraph" w:styleId="NoSpacing">
    <w:name w:val="No Spacing"/>
    <w:aliases w:val="Normal (Right)"/>
    <w:basedOn w:val="Normal"/>
    <w:link w:val="NoSpacingChar"/>
    <w:uiPriority w:val="1"/>
    <w:qFormat/>
    <w:rsid w:val="00234943"/>
    <w:pPr>
      <w:jc w:val="right"/>
    </w:pPr>
  </w:style>
  <w:style w:type="character" w:customStyle="1" w:styleId="Heading3Char">
    <w:name w:val="Heading 3 Char"/>
    <w:basedOn w:val="DefaultParagraphFont"/>
    <w:link w:val="Heading3"/>
    <w:uiPriority w:val="9"/>
    <w:rsid w:val="006358C9"/>
    <w:rPr>
      <w:rFonts w:ascii="Arial" w:eastAsiaTheme="majorEastAsia" w:hAnsi="Arial" w:cstheme="majorBidi"/>
      <w:b/>
      <w:bCs/>
    </w:rPr>
  </w:style>
  <w:style w:type="character" w:customStyle="1" w:styleId="Heading4Char">
    <w:name w:val="Heading 4 Char"/>
    <w:basedOn w:val="DefaultParagraphFont"/>
    <w:link w:val="Heading4"/>
    <w:uiPriority w:val="9"/>
    <w:rsid w:val="006358C9"/>
    <w:rPr>
      <w:rFonts w:ascii="Arial" w:eastAsiaTheme="majorEastAsia" w:hAnsi="Arial" w:cstheme="majorBidi"/>
      <w:b/>
      <w:bCs/>
      <w:i/>
      <w:iCs/>
    </w:rPr>
  </w:style>
  <w:style w:type="character" w:customStyle="1" w:styleId="Heading5Char">
    <w:name w:val="Heading 5 Char"/>
    <w:basedOn w:val="DefaultParagraphFont"/>
    <w:link w:val="Heading5"/>
    <w:uiPriority w:val="9"/>
    <w:rsid w:val="006358C9"/>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6358C9"/>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6358C9"/>
    <w:rPr>
      <w:rFonts w:ascii="Arial" w:eastAsiaTheme="majorEastAsia" w:hAnsi="Arial" w:cstheme="majorBidi"/>
      <w:i/>
      <w:iCs/>
    </w:rPr>
  </w:style>
  <w:style w:type="character" w:customStyle="1" w:styleId="Heading8Char">
    <w:name w:val="Heading 8 Char"/>
    <w:basedOn w:val="DefaultParagraphFont"/>
    <w:link w:val="Heading8"/>
    <w:uiPriority w:val="9"/>
    <w:rsid w:val="006358C9"/>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6358C9"/>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6358C9"/>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358C9"/>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6358C9"/>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6358C9"/>
    <w:rPr>
      <w:rFonts w:ascii="Arial" w:eastAsiaTheme="majorEastAsia" w:hAnsi="Arial" w:cstheme="majorBidi"/>
      <w:i/>
      <w:iCs/>
      <w:spacing w:val="13"/>
      <w:sz w:val="24"/>
      <w:szCs w:val="24"/>
    </w:rPr>
  </w:style>
  <w:style w:type="character" w:styleId="SubtleEmphasis">
    <w:name w:val="Subtle Emphasis"/>
    <w:uiPriority w:val="19"/>
    <w:qFormat/>
    <w:rsid w:val="006358C9"/>
    <w:rPr>
      <w:i/>
      <w:iCs/>
    </w:rPr>
  </w:style>
  <w:style w:type="character" w:styleId="Strong">
    <w:name w:val="Strong"/>
    <w:uiPriority w:val="22"/>
    <w:qFormat/>
    <w:rsid w:val="006358C9"/>
    <w:rPr>
      <w:b/>
      <w:bCs/>
    </w:rPr>
  </w:style>
  <w:style w:type="paragraph" w:styleId="ListParagraph">
    <w:name w:val="List Paragraph"/>
    <w:basedOn w:val="Normal"/>
    <w:uiPriority w:val="34"/>
    <w:qFormat/>
    <w:rsid w:val="006358C9"/>
    <w:pPr>
      <w:ind w:left="720"/>
      <w:contextualSpacing/>
    </w:pPr>
  </w:style>
  <w:style w:type="character" w:styleId="Emphasis">
    <w:name w:val="Emphasis"/>
    <w:uiPriority w:val="20"/>
    <w:qFormat/>
    <w:rsid w:val="006358C9"/>
    <w:rPr>
      <w:b/>
      <w:bCs/>
      <w:i/>
      <w:iCs/>
      <w:spacing w:val="10"/>
      <w:bdr w:val="none" w:sz="0" w:space="0" w:color="auto"/>
      <w:shd w:val="clear" w:color="auto" w:fill="auto"/>
    </w:rPr>
  </w:style>
  <w:style w:type="character" w:styleId="IntenseEmphasis">
    <w:name w:val="Intense Emphasis"/>
    <w:uiPriority w:val="21"/>
    <w:qFormat/>
    <w:rsid w:val="006358C9"/>
    <w:rPr>
      <w:b/>
      <w:bCs/>
    </w:rPr>
  </w:style>
  <w:style w:type="paragraph" w:styleId="Quote">
    <w:name w:val="Quote"/>
    <w:basedOn w:val="Normal"/>
    <w:next w:val="Normal"/>
    <w:link w:val="QuoteChar"/>
    <w:uiPriority w:val="29"/>
    <w:qFormat/>
    <w:rsid w:val="006358C9"/>
    <w:pPr>
      <w:spacing w:before="200"/>
      <w:ind w:left="360" w:right="360"/>
    </w:pPr>
    <w:rPr>
      <w:i/>
      <w:iCs/>
    </w:rPr>
  </w:style>
  <w:style w:type="character" w:customStyle="1" w:styleId="QuoteChar">
    <w:name w:val="Quote Char"/>
    <w:basedOn w:val="DefaultParagraphFont"/>
    <w:link w:val="Quote"/>
    <w:uiPriority w:val="29"/>
    <w:rsid w:val="006358C9"/>
    <w:rPr>
      <w:rFonts w:ascii="Arial" w:hAnsi="Arial"/>
      <w:i/>
      <w:iCs/>
    </w:rPr>
  </w:style>
  <w:style w:type="paragraph" w:styleId="IntenseQuote">
    <w:name w:val="Intense Quote"/>
    <w:basedOn w:val="Normal"/>
    <w:next w:val="Normal"/>
    <w:link w:val="IntenseQuoteChar"/>
    <w:uiPriority w:val="30"/>
    <w:qFormat/>
    <w:rsid w:val="006358C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358C9"/>
    <w:rPr>
      <w:rFonts w:ascii="Arial" w:hAnsi="Arial"/>
      <w:b/>
      <w:bCs/>
      <w:i/>
      <w:iCs/>
    </w:rPr>
  </w:style>
  <w:style w:type="character" w:styleId="SubtleReference">
    <w:name w:val="Subtle Reference"/>
    <w:uiPriority w:val="31"/>
    <w:qFormat/>
    <w:rsid w:val="006358C9"/>
    <w:rPr>
      <w:smallCaps/>
    </w:rPr>
  </w:style>
  <w:style w:type="character" w:styleId="IntenseReference">
    <w:name w:val="Intense Reference"/>
    <w:uiPriority w:val="32"/>
    <w:qFormat/>
    <w:rsid w:val="006358C9"/>
    <w:rPr>
      <w:smallCaps/>
      <w:spacing w:val="5"/>
      <w:u w:val="single"/>
    </w:rPr>
  </w:style>
  <w:style w:type="character" w:styleId="BookTitle">
    <w:name w:val="Book Title"/>
    <w:uiPriority w:val="33"/>
    <w:qFormat/>
    <w:rsid w:val="006358C9"/>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6358C9"/>
    <w:pPr>
      <w:outlineLvl w:val="9"/>
    </w:pPr>
    <w:rPr>
      <w:lang w:bidi="en-US"/>
    </w:rPr>
  </w:style>
  <w:style w:type="character" w:customStyle="1" w:styleId="NoSpacingChar">
    <w:name w:val="No Spacing Char"/>
    <w:aliases w:val="Normal (Right) Char"/>
    <w:basedOn w:val="DefaultParagraphFont"/>
    <w:link w:val="NoSpacing"/>
    <w:uiPriority w:val="1"/>
    <w:rsid w:val="00234943"/>
    <w:rPr>
      <w:rFonts w:ascii="Arial" w:hAnsi="Arial" w:cs="Arial"/>
    </w:rPr>
  </w:style>
  <w:style w:type="paragraph" w:styleId="Header">
    <w:name w:val="header"/>
    <w:basedOn w:val="Normal"/>
    <w:link w:val="HeaderChar"/>
    <w:uiPriority w:val="99"/>
    <w:unhideWhenUsed/>
    <w:rsid w:val="00B13E58"/>
    <w:pPr>
      <w:tabs>
        <w:tab w:val="center" w:pos="4513"/>
        <w:tab w:val="right" w:pos="9026"/>
      </w:tabs>
    </w:pPr>
  </w:style>
  <w:style w:type="character" w:customStyle="1" w:styleId="HeaderChar">
    <w:name w:val="Header Char"/>
    <w:basedOn w:val="DefaultParagraphFont"/>
    <w:link w:val="Header"/>
    <w:uiPriority w:val="99"/>
    <w:rsid w:val="00B13E58"/>
    <w:rPr>
      <w:rFonts w:ascii="Arial" w:hAnsi="Arial"/>
    </w:rPr>
  </w:style>
  <w:style w:type="paragraph" w:styleId="Footer">
    <w:name w:val="footer"/>
    <w:basedOn w:val="Normal"/>
    <w:link w:val="FooterChar"/>
    <w:uiPriority w:val="99"/>
    <w:unhideWhenUsed/>
    <w:rsid w:val="00B13E58"/>
    <w:pPr>
      <w:tabs>
        <w:tab w:val="center" w:pos="4513"/>
        <w:tab w:val="right" w:pos="9026"/>
      </w:tabs>
    </w:pPr>
  </w:style>
  <w:style w:type="character" w:customStyle="1" w:styleId="FooterChar">
    <w:name w:val="Footer Char"/>
    <w:basedOn w:val="DefaultParagraphFont"/>
    <w:link w:val="Footer"/>
    <w:uiPriority w:val="99"/>
    <w:rsid w:val="00B13E58"/>
    <w:rPr>
      <w:rFonts w:ascii="Arial" w:hAnsi="Arial"/>
    </w:rPr>
  </w:style>
  <w:style w:type="paragraph" w:customStyle="1" w:styleId="AuthorBlock">
    <w:name w:val="Author Block"/>
    <w:basedOn w:val="Normal"/>
    <w:semiHidden/>
    <w:rsid w:val="00B13E58"/>
  </w:style>
  <w:style w:type="paragraph" w:customStyle="1" w:styleId="SingleParagraph">
    <w:name w:val="Single Paragraph"/>
    <w:basedOn w:val="Normal"/>
    <w:rsid w:val="00B13E58"/>
    <w:rPr>
      <w:rFonts w:ascii="Palatino" w:hAnsi="Palatino"/>
    </w:rPr>
  </w:style>
  <w:style w:type="paragraph" w:customStyle="1" w:styleId="PurpleFooter">
    <w:name w:val="Purple Footer"/>
    <w:basedOn w:val="Normal"/>
    <w:rsid w:val="00B13E58"/>
    <w:pPr>
      <w:spacing w:line="288" w:lineRule="auto"/>
    </w:pPr>
    <w:rPr>
      <w:rFonts w:eastAsia="Calibri"/>
      <w:color w:val="6B2976"/>
    </w:rPr>
  </w:style>
  <w:style w:type="character" w:styleId="PlaceholderText">
    <w:name w:val="Placeholder Text"/>
    <w:basedOn w:val="DefaultParagraphFont"/>
    <w:uiPriority w:val="99"/>
    <w:semiHidden/>
    <w:rsid w:val="00FB7DDB"/>
    <w:rPr>
      <w:color w:val="808080"/>
    </w:rPr>
  </w:style>
  <w:style w:type="paragraph" w:styleId="BalloonText">
    <w:name w:val="Balloon Text"/>
    <w:basedOn w:val="Normal"/>
    <w:link w:val="BalloonTextChar"/>
    <w:uiPriority w:val="99"/>
    <w:semiHidden/>
    <w:unhideWhenUsed/>
    <w:rsid w:val="00FB7DDB"/>
    <w:rPr>
      <w:rFonts w:ascii="Tahoma" w:hAnsi="Tahoma" w:cs="Tahoma"/>
      <w:sz w:val="16"/>
      <w:szCs w:val="16"/>
    </w:rPr>
  </w:style>
  <w:style w:type="character" w:customStyle="1" w:styleId="BalloonTextChar">
    <w:name w:val="Balloon Text Char"/>
    <w:basedOn w:val="DefaultParagraphFont"/>
    <w:link w:val="BalloonText"/>
    <w:uiPriority w:val="99"/>
    <w:semiHidden/>
    <w:rsid w:val="00FB7DDB"/>
    <w:rPr>
      <w:rFonts w:ascii="Tahoma" w:eastAsia="Times New Roman" w:hAnsi="Tahoma" w:cs="Tahoma"/>
      <w:sz w:val="16"/>
      <w:szCs w:val="16"/>
      <w:lang w:eastAsia="en-AU"/>
    </w:rPr>
  </w:style>
  <w:style w:type="character" w:customStyle="1" w:styleId="ClearingOfficer">
    <w:name w:val="Clearing Officer"/>
    <w:basedOn w:val="DefaultParagraphFont"/>
    <w:uiPriority w:val="1"/>
    <w:rsid w:val="00A62EC8"/>
    <w:rPr>
      <w:rFonts w:ascii="Arial" w:hAnsi="Arial"/>
      <w:b/>
      <w:caps w:val="0"/>
      <w:smallCaps w:val="0"/>
      <w:strike w:val="0"/>
      <w:dstrike w:val="0"/>
      <w:vanish w:val="0"/>
      <w:color w:val="auto"/>
      <w:kern w:val="0"/>
      <w:sz w:val="22"/>
      <w:u w:val="none"/>
      <w:vertAlign w:val="baseline"/>
      <w14:cntxtAlts w14:val="0"/>
    </w:rPr>
  </w:style>
  <w:style w:type="table" w:styleId="TableGrid">
    <w:name w:val="Table Grid"/>
    <w:basedOn w:val="TableNormal"/>
    <w:uiPriority w:val="59"/>
    <w:rsid w:val="00D5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A1"/>
    <w:rPr>
      <w:color w:val="0000FF" w:themeColor="hyperlink"/>
      <w:u w:val="single"/>
    </w:rPr>
  </w:style>
  <w:style w:type="character" w:styleId="FollowedHyperlink">
    <w:name w:val="FollowedHyperlink"/>
    <w:basedOn w:val="DefaultParagraphFont"/>
    <w:uiPriority w:val="99"/>
    <w:semiHidden/>
    <w:unhideWhenUsed/>
    <w:rsid w:val="009D69A1"/>
    <w:rPr>
      <w:color w:val="800080" w:themeColor="followedHyperlink"/>
      <w:u w:val="single"/>
    </w:rPr>
  </w:style>
  <w:style w:type="table" w:customStyle="1" w:styleId="TableGrid1">
    <w:name w:val="Table Grid1"/>
    <w:basedOn w:val="TableNormal"/>
    <w:next w:val="TableGrid"/>
    <w:uiPriority w:val="39"/>
    <w:rsid w:val="009D69A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0361">
      <w:bodyDiv w:val="1"/>
      <w:marLeft w:val="0"/>
      <w:marRight w:val="0"/>
      <w:marTop w:val="0"/>
      <w:marBottom w:val="0"/>
      <w:divBdr>
        <w:top w:val="none" w:sz="0" w:space="0" w:color="auto"/>
        <w:left w:val="none" w:sz="0" w:space="0" w:color="auto"/>
        <w:bottom w:val="none" w:sz="0" w:space="0" w:color="auto"/>
        <w:right w:val="none" w:sz="0" w:space="0" w:color="auto"/>
      </w:divBdr>
    </w:div>
    <w:div w:id="11499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news/ipr-implementation-updat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independent-pricing-review.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9C2007D-9B9B-4EA2-977F-D124F9839500}"/>
      </w:docPartPr>
      <w:docPartBody>
        <w:p w:rsidR="00C5319E" w:rsidRDefault="00D73F56">
          <w:r w:rsidRPr="004F46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56"/>
    <w:rsid w:val="00076467"/>
    <w:rsid w:val="000C07AA"/>
    <w:rsid w:val="00256E1A"/>
    <w:rsid w:val="002A129B"/>
    <w:rsid w:val="003E5AA7"/>
    <w:rsid w:val="00412A9F"/>
    <w:rsid w:val="00512D14"/>
    <w:rsid w:val="00564A59"/>
    <w:rsid w:val="005B4AB7"/>
    <w:rsid w:val="005E609A"/>
    <w:rsid w:val="006B1D3D"/>
    <w:rsid w:val="006F11DF"/>
    <w:rsid w:val="00703B1D"/>
    <w:rsid w:val="0078174E"/>
    <w:rsid w:val="00991281"/>
    <w:rsid w:val="00B44241"/>
    <w:rsid w:val="00BA3E8C"/>
    <w:rsid w:val="00BD1C9E"/>
    <w:rsid w:val="00C435A1"/>
    <w:rsid w:val="00C5319E"/>
    <w:rsid w:val="00D73F56"/>
    <w:rsid w:val="00DC5BBA"/>
    <w:rsid w:val="00E15B61"/>
    <w:rsid w:val="00E43982"/>
    <w:rsid w:val="00E65EA0"/>
    <w:rsid w:val="00E83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DFFB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D14"/>
    <w:rPr>
      <w:color w:val="808080"/>
    </w:rPr>
  </w:style>
  <w:style w:type="paragraph" w:customStyle="1" w:styleId="D441912EF182461090343104D122E250">
    <w:name w:val="D441912EF182461090343104D122E250"/>
    <w:rsid w:val="00D73F56"/>
    <w:pPr>
      <w:spacing w:after="0" w:line="240" w:lineRule="auto"/>
    </w:pPr>
    <w:rPr>
      <w:rFonts w:ascii="Palatino" w:eastAsia="Times New Roman" w:hAnsi="Palatino" w:cs="Times New Roman"/>
      <w:sz w:val="24"/>
      <w:szCs w:val="20"/>
    </w:rPr>
  </w:style>
  <w:style w:type="paragraph" w:customStyle="1" w:styleId="D441912EF182461090343104D122E2501">
    <w:name w:val="D441912EF182461090343104D122E2501"/>
    <w:rsid w:val="00D73F56"/>
    <w:pPr>
      <w:spacing w:after="0" w:line="240" w:lineRule="auto"/>
    </w:pPr>
    <w:rPr>
      <w:rFonts w:ascii="Palatino" w:eastAsia="Times New Roman" w:hAnsi="Palatino" w:cs="Times New Roman"/>
      <w:sz w:val="24"/>
      <w:szCs w:val="20"/>
    </w:rPr>
  </w:style>
  <w:style w:type="paragraph" w:customStyle="1" w:styleId="D441912EF182461090343104D122E2502">
    <w:name w:val="D441912EF182461090343104D122E2502"/>
    <w:rsid w:val="00D73F56"/>
    <w:pPr>
      <w:spacing w:after="0" w:line="240" w:lineRule="auto"/>
    </w:pPr>
    <w:rPr>
      <w:rFonts w:ascii="Palatino" w:eastAsia="Times New Roman" w:hAnsi="Palatino" w:cs="Times New Roman"/>
      <w:sz w:val="24"/>
      <w:szCs w:val="20"/>
    </w:rPr>
  </w:style>
  <w:style w:type="paragraph" w:customStyle="1" w:styleId="D441912EF182461090343104D122E2503">
    <w:name w:val="D441912EF182461090343104D122E2503"/>
    <w:rsid w:val="00D73F56"/>
    <w:pPr>
      <w:spacing w:after="0" w:line="240" w:lineRule="auto"/>
    </w:pPr>
    <w:rPr>
      <w:rFonts w:ascii="Palatino" w:eastAsia="Times New Roman" w:hAnsi="Palatino" w:cs="Times New Roman"/>
      <w:sz w:val="24"/>
      <w:szCs w:val="20"/>
    </w:rPr>
  </w:style>
  <w:style w:type="paragraph" w:customStyle="1" w:styleId="9D0C3F350AC64899B20911593C6A7D04">
    <w:name w:val="9D0C3F350AC64899B20911593C6A7D04"/>
    <w:rsid w:val="00D73F56"/>
  </w:style>
  <w:style w:type="paragraph" w:customStyle="1" w:styleId="F264A751E56B44E59106169AA51F4139">
    <w:name w:val="F264A751E56B44E59106169AA51F4139"/>
    <w:rsid w:val="00D73F56"/>
  </w:style>
  <w:style w:type="paragraph" w:customStyle="1" w:styleId="D441912EF182461090343104D122E2504">
    <w:name w:val="D441912EF182461090343104D122E2504"/>
    <w:rsid w:val="00D73F56"/>
    <w:pPr>
      <w:spacing w:after="0" w:line="240" w:lineRule="auto"/>
    </w:pPr>
    <w:rPr>
      <w:rFonts w:ascii="Palatino" w:eastAsia="Times New Roman" w:hAnsi="Palatino" w:cs="Times New Roman"/>
      <w:sz w:val="24"/>
      <w:szCs w:val="20"/>
    </w:rPr>
  </w:style>
  <w:style w:type="paragraph" w:customStyle="1" w:styleId="D441912EF182461090343104D122E2505">
    <w:name w:val="D441912EF182461090343104D122E2505"/>
    <w:rsid w:val="00C5319E"/>
    <w:pPr>
      <w:spacing w:after="0" w:line="240" w:lineRule="auto"/>
    </w:pPr>
    <w:rPr>
      <w:rFonts w:ascii="Palatino" w:eastAsia="Times New Roman" w:hAnsi="Palatino" w:cs="Times New Roman"/>
      <w:sz w:val="24"/>
      <w:szCs w:val="20"/>
    </w:rPr>
  </w:style>
  <w:style w:type="paragraph" w:customStyle="1" w:styleId="3B866FFB8D484F6BB831E008D34404DD">
    <w:name w:val="3B866FFB8D484F6BB831E008D34404DD"/>
    <w:rsid w:val="00256E1A"/>
  </w:style>
  <w:style w:type="paragraph" w:customStyle="1" w:styleId="7D126DEB6800479FB5B9ADA343F28816">
    <w:name w:val="7D126DEB6800479FB5B9ADA343F28816"/>
    <w:rsid w:val="00256E1A"/>
  </w:style>
  <w:style w:type="paragraph" w:customStyle="1" w:styleId="49E4D46FE8D14E22A9424BEC09AE67D3">
    <w:name w:val="49E4D46FE8D14E22A9424BEC09AE67D3"/>
    <w:rsid w:val="00C435A1"/>
  </w:style>
  <w:style w:type="paragraph" w:customStyle="1" w:styleId="2882B95A94D4407494C33A964A996596">
    <w:name w:val="2882B95A94D4407494C33A964A996596"/>
    <w:rsid w:val="002A129B"/>
  </w:style>
  <w:style w:type="paragraph" w:customStyle="1" w:styleId="9F87410679ED4A02A006F41BE5B64656">
    <w:name w:val="9F87410679ED4A02A006F41BE5B64656"/>
    <w:rsid w:val="002A129B"/>
  </w:style>
  <w:style w:type="paragraph" w:customStyle="1" w:styleId="D81FE339F3C44841A5A85058039E5FCF">
    <w:name w:val="D81FE339F3C44841A5A85058039E5FCF"/>
    <w:rsid w:val="00512D14"/>
  </w:style>
  <w:style w:type="paragraph" w:customStyle="1" w:styleId="F2FC5C7BC6194FDC9C4D69CFE9133A07">
    <w:name w:val="F2FC5C7BC6194FDC9C4D69CFE9133A07"/>
    <w:rsid w:val="00512D14"/>
  </w:style>
  <w:style w:type="paragraph" w:customStyle="1" w:styleId="5E5D557A9BD9409CA7A407656DC01348">
    <w:name w:val="5E5D557A9BD9409CA7A407656DC01348"/>
    <w:rsid w:val="00512D14"/>
  </w:style>
  <w:style w:type="paragraph" w:customStyle="1" w:styleId="B66C80609A8E41BAB4D57C8407DAE7A2">
    <w:name w:val="B66C80609A8E41BAB4D57C8407DAE7A2"/>
    <w:rsid w:val="00512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42dba227-7c4b-4d7c-844c-511eaefcfc85" xsi:nil="true"/>
    <DocumentID xmlns="42dba227-7c4b-4d7c-844c-511eaefcfc85" xsi:nil="true"/>
    <TaxKeywordTaxHTField xmlns="4eda4ad6-7ef7-4305-ba1e-934f809bdd01">
      <Terms xmlns="http://schemas.microsoft.com/office/infopath/2007/PartnerControls"/>
    </TaxKeywordTaxHTField>
    <ApprovedDate xmlns="42dba227-7c4b-4d7c-844c-511eaefcfc85" xsi:nil="true"/>
    <TaxCatchAll xmlns="4eda4ad6-7ef7-4305-ba1e-934f809bdd01">
      <Value>12</Value>
      <Value>11</Value>
      <Value>2</Value>
      <Value>1</Value>
    </TaxCatchAll>
    <EffectiveDate xmlns="42dba227-7c4b-4d7c-844c-511eaefcfc85" xsi:nil="true"/>
    <ResponsibleTeam xmlns="42dba227-7c4b-4d7c-844c-511eaefcfc85"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9c435fa8-b660-48db-838f-774c7a1e0dc8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2E7E037758E52D4085784163FD5BBF73" ma:contentTypeVersion="2" ma:contentTypeDescription="Create a new document." ma:contentTypeScope="" ma:versionID="f9d913f859ba9e4b2dec0cf925047463">
  <xsd:schema xmlns:xsd="http://www.w3.org/2001/XMLSchema" xmlns:xs="http://www.w3.org/2001/XMLSchema" xmlns:p="http://schemas.microsoft.com/office/2006/metadata/properties" xmlns:ns2="42dba227-7c4b-4d7c-844c-511eaefcfc85" xmlns:ns3="4eda4ad6-7ef7-4305-ba1e-934f809bdd01" xmlns:ns4="http://schemas.microsoft.com/sharepoint/v3/fields" targetNamespace="http://schemas.microsoft.com/office/2006/metadata/properties" ma:root="true" ma:fieldsID="623c31b91b14f7ca59f6eaa1d3eb8f07" ns2:_="" ns3:_="" ns4:_="">
    <xsd:import namespace="42dba227-7c4b-4d7c-844c-511eaefcfc8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ba227-7c4b-4d7c-844c-511eaefcfc8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3381-7BE4-4050-9F7B-FBD068769D61}">
  <ds:schemaRefs>
    <ds:schemaRef ds:uri="http://schemas.microsoft.com/office/2006/metadata/properties"/>
    <ds:schemaRef ds:uri="http://schemas.microsoft.com/office/infopath/2007/PartnerControls"/>
    <ds:schemaRef ds:uri="http://schemas.microsoft.com/sharepoint/v3/fields"/>
    <ds:schemaRef ds:uri="42dba227-7c4b-4d7c-844c-511eaefcfc85"/>
    <ds:schemaRef ds:uri="4eda4ad6-7ef7-4305-ba1e-934f809bdd01"/>
  </ds:schemaRefs>
</ds:datastoreItem>
</file>

<file path=customXml/itemProps2.xml><?xml version="1.0" encoding="utf-8"?>
<ds:datastoreItem xmlns:ds="http://schemas.openxmlformats.org/officeDocument/2006/customXml" ds:itemID="{A14A3150-8B24-4B1F-BBF0-3BF89DCBF9D4}">
  <ds:schemaRefs>
    <ds:schemaRef ds:uri="http://schemas.microsoft.com/sharepoint/v3/contenttype/forms"/>
  </ds:schemaRefs>
</ds:datastoreItem>
</file>

<file path=customXml/itemProps3.xml><?xml version="1.0" encoding="utf-8"?>
<ds:datastoreItem xmlns:ds="http://schemas.openxmlformats.org/officeDocument/2006/customXml" ds:itemID="{54733CB6-80D0-4EFE-9EE5-B66DA7719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ba227-7c4b-4d7c-844c-511eaefcfc8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8D16F-6434-4521-8AE6-EA529696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•NDIS Letterhead for Ministerial or NDIA Executive Correspondence</vt:lpstr>
    </vt:vector>
  </TitlesOfParts>
  <Company>FaHCSIA</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Letterhead for Ministerial or NDIA Executive Correspondence</dc:title>
  <dc:creator>Paul Richter</dc:creator>
  <cp:keywords/>
  <dc:description/>
  <cp:lastModifiedBy>WILSON, Steve</cp:lastModifiedBy>
  <cp:revision>2</cp:revision>
  <cp:lastPrinted>2018-06-22T00:14:00Z</cp:lastPrinted>
  <dcterms:created xsi:type="dcterms:W3CDTF">2018-11-26T00:04:00Z</dcterms:created>
  <dcterms:modified xsi:type="dcterms:W3CDTF">2018-11-26T00:04:00Z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0x010100F428C054AD4B442F90DFE3102753E0A8002E7E037758E52D4085784163FD5BBF73</vt:lpwstr>
  </property>
  <property fmtid="{D5CDD505-2E9C-101B-9397-08002B2CF9AE}" pid="3" name="_NewReviewCycle">
    <vt:lpwstr/>
  </property>
  <property fmtid="{D5CDD505-2E9C-101B-9397-08002B2CF9AE}" pid="4" name="TaxKeyword">
    <vt:lpwstr/>
  </property>
  <property fmtid="{D5CDD505-2E9C-101B-9397-08002B2CF9AE}" pid="5" name="NDIAAudience">
    <vt:lpwstr>1;#All staff|60152733-a6e9-4070-8d91-7ad5c325687c</vt:lpwstr>
  </property>
  <property fmtid="{D5CDD505-2E9C-101B-9397-08002B2CF9AE}" pid="6" name="DocumentStatus">
    <vt:lpwstr>12;#Approved|38d2d1ad-195e-4428-a55d-25a6b10fdc1d</vt:lpwstr>
  </property>
  <property fmtid="{D5CDD505-2E9C-101B-9397-08002B2CF9AE}" pid="7" name="NDIALocation">
    <vt:lpwstr>2;#Australia-wide|128ca0ae-5e24-49e1-a2ce-f7dc74366abc</vt:lpwstr>
  </property>
  <property fmtid="{D5CDD505-2E9C-101B-9397-08002B2CF9AE}" pid="8" name="DocumentType">
    <vt:lpwstr>11;#General|9c435fa8-b660-48db-838f-774c7a1e0dc8</vt:lpwstr>
  </property>
</Properties>
</file>