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33F2" w14:textId="0E981DAA" w:rsidR="007219F1" w:rsidRDefault="004634F7" w:rsidP="00BE632A">
      <w:pPr>
        <w:pStyle w:val="Heading2"/>
        <w:numPr>
          <w:ilvl w:val="0"/>
          <w:numId w:val="0"/>
        </w:numPr>
      </w:pPr>
      <w:bookmarkStart w:id="0" w:name="_GoBack"/>
      <w:bookmarkEnd w:id="0"/>
      <w:r>
        <w:t>Independent Price Review Implementation 2018/19</w:t>
      </w:r>
    </w:p>
    <w:p w14:paraId="79C71812" w14:textId="77777777" w:rsidR="00892A14" w:rsidRPr="004C62E3" w:rsidRDefault="00892A14" w:rsidP="00892A14">
      <w:pPr>
        <w:rPr>
          <w:rFonts w:cs="Arial"/>
          <w:szCs w:val="22"/>
        </w:rPr>
      </w:pPr>
      <w:bookmarkStart w:id="1" w:name="_Toc438649430"/>
      <w:r w:rsidRPr="004C62E3">
        <w:rPr>
          <w:rFonts w:cs="Arial"/>
          <w:szCs w:val="22"/>
        </w:rPr>
        <w:t>This table outlines the approach taken by the NDIA to address the first 10 of the 2</w:t>
      </w:r>
      <w:r>
        <w:rPr>
          <w:rFonts w:cs="Arial"/>
          <w:szCs w:val="22"/>
        </w:rPr>
        <w:t>5</w:t>
      </w:r>
      <w:r w:rsidRPr="004C62E3">
        <w:rPr>
          <w:rFonts w:cs="Arial"/>
          <w:szCs w:val="22"/>
        </w:rPr>
        <w:t xml:space="preserve"> recommendations outlined in the IPR.</w:t>
      </w:r>
    </w:p>
    <w:p w14:paraId="4791DE7D" w14:textId="2342FD3A" w:rsidR="00892A14" w:rsidRPr="000709DB" w:rsidRDefault="00892A14" w:rsidP="00892A14">
      <w:pPr>
        <w:rPr>
          <w:rFonts w:cs="Arial"/>
          <w:szCs w:val="22"/>
        </w:rPr>
      </w:pPr>
      <w:r w:rsidRPr="004C62E3">
        <w:rPr>
          <w:rFonts w:cs="Arial"/>
          <w:szCs w:val="22"/>
        </w:rPr>
        <w:t xml:space="preserve">The changes listed below will take effect </w:t>
      </w:r>
      <w:r>
        <w:rPr>
          <w:rFonts w:cs="Arial"/>
          <w:szCs w:val="22"/>
        </w:rPr>
        <w:t>from</w:t>
      </w:r>
      <w:r w:rsidRPr="004C62E3">
        <w:rPr>
          <w:rFonts w:cs="Arial"/>
          <w:szCs w:val="22"/>
        </w:rPr>
        <w:t xml:space="preserve"> 1 July 2018.</w:t>
      </w:r>
    </w:p>
    <w:tbl>
      <w:tblPr>
        <w:tblStyle w:val="TableGrid"/>
        <w:tblW w:w="13948" w:type="dxa"/>
        <w:tblLook w:val="04A0" w:firstRow="1" w:lastRow="0" w:firstColumn="1" w:lastColumn="0" w:noHBand="0" w:noVBand="1"/>
      </w:tblPr>
      <w:tblGrid>
        <w:gridCol w:w="2449"/>
        <w:gridCol w:w="5181"/>
        <w:gridCol w:w="6318"/>
      </w:tblGrid>
      <w:tr w:rsidR="00892A14" w:rsidRPr="004C62E3" w14:paraId="3ED60042" w14:textId="77777777" w:rsidTr="0026658F">
        <w:trPr>
          <w:trHeight w:val="426"/>
          <w:tblHeader/>
        </w:trPr>
        <w:tc>
          <w:tcPr>
            <w:tcW w:w="2449" w:type="dxa"/>
            <w:shd w:val="clear" w:color="auto" w:fill="660066"/>
          </w:tcPr>
          <w:p w14:paraId="42114BA9" w14:textId="77777777" w:rsidR="00892A14" w:rsidRPr="004C62E3" w:rsidRDefault="00892A14" w:rsidP="0026658F">
            <w:pPr>
              <w:spacing w:after="160" w:line="259" w:lineRule="auto"/>
              <w:rPr>
                <w:rFonts w:cs="Arial"/>
                <w:b/>
                <w:szCs w:val="22"/>
              </w:rPr>
            </w:pPr>
            <w:r w:rsidRPr="004C62E3">
              <w:rPr>
                <w:rFonts w:cs="Arial"/>
                <w:b/>
                <w:szCs w:val="22"/>
              </w:rPr>
              <w:t>Recommendation</w:t>
            </w:r>
          </w:p>
        </w:tc>
        <w:tc>
          <w:tcPr>
            <w:tcW w:w="5181" w:type="dxa"/>
            <w:shd w:val="clear" w:color="auto" w:fill="660066"/>
          </w:tcPr>
          <w:p w14:paraId="2C905B9A" w14:textId="77777777" w:rsidR="00892A14" w:rsidRPr="004C62E3" w:rsidRDefault="00892A14" w:rsidP="0026658F">
            <w:pPr>
              <w:spacing w:after="160" w:line="259" w:lineRule="auto"/>
              <w:rPr>
                <w:rFonts w:cs="Arial"/>
                <w:b/>
                <w:szCs w:val="22"/>
              </w:rPr>
            </w:pPr>
            <w:r w:rsidRPr="004C62E3">
              <w:rPr>
                <w:rFonts w:cs="Arial"/>
                <w:b/>
                <w:szCs w:val="22"/>
              </w:rPr>
              <w:t>Recommendation detail</w:t>
            </w:r>
          </w:p>
        </w:tc>
        <w:tc>
          <w:tcPr>
            <w:tcW w:w="6318" w:type="dxa"/>
            <w:shd w:val="clear" w:color="auto" w:fill="660066"/>
          </w:tcPr>
          <w:p w14:paraId="3916E82E" w14:textId="77777777" w:rsidR="00892A14" w:rsidRPr="004C62E3" w:rsidRDefault="00892A14" w:rsidP="0026658F">
            <w:pPr>
              <w:spacing w:after="160" w:line="259" w:lineRule="auto"/>
              <w:rPr>
                <w:rFonts w:cs="Arial"/>
                <w:b/>
                <w:szCs w:val="22"/>
              </w:rPr>
            </w:pPr>
            <w:r w:rsidRPr="004C62E3">
              <w:rPr>
                <w:rFonts w:cs="Arial"/>
                <w:b/>
                <w:szCs w:val="22"/>
              </w:rPr>
              <w:t>NDIA Approach</w:t>
            </w:r>
          </w:p>
        </w:tc>
      </w:tr>
      <w:tr w:rsidR="00892A14" w:rsidRPr="004C62E3" w14:paraId="1C829D28" w14:textId="77777777" w:rsidTr="0026658F">
        <w:trPr>
          <w:trHeight w:val="575"/>
        </w:trPr>
        <w:tc>
          <w:tcPr>
            <w:tcW w:w="2449" w:type="dxa"/>
          </w:tcPr>
          <w:p w14:paraId="32D4ABC2" w14:textId="77777777" w:rsidR="00892A14" w:rsidRPr="004C62E3" w:rsidRDefault="00892A14" w:rsidP="0026658F">
            <w:pPr>
              <w:spacing w:after="160" w:line="259" w:lineRule="auto"/>
              <w:rPr>
                <w:rFonts w:cs="Arial"/>
                <w:szCs w:val="22"/>
              </w:rPr>
            </w:pPr>
            <w:r w:rsidRPr="004C62E3">
              <w:rPr>
                <w:rFonts w:cs="Arial"/>
                <w:b/>
                <w:szCs w:val="22"/>
              </w:rPr>
              <w:t>Recommendation #4</w:t>
            </w:r>
            <w:r w:rsidRPr="004C62E3">
              <w:rPr>
                <w:rFonts w:cs="Arial"/>
                <w:szCs w:val="22"/>
              </w:rPr>
              <w:t xml:space="preserve">  </w:t>
            </w:r>
            <w:r w:rsidRPr="004C62E3">
              <w:rPr>
                <w:rFonts w:cs="Arial"/>
                <w:b/>
                <w:szCs w:val="22"/>
              </w:rPr>
              <w:t>Regional travel</w:t>
            </w:r>
          </w:p>
        </w:tc>
        <w:tc>
          <w:tcPr>
            <w:tcW w:w="5181" w:type="dxa"/>
          </w:tcPr>
          <w:p w14:paraId="23CE0BC4" w14:textId="77777777" w:rsidR="00892A14" w:rsidRPr="004C62E3" w:rsidRDefault="00892A14" w:rsidP="0026658F">
            <w:pPr>
              <w:rPr>
                <w:rFonts w:cs="Arial"/>
                <w:szCs w:val="22"/>
              </w:rPr>
            </w:pPr>
            <w:r w:rsidRPr="004C62E3">
              <w:rPr>
                <w:rFonts w:cs="Arial"/>
                <w:szCs w:val="22"/>
              </w:rPr>
              <w:t>Clearly define rural areas and lift travel allowance from 20 minutes to 45 minutes for providers serving participant</w:t>
            </w:r>
            <w:r>
              <w:rPr>
                <w:rFonts w:cs="Arial"/>
                <w:szCs w:val="22"/>
              </w:rPr>
              <w:t>s</w:t>
            </w:r>
            <w:r w:rsidRPr="004C62E3">
              <w:rPr>
                <w:rFonts w:cs="Arial"/>
                <w:szCs w:val="22"/>
              </w:rPr>
              <w:t xml:space="preserve"> located in MMM5 (or ARIA equivalent) and MMM4 in the short term. Adjust participant plans to account for travel a</w:t>
            </w:r>
            <w:r>
              <w:rPr>
                <w:rFonts w:cs="Arial"/>
                <w:szCs w:val="22"/>
              </w:rPr>
              <w:t>n</w:t>
            </w:r>
            <w:r w:rsidRPr="004C62E3">
              <w:rPr>
                <w:rFonts w:cs="Arial"/>
                <w:szCs w:val="22"/>
              </w:rPr>
              <w:t>d track travel as a separate line item.</w:t>
            </w:r>
          </w:p>
        </w:tc>
        <w:tc>
          <w:tcPr>
            <w:tcW w:w="6318" w:type="dxa"/>
          </w:tcPr>
          <w:p w14:paraId="32A63353" w14:textId="77777777" w:rsidR="00892A14" w:rsidRDefault="00892A14" w:rsidP="0026658F">
            <w:pPr>
              <w:rPr>
                <w:rFonts w:cs="Arial"/>
                <w:szCs w:val="22"/>
              </w:rPr>
            </w:pPr>
            <w:r w:rsidRPr="004C62E3">
              <w:rPr>
                <w:rFonts w:cs="Arial"/>
                <w:szCs w:val="22"/>
              </w:rPr>
              <w:t xml:space="preserve">The Independent Pricing Review (IPR) highlighted the difficulty that participants (who do not live in a metropolitan area, but are not considered remote) may have with accessing supports. </w:t>
            </w:r>
          </w:p>
          <w:p w14:paraId="2D0BB7D1" w14:textId="77777777" w:rsidR="00892A14" w:rsidRDefault="00892A14" w:rsidP="0026658F">
            <w:pPr>
              <w:rPr>
                <w:rFonts w:eastAsia="Calibri"/>
              </w:rPr>
            </w:pPr>
          </w:p>
          <w:p w14:paraId="35979D66" w14:textId="77777777" w:rsidR="00892A14" w:rsidRDefault="00892A14" w:rsidP="0026658F">
            <w:pPr>
              <w:rPr>
                <w:rFonts w:eastAsia="Calibri"/>
              </w:rPr>
            </w:pPr>
            <w:r>
              <w:rPr>
                <w:rFonts w:eastAsia="Calibri"/>
              </w:rPr>
              <w:t>P</w:t>
            </w:r>
            <w:r w:rsidRPr="009D69A1">
              <w:rPr>
                <w:rFonts w:eastAsia="Calibri"/>
              </w:rPr>
              <w:t xml:space="preserve">roviders </w:t>
            </w:r>
            <w:r>
              <w:rPr>
                <w:rFonts w:eastAsia="Calibri"/>
              </w:rPr>
              <w:t xml:space="preserve">will now be able </w:t>
            </w:r>
            <w:r w:rsidRPr="009D69A1">
              <w:rPr>
                <w:rFonts w:eastAsia="Calibri"/>
              </w:rPr>
              <w:t>to charge up to 45 minute</w:t>
            </w:r>
            <w:r>
              <w:rPr>
                <w:rFonts w:eastAsia="Calibri"/>
              </w:rPr>
              <w:t>s of travel time in rural areas</w:t>
            </w:r>
            <w:r w:rsidRPr="009D69A1">
              <w:rPr>
                <w:rFonts w:eastAsia="Calibri"/>
              </w:rPr>
              <w:t xml:space="preserve">. </w:t>
            </w:r>
          </w:p>
          <w:p w14:paraId="147E2F0B" w14:textId="77777777" w:rsidR="00892A14" w:rsidRDefault="00892A14" w:rsidP="0026658F">
            <w:pPr>
              <w:rPr>
                <w:rFonts w:eastAsia="Calibri"/>
              </w:rPr>
            </w:pPr>
          </w:p>
          <w:p w14:paraId="47DF7C6E" w14:textId="77777777" w:rsidR="00892A14" w:rsidRDefault="00892A14" w:rsidP="0026658F">
            <w:pPr>
              <w:rPr>
                <w:rFonts w:eastAsia="Calibri"/>
              </w:rPr>
            </w:pPr>
            <w:r w:rsidRPr="009D69A1">
              <w:rPr>
                <w:rFonts w:eastAsia="Calibri"/>
              </w:rPr>
              <w:t xml:space="preserve">More specific travel claiming arrangements for remote areas that were flagged in the IPR (allowing travel costs on a quote basis) will be implemented as soon as possible. </w:t>
            </w:r>
          </w:p>
          <w:p w14:paraId="63B57415" w14:textId="77777777" w:rsidR="00892A14" w:rsidRDefault="00892A14" w:rsidP="0026658F">
            <w:pPr>
              <w:rPr>
                <w:rFonts w:eastAsia="Calibri"/>
              </w:rPr>
            </w:pPr>
          </w:p>
          <w:p w14:paraId="43332797" w14:textId="77777777" w:rsidR="00892A14" w:rsidRPr="00AA0CC0" w:rsidRDefault="00892A14" w:rsidP="0026658F">
            <w:pPr>
              <w:rPr>
                <w:rFonts w:eastAsia="Calibri"/>
              </w:rPr>
            </w:pPr>
            <w:r w:rsidRPr="009D69A1">
              <w:rPr>
                <w:rFonts w:eastAsia="Calibri"/>
              </w:rPr>
              <w:t>In the meantime, travel cost arrangements for remote areas can still be claimed, subject to explicit agreement by the participant in advance.</w:t>
            </w:r>
          </w:p>
        </w:tc>
      </w:tr>
      <w:tr w:rsidR="00892A14" w:rsidRPr="004C62E3" w14:paraId="3E4658B2" w14:textId="77777777" w:rsidTr="0026658F">
        <w:trPr>
          <w:trHeight w:val="575"/>
        </w:trPr>
        <w:tc>
          <w:tcPr>
            <w:tcW w:w="2449" w:type="dxa"/>
          </w:tcPr>
          <w:p w14:paraId="59D3BE14" w14:textId="77777777" w:rsidR="00892A14" w:rsidRPr="004C62E3" w:rsidRDefault="00892A14" w:rsidP="0026658F">
            <w:pPr>
              <w:spacing w:after="160" w:line="259" w:lineRule="auto"/>
              <w:rPr>
                <w:rFonts w:cs="Arial"/>
                <w:b/>
                <w:szCs w:val="22"/>
              </w:rPr>
            </w:pPr>
            <w:r w:rsidRPr="004C62E3">
              <w:rPr>
                <w:rFonts w:cs="Arial"/>
                <w:b/>
                <w:szCs w:val="22"/>
              </w:rPr>
              <w:t>Recommendation #9</w:t>
            </w:r>
          </w:p>
          <w:p w14:paraId="2B2FE819" w14:textId="77777777" w:rsidR="00892A14" w:rsidRPr="004C62E3" w:rsidRDefault="00892A14" w:rsidP="0026658F">
            <w:pPr>
              <w:spacing w:after="160" w:line="259" w:lineRule="auto"/>
              <w:rPr>
                <w:rFonts w:cs="Arial"/>
                <w:b/>
                <w:szCs w:val="22"/>
                <w:highlight w:val="green"/>
              </w:rPr>
            </w:pPr>
            <w:r w:rsidRPr="004C62E3">
              <w:rPr>
                <w:rFonts w:cs="Arial"/>
                <w:b/>
                <w:szCs w:val="22"/>
              </w:rPr>
              <w:t>Group supports</w:t>
            </w:r>
          </w:p>
        </w:tc>
        <w:tc>
          <w:tcPr>
            <w:tcW w:w="5181" w:type="dxa"/>
          </w:tcPr>
          <w:p w14:paraId="67E7D0F6" w14:textId="77777777" w:rsidR="00892A14" w:rsidRPr="004C62E3" w:rsidRDefault="00892A14" w:rsidP="0026658F">
            <w:pPr>
              <w:rPr>
                <w:rFonts w:cs="Arial"/>
                <w:szCs w:val="22"/>
              </w:rPr>
            </w:pPr>
            <w:r w:rsidRPr="004C62E3">
              <w:rPr>
                <w:rFonts w:cs="Arial"/>
                <w:szCs w:val="22"/>
              </w:rPr>
              <w:t xml:space="preserve">Update the pricing structure for the core support item ‘group based activities in a centre’ to allow providers to charge a high intensity loading where a more skilled worker is required to serve a </w:t>
            </w:r>
            <w:r>
              <w:rPr>
                <w:rFonts w:cs="Arial"/>
                <w:szCs w:val="22"/>
              </w:rPr>
              <w:t>participant</w:t>
            </w:r>
            <w:r w:rsidRPr="004C62E3">
              <w:rPr>
                <w:rFonts w:cs="Arial"/>
                <w:szCs w:val="22"/>
              </w:rPr>
              <w:t>, and set prices consistent with the care ratio required to serve a participant.</w:t>
            </w:r>
          </w:p>
        </w:tc>
        <w:tc>
          <w:tcPr>
            <w:tcW w:w="6318" w:type="dxa"/>
          </w:tcPr>
          <w:p w14:paraId="43484AF4" w14:textId="77777777" w:rsidR="00892A14" w:rsidRDefault="00892A14" w:rsidP="0026658F">
            <w:pPr>
              <w:rPr>
                <w:rFonts w:cs="Arial"/>
                <w:szCs w:val="22"/>
              </w:rPr>
            </w:pPr>
            <w:r w:rsidRPr="004C62E3">
              <w:rPr>
                <w:rFonts w:cs="Arial"/>
                <w:szCs w:val="22"/>
              </w:rPr>
              <w:t>The IPR highlighted the inconsistency between charges for high intensity or complex requirements for group based supports in a centre compared to other core supports.</w:t>
            </w:r>
          </w:p>
          <w:p w14:paraId="47704776" w14:textId="77777777" w:rsidR="00892A14" w:rsidRPr="004C62E3" w:rsidRDefault="00892A14" w:rsidP="0026658F">
            <w:pPr>
              <w:rPr>
                <w:rFonts w:cs="Arial"/>
                <w:szCs w:val="22"/>
              </w:rPr>
            </w:pPr>
          </w:p>
          <w:p w14:paraId="39724505" w14:textId="77777777" w:rsidR="00892A14" w:rsidRDefault="00892A14" w:rsidP="0026658F">
            <w:r>
              <w:lastRenderedPageBreak/>
              <w:t>Group community participation supports will be converted to a new, consistent structure in the NDIS support catalogue, to give providers and participants more clarity and flexibility.</w:t>
            </w:r>
          </w:p>
          <w:p w14:paraId="6FCEB1C5" w14:textId="77777777" w:rsidR="00892A14" w:rsidRDefault="00892A14" w:rsidP="0026658F"/>
          <w:p w14:paraId="6786D46A" w14:textId="77777777" w:rsidR="00892A14" w:rsidRDefault="00892A14" w:rsidP="0026658F">
            <w:r>
              <w:t>Providers will also benefit from new price limits that recognise per-person costs when delivering group supports, and include an allowance for capital costs when these supports are delivered in a specialist centre.</w:t>
            </w:r>
          </w:p>
          <w:p w14:paraId="3A8FDE78" w14:textId="77777777" w:rsidR="00892A14" w:rsidRDefault="00892A14" w:rsidP="0026658F"/>
          <w:p w14:paraId="3C567404" w14:textId="77777777" w:rsidR="00892A14" w:rsidRDefault="00892A14" w:rsidP="0026658F">
            <w:r w:rsidRPr="009D69A1">
              <w:rPr>
                <w:rFonts w:eastAsia="Calibri"/>
              </w:rPr>
              <w:t xml:space="preserve">New price limits will be introduced for both standard and high intensity community-based group supports, to allow for support ratios of 1:4 and 1:5 (i.e. worker:participant ratio). </w:t>
            </w:r>
          </w:p>
          <w:p w14:paraId="5BAD8FCC" w14:textId="77777777" w:rsidR="00892A14" w:rsidRDefault="00892A14" w:rsidP="0026658F"/>
          <w:p w14:paraId="2C7276DA" w14:textId="77777777" w:rsidR="00892A14" w:rsidRPr="00AA0CC0" w:rsidRDefault="00892A14" w:rsidP="0026658F">
            <w:r w:rsidRPr="009D69A1">
              <w:rPr>
                <w:rFonts w:eastAsia="Calibri"/>
              </w:rPr>
              <w:t>A capital allowance will be included in the price limits for centre-based group care.</w:t>
            </w:r>
          </w:p>
        </w:tc>
      </w:tr>
      <w:tr w:rsidR="00892A14" w:rsidRPr="004C62E3" w14:paraId="5B990741" w14:textId="77777777" w:rsidTr="0026658F">
        <w:trPr>
          <w:trHeight w:val="575"/>
        </w:trPr>
        <w:tc>
          <w:tcPr>
            <w:tcW w:w="2449" w:type="dxa"/>
          </w:tcPr>
          <w:p w14:paraId="2BC573CA" w14:textId="77777777" w:rsidR="00892A14" w:rsidRPr="004C62E3" w:rsidRDefault="00892A14" w:rsidP="0026658F">
            <w:pPr>
              <w:spacing w:after="160" w:line="259" w:lineRule="auto"/>
              <w:rPr>
                <w:rFonts w:cs="Arial"/>
                <w:b/>
                <w:szCs w:val="22"/>
              </w:rPr>
            </w:pPr>
            <w:r w:rsidRPr="004C62E3">
              <w:rPr>
                <w:rFonts w:cs="Arial"/>
                <w:b/>
                <w:szCs w:val="22"/>
              </w:rPr>
              <w:lastRenderedPageBreak/>
              <w:t>Recommendation #10</w:t>
            </w:r>
          </w:p>
          <w:p w14:paraId="50F7DF07" w14:textId="77777777" w:rsidR="00892A14" w:rsidRPr="004C62E3" w:rsidRDefault="00892A14" w:rsidP="0026658F">
            <w:pPr>
              <w:spacing w:after="160" w:line="259" w:lineRule="auto"/>
              <w:rPr>
                <w:rFonts w:cs="Arial"/>
                <w:szCs w:val="22"/>
                <w:highlight w:val="green"/>
              </w:rPr>
            </w:pPr>
            <w:r w:rsidRPr="004C62E3">
              <w:rPr>
                <w:rFonts w:cs="Arial"/>
                <w:b/>
                <w:szCs w:val="22"/>
              </w:rPr>
              <w:t>Short term accommodation (STA)</w:t>
            </w:r>
          </w:p>
        </w:tc>
        <w:tc>
          <w:tcPr>
            <w:tcW w:w="5181" w:type="dxa"/>
          </w:tcPr>
          <w:p w14:paraId="5033F6CB" w14:textId="77777777" w:rsidR="00892A14" w:rsidRDefault="00892A14" w:rsidP="0026658F">
            <w:pPr>
              <w:rPr>
                <w:rFonts w:cs="Arial"/>
                <w:szCs w:val="22"/>
              </w:rPr>
            </w:pPr>
            <w:r w:rsidRPr="004C62E3">
              <w:rPr>
                <w:rFonts w:cs="Arial"/>
                <w:szCs w:val="22"/>
              </w:rPr>
              <w:t>Continue to refine the assumptions for high intensity rates, active overnight, and capital allowances used to develop the new STA price schedule to ensure they reflect the cost of service delivery.</w:t>
            </w:r>
          </w:p>
          <w:p w14:paraId="748FAF1F" w14:textId="77777777" w:rsidR="00892A14" w:rsidRPr="002E7376" w:rsidRDefault="00892A14" w:rsidP="0026658F">
            <w:pPr>
              <w:rPr>
                <w:rFonts w:cs="Arial"/>
                <w:szCs w:val="22"/>
              </w:rPr>
            </w:pPr>
          </w:p>
          <w:p w14:paraId="473E2F3F" w14:textId="77777777" w:rsidR="00892A14" w:rsidRPr="002E7376" w:rsidRDefault="00892A14" w:rsidP="0026658F">
            <w:pPr>
              <w:rPr>
                <w:rFonts w:cs="Arial"/>
                <w:szCs w:val="22"/>
              </w:rPr>
            </w:pPr>
          </w:p>
          <w:p w14:paraId="37A76ECF" w14:textId="77777777" w:rsidR="00892A14" w:rsidRPr="002E7376" w:rsidRDefault="00892A14" w:rsidP="0026658F">
            <w:pPr>
              <w:rPr>
                <w:rFonts w:cs="Arial"/>
                <w:szCs w:val="22"/>
              </w:rPr>
            </w:pPr>
          </w:p>
          <w:p w14:paraId="2D52DCC2" w14:textId="77777777" w:rsidR="00892A14" w:rsidRPr="002E7376" w:rsidRDefault="00892A14" w:rsidP="0026658F">
            <w:pPr>
              <w:rPr>
                <w:rFonts w:cs="Arial"/>
                <w:szCs w:val="22"/>
              </w:rPr>
            </w:pPr>
          </w:p>
          <w:p w14:paraId="5EEBC4FC" w14:textId="77777777" w:rsidR="00892A14" w:rsidRDefault="00892A14" w:rsidP="0026658F">
            <w:pPr>
              <w:rPr>
                <w:rFonts w:cs="Arial"/>
                <w:szCs w:val="22"/>
              </w:rPr>
            </w:pPr>
          </w:p>
          <w:p w14:paraId="15F0CE77" w14:textId="77777777" w:rsidR="00892A14" w:rsidRPr="002E7376" w:rsidRDefault="00892A14" w:rsidP="0026658F">
            <w:pPr>
              <w:rPr>
                <w:rFonts w:cs="Arial"/>
                <w:szCs w:val="22"/>
              </w:rPr>
            </w:pPr>
          </w:p>
          <w:p w14:paraId="522D79AE" w14:textId="77777777" w:rsidR="00892A14" w:rsidRDefault="00892A14" w:rsidP="0026658F">
            <w:pPr>
              <w:rPr>
                <w:rFonts w:cs="Arial"/>
                <w:szCs w:val="22"/>
              </w:rPr>
            </w:pPr>
          </w:p>
          <w:p w14:paraId="35A1E8DF" w14:textId="77777777" w:rsidR="00892A14" w:rsidRPr="002E7376" w:rsidRDefault="00892A14" w:rsidP="0026658F">
            <w:pPr>
              <w:rPr>
                <w:rFonts w:cs="Arial"/>
                <w:szCs w:val="22"/>
              </w:rPr>
            </w:pPr>
          </w:p>
        </w:tc>
        <w:tc>
          <w:tcPr>
            <w:tcW w:w="6318" w:type="dxa"/>
          </w:tcPr>
          <w:p w14:paraId="1F6F72A1" w14:textId="77777777" w:rsidR="00892A14" w:rsidRPr="004C62E3" w:rsidRDefault="00892A14" w:rsidP="0026658F">
            <w:pPr>
              <w:rPr>
                <w:rFonts w:cs="Arial"/>
                <w:szCs w:val="22"/>
              </w:rPr>
            </w:pPr>
            <w:r w:rsidRPr="004C62E3">
              <w:rPr>
                <w:rFonts w:cs="Arial"/>
                <w:szCs w:val="22"/>
              </w:rPr>
              <w:t xml:space="preserve">The IPR report recommended the NDIA address the update made to price limits for </w:t>
            </w:r>
            <w:r>
              <w:rPr>
                <w:rFonts w:cs="Arial"/>
                <w:szCs w:val="22"/>
              </w:rPr>
              <w:t>STA</w:t>
            </w:r>
            <w:r w:rsidRPr="004C62E3">
              <w:rPr>
                <w:rFonts w:cs="Arial"/>
                <w:szCs w:val="22"/>
              </w:rPr>
              <w:t xml:space="preserve"> to ensure they reflect the costs of delivering the service. </w:t>
            </w:r>
          </w:p>
          <w:p w14:paraId="118D4622" w14:textId="77777777" w:rsidR="00892A14" w:rsidRDefault="00892A14" w:rsidP="0026658F">
            <w:pPr>
              <w:rPr>
                <w:rFonts w:cs="Arial"/>
                <w:szCs w:val="22"/>
              </w:rPr>
            </w:pPr>
          </w:p>
          <w:p w14:paraId="73C8504E" w14:textId="77777777" w:rsidR="00892A14" w:rsidRDefault="00892A14" w:rsidP="0026658F">
            <w:pPr>
              <w:rPr>
                <w:rFonts w:eastAsia="Calibri"/>
              </w:rPr>
            </w:pPr>
            <w:r w:rsidRPr="009D69A1">
              <w:rPr>
                <w:rFonts w:eastAsia="Calibri"/>
              </w:rPr>
              <w:t>Based on provider feedback, a new price limit will be added for STA</w:t>
            </w:r>
            <w:r>
              <w:rPr>
                <w:rFonts w:eastAsia="Calibri"/>
              </w:rPr>
              <w:t xml:space="preserve"> to allow for a 1:3</w:t>
            </w:r>
            <w:r w:rsidRPr="009D69A1">
              <w:rPr>
                <w:rFonts w:eastAsia="Calibri"/>
              </w:rPr>
              <w:t xml:space="preserve"> support worker to participant ratio. </w:t>
            </w:r>
          </w:p>
          <w:p w14:paraId="66BDA4E3" w14:textId="77777777" w:rsidR="00892A14" w:rsidRDefault="00892A14" w:rsidP="0026658F">
            <w:pPr>
              <w:rPr>
                <w:rFonts w:eastAsia="Calibri"/>
              </w:rPr>
            </w:pPr>
          </w:p>
          <w:p w14:paraId="146B8FAE" w14:textId="77777777" w:rsidR="00892A14" w:rsidRDefault="00892A14" w:rsidP="0026658F">
            <w:pPr>
              <w:rPr>
                <w:rFonts w:eastAsia="Calibri"/>
              </w:rPr>
            </w:pPr>
            <w:r w:rsidRPr="009D69A1">
              <w:rPr>
                <w:rFonts w:eastAsia="Calibri"/>
              </w:rPr>
              <w:t>The new limit will be consistent with existing STA price limits, and will provide more flexibility to providers and participants in making support arrangements</w:t>
            </w:r>
          </w:p>
          <w:p w14:paraId="7D73B94F" w14:textId="77777777" w:rsidR="00892A14" w:rsidRPr="004C62E3" w:rsidRDefault="00892A14" w:rsidP="0026658F">
            <w:pPr>
              <w:rPr>
                <w:rFonts w:cs="Arial"/>
                <w:szCs w:val="22"/>
              </w:rPr>
            </w:pPr>
          </w:p>
        </w:tc>
      </w:tr>
      <w:tr w:rsidR="00892A14" w:rsidRPr="004C62E3" w14:paraId="22369509" w14:textId="77777777" w:rsidTr="0026658F">
        <w:trPr>
          <w:trHeight w:val="575"/>
        </w:trPr>
        <w:tc>
          <w:tcPr>
            <w:tcW w:w="2449" w:type="dxa"/>
          </w:tcPr>
          <w:p w14:paraId="18B836B0" w14:textId="77777777" w:rsidR="00892A14" w:rsidRPr="004C62E3" w:rsidRDefault="00892A14" w:rsidP="0026658F">
            <w:pPr>
              <w:spacing w:after="160" w:line="259" w:lineRule="auto"/>
              <w:rPr>
                <w:rFonts w:cs="Arial"/>
                <w:b/>
                <w:szCs w:val="22"/>
              </w:rPr>
            </w:pPr>
            <w:r w:rsidRPr="004C62E3">
              <w:rPr>
                <w:rFonts w:cs="Arial"/>
                <w:b/>
                <w:szCs w:val="22"/>
              </w:rPr>
              <w:lastRenderedPageBreak/>
              <w:t>Recommendation #14</w:t>
            </w:r>
          </w:p>
          <w:p w14:paraId="6E16AAE4" w14:textId="77777777" w:rsidR="00892A14" w:rsidRPr="004C62E3" w:rsidRDefault="00892A14" w:rsidP="0026658F">
            <w:pPr>
              <w:spacing w:after="160" w:line="259" w:lineRule="auto"/>
              <w:rPr>
                <w:rFonts w:cs="Arial"/>
                <w:szCs w:val="22"/>
              </w:rPr>
            </w:pPr>
            <w:r w:rsidRPr="004C62E3">
              <w:rPr>
                <w:rFonts w:cs="Arial"/>
                <w:b/>
                <w:szCs w:val="22"/>
              </w:rPr>
              <w:t>Temporary support overhead (TSO)</w:t>
            </w:r>
          </w:p>
        </w:tc>
        <w:tc>
          <w:tcPr>
            <w:tcW w:w="5181" w:type="dxa"/>
          </w:tcPr>
          <w:p w14:paraId="76A6EC6E" w14:textId="77777777" w:rsidR="00892A14" w:rsidRPr="004C62E3" w:rsidRDefault="00892A14" w:rsidP="0026658F">
            <w:pPr>
              <w:rPr>
                <w:rFonts w:cs="Arial"/>
                <w:szCs w:val="22"/>
              </w:rPr>
            </w:pPr>
            <w:r w:rsidRPr="004C62E3">
              <w:rPr>
                <w:rFonts w:cs="Arial"/>
                <w:szCs w:val="22"/>
              </w:rPr>
              <w:t>Implement temporary support for overheads in the form of a temporary increase in the price cap for standard intensity attendant care. Government should offer business planning support for large providers that would otherwise exit and create risk of supply shortages.</w:t>
            </w:r>
          </w:p>
        </w:tc>
        <w:tc>
          <w:tcPr>
            <w:tcW w:w="6318" w:type="dxa"/>
          </w:tcPr>
          <w:p w14:paraId="7CC91EAF" w14:textId="77777777" w:rsidR="00892A14" w:rsidRDefault="00892A14" w:rsidP="0026658F">
            <w:pPr>
              <w:rPr>
                <w:rFonts w:cs="Arial"/>
                <w:szCs w:val="22"/>
              </w:rPr>
            </w:pPr>
            <w:r w:rsidRPr="004C62E3">
              <w:rPr>
                <w:rFonts w:cs="Arial"/>
                <w:szCs w:val="22"/>
              </w:rPr>
              <w:t>The IPR recognised the time and effort it takes for providers to establish efficient systems and process to support the roll out of the NDIS.</w:t>
            </w:r>
          </w:p>
          <w:p w14:paraId="4AAB20FA" w14:textId="77777777" w:rsidR="00892A14" w:rsidRPr="004C62E3" w:rsidRDefault="00892A14" w:rsidP="0026658F">
            <w:pPr>
              <w:rPr>
                <w:rFonts w:cs="Arial"/>
                <w:szCs w:val="22"/>
              </w:rPr>
            </w:pPr>
          </w:p>
          <w:p w14:paraId="221CE4F9" w14:textId="77777777" w:rsidR="00892A14" w:rsidRDefault="00892A14" w:rsidP="0026658F">
            <w:pPr>
              <w:rPr>
                <w:rFonts w:cs="Arial"/>
                <w:szCs w:val="22"/>
              </w:rPr>
            </w:pPr>
            <w:r w:rsidRPr="004C62E3">
              <w:rPr>
                <w:rFonts w:cs="Arial"/>
                <w:szCs w:val="22"/>
              </w:rPr>
              <w:t xml:space="preserve">The NDIA will now provide temporary financial relief for providers as they transition their business operations to accommodate the </w:t>
            </w:r>
            <w:r>
              <w:rPr>
                <w:rFonts w:cs="Arial"/>
                <w:szCs w:val="22"/>
              </w:rPr>
              <w:t xml:space="preserve">participant-led </w:t>
            </w:r>
            <w:r w:rsidRPr="004C62E3">
              <w:rPr>
                <w:rFonts w:cs="Arial"/>
                <w:szCs w:val="22"/>
              </w:rPr>
              <w:t>NDIS funding approach</w:t>
            </w:r>
            <w:r>
              <w:rPr>
                <w:rFonts w:cs="Arial"/>
                <w:szCs w:val="22"/>
              </w:rPr>
              <w:t>.</w:t>
            </w:r>
          </w:p>
          <w:p w14:paraId="4988E93E" w14:textId="77777777" w:rsidR="00892A14" w:rsidRPr="004C62E3" w:rsidRDefault="00892A14" w:rsidP="0026658F">
            <w:pPr>
              <w:rPr>
                <w:rFonts w:cs="Arial"/>
                <w:szCs w:val="22"/>
              </w:rPr>
            </w:pPr>
          </w:p>
          <w:p w14:paraId="2468BFA0" w14:textId="77777777" w:rsidR="00892A14" w:rsidRDefault="00892A14" w:rsidP="0026658F">
            <w:pPr>
              <w:rPr>
                <w:rFonts w:cs="Arial"/>
                <w:szCs w:val="22"/>
              </w:rPr>
            </w:pPr>
            <w:r>
              <w:rPr>
                <w:rFonts w:cs="Arial"/>
                <w:szCs w:val="22"/>
              </w:rPr>
              <w:t>In 2018/19 a new 2.5 per cent</w:t>
            </w:r>
            <w:r w:rsidRPr="004C62E3">
              <w:rPr>
                <w:rFonts w:cs="Arial"/>
                <w:szCs w:val="22"/>
              </w:rPr>
              <w:t xml:space="preserve"> loading will support standard intensity attendant care supports. </w:t>
            </w:r>
            <w:r>
              <w:rPr>
                <w:rFonts w:cs="Arial"/>
                <w:szCs w:val="22"/>
              </w:rPr>
              <w:t>‘</w:t>
            </w:r>
            <w:r w:rsidRPr="004C62E3">
              <w:rPr>
                <w:rFonts w:cs="Arial"/>
                <w:szCs w:val="22"/>
              </w:rPr>
              <w:t>Attendant care</w:t>
            </w:r>
            <w:r>
              <w:rPr>
                <w:rFonts w:cs="Arial"/>
                <w:szCs w:val="22"/>
              </w:rPr>
              <w:t>’</w:t>
            </w:r>
            <w:r w:rsidRPr="004C62E3">
              <w:rPr>
                <w:rFonts w:cs="Arial"/>
                <w:szCs w:val="22"/>
              </w:rPr>
              <w:t xml:space="preserve"> refers both to assistance with daily personal activities and assistance with community participation.  </w:t>
            </w:r>
          </w:p>
          <w:p w14:paraId="618C1745" w14:textId="77777777" w:rsidR="00892A14" w:rsidRPr="004C62E3" w:rsidRDefault="00892A14" w:rsidP="0026658F">
            <w:pPr>
              <w:rPr>
                <w:rFonts w:cs="Arial"/>
                <w:szCs w:val="22"/>
              </w:rPr>
            </w:pPr>
          </w:p>
          <w:p w14:paraId="56658A1B" w14:textId="77777777" w:rsidR="00892A14" w:rsidRDefault="00892A14" w:rsidP="0026658F">
            <w:r w:rsidRPr="004C62E3">
              <w:rPr>
                <w:rFonts w:cs="Arial"/>
                <w:szCs w:val="22"/>
              </w:rPr>
              <w:t>The Temporary Support Overhead will rem</w:t>
            </w:r>
            <w:r>
              <w:rPr>
                <w:rFonts w:cs="Arial"/>
                <w:szCs w:val="22"/>
              </w:rPr>
              <w:t xml:space="preserve">ain partially in place, at 1.25 per cent, in 2019/20 </w:t>
            </w:r>
            <w:r>
              <w:t>rather than be removed after 12 months as originally recommended.</w:t>
            </w:r>
          </w:p>
          <w:p w14:paraId="1070180F" w14:textId="77777777" w:rsidR="00892A14" w:rsidRDefault="00892A14" w:rsidP="0026658F"/>
          <w:p w14:paraId="3757C0A8" w14:textId="77777777" w:rsidR="00892A14" w:rsidRDefault="00892A14" w:rsidP="0026658F">
            <w:r>
              <w:t xml:space="preserve">While this TSO loading is in place, the NDIA will continue to work to deliver initiatives that will reduce provider administrative costs and deliver a better NDIS provider experience.  </w:t>
            </w:r>
          </w:p>
          <w:p w14:paraId="3C86B244" w14:textId="77777777" w:rsidR="00892A14" w:rsidRDefault="00892A14" w:rsidP="0026658F"/>
          <w:p w14:paraId="1671AE40" w14:textId="77777777" w:rsidR="00892A14" w:rsidRPr="006E752A" w:rsidRDefault="00892A14" w:rsidP="0026658F">
            <w:r>
              <w:t>Significant progress has been made, with the NDIA delivering provider portal enhancements, payments process improvements, and continuous development of helpful tools such as the provider finder.</w:t>
            </w:r>
          </w:p>
        </w:tc>
      </w:tr>
      <w:tr w:rsidR="00892A14" w:rsidRPr="004C62E3" w14:paraId="04F9DDDE" w14:textId="77777777" w:rsidTr="0026658F">
        <w:trPr>
          <w:trHeight w:val="575"/>
        </w:trPr>
        <w:tc>
          <w:tcPr>
            <w:tcW w:w="2449" w:type="dxa"/>
          </w:tcPr>
          <w:p w14:paraId="23002E32" w14:textId="77777777" w:rsidR="00892A14" w:rsidRPr="004C62E3" w:rsidRDefault="00892A14" w:rsidP="0026658F">
            <w:pPr>
              <w:spacing w:after="160" w:line="259" w:lineRule="auto"/>
              <w:rPr>
                <w:rFonts w:cs="Arial"/>
                <w:b/>
                <w:szCs w:val="22"/>
              </w:rPr>
            </w:pPr>
            <w:r w:rsidRPr="004C62E3">
              <w:rPr>
                <w:rFonts w:cs="Arial"/>
                <w:b/>
                <w:szCs w:val="22"/>
              </w:rPr>
              <w:lastRenderedPageBreak/>
              <w:t>Recommendation #15</w:t>
            </w:r>
          </w:p>
          <w:p w14:paraId="58F90948" w14:textId="77777777" w:rsidR="00892A14" w:rsidRPr="004C62E3" w:rsidRDefault="00892A14" w:rsidP="0026658F">
            <w:pPr>
              <w:spacing w:after="160" w:line="259" w:lineRule="auto"/>
              <w:rPr>
                <w:rFonts w:cs="Arial"/>
                <w:szCs w:val="22"/>
              </w:rPr>
            </w:pPr>
            <w:r w:rsidRPr="004C62E3">
              <w:rPr>
                <w:rFonts w:cs="Arial"/>
                <w:b/>
                <w:szCs w:val="22"/>
              </w:rPr>
              <w:t>Cancellation policy for core supports</w:t>
            </w:r>
          </w:p>
        </w:tc>
        <w:tc>
          <w:tcPr>
            <w:tcW w:w="5181" w:type="dxa"/>
          </w:tcPr>
          <w:p w14:paraId="64E5F62E" w14:textId="77777777" w:rsidR="00892A14" w:rsidRPr="004C62E3" w:rsidRDefault="00892A14" w:rsidP="0026658F">
            <w:pPr>
              <w:rPr>
                <w:rFonts w:cs="Arial"/>
                <w:szCs w:val="22"/>
              </w:rPr>
            </w:pPr>
            <w:r w:rsidRPr="004C62E3">
              <w:rPr>
                <w:rFonts w:cs="Arial"/>
                <w:szCs w:val="22"/>
              </w:rPr>
              <w:t>Amend the cancellation policy for attendant care so that up to a certain threshold, providers can charge against the</w:t>
            </w:r>
            <w:r>
              <w:rPr>
                <w:rFonts w:cs="Arial"/>
                <w:szCs w:val="22"/>
              </w:rPr>
              <w:t xml:space="preserve"> participants plan for up to       90 per cent</w:t>
            </w:r>
            <w:r w:rsidRPr="004C62E3">
              <w:rPr>
                <w:rFonts w:cs="Arial"/>
                <w:szCs w:val="22"/>
              </w:rPr>
              <w:t xml:space="preserve"> of the entire duration of the scheduled service if the participant makes a short notice cancellation. </w:t>
            </w:r>
          </w:p>
          <w:p w14:paraId="6522398C" w14:textId="77777777" w:rsidR="00892A14" w:rsidRPr="004C62E3" w:rsidRDefault="00892A14" w:rsidP="0026658F">
            <w:pPr>
              <w:rPr>
                <w:rFonts w:cs="Arial"/>
                <w:szCs w:val="22"/>
              </w:rPr>
            </w:pPr>
            <w:r w:rsidRPr="004C62E3">
              <w:rPr>
                <w:rFonts w:cs="Arial"/>
                <w:szCs w:val="22"/>
              </w:rPr>
              <w:t>Above this threshold, providers will need to demonstrate they are actively working with participants to minimise the risk if cancellations in order to continue charging for cancellations.</w:t>
            </w:r>
          </w:p>
        </w:tc>
        <w:tc>
          <w:tcPr>
            <w:tcW w:w="6318" w:type="dxa"/>
          </w:tcPr>
          <w:p w14:paraId="6D068CD8" w14:textId="77777777" w:rsidR="00892A14" w:rsidRDefault="00892A14" w:rsidP="0026658F">
            <w:pPr>
              <w:rPr>
                <w:rFonts w:cs="Arial"/>
                <w:szCs w:val="22"/>
              </w:rPr>
            </w:pPr>
            <w:r w:rsidRPr="004C62E3">
              <w:rPr>
                <w:rFonts w:cs="Arial"/>
                <w:szCs w:val="22"/>
              </w:rPr>
              <w:t>The IPR highlighted the inefficiencies that last minute cancellations cause for providers.</w:t>
            </w:r>
          </w:p>
          <w:p w14:paraId="2F562445" w14:textId="77777777" w:rsidR="00892A14" w:rsidRDefault="00892A14" w:rsidP="0026658F">
            <w:pPr>
              <w:rPr>
                <w:rFonts w:cs="Arial"/>
                <w:szCs w:val="22"/>
              </w:rPr>
            </w:pPr>
          </w:p>
          <w:p w14:paraId="16BA30D4" w14:textId="77777777" w:rsidR="00892A14" w:rsidRPr="009D69A1" w:rsidRDefault="00892A14" w:rsidP="0026658F">
            <w:pPr>
              <w:spacing w:after="120" w:line="254" w:lineRule="auto"/>
              <w:rPr>
                <w:rFonts w:eastAsia="Calibri"/>
              </w:rPr>
            </w:pPr>
            <w:r w:rsidRPr="009D69A1">
              <w:rPr>
                <w:rFonts w:eastAsia="Calibri"/>
              </w:rPr>
              <w:t xml:space="preserve">Providers will </w:t>
            </w:r>
            <w:r>
              <w:rPr>
                <w:rFonts w:eastAsia="Calibri"/>
              </w:rPr>
              <w:t xml:space="preserve">now </w:t>
            </w:r>
            <w:r w:rsidRPr="009D69A1">
              <w:rPr>
                <w:rFonts w:eastAsia="Calibri"/>
              </w:rPr>
              <w:t>be able to charge 90 per cent of the service booking price for short notice cancellations, up to a maximum of 12 cancellations per year for core supports and 6 hours per year for therapy.</w:t>
            </w:r>
          </w:p>
          <w:p w14:paraId="7FEFEC9C" w14:textId="77777777" w:rsidR="00892A14" w:rsidRDefault="00892A14" w:rsidP="0026658F">
            <w:pPr>
              <w:rPr>
                <w:rFonts w:cs="Arial"/>
                <w:szCs w:val="22"/>
              </w:rPr>
            </w:pPr>
          </w:p>
          <w:p w14:paraId="32551455" w14:textId="77777777" w:rsidR="00892A14" w:rsidRPr="004C62E3" w:rsidRDefault="00892A14" w:rsidP="0026658F">
            <w:pPr>
              <w:rPr>
                <w:rFonts w:cs="Arial"/>
                <w:szCs w:val="22"/>
              </w:rPr>
            </w:pPr>
            <w:r w:rsidRPr="004C62E3">
              <w:rPr>
                <w:rFonts w:cs="Arial"/>
                <w:szCs w:val="22"/>
              </w:rPr>
              <w:t>When 12 short notice cancellations within a year are reached, the NDIA will engage with providers to work on strategies to ensure cancellations are being actively managed.</w:t>
            </w:r>
          </w:p>
        </w:tc>
      </w:tr>
      <w:tr w:rsidR="00892A14" w:rsidRPr="004C62E3" w14:paraId="2BF5C2B0" w14:textId="77777777" w:rsidTr="0026658F">
        <w:trPr>
          <w:trHeight w:val="575"/>
        </w:trPr>
        <w:tc>
          <w:tcPr>
            <w:tcW w:w="2449" w:type="dxa"/>
          </w:tcPr>
          <w:p w14:paraId="00C15117" w14:textId="77777777" w:rsidR="00892A14" w:rsidRPr="004C62E3" w:rsidRDefault="00892A14" w:rsidP="0026658F">
            <w:pPr>
              <w:spacing w:after="160" w:line="259" w:lineRule="auto"/>
              <w:rPr>
                <w:rFonts w:cs="Arial"/>
                <w:b/>
                <w:szCs w:val="22"/>
              </w:rPr>
            </w:pPr>
            <w:r w:rsidRPr="004C62E3">
              <w:rPr>
                <w:rFonts w:cs="Arial"/>
                <w:b/>
                <w:szCs w:val="22"/>
              </w:rPr>
              <w:t>Recommendation #16</w:t>
            </w:r>
          </w:p>
          <w:p w14:paraId="13507EC1" w14:textId="77777777" w:rsidR="00892A14" w:rsidRPr="004C62E3" w:rsidRDefault="00892A14" w:rsidP="0026658F">
            <w:pPr>
              <w:spacing w:after="160" w:line="259" w:lineRule="auto"/>
              <w:rPr>
                <w:rFonts w:cs="Arial"/>
                <w:b/>
                <w:szCs w:val="22"/>
              </w:rPr>
            </w:pPr>
            <w:r w:rsidRPr="004C62E3">
              <w:rPr>
                <w:rFonts w:cs="Arial"/>
                <w:b/>
                <w:szCs w:val="22"/>
              </w:rPr>
              <w:t>Group supports (community based)</w:t>
            </w:r>
          </w:p>
          <w:p w14:paraId="121B69B7" w14:textId="77777777" w:rsidR="00892A14" w:rsidRPr="004C62E3" w:rsidRDefault="00892A14" w:rsidP="0026658F">
            <w:pPr>
              <w:spacing w:after="160" w:line="259" w:lineRule="auto"/>
              <w:rPr>
                <w:rFonts w:cs="Arial"/>
                <w:b/>
                <w:szCs w:val="22"/>
              </w:rPr>
            </w:pPr>
            <w:r w:rsidRPr="004C62E3">
              <w:rPr>
                <w:rFonts w:cs="Arial"/>
                <w:b/>
                <w:szCs w:val="22"/>
              </w:rPr>
              <w:t>Group supports (centre based)</w:t>
            </w:r>
          </w:p>
        </w:tc>
        <w:tc>
          <w:tcPr>
            <w:tcW w:w="5181" w:type="dxa"/>
          </w:tcPr>
          <w:p w14:paraId="40B347EB" w14:textId="77777777" w:rsidR="00892A14" w:rsidRPr="004C62E3" w:rsidRDefault="00892A14" w:rsidP="0026658F">
            <w:pPr>
              <w:rPr>
                <w:rFonts w:cs="Arial"/>
                <w:szCs w:val="22"/>
              </w:rPr>
            </w:pPr>
            <w:r w:rsidRPr="004C62E3">
              <w:rPr>
                <w:rFonts w:cs="Arial"/>
                <w:szCs w:val="22"/>
              </w:rPr>
              <w:t xml:space="preserve">Implement a new pricing schedule for group care </w:t>
            </w:r>
            <w:r w:rsidRPr="004C62E3">
              <w:rPr>
                <w:rFonts w:cs="Arial"/>
                <w:szCs w:val="22"/>
              </w:rPr>
              <w:br/>
              <w:t>(both community based and centre based) that allows providers to recover additional costs incurred for groups, while still retaining the incentives and efficiencies of group based care.</w:t>
            </w:r>
          </w:p>
          <w:p w14:paraId="38DAC791" w14:textId="77777777" w:rsidR="00892A14" w:rsidRPr="004C62E3" w:rsidRDefault="00892A14" w:rsidP="0026658F">
            <w:pPr>
              <w:rPr>
                <w:rFonts w:cs="Arial"/>
                <w:szCs w:val="22"/>
              </w:rPr>
            </w:pPr>
            <w:r w:rsidRPr="004C62E3">
              <w:rPr>
                <w:rFonts w:cs="Arial"/>
                <w:szCs w:val="22"/>
              </w:rPr>
              <w:t>Also assess whether a capital allowance should be provided for centre based care on whether there is demand to increase the number of centres.</w:t>
            </w:r>
          </w:p>
        </w:tc>
        <w:tc>
          <w:tcPr>
            <w:tcW w:w="6318" w:type="dxa"/>
          </w:tcPr>
          <w:p w14:paraId="3C26E8E2" w14:textId="77777777" w:rsidR="00892A14" w:rsidRDefault="00892A14" w:rsidP="0026658F">
            <w:pPr>
              <w:rPr>
                <w:rFonts w:cs="Arial"/>
                <w:szCs w:val="22"/>
              </w:rPr>
            </w:pPr>
            <w:r w:rsidRPr="004C62E3">
              <w:rPr>
                <w:rFonts w:cs="Arial"/>
                <w:szCs w:val="22"/>
              </w:rPr>
              <w:t>The IPR report suggested the current price limits for group supports did not allow for sufficient flexibility in group care arrangements.</w:t>
            </w:r>
          </w:p>
          <w:p w14:paraId="3BC0EC76" w14:textId="77777777" w:rsidR="00892A14" w:rsidRPr="004C62E3" w:rsidRDefault="00892A14" w:rsidP="0026658F">
            <w:pPr>
              <w:rPr>
                <w:rFonts w:cs="Arial"/>
                <w:szCs w:val="22"/>
              </w:rPr>
            </w:pPr>
          </w:p>
          <w:p w14:paraId="733C33D8" w14:textId="77777777" w:rsidR="00892A14" w:rsidRDefault="00892A14" w:rsidP="0026658F">
            <w:pPr>
              <w:rPr>
                <w:rFonts w:cs="Arial"/>
                <w:szCs w:val="22"/>
              </w:rPr>
            </w:pPr>
            <w:r w:rsidRPr="004C62E3">
              <w:rPr>
                <w:rFonts w:cs="Arial"/>
                <w:szCs w:val="22"/>
              </w:rPr>
              <w:t>From 1 July 2018, a pricing adjustment will occur to give more flexibility to providers of group care arrangements in a centre or the community to charge for a high intensity or complexity loading.</w:t>
            </w:r>
          </w:p>
          <w:p w14:paraId="679DE286" w14:textId="77777777" w:rsidR="00892A14" w:rsidRPr="004C62E3" w:rsidRDefault="00892A14" w:rsidP="0026658F">
            <w:pPr>
              <w:rPr>
                <w:rFonts w:cs="Arial"/>
                <w:szCs w:val="22"/>
              </w:rPr>
            </w:pPr>
          </w:p>
          <w:p w14:paraId="2F080EAA" w14:textId="77777777" w:rsidR="00892A14" w:rsidRDefault="00892A14" w:rsidP="0026658F">
            <w:pPr>
              <w:rPr>
                <w:rFonts w:cs="Arial"/>
                <w:szCs w:val="22"/>
              </w:rPr>
            </w:pPr>
            <w:r w:rsidRPr="004C62E3">
              <w:rPr>
                <w:rFonts w:cs="Arial"/>
                <w:szCs w:val="22"/>
              </w:rPr>
              <w:t xml:space="preserve">New  price options to support 1:4 and 1:5 support worker to participant ratios for both standard and high intensity rates will be added to the 2018/19 NDIA Price Guide. </w:t>
            </w:r>
          </w:p>
          <w:p w14:paraId="63275D62" w14:textId="77777777" w:rsidR="00892A14" w:rsidRPr="004C62E3" w:rsidRDefault="00892A14" w:rsidP="0026658F">
            <w:pPr>
              <w:rPr>
                <w:rFonts w:cs="Arial"/>
                <w:szCs w:val="22"/>
              </w:rPr>
            </w:pPr>
          </w:p>
          <w:p w14:paraId="78365955" w14:textId="77777777" w:rsidR="00892A14" w:rsidRDefault="00892A14" w:rsidP="0026658F">
            <w:pPr>
              <w:rPr>
                <w:rFonts w:cs="Arial"/>
                <w:szCs w:val="22"/>
              </w:rPr>
            </w:pPr>
            <w:r w:rsidRPr="004C62E3">
              <w:rPr>
                <w:rFonts w:cs="Arial"/>
                <w:szCs w:val="22"/>
              </w:rPr>
              <w:t xml:space="preserve">The NDIA will continue to explore the </w:t>
            </w:r>
            <w:r>
              <w:rPr>
                <w:rFonts w:cs="Arial"/>
                <w:szCs w:val="22"/>
              </w:rPr>
              <w:t>execution options for complex support requriements</w:t>
            </w:r>
            <w:r w:rsidRPr="004C62E3">
              <w:rPr>
                <w:rFonts w:cs="Arial"/>
                <w:szCs w:val="22"/>
              </w:rPr>
              <w:t>, however high intensity group care prices will remain the same for 2018-2019 to help minimise disruption to providers</w:t>
            </w:r>
            <w:r>
              <w:rPr>
                <w:rFonts w:cs="Arial"/>
                <w:szCs w:val="22"/>
              </w:rPr>
              <w:t>.</w:t>
            </w:r>
          </w:p>
          <w:p w14:paraId="580DFED3" w14:textId="77777777" w:rsidR="00892A14" w:rsidRPr="004C62E3" w:rsidRDefault="00892A14" w:rsidP="0026658F">
            <w:pPr>
              <w:rPr>
                <w:rFonts w:cs="Arial"/>
                <w:szCs w:val="22"/>
              </w:rPr>
            </w:pPr>
          </w:p>
        </w:tc>
      </w:tr>
      <w:tr w:rsidR="00892A14" w:rsidRPr="004C62E3" w14:paraId="684B7EDC" w14:textId="77777777" w:rsidTr="0026658F">
        <w:trPr>
          <w:trHeight w:val="575"/>
        </w:trPr>
        <w:tc>
          <w:tcPr>
            <w:tcW w:w="2449" w:type="dxa"/>
          </w:tcPr>
          <w:p w14:paraId="0E3AB235" w14:textId="77777777" w:rsidR="00892A14" w:rsidRPr="004C62E3" w:rsidRDefault="00892A14" w:rsidP="0026658F">
            <w:pPr>
              <w:spacing w:after="160" w:line="259" w:lineRule="auto"/>
              <w:rPr>
                <w:rFonts w:cs="Arial"/>
                <w:b/>
                <w:szCs w:val="22"/>
              </w:rPr>
            </w:pPr>
            <w:r w:rsidRPr="004C62E3">
              <w:rPr>
                <w:rFonts w:cs="Arial"/>
                <w:b/>
                <w:szCs w:val="22"/>
              </w:rPr>
              <w:lastRenderedPageBreak/>
              <w:t>Recommendation #18</w:t>
            </w:r>
          </w:p>
          <w:p w14:paraId="7CD34DAD" w14:textId="77777777" w:rsidR="00892A14" w:rsidRPr="004C62E3" w:rsidRDefault="00892A14" w:rsidP="0026658F">
            <w:pPr>
              <w:spacing w:after="160" w:line="259" w:lineRule="auto"/>
              <w:rPr>
                <w:rFonts w:cs="Arial"/>
                <w:szCs w:val="22"/>
              </w:rPr>
            </w:pPr>
            <w:r w:rsidRPr="004C62E3">
              <w:rPr>
                <w:rFonts w:cs="Arial"/>
                <w:b/>
                <w:szCs w:val="22"/>
              </w:rPr>
              <w:t>Therapy assistant (level 1)</w:t>
            </w:r>
          </w:p>
        </w:tc>
        <w:tc>
          <w:tcPr>
            <w:tcW w:w="5181" w:type="dxa"/>
          </w:tcPr>
          <w:p w14:paraId="5157EF6A" w14:textId="77777777" w:rsidR="00892A14" w:rsidRPr="004C62E3" w:rsidRDefault="00892A14" w:rsidP="0026658F">
            <w:pPr>
              <w:rPr>
                <w:rFonts w:cs="Arial"/>
                <w:szCs w:val="22"/>
              </w:rPr>
            </w:pPr>
            <w:r w:rsidRPr="004C62E3">
              <w:rPr>
                <w:rFonts w:cs="Arial"/>
                <w:szCs w:val="22"/>
              </w:rPr>
              <w:t>Amend the description for therapy assistants and introduce two tiers of process for therapy assistants. One that is comparable to the attendant care price, and a second that is for the delivery of therapy supports by a professional with a lower level of skill than a qualified therapist.</w:t>
            </w:r>
          </w:p>
        </w:tc>
        <w:tc>
          <w:tcPr>
            <w:tcW w:w="6318" w:type="dxa"/>
          </w:tcPr>
          <w:p w14:paraId="3588A23B" w14:textId="77777777" w:rsidR="00892A14" w:rsidRDefault="00892A14" w:rsidP="0026658F">
            <w:pPr>
              <w:rPr>
                <w:rFonts w:cs="Arial"/>
                <w:szCs w:val="22"/>
              </w:rPr>
            </w:pPr>
            <w:r w:rsidRPr="004C62E3">
              <w:rPr>
                <w:rFonts w:cs="Arial"/>
                <w:szCs w:val="22"/>
              </w:rPr>
              <w:t xml:space="preserve">The IPR suggested </w:t>
            </w:r>
            <w:r>
              <w:rPr>
                <w:rFonts w:cs="Arial"/>
                <w:szCs w:val="22"/>
              </w:rPr>
              <w:t xml:space="preserve">an </w:t>
            </w:r>
            <w:r w:rsidRPr="004C62E3">
              <w:rPr>
                <w:rFonts w:cs="Arial"/>
                <w:szCs w:val="22"/>
              </w:rPr>
              <w:t xml:space="preserve">increase </w:t>
            </w:r>
            <w:r>
              <w:rPr>
                <w:rFonts w:cs="Arial"/>
                <w:szCs w:val="22"/>
              </w:rPr>
              <w:t xml:space="preserve">to </w:t>
            </w:r>
            <w:r w:rsidRPr="004C62E3">
              <w:rPr>
                <w:rFonts w:cs="Arial"/>
                <w:szCs w:val="22"/>
              </w:rPr>
              <w:t>the price limit and the inclusion of a second tier of</w:t>
            </w:r>
            <w:r>
              <w:rPr>
                <w:rFonts w:cs="Arial"/>
                <w:szCs w:val="22"/>
              </w:rPr>
              <w:t xml:space="preserve"> the</w:t>
            </w:r>
            <w:r w:rsidRPr="004C62E3">
              <w:rPr>
                <w:rFonts w:cs="Arial"/>
                <w:szCs w:val="22"/>
              </w:rPr>
              <w:t xml:space="preserve"> therapy assistant rate would result in improved participant outcomes.  </w:t>
            </w:r>
          </w:p>
          <w:p w14:paraId="55C47A6A" w14:textId="77777777" w:rsidR="00892A14" w:rsidRPr="004C62E3" w:rsidRDefault="00892A14" w:rsidP="0026658F">
            <w:pPr>
              <w:rPr>
                <w:rFonts w:cs="Arial"/>
                <w:szCs w:val="22"/>
              </w:rPr>
            </w:pPr>
          </w:p>
          <w:p w14:paraId="6D990B33" w14:textId="77777777" w:rsidR="00892A14" w:rsidRDefault="00892A14" w:rsidP="0026658F">
            <w:pPr>
              <w:rPr>
                <w:rFonts w:cs="Arial"/>
                <w:szCs w:val="22"/>
              </w:rPr>
            </w:pPr>
            <w:r w:rsidRPr="004C62E3">
              <w:rPr>
                <w:rFonts w:cs="Arial"/>
                <w:szCs w:val="22"/>
              </w:rPr>
              <w:t>From 1 July, the hourl</w:t>
            </w:r>
            <w:r>
              <w:rPr>
                <w:rFonts w:cs="Arial"/>
                <w:szCs w:val="22"/>
              </w:rPr>
              <w:t>y rate for therapy assistants (L</w:t>
            </w:r>
            <w:r w:rsidRPr="004C62E3">
              <w:rPr>
                <w:rFonts w:cs="Arial"/>
                <w:szCs w:val="22"/>
              </w:rPr>
              <w:t xml:space="preserve">evel 1) will be increased to align with the rate for </w:t>
            </w:r>
            <w:r>
              <w:rPr>
                <w:rFonts w:cs="Arial"/>
                <w:szCs w:val="22"/>
              </w:rPr>
              <w:t xml:space="preserve">a </w:t>
            </w:r>
            <w:r w:rsidRPr="004C62E3">
              <w:rPr>
                <w:rFonts w:cs="Arial"/>
                <w:szCs w:val="22"/>
              </w:rPr>
              <w:t>standard level support worker.</w:t>
            </w:r>
            <w:r>
              <w:rPr>
                <w:rFonts w:cs="Arial"/>
                <w:szCs w:val="22"/>
              </w:rPr>
              <w:t xml:space="preserve"> </w:t>
            </w:r>
            <w:r w:rsidRPr="004C62E3">
              <w:rPr>
                <w:rFonts w:cs="Arial"/>
                <w:szCs w:val="22"/>
              </w:rPr>
              <w:t xml:space="preserve">This increase in the hourly rate acknowledges that therapy assistance, at </w:t>
            </w:r>
            <w:r>
              <w:rPr>
                <w:rFonts w:cs="Arial"/>
                <w:szCs w:val="22"/>
              </w:rPr>
              <w:t xml:space="preserve">a </w:t>
            </w:r>
            <w:r w:rsidRPr="004C62E3">
              <w:rPr>
                <w:rFonts w:cs="Arial"/>
                <w:szCs w:val="22"/>
              </w:rPr>
              <w:t>minimum, requires the same level of skill as a standard level support worker.</w:t>
            </w:r>
          </w:p>
          <w:p w14:paraId="234F8370" w14:textId="77777777" w:rsidR="00892A14" w:rsidRPr="004C62E3" w:rsidRDefault="00892A14" w:rsidP="0026658F">
            <w:pPr>
              <w:rPr>
                <w:rFonts w:cs="Arial"/>
                <w:szCs w:val="22"/>
              </w:rPr>
            </w:pPr>
          </w:p>
          <w:p w14:paraId="3C722658" w14:textId="77777777" w:rsidR="00892A14" w:rsidRPr="004C62E3" w:rsidRDefault="00892A14" w:rsidP="0026658F">
            <w:pPr>
              <w:rPr>
                <w:rFonts w:cs="Arial"/>
                <w:szCs w:val="22"/>
              </w:rPr>
            </w:pPr>
            <w:r w:rsidRPr="004C62E3">
              <w:rPr>
                <w:rFonts w:cs="Arial"/>
                <w:szCs w:val="22"/>
              </w:rPr>
              <w:t>The inclusion of therapy assistant level 2 will be considered as part of further work being conducted on therapy.</w:t>
            </w:r>
          </w:p>
          <w:p w14:paraId="0235E2D4" w14:textId="77777777" w:rsidR="00892A14" w:rsidRPr="004C62E3" w:rsidRDefault="00892A14" w:rsidP="0026658F">
            <w:pPr>
              <w:rPr>
                <w:rFonts w:cs="Arial"/>
                <w:szCs w:val="22"/>
              </w:rPr>
            </w:pPr>
          </w:p>
        </w:tc>
      </w:tr>
      <w:tr w:rsidR="00892A14" w:rsidRPr="004C62E3" w14:paraId="273BEE5A" w14:textId="77777777" w:rsidTr="0026658F">
        <w:trPr>
          <w:trHeight w:val="575"/>
        </w:trPr>
        <w:tc>
          <w:tcPr>
            <w:tcW w:w="2449" w:type="dxa"/>
          </w:tcPr>
          <w:p w14:paraId="334E9F55" w14:textId="77777777" w:rsidR="00892A14" w:rsidRPr="004C62E3" w:rsidRDefault="00892A14" w:rsidP="0026658F">
            <w:pPr>
              <w:spacing w:after="160" w:line="259" w:lineRule="auto"/>
              <w:rPr>
                <w:rFonts w:cs="Arial"/>
                <w:b/>
                <w:szCs w:val="22"/>
              </w:rPr>
            </w:pPr>
            <w:r w:rsidRPr="004C62E3">
              <w:rPr>
                <w:rFonts w:cs="Arial"/>
                <w:b/>
                <w:szCs w:val="22"/>
              </w:rPr>
              <w:t>Recommendation #19</w:t>
            </w:r>
          </w:p>
          <w:p w14:paraId="6A434F73" w14:textId="77777777" w:rsidR="00892A14" w:rsidRPr="004C62E3" w:rsidRDefault="00892A14" w:rsidP="0026658F">
            <w:pPr>
              <w:spacing w:after="160" w:line="259" w:lineRule="auto"/>
              <w:rPr>
                <w:rFonts w:cs="Arial"/>
                <w:b/>
                <w:szCs w:val="22"/>
              </w:rPr>
            </w:pPr>
            <w:r w:rsidRPr="004C62E3">
              <w:rPr>
                <w:rFonts w:cs="Arial"/>
                <w:b/>
                <w:szCs w:val="22"/>
              </w:rPr>
              <w:t>Therapy travel</w:t>
            </w:r>
          </w:p>
        </w:tc>
        <w:tc>
          <w:tcPr>
            <w:tcW w:w="5181" w:type="dxa"/>
          </w:tcPr>
          <w:p w14:paraId="334BEB3C" w14:textId="77777777" w:rsidR="00892A14" w:rsidRPr="004C62E3" w:rsidRDefault="00892A14" w:rsidP="0026658F">
            <w:pPr>
              <w:rPr>
                <w:rFonts w:cs="Arial"/>
                <w:szCs w:val="22"/>
              </w:rPr>
            </w:pPr>
            <w:r w:rsidRPr="004C62E3">
              <w:rPr>
                <w:rFonts w:cs="Arial"/>
                <w:szCs w:val="22"/>
              </w:rPr>
              <w:t>Align the travel policy for therapy supports to the travel policy for attendant care by removing the $1</w:t>
            </w:r>
            <w:r>
              <w:rPr>
                <w:rFonts w:cs="Arial"/>
                <w:szCs w:val="22"/>
              </w:rPr>
              <w:t>,</w:t>
            </w:r>
            <w:r w:rsidRPr="004C62E3">
              <w:rPr>
                <w:rFonts w:cs="Arial"/>
                <w:szCs w:val="22"/>
              </w:rPr>
              <w:t>000 travel cap, allowing providers to charge up to 20 minutes at the hourly rate when travelling between participants.</w:t>
            </w:r>
          </w:p>
        </w:tc>
        <w:tc>
          <w:tcPr>
            <w:tcW w:w="6318" w:type="dxa"/>
          </w:tcPr>
          <w:p w14:paraId="028C2B53" w14:textId="77777777" w:rsidR="00892A14" w:rsidRPr="004C62E3" w:rsidRDefault="00892A14" w:rsidP="0026658F">
            <w:pPr>
              <w:rPr>
                <w:rFonts w:cs="Arial"/>
                <w:szCs w:val="22"/>
              </w:rPr>
            </w:pPr>
            <w:r w:rsidRPr="004C62E3">
              <w:rPr>
                <w:rFonts w:cs="Arial"/>
                <w:szCs w:val="22"/>
              </w:rPr>
              <w:t xml:space="preserve">The IPR report found that participants living in regional areas may find it difficult to access therapy supports.  </w:t>
            </w:r>
          </w:p>
          <w:p w14:paraId="5666D06A" w14:textId="77777777" w:rsidR="00892A14" w:rsidRDefault="00892A14" w:rsidP="0026658F">
            <w:pPr>
              <w:rPr>
                <w:rFonts w:cs="Arial"/>
                <w:szCs w:val="22"/>
              </w:rPr>
            </w:pPr>
          </w:p>
          <w:p w14:paraId="4156545E" w14:textId="77777777" w:rsidR="00892A14" w:rsidRPr="004C62E3" w:rsidRDefault="00892A14" w:rsidP="0026658F">
            <w:pPr>
              <w:rPr>
                <w:rFonts w:cs="Arial"/>
                <w:szCs w:val="22"/>
              </w:rPr>
            </w:pPr>
            <w:r w:rsidRPr="004C62E3">
              <w:rPr>
                <w:rFonts w:cs="Arial"/>
                <w:szCs w:val="22"/>
              </w:rPr>
              <w:t>The NDIA will now remove the $1</w:t>
            </w:r>
            <w:r>
              <w:rPr>
                <w:rFonts w:cs="Arial"/>
                <w:szCs w:val="22"/>
              </w:rPr>
              <w:t>,</w:t>
            </w:r>
            <w:r w:rsidRPr="004C62E3">
              <w:rPr>
                <w:rFonts w:cs="Arial"/>
                <w:szCs w:val="22"/>
              </w:rPr>
              <w:t>000 cap for therapist travel.</w:t>
            </w:r>
          </w:p>
          <w:p w14:paraId="27EF6D2C" w14:textId="77777777" w:rsidR="00892A14" w:rsidRPr="004C62E3" w:rsidRDefault="00892A14" w:rsidP="0026658F">
            <w:pPr>
              <w:rPr>
                <w:rFonts w:cs="Arial"/>
                <w:szCs w:val="22"/>
              </w:rPr>
            </w:pPr>
            <w:r w:rsidRPr="004C62E3">
              <w:rPr>
                <w:rFonts w:cs="Arial"/>
                <w:szCs w:val="22"/>
              </w:rPr>
              <w:t xml:space="preserve">Therapists can now claim for travel up to 45 minutes when visiting participants regional areas, and up to 20 minutes for all other areas.  </w:t>
            </w:r>
          </w:p>
        </w:tc>
      </w:tr>
      <w:tr w:rsidR="00892A14" w:rsidRPr="004C62E3" w14:paraId="6DB1D026" w14:textId="77777777" w:rsidTr="0026658F">
        <w:trPr>
          <w:trHeight w:val="575"/>
        </w:trPr>
        <w:tc>
          <w:tcPr>
            <w:tcW w:w="2449" w:type="dxa"/>
          </w:tcPr>
          <w:p w14:paraId="4133C378" w14:textId="77777777" w:rsidR="00892A14" w:rsidRPr="004C62E3" w:rsidRDefault="00892A14" w:rsidP="0026658F">
            <w:pPr>
              <w:spacing w:after="160" w:line="259" w:lineRule="auto"/>
              <w:rPr>
                <w:rFonts w:cs="Arial"/>
                <w:b/>
                <w:szCs w:val="22"/>
              </w:rPr>
            </w:pPr>
            <w:r w:rsidRPr="004C62E3">
              <w:rPr>
                <w:rFonts w:cs="Arial"/>
                <w:b/>
                <w:szCs w:val="22"/>
              </w:rPr>
              <w:t>Recommendation #20</w:t>
            </w:r>
          </w:p>
          <w:p w14:paraId="79DEA516" w14:textId="77777777" w:rsidR="00892A14" w:rsidRPr="004C62E3" w:rsidRDefault="00892A14" w:rsidP="0026658F">
            <w:pPr>
              <w:spacing w:after="160" w:line="259" w:lineRule="auto"/>
              <w:rPr>
                <w:rFonts w:cs="Arial"/>
                <w:b/>
                <w:szCs w:val="22"/>
              </w:rPr>
            </w:pPr>
            <w:r w:rsidRPr="004C62E3">
              <w:rPr>
                <w:rFonts w:cs="Arial"/>
                <w:b/>
                <w:szCs w:val="22"/>
              </w:rPr>
              <w:t>Cancellation policy for therapy</w:t>
            </w:r>
          </w:p>
        </w:tc>
        <w:tc>
          <w:tcPr>
            <w:tcW w:w="5181" w:type="dxa"/>
          </w:tcPr>
          <w:p w14:paraId="6D703CAB" w14:textId="77777777" w:rsidR="00892A14" w:rsidRPr="004C62E3" w:rsidRDefault="00892A14" w:rsidP="0026658F">
            <w:pPr>
              <w:rPr>
                <w:rFonts w:cs="Arial"/>
                <w:szCs w:val="22"/>
              </w:rPr>
            </w:pPr>
            <w:r w:rsidRPr="004C62E3">
              <w:rPr>
                <w:rFonts w:cs="Arial"/>
                <w:szCs w:val="22"/>
              </w:rPr>
              <w:t>Amend the cancellation policy for Therapy so that up to a certain threshold, providers can charge against a</w:t>
            </w:r>
            <w:r>
              <w:rPr>
                <w:rFonts w:cs="Arial"/>
                <w:szCs w:val="22"/>
              </w:rPr>
              <w:t xml:space="preserve"> participants plan for up to 90 per cent</w:t>
            </w:r>
            <w:r w:rsidRPr="004C62E3">
              <w:rPr>
                <w:rFonts w:cs="Arial"/>
                <w:szCs w:val="22"/>
              </w:rPr>
              <w:t xml:space="preserve"> of the scheduled service if the participant makes a short notice cancellation. A cancellation line item </w:t>
            </w:r>
            <w:r w:rsidRPr="004C62E3">
              <w:rPr>
                <w:rFonts w:cs="Arial"/>
                <w:szCs w:val="22"/>
              </w:rPr>
              <w:lastRenderedPageBreak/>
              <w:t>should be created as a governance mechanism for NDIA.</w:t>
            </w:r>
          </w:p>
        </w:tc>
        <w:tc>
          <w:tcPr>
            <w:tcW w:w="6318" w:type="dxa"/>
          </w:tcPr>
          <w:p w14:paraId="05D459BF" w14:textId="77777777" w:rsidR="00892A14" w:rsidRDefault="00892A14" w:rsidP="0026658F">
            <w:pPr>
              <w:rPr>
                <w:rFonts w:cs="Arial"/>
                <w:szCs w:val="22"/>
              </w:rPr>
            </w:pPr>
            <w:r w:rsidRPr="004C62E3">
              <w:rPr>
                <w:rFonts w:cs="Arial"/>
                <w:szCs w:val="22"/>
              </w:rPr>
              <w:lastRenderedPageBreak/>
              <w:t>The IPR highlighted the inefficiencies that last minute cancellations cause for therapists.</w:t>
            </w:r>
          </w:p>
          <w:p w14:paraId="3E839DF9" w14:textId="77777777" w:rsidR="00892A14" w:rsidRPr="004C62E3" w:rsidRDefault="00892A14" w:rsidP="0026658F">
            <w:pPr>
              <w:rPr>
                <w:rFonts w:cs="Arial"/>
                <w:szCs w:val="22"/>
              </w:rPr>
            </w:pPr>
          </w:p>
          <w:p w14:paraId="5A502C07" w14:textId="77777777" w:rsidR="00892A14" w:rsidRDefault="00892A14" w:rsidP="0026658F">
            <w:pPr>
              <w:rPr>
                <w:rFonts w:cs="Arial"/>
                <w:szCs w:val="22"/>
              </w:rPr>
            </w:pPr>
            <w:r w:rsidRPr="004C62E3">
              <w:rPr>
                <w:rFonts w:cs="Arial"/>
                <w:szCs w:val="22"/>
              </w:rPr>
              <w:t>Therapists will n</w:t>
            </w:r>
            <w:r>
              <w:rPr>
                <w:rFonts w:cs="Arial"/>
                <w:szCs w:val="22"/>
              </w:rPr>
              <w:t>ow have the option to charge 90 per cent</w:t>
            </w:r>
            <w:r w:rsidRPr="004C62E3">
              <w:rPr>
                <w:rFonts w:cs="Arial"/>
                <w:szCs w:val="22"/>
              </w:rPr>
              <w:t xml:space="preserve"> of the service fee for a participant</w:t>
            </w:r>
            <w:r>
              <w:rPr>
                <w:rFonts w:cs="Arial"/>
                <w:szCs w:val="22"/>
              </w:rPr>
              <w:t>s</w:t>
            </w:r>
            <w:r w:rsidRPr="004C62E3">
              <w:rPr>
                <w:rFonts w:cs="Arial"/>
                <w:szCs w:val="22"/>
              </w:rPr>
              <w:t xml:space="preserve"> who cancels</w:t>
            </w:r>
            <w:r>
              <w:rPr>
                <w:rFonts w:cs="Arial"/>
                <w:szCs w:val="22"/>
              </w:rPr>
              <w:t xml:space="preserve"> an appointment at short notice.</w:t>
            </w:r>
          </w:p>
          <w:p w14:paraId="50B5E8D3" w14:textId="77777777" w:rsidR="00892A14" w:rsidRPr="004C62E3" w:rsidRDefault="00892A14" w:rsidP="0026658F">
            <w:pPr>
              <w:rPr>
                <w:rFonts w:cs="Arial"/>
                <w:szCs w:val="22"/>
              </w:rPr>
            </w:pPr>
            <w:r w:rsidRPr="004C62E3">
              <w:rPr>
                <w:rFonts w:cs="Arial"/>
                <w:szCs w:val="22"/>
              </w:rPr>
              <w:lastRenderedPageBreak/>
              <w:t xml:space="preserve">When 6 hours of therapy provision </w:t>
            </w:r>
            <w:r>
              <w:rPr>
                <w:rFonts w:cs="Arial"/>
                <w:szCs w:val="22"/>
              </w:rPr>
              <w:t xml:space="preserve">have been cancelled </w:t>
            </w:r>
            <w:r w:rsidRPr="004C62E3">
              <w:rPr>
                <w:rFonts w:cs="Arial"/>
                <w:szCs w:val="22"/>
              </w:rPr>
              <w:t>within a year, the NDIA will engage with the Therapist to work on strategies to ensure cancellations are being actively managed.</w:t>
            </w:r>
          </w:p>
        </w:tc>
      </w:tr>
      <w:tr w:rsidR="00892A14" w:rsidRPr="004C62E3" w14:paraId="0A5B689A" w14:textId="77777777" w:rsidTr="0026658F">
        <w:trPr>
          <w:trHeight w:val="575"/>
        </w:trPr>
        <w:tc>
          <w:tcPr>
            <w:tcW w:w="2449" w:type="dxa"/>
          </w:tcPr>
          <w:p w14:paraId="598B386A" w14:textId="77777777" w:rsidR="00892A14" w:rsidRPr="004C62E3" w:rsidRDefault="00892A14" w:rsidP="0026658F">
            <w:pPr>
              <w:spacing w:after="160" w:line="259" w:lineRule="auto"/>
              <w:rPr>
                <w:rFonts w:cs="Arial"/>
                <w:b/>
                <w:szCs w:val="22"/>
              </w:rPr>
            </w:pPr>
            <w:r w:rsidRPr="004C62E3">
              <w:rPr>
                <w:rFonts w:cs="Arial"/>
                <w:b/>
                <w:szCs w:val="22"/>
              </w:rPr>
              <w:lastRenderedPageBreak/>
              <w:t>Recommendation #21</w:t>
            </w:r>
          </w:p>
          <w:p w14:paraId="4D002907" w14:textId="77777777" w:rsidR="00892A14" w:rsidRPr="004C62E3" w:rsidRDefault="00892A14" w:rsidP="0026658F">
            <w:pPr>
              <w:spacing w:after="160" w:line="259" w:lineRule="auto"/>
              <w:rPr>
                <w:rFonts w:cs="Arial"/>
                <w:b/>
                <w:szCs w:val="22"/>
              </w:rPr>
            </w:pPr>
            <w:r w:rsidRPr="004C62E3">
              <w:rPr>
                <w:rFonts w:cs="Arial"/>
                <w:b/>
                <w:szCs w:val="22"/>
              </w:rPr>
              <w:t>Reports requested by NDIA</w:t>
            </w:r>
          </w:p>
        </w:tc>
        <w:tc>
          <w:tcPr>
            <w:tcW w:w="5181" w:type="dxa"/>
          </w:tcPr>
          <w:p w14:paraId="1A32C850" w14:textId="77777777" w:rsidR="00892A14" w:rsidRPr="004C62E3" w:rsidRDefault="00892A14" w:rsidP="0026658F">
            <w:pPr>
              <w:rPr>
                <w:rFonts w:cs="Arial"/>
                <w:szCs w:val="22"/>
              </w:rPr>
            </w:pPr>
            <w:r w:rsidRPr="004C62E3">
              <w:rPr>
                <w:rFonts w:cs="Arial"/>
                <w:szCs w:val="22"/>
              </w:rPr>
              <w:t>The NDIA should allow providers to charge participants for the time spent writing reports that are requested by the NDIA. A new line item should be introduced for tracking purposes.</w:t>
            </w:r>
          </w:p>
        </w:tc>
        <w:tc>
          <w:tcPr>
            <w:tcW w:w="6318" w:type="dxa"/>
          </w:tcPr>
          <w:p w14:paraId="293B6594" w14:textId="77777777" w:rsidR="00892A14" w:rsidRDefault="00892A14" w:rsidP="0026658F">
            <w:pPr>
              <w:rPr>
                <w:rFonts w:cs="Arial"/>
                <w:szCs w:val="22"/>
              </w:rPr>
            </w:pPr>
            <w:r w:rsidRPr="004C62E3">
              <w:rPr>
                <w:rFonts w:cs="Arial"/>
                <w:szCs w:val="22"/>
              </w:rPr>
              <w:t>The IPR report acknowledged the out of pocket time and resource</w:t>
            </w:r>
            <w:r>
              <w:rPr>
                <w:rFonts w:cs="Arial"/>
                <w:szCs w:val="22"/>
              </w:rPr>
              <w:t>s</w:t>
            </w:r>
            <w:r w:rsidRPr="004C62E3">
              <w:rPr>
                <w:rFonts w:cs="Arial"/>
                <w:szCs w:val="22"/>
              </w:rPr>
              <w:t xml:space="preserve"> for providers when supplying reports that are requested by NDIA.</w:t>
            </w:r>
          </w:p>
          <w:p w14:paraId="66B4A14D" w14:textId="77777777" w:rsidR="00892A14" w:rsidRPr="004C62E3" w:rsidRDefault="00892A14" w:rsidP="0026658F">
            <w:pPr>
              <w:rPr>
                <w:rFonts w:cs="Arial"/>
                <w:szCs w:val="22"/>
              </w:rPr>
            </w:pPr>
          </w:p>
          <w:p w14:paraId="3A9CEC34" w14:textId="77777777" w:rsidR="00892A14" w:rsidRPr="004C62E3" w:rsidRDefault="00892A14" w:rsidP="0026658F">
            <w:pPr>
              <w:rPr>
                <w:rFonts w:cs="Arial"/>
                <w:szCs w:val="22"/>
              </w:rPr>
            </w:pPr>
            <w:r w:rsidRPr="004C62E3">
              <w:rPr>
                <w:rFonts w:cs="Arial"/>
                <w:szCs w:val="22"/>
              </w:rPr>
              <w:t xml:space="preserve">To acknowledge this providers will now be able to claim for: </w:t>
            </w:r>
          </w:p>
          <w:p w14:paraId="311E4994" w14:textId="77777777" w:rsidR="00892A14" w:rsidRPr="004C62E3" w:rsidRDefault="00892A14" w:rsidP="0026658F">
            <w:pPr>
              <w:rPr>
                <w:rFonts w:cs="Arial"/>
                <w:szCs w:val="22"/>
              </w:rPr>
            </w:pPr>
            <w:r w:rsidRPr="004C62E3">
              <w:rPr>
                <w:rFonts w:cs="Arial"/>
                <w:szCs w:val="22"/>
              </w:rPr>
              <w:t>-</w:t>
            </w:r>
            <w:r>
              <w:rPr>
                <w:rFonts w:cs="Arial"/>
                <w:szCs w:val="22"/>
              </w:rPr>
              <w:t xml:space="preserve"> </w:t>
            </w:r>
            <w:r w:rsidRPr="004C62E3">
              <w:rPr>
                <w:rFonts w:cs="Arial"/>
                <w:szCs w:val="22"/>
              </w:rPr>
              <w:t>Reports requested at the commenc</w:t>
            </w:r>
            <w:r>
              <w:rPr>
                <w:rFonts w:cs="Arial"/>
                <w:szCs w:val="22"/>
              </w:rPr>
              <w:t>ement of a plan which identify</w:t>
            </w:r>
            <w:r w:rsidRPr="004C62E3">
              <w:rPr>
                <w:rFonts w:cs="Arial"/>
                <w:szCs w:val="22"/>
              </w:rPr>
              <w:t xml:space="preserve"> goals and objectives</w:t>
            </w:r>
          </w:p>
          <w:p w14:paraId="71F97F90" w14:textId="77777777" w:rsidR="00892A14" w:rsidRPr="004C62E3" w:rsidRDefault="00892A14" w:rsidP="0026658F">
            <w:pPr>
              <w:rPr>
                <w:rFonts w:cs="Arial"/>
                <w:szCs w:val="22"/>
              </w:rPr>
            </w:pPr>
            <w:r w:rsidRPr="004C62E3">
              <w:rPr>
                <w:rFonts w:cs="Arial"/>
                <w:szCs w:val="22"/>
              </w:rPr>
              <w:t>-</w:t>
            </w:r>
            <w:r>
              <w:rPr>
                <w:rFonts w:cs="Arial"/>
                <w:szCs w:val="22"/>
              </w:rPr>
              <w:t xml:space="preserve"> </w:t>
            </w:r>
            <w:r w:rsidRPr="004C62E3">
              <w:rPr>
                <w:rFonts w:cs="Arial"/>
                <w:szCs w:val="22"/>
              </w:rPr>
              <w:t>Reports requested at plan review to measure progress against those goals</w:t>
            </w:r>
          </w:p>
          <w:p w14:paraId="0B9FBE7D" w14:textId="77777777" w:rsidR="00892A14" w:rsidRPr="004C62E3" w:rsidRDefault="00892A14" w:rsidP="0026658F">
            <w:pPr>
              <w:rPr>
                <w:rFonts w:cs="Arial"/>
                <w:szCs w:val="22"/>
              </w:rPr>
            </w:pPr>
            <w:r w:rsidRPr="004C62E3">
              <w:rPr>
                <w:rFonts w:cs="Arial"/>
                <w:szCs w:val="22"/>
              </w:rPr>
              <w:t>-</w:t>
            </w:r>
            <w:r>
              <w:rPr>
                <w:rFonts w:cs="Arial"/>
                <w:szCs w:val="22"/>
              </w:rPr>
              <w:t xml:space="preserve"> </w:t>
            </w:r>
            <w:r w:rsidRPr="004C62E3">
              <w:rPr>
                <w:rFonts w:cs="Arial"/>
                <w:szCs w:val="22"/>
              </w:rPr>
              <w:t xml:space="preserve">Any other report as stipulated within participant plans. </w:t>
            </w:r>
          </w:p>
        </w:tc>
      </w:tr>
    </w:tbl>
    <w:p w14:paraId="4532C37F" w14:textId="77777777" w:rsidR="004634F7" w:rsidRPr="004C62E3" w:rsidRDefault="004634F7" w:rsidP="004634F7">
      <w:pPr>
        <w:rPr>
          <w:rFonts w:cs="Arial"/>
          <w:b/>
          <w:szCs w:val="22"/>
        </w:rPr>
      </w:pPr>
    </w:p>
    <w:bookmarkEnd w:id="1"/>
    <w:sectPr w:rsidR="004634F7" w:rsidRPr="004C62E3" w:rsidSect="004634F7">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D1A9" w14:textId="77777777" w:rsidR="005F0181" w:rsidRDefault="005F0181" w:rsidP="007219F1">
      <w:pPr>
        <w:spacing w:after="0" w:line="240" w:lineRule="auto"/>
      </w:pPr>
      <w:r>
        <w:separator/>
      </w:r>
    </w:p>
    <w:p w14:paraId="7AA4349B" w14:textId="77777777" w:rsidR="005F0181" w:rsidRDefault="005F0181"/>
  </w:endnote>
  <w:endnote w:type="continuationSeparator" w:id="0">
    <w:p w14:paraId="27A10BA6" w14:textId="77777777" w:rsidR="005F0181" w:rsidRDefault="005F0181" w:rsidP="007219F1">
      <w:pPr>
        <w:spacing w:after="0" w:line="240" w:lineRule="auto"/>
      </w:pPr>
      <w:r>
        <w:continuationSeparator/>
      </w:r>
    </w:p>
    <w:p w14:paraId="6848A5E3" w14:textId="77777777" w:rsidR="005F0181" w:rsidRDefault="005F0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2FC7" w14:textId="77777777" w:rsidR="00267D79" w:rsidRDefault="0026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6" w14:textId="67EEBB58"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FB5514">
      <w:tab/>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3814A7">
          <w:rPr>
            <w:noProof/>
          </w:rPr>
          <w:t>2</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79C6AE44"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DCCF2" w14:textId="77777777" w:rsidR="005F0181" w:rsidRDefault="005F0181" w:rsidP="007219F1">
      <w:pPr>
        <w:spacing w:after="0" w:line="240" w:lineRule="auto"/>
      </w:pPr>
      <w:r>
        <w:separator/>
      </w:r>
    </w:p>
    <w:p w14:paraId="738C37BA" w14:textId="77777777" w:rsidR="005F0181" w:rsidRDefault="005F0181"/>
  </w:footnote>
  <w:footnote w:type="continuationSeparator" w:id="0">
    <w:p w14:paraId="51DB0393" w14:textId="77777777" w:rsidR="005F0181" w:rsidRDefault="005F0181" w:rsidP="007219F1">
      <w:pPr>
        <w:spacing w:after="0" w:line="240" w:lineRule="auto"/>
      </w:pPr>
      <w:r>
        <w:continuationSeparator/>
      </w:r>
    </w:p>
    <w:p w14:paraId="5A24F82A" w14:textId="77777777" w:rsidR="005F0181" w:rsidRDefault="005F01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62E8" w14:textId="77777777" w:rsidR="00267D79" w:rsidRDefault="0026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357A" w14:textId="77777777" w:rsidR="00267D79" w:rsidRDefault="00267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8B53" w14:textId="77777777" w:rsidR="00267D79" w:rsidRDefault="00267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709DB"/>
    <w:rsid w:val="00113EF9"/>
    <w:rsid w:val="001E630D"/>
    <w:rsid w:val="00211351"/>
    <w:rsid w:val="00267D79"/>
    <w:rsid w:val="00323BB7"/>
    <w:rsid w:val="003814A7"/>
    <w:rsid w:val="003B2BB8"/>
    <w:rsid w:val="003D34FF"/>
    <w:rsid w:val="003F5554"/>
    <w:rsid w:val="0040062A"/>
    <w:rsid w:val="004634F7"/>
    <w:rsid w:val="004B54CA"/>
    <w:rsid w:val="004C62E3"/>
    <w:rsid w:val="004D32B5"/>
    <w:rsid w:val="004E5CBF"/>
    <w:rsid w:val="005C3AA9"/>
    <w:rsid w:val="005F0181"/>
    <w:rsid w:val="006A4CE7"/>
    <w:rsid w:val="006C125D"/>
    <w:rsid w:val="007219F1"/>
    <w:rsid w:val="00766B1B"/>
    <w:rsid w:val="00784C2F"/>
    <w:rsid w:val="00785261"/>
    <w:rsid w:val="007B0256"/>
    <w:rsid w:val="007B244C"/>
    <w:rsid w:val="00844387"/>
    <w:rsid w:val="00892A14"/>
    <w:rsid w:val="009225F0"/>
    <w:rsid w:val="00923ED2"/>
    <w:rsid w:val="00B1295A"/>
    <w:rsid w:val="00BA2DB9"/>
    <w:rsid w:val="00BA4A7F"/>
    <w:rsid w:val="00BE632A"/>
    <w:rsid w:val="00BE7148"/>
    <w:rsid w:val="00C83E6D"/>
    <w:rsid w:val="00CF02F2"/>
    <w:rsid w:val="00D63B1A"/>
    <w:rsid w:val="00DC6311"/>
    <w:rsid w:val="00DF19C3"/>
    <w:rsid w:val="00EE54E1"/>
    <w:rsid w:val="00F7472A"/>
    <w:rsid w:val="00F83D1F"/>
    <w:rsid w:val="00FB5514"/>
    <w:rsid w:val="00FD7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433F0"/>
  <w15:docId w15:val="{E3A03EEF-C4FD-4CEF-B5BF-277FD1C4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styleId="TableGrid">
    <w:name w:val="Table Grid"/>
    <w:basedOn w:val="TableNormal"/>
    <w:uiPriority w:val="39"/>
    <w:rsid w:val="0046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4F7"/>
    <w:rPr>
      <w:sz w:val="16"/>
      <w:szCs w:val="16"/>
    </w:rPr>
  </w:style>
  <w:style w:type="paragraph" w:styleId="CommentText">
    <w:name w:val="annotation text"/>
    <w:basedOn w:val="Normal"/>
    <w:link w:val="CommentTextChar"/>
    <w:uiPriority w:val="99"/>
    <w:semiHidden/>
    <w:unhideWhenUsed/>
    <w:rsid w:val="004634F7"/>
    <w:pPr>
      <w:spacing w:after="16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semiHidden/>
    <w:rsid w:val="004634F7"/>
    <w:rPr>
      <w:sz w:val="20"/>
      <w:szCs w:val="20"/>
    </w:rPr>
  </w:style>
  <w:style w:type="paragraph" w:styleId="CommentSubject">
    <w:name w:val="annotation subject"/>
    <w:basedOn w:val="CommentText"/>
    <w:next w:val="CommentText"/>
    <w:link w:val="CommentSubjectChar"/>
    <w:uiPriority w:val="99"/>
    <w:semiHidden/>
    <w:unhideWhenUsed/>
    <w:rsid w:val="00F83D1F"/>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83D1F"/>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5305">
      <w:bodyDiv w:val="1"/>
      <w:marLeft w:val="0"/>
      <w:marRight w:val="0"/>
      <w:marTop w:val="0"/>
      <w:marBottom w:val="0"/>
      <w:divBdr>
        <w:top w:val="none" w:sz="0" w:space="0" w:color="auto"/>
        <w:left w:val="none" w:sz="0" w:space="0" w:color="auto"/>
        <w:bottom w:val="none" w:sz="0" w:space="0" w:color="auto"/>
        <w:right w:val="none" w:sz="0" w:space="0" w:color="auto"/>
      </w:divBdr>
    </w:div>
    <w:div w:id="18647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dcmitype/"/>
    <ds:schemaRef ds:uri="58569e35-c074-42ac-b0e0-5012f8e6d690"/>
    <ds:schemaRef ds:uri="http://purl.org/dc/elements/1.1/"/>
    <ds:schemaRef ds:uri="http://schemas.microsoft.com/office/2006/metadata/properties"/>
    <ds:schemaRef ds:uri="4eda4ad6-7ef7-4305-ba1e-934f809bdd01"/>
    <ds:schemaRef ds:uri="http://schemas.microsoft.com/office/2006/documentManagement/types"/>
    <ds:schemaRef ds:uri="http://schemas.microsoft.com/sharepoint/v3/field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35375087-58BB-421B-9265-6CC20461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Mercoulia, Penny</cp:lastModifiedBy>
  <cp:revision>2</cp:revision>
  <dcterms:created xsi:type="dcterms:W3CDTF">2018-11-26T23:03:00Z</dcterms:created>
  <dcterms:modified xsi:type="dcterms:W3CDTF">2018-11-26T23:03:00Z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