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34F" w:rsidRPr="00AE61B4" w:rsidRDefault="00B60C9F" w:rsidP="00AE61B4">
      <w:pPr>
        <w:pStyle w:val="Heading1"/>
      </w:pPr>
      <w:bookmarkStart w:id="0" w:name="_Toc88041419"/>
      <w:r>
        <w:t>Improving Support Coordination for NDIS Participants</w:t>
      </w:r>
      <w:bookmarkEnd w:id="0"/>
      <w:r>
        <w:t xml:space="preserve"> </w:t>
      </w:r>
    </w:p>
    <w:p w:rsidR="00B60C9F" w:rsidRDefault="00FA334F" w:rsidP="00FA334F">
      <w:pPr>
        <w:pStyle w:val="Versionanddate"/>
        <w:spacing w:after="720"/>
        <w:rPr>
          <w:rFonts w:cs="Arial"/>
          <w:b/>
        </w:rPr>
      </w:pPr>
      <w:r w:rsidRPr="007E10B2">
        <w:t>Version 1.0</w:t>
      </w:r>
      <w:r w:rsidRPr="00A21351">
        <w:rPr>
          <w:rFonts w:cs="Arial"/>
        </w:rPr>
        <w:t xml:space="preserve"> </w:t>
      </w:r>
      <w:r w:rsidRPr="00A21351">
        <w:rPr>
          <w:rFonts w:cs="Arial"/>
        </w:rPr>
        <w:softHyphen/>
        <w:t>–</w:t>
      </w:r>
      <w:r>
        <w:rPr>
          <w:rFonts w:cs="Arial"/>
        </w:rPr>
        <w:t xml:space="preserve"> </w:t>
      </w:r>
      <w:r w:rsidR="00B60C9F">
        <w:rPr>
          <w:rFonts w:cs="Arial"/>
        </w:rPr>
        <w:t>November 2021</w:t>
      </w:r>
      <w:r>
        <w:rPr>
          <w:rFonts w:cs="Arial"/>
        </w:rPr>
        <w:br/>
      </w:r>
    </w:p>
    <w:p w:rsidR="00FA334F" w:rsidRDefault="001665A1" w:rsidP="00FA334F">
      <w:pPr>
        <w:pStyle w:val="Versionanddate"/>
        <w:spacing w:after="720"/>
        <w:rPr>
          <w:rStyle w:val="WebsiteChar"/>
        </w:rPr>
      </w:pPr>
      <w:r>
        <w:rPr>
          <w:rFonts w:cs="Arial"/>
          <w:b/>
        </w:rPr>
        <w:br/>
      </w:r>
      <w:r w:rsidRPr="006765FF">
        <w:rPr>
          <w:rStyle w:val="WebsiteChar"/>
        </w:rPr>
        <w:t>ndis.gov.au</w:t>
      </w:r>
    </w:p>
    <w:p w:rsidR="00AB4CC5" w:rsidRDefault="00FA334F" w:rsidP="007219F1">
      <w:r>
        <w:rPr>
          <w:noProof/>
          <w:lang w:val="en-AU" w:eastAsia="en-AU"/>
        </w:rPr>
        <w:drawing>
          <wp:inline distT="0" distB="0" distL="0" distR="0" wp14:anchorId="0EDAB8C2" wp14:editId="0EDAB8C3">
            <wp:extent cx="969645" cy="508729"/>
            <wp:effectExtent l="0" t="0" r="1905" b="5715"/>
            <wp:docPr id="4" name="Picture 4" descr="NDIS logo" title="NDIS logo">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p>
    <w:p w:rsidR="007219F1" w:rsidRPr="00AB4CC5" w:rsidRDefault="007219F1" w:rsidP="00AB4CC5">
      <w:pPr>
        <w:pStyle w:val="Securitymarker"/>
        <w:rPr>
          <w:sz w:val="22"/>
        </w:rPr>
      </w:pPr>
      <w:r w:rsidRPr="00B73DA2">
        <w:br w:type="page"/>
      </w:r>
    </w:p>
    <w:p w:rsidR="007219F1" w:rsidRDefault="007219F1" w:rsidP="00BE632A">
      <w:pPr>
        <w:pStyle w:val="Heading2"/>
        <w:numPr>
          <w:ilvl w:val="0"/>
          <w:numId w:val="0"/>
        </w:numPr>
      </w:pPr>
      <w:bookmarkStart w:id="1" w:name="_Toc88041420"/>
      <w:r w:rsidRPr="004D32B5">
        <w:lastRenderedPageBreak/>
        <w:t>Contents</w:t>
      </w:r>
      <w:bookmarkEnd w:id="1"/>
    </w:p>
    <w:p w:rsidR="00917068" w:rsidRDefault="0040062A">
      <w:pPr>
        <w:pStyle w:val="TOC1"/>
        <w:rPr>
          <w:rFonts w:asciiTheme="minorHAnsi" w:hAnsiTheme="minorHAnsi"/>
          <w:noProof/>
          <w:szCs w:val="22"/>
          <w:lang w:val="en-AU" w:eastAsia="en-AU"/>
        </w:rPr>
      </w:pPr>
      <w:r>
        <w:fldChar w:fldCharType="begin"/>
      </w:r>
      <w:r>
        <w:instrText xml:space="preserve"> TOC \o "1-5" \h \z \u </w:instrText>
      </w:r>
      <w:r>
        <w:fldChar w:fldCharType="separate"/>
      </w:r>
      <w:hyperlink w:anchor="_Toc88041419" w:history="1">
        <w:r w:rsidR="00917068" w:rsidRPr="00E6635E">
          <w:rPr>
            <w:rStyle w:val="Hyperlink"/>
            <w:noProof/>
          </w:rPr>
          <w:t>Improving Support Coordination for NDIS Participants</w:t>
        </w:r>
        <w:r w:rsidR="00917068">
          <w:rPr>
            <w:noProof/>
            <w:webHidden/>
          </w:rPr>
          <w:tab/>
        </w:r>
        <w:r w:rsidR="00917068">
          <w:rPr>
            <w:noProof/>
            <w:webHidden/>
          </w:rPr>
          <w:fldChar w:fldCharType="begin"/>
        </w:r>
        <w:r w:rsidR="00917068">
          <w:rPr>
            <w:noProof/>
            <w:webHidden/>
          </w:rPr>
          <w:instrText xml:space="preserve"> PAGEREF _Toc88041419 \h </w:instrText>
        </w:r>
        <w:r w:rsidR="00917068">
          <w:rPr>
            <w:noProof/>
            <w:webHidden/>
          </w:rPr>
        </w:r>
        <w:r w:rsidR="00917068">
          <w:rPr>
            <w:noProof/>
            <w:webHidden/>
          </w:rPr>
          <w:fldChar w:fldCharType="separate"/>
        </w:r>
        <w:r w:rsidR="00AF0586">
          <w:rPr>
            <w:noProof/>
            <w:webHidden/>
          </w:rPr>
          <w:t>1</w:t>
        </w:r>
        <w:r w:rsidR="00917068">
          <w:rPr>
            <w:noProof/>
            <w:webHidden/>
          </w:rPr>
          <w:fldChar w:fldCharType="end"/>
        </w:r>
      </w:hyperlink>
    </w:p>
    <w:p w:rsidR="00917068" w:rsidRDefault="00AF0586">
      <w:pPr>
        <w:pStyle w:val="TOC2"/>
        <w:rPr>
          <w:rFonts w:asciiTheme="minorHAnsi" w:hAnsiTheme="minorHAnsi"/>
          <w:noProof/>
          <w:szCs w:val="22"/>
          <w:lang w:val="en-AU" w:eastAsia="en-AU"/>
        </w:rPr>
      </w:pPr>
      <w:hyperlink w:anchor="_Toc88041420" w:history="1">
        <w:r w:rsidR="00917068" w:rsidRPr="00E6635E">
          <w:rPr>
            <w:rStyle w:val="Hyperlink"/>
            <w:noProof/>
          </w:rPr>
          <w:t>Contents</w:t>
        </w:r>
        <w:r w:rsidR="00917068">
          <w:rPr>
            <w:noProof/>
            <w:webHidden/>
          </w:rPr>
          <w:tab/>
        </w:r>
        <w:r w:rsidR="00917068">
          <w:rPr>
            <w:noProof/>
            <w:webHidden/>
          </w:rPr>
          <w:fldChar w:fldCharType="begin"/>
        </w:r>
        <w:r w:rsidR="00917068">
          <w:rPr>
            <w:noProof/>
            <w:webHidden/>
          </w:rPr>
          <w:instrText xml:space="preserve"> PAGEREF _Toc88041420 \h </w:instrText>
        </w:r>
        <w:r w:rsidR="00917068">
          <w:rPr>
            <w:noProof/>
            <w:webHidden/>
          </w:rPr>
        </w:r>
        <w:r w:rsidR="00917068">
          <w:rPr>
            <w:noProof/>
            <w:webHidden/>
          </w:rPr>
          <w:fldChar w:fldCharType="separate"/>
        </w:r>
        <w:r>
          <w:rPr>
            <w:noProof/>
            <w:webHidden/>
          </w:rPr>
          <w:t>2</w:t>
        </w:r>
        <w:r w:rsidR="00917068">
          <w:rPr>
            <w:noProof/>
            <w:webHidden/>
          </w:rPr>
          <w:fldChar w:fldCharType="end"/>
        </w:r>
      </w:hyperlink>
    </w:p>
    <w:p w:rsidR="00917068" w:rsidRDefault="00AF0586">
      <w:pPr>
        <w:pStyle w:val="TOC2"/>
        <w:rPr>
          <w:rFonts w:asciiTheme="minorHAnsi" w:hAnsiTheme="minorHAnsi"/>
          <w:noProof/>
          <w:szCs w:val="22"/>
          <w:lang w:val="en-AU" w:eastAsia="en-AU"/>
        </w:rPr>
      </w:pPr>
      <w:hyperlink w:anchor="_Toc88041421" w:history="1">
        <w:r w:rsidR="00917068" w:rsidRPr="00E6635E">
          <w:rPr>
            <w:rStyle w:val="Hyperlink"/>
            <w:noProof/>
          </w:rPr>
          <w:t>Introduction</w:t>
        </w:r>
        <w:r w:rsidR="00917068">
          <w:rPr>
            <w:noProof/>
            <w:webHidden/>
          </w:rPr>
          <w:tab/>
        </w:r>
        <w:r w:rsidR="00917068">
          <w:rPr>
            <w:noProof/>
            <w:webHidden/>
          </w:rPr>
          <w:fldChar w:fldCharType="begin"/>
        </w:r>
        <w:r w:rsidR="00917068">
          <w:rPr>
            <w:noProof/>
            <w:webHidden/>
          </w:rPr>
          <w:instrText xml:space="preserve"> PAGEREF _Toc88041421 \h </w:instrText>
        </w:r>
        <w:r w:rsidR="00917068">
          <w:rPr>
            <w:noProof/>
            <w:webHidden/>
          </w:rPr>
        </w:r>
        <w:r w:rsidR="00917068">
          <w:rPr>
            <w:noProof/>
            <w:webHidden/>
          </w:rPr>
          <w:fldChar w:fldCharType="separate"/>
        </w:r>
        <w:r>
          <w:rPr>
            <w:noProof/>
            <w:webHidden/>
          </w:rPr>
          <w:t>3</w:t>
        </w:r>
        <w:r w:rsidR="00917068">
          <w:rPr>
            <w:noProof/>
            <w:webHidden/>
          </w:rPr>
          <w:fldChar w:fldCharType="end"/>
        </w:r>
      </w:hyperlink>
    </w:p>
    <w:p w:rsidR="00917068" w:rsidRDefault="00AF0586">
      <w:pPr>
        <w:pStyle w:val="TOC2"/>
        <w:rPr>
          <w:rFonts w:asciiTheme="minorHAnsi" w:hAnsiTheme="minorHAnsi"/>
          <w:noProof/>
          <w:szCs w:val="22"/>
          <w:lang w:val="en-AU" w:eastAsia="en-AU"/>
        </w:rPr>
      </w:pPr>
      <w:hyperlink w:anchor="_Toc88041422" w:history="1">
        <w:r w:rsidR="00917068" w:rsidRPr="00E6635E">
          <w:rPr>
            <w:rStyle w:val="Hyperlink"/>
            <w:noProof/>
          </w:rPr>
          <w:t>The role of a support coordinator</w:t>
        </w:r>
        <w:r w:rsidR="00917068">
          <w:rPr>
            <w:noProof/>
            <w:webHidden/>
          </w:rPr>
          <w:tab/>
        </w:r>
        <w:r w:rsidR="00917068">
          <w:rPr>
            <w:noProof/>
            <w:webHidden/>
          </w:rPr>
          <w:fldChar w:fldCharType="begin"/>
        </w:r>
        <w:r w:rsidR="00917068">
          <w:rPr>
            <w:noProof/>
            <w:webHidden/>
          </w:rPr>
          <w:instrText xml:space="preserve"> PAGEREF _Toc88041422 \h </w:instrText>
        </w:r>
        <w:r w:rsidR="00917068">
          <w:rPr>
            <w:noProof/>
            <w:webHidden/>
          </w:rPr>
        </w:r>
        <w:r w:rsidR="00917068">
          <w:rPr>
            <w:noProof/>
            <w:webHidden/>
          </w:rPr>
          <w:fldChar w:fldCharType="separate"/>
        </w:r>
        <w:r>
          <w:rPr>
            <w:noProof/>
            <w:webHidden/>
          </w:rPr>
          <w:t>4</w:t>
        </w:r>
        <w:r w:rsidR="00917068">
          <w:rPr>
            <w:noProof/>
            <w:webHidden/>
          </w:rPr>
          <w:fldChar w:fldCharType="end"/>
        </w:r>
      </w:hyperlink>
    </w:p>
    <w:p w:rsidR="00917068" w:rsidRDefault="00AF0586">
      <w:pPr>
        <w:pStyle w:val="TOC3"/>
        <w:rPr>
          <w:rFonts w:asciiTheme="minorHAnsi" w:hAnsiTheme="minorHAnsi"/>
          <w:noProof/>
          <w:szCs w:val="22"/>
          <w:lang w:val="en-AU" w:eastAsia="en-AU"/>
        </w:rPr>
      </w:pPr>
      <w:hyperlink w:anchor="_Toc88041423" w:history="1">
        <w:r w:rsidR="00917068" w:rsidRPr="00E6635E">
          <w:rPr>
            <w:rStyle w:val="Hyperlink"/>
            <w:noProof/>
          </w:rPr>
          <w:t>Role 1: Help participants connect to NDIS and other supports</w:t>
        </w:r>
        <w:r w:rsidR="00917068">
          <w:rPr>
            <w:noProof/>
            <w:webHidden/>
          </w:rPr>
          <w:tab/>
        </w:r>
        <w:r w:rsidR="00917068">
          <w:rPr>
            <w:noProof/>
            <w:webHidden/>
          </w:rPr>
          <w:fldChar w:fldCharType="begin"/>
        </w:r>
        <w:r w:rsidR="00917068">
          <w:rPr>
            <w:noProof/>
            <w:webHidden/>
          </w:rPr>
          <w:instrText xml:space="preserve"> PAGEREF _Toc88041423 \h </w:instrText>
        </w:r>
        <w:r w:rsidR="00917068">
          <w:rPr>
            <w:noProof/>
            <w:webHidden/>
          </w:rPr>
        </w:r>
        <w:r w:rsidR="00917068">
          <w:rPr>
            <w:noProof/>
            <w:webHidden/>
          </w:rPr>
          <w:fldChar w:fldCharType="separate"/>
        </w:r>
        <w:r>
          <w:rPr>
            <w:noProof/>
            <w:webHidden/>
          </w:rPr>
          <w:t>4</w:t>
        </w:r>
        <w:r w:rsidR="00917068">
          <w:rPr>
            <w:noProof/>
            <w:webHidden/>
          </w:rPr>
          <w:fldChar w:fldCharType="end"/>
        </w:r>
      </w:hyperlink>
    </w:p>
    <w:p w:rsidR="00917068" w:rsidRDefault="00AF0586">
      <w:pPr>
        <w:pStyle w:val="TOC3"/>
        <w:rPr>
          <w:rFonts w:asciiTheme="minorHAnsi" w:hAnsiTheme="minorHAnsi"/>
          <w:noProof/>
          <w:szCs w:val="22"/>
          <w:lang w:val="en-AU" w:eastAsia="en-AU"/>
        </w:rPr>
      </w:pPr>
      <w:hyperlink w:anchor="_Toc88041424" w:history="1">
        <w:r w:rsidR="00917068" w:rsidRPr="00E6635E">
          <w:rPr>
            <w:rStyle w:val="Hyperlink"/>
            <w:noProof/>
          </w:rPr>
          <w:t>Role 2: Build a participant’s capacity and capability to understand their plan, navigate the NDIS and make their own decisions</w:t>
        </w:r>
        <w:r w:rsidR="00917068">
          <w:rPr>
            <w:noProof/>
            <w:webHidden/>
          </w:rPr>
          <w:tab/>
        </w:r>
        <w:r w:rsidR="00917068">
          <w:rPr>
            <w:noProof/>
            <w:webHidden/>
          </w:rPr>
          <w:fldChar w:fldCharType="begin"/>
        </w:r>
        <w:r w:rsidR="00917068">
          <w:rPr>
            <w:noProof/>
            <w:webHidden/>
          </w:rPr>
          <w:instrText xml:space="preserve"> PAGEREF _Toc88041424 \h </w:instrText>
        </w:r>
        <w:r w:rsidR="00917068">
          <w:rPr>
            <w:noProof/>
            <w:webHidden/>
          </w:rPr>
        </w:r>
        <w:r w:rsidR="00917068">
          <w:rPr>
            <w:noProof/>
            <w:webHidden/>
          </w:rPr>
          <w:fldChar w:fldCharType="separate"/>
        </w:r>
        <w:r>
          <w:rPr>
            <w:noProof/>
            <w:webHidden/>
          </w:rPr>
          <w:t>6</w:t>
        </w:r>
        <w:r w:rsidR="00917068">
          <w:rPr>
            <w:noProof/>
            <w:webHidden/>
          </w:rPr>
          <w:fldChar w:fldCharType="end"/>
        </w:r>
      </w:hyperlink>
    </w:p>
    <w:p w:rsidR="00917068" w:rsidRDefault="00AF0586">
      <w:pPr>
        <w:pStyle w:val="TOC3"/>
        <w:rPr>
          <w:rFonts w:asciiTheme="minorHAnsi" w:hAnsiTheme="minorHAnsi"/>
          <w:noProof/>
          <w:szCs w:val="22"/>
          <w:lang w:val="en-AU" w:eastAsia="en-AU"/>
        </w:rPr>
      </w:pPr>
      <w:hyperlink w:anchor="_Toc88041425" w:history="1">
        <w:r w:rsidR="00917068" w:rsidRPr="00E6635E">
          <w:rPr>
            <w:rStyle w:val="Hyperlink"/>
            <w:noProof/>
          </w:rPr>
          <w:t>Role 3: Broker supports and services in line with a participant’s wishes and their plan budget</w:t>
        </w:r>
        <w:r w:rsidR="00917068">
          <w:rPr>
            <w:noProof/>
            <w:webHidden/>
          </w:rPr>
          <w:tab/>
        </w:r>
        <w:r w:rsidR="00917068">
          <w:rPr>
            <w:noProof/>
            <w:webHidden/>
          </w:rPr>
          <w:fldChar w:fldCharType="begin"/>
        </w:r>
        <w:r w:rsidR="00917068">
          <w:rPr>
            <w:noProof/>
            <w:webHidden/>
          </w:rPr>
          <w:instrText xml:space="preserve"> PAGEREF _Toc88041425 \h </w:instrText>
        </w:r>
        <w:r w:rsidR="00917068">
          <w:rPr>
            <w:noProof/>
            <w:webHidden/>
          </w:rPr>
        </w:r>
        <w:r w:rsidR="00917068">
          <w:rPr>
            <w:noProof/>
            <w:webHidden/>
          </w:rPr>
          <w:fldChar w:fldCharType="separate"/>
        </w:r>
        <w:r>
          <w:rPr>
            <w:noProof/>
            <w:webHidden/>
          </w:rPr>
          <w:t>6</w:t>
        </w:r>
        <w:r w:rsidR="00917068">
          <w:rPr>
            <w:noProof/>
            <w:webHidden/>
          </w:rPr>
          <w:fldChar w:fldCharType="end"/>
        </w:r>
      </w:hyperlink>
    </w:p>
    <w:p w:rsidR="00917068" w:rsidRDefault="00AF0586">
      <w:pPr>
        <w:pStyle w:val="TOC3"/>
        <w:rPr>
          <w:rFonts w:asciiTheme="minorHAnsi" w:hAnsiTheme="minorHAnsi"/>
          <w:noProof/>
          <w:szCs w:val="22"/>
          <w:lang w:val="en-AU" w:eastAsia="en-AU"/>
        </w:rPr>
      </w:pPr>
      <w:hyperlink w:anchor="_Toc88041426" w:history="1">
        <w:r w:rsidR="00917068" w:rsidRPr="00E6635E">
          <w:rPr>
            <w:rStyle w:val="Hyperlink"/>
            <w:noProof/>
          </w:rPr>
          <w:t>Role 4: Monitor plan budgets and support effectiveness</w:t>
        </w:r>
        <w:r w:rsidR="00917068">
          <w:rPr>
            <w:noProof/>
            <w:webHidden/>
          </w:rPr>
          <w:tab/>
        </w:r>
        <w:r w:rsidR="00917068">
          <w:rPr>
            <w:noProof/>
            <w:webHidden/>
          </w:rPr>
          <w:fldChar w:fldCharType="begin"/>
        </w:r>
        <w:r w:rsidR="00917068">
          <w:rPr>
            <w:noProof/>
            <w:webHidden/>
          </w:rPr>
          <w:instrText xml:space="preserve"> PAGEREF _Toc88041426 \h </w:instrText>
        </w:r>
        <w:r w:rsidR="00917068">
          <w:rPr>
            <w:noProof/>
            <w:webHidden/>
          </w:rPr>
        </w:r>
        <w:r w:rsidR="00917068">
          <w:rPr>
            <w:noProof/>
            <w:webHidden/>
          </w:rPr>
          <w:fldChar w:fldCharType="separate"/>
        </w:r>
        <w:r>
          <w:rPr>
            <w:noProof/>
            <w:webHidden/>
          </w:rPr>
          <w:t>7</w:t>
        </w:r>
        <w:r w:rsidR="00917068">
          <w:rPr>
            <w:noProof/>
            <w:webHidden/>
          </w:rPr>
          <w:fldChar w:fldCharType="end"/>
        </w:r>
      </w:hyperlink>
    </w:p>
    <w:p w:rsidR="00917068" w:rsidRDefault="00AF0586">
      <w:pPr>
        <w:pStyle w:val="TOC3"/>
        <w:rPr>
          <w:rFonts w:asciiTheme="minorHAnsi" w:hAnsiTheme="minorHAnsi"/>
          <w:noProof/>
          <w:szCs w:val="22"/>
          <w:lang w:val="en-AU" w:eastAsia="en-AU"/>
        </w:rPr>
      </w:pPr>
      <w:hyperlink w:anchor="_Toc88041427" w:history="1">
        <w:r w:rsidR="00917068" w:rsidRPr="00E6635E">
          <w:rPr>
            <w:rStyle w:val="Hyperlink"/>
            <w:noProof/>
          </w:rPr>
          <w:t>Promoting and protecting the safety of participants</w:t>
        </w:r>
        <w:r w:rsidR="00917068">
          <w:rPr>
            <w:noProof/>
            <w:webHidden/>
          </w:rPr>
          <w:tab/>
        </w:r>
        <w:r w:rsidR="00917068">
          <w:rPr>
            <w:noProof/>
            <w:webHidden/>
          </w:rPr>
          <w:fldChar w:fldCharType="begin"/>
        </w:r>
        <w:r w:rsidR="00917068">
          <w:rPr>
            <w:noProof/>
            <w:webHidden/>
          </w:rPr>
          <w:instrText xml:space="preserve"> PAGEREF _Toc88041427 \h </w:instrText>
        </w:r>
        <w:r w:rsidR="00917068">
          <w:rPr>
            <w:noProof/>
            <w:webHidden/>
          </w:rPr>
        </w:r>
        <w:r w:rsidR="00917068">
          <w:rPr>
            <w:noProof/>
            <w:webHidden/>
          </w:rPr>
          <w:fldChar w:fldCharType="separate"/>
        </w:r>
        <w:r>
          <w:rPr>
            <w:noProof/>
            <w:webHidden/>
          </w:rPr>
          <w:t>8</w:t>
        </w:r>
        <w:r w:rsidR="00917068">
          <w:rPr>
            <w:noProof/>
            <w:webHidden/>
          </w:rPr>
          <w:fldChar w:fldCharType="end"/>
        </w:r>
      </w:hyperlink>
    </w:p>
    <w:p w:rsidR="00917068" w:rsidRDefault="00AF0586">
      <w:pPr>
        <w:pStyle w:val="TOC2"/>
        <w:rPr>
          <w:rFonts w:asciiTheme="minorHAnsi" w:hAnsiTheme="minorHAnsi"/>
          <w:noProof/>
          <w:szCs w:val="22"/>
          <w:lang w:val="en-AU" w:eastAsia="en-AU"/>
        </w:rPr>
      </w:pPr>
      <w:hyperlink w:anchor="_Toc88041428" w:history="1">
        <w:r w:rsidR="00917068" w:rsidRPr="00E6635E">
          <w:rPr>
            <w:rStyle w:val="Hyperlink"/>
            <w:noProof/>
          </w:rPr>
          <w:t>What’s n</w:t>
        </w:r>
        <w:r w:rsidR="00917068" w:rsidRPr="00E6635E">
          <w:rPr>
            <w:rStyle w:val="Hyperlink"/>
            <w:noProof/>
          </w:rPr>
          <w:t>e</w:t>
        </w:r>
        <w:r w:rsidR="00917068" w:rsidRPr="00E6635E">
          <w:rPr>
            <w:rStyle w:val="Hyperlink"/>
            <w:noProof/>
          </w:rPr>
          <w:t>xt?</w:t>
        </w:r>
        <w:r w:rsidR="00917068">
          <w:rPr>
            <w:noProof/>
            <w:webHidden/>
          </w:rPr>
          <w:tab/>
        </w:r>
        <w:r w:rsidR="00917068">
          <w:rPr>
            <w:noProof/>
            <w:webHidden/>
          </w:rPr>
          <w:fldChar w:fldCharType="begin"/>
        </w:r>
        <w:r w:rsidR="00917068">
          <w:rPr>
            <w:noProof/>
            <w:webHidden/>
          </w:rPr>
          <w:instrText xml:space="preserve"> PAGEREF _Toc88041428 \h </w:instrText>
        </w:r>
        <w:r w:rsidR="00917068">
          <w:rPr>
            <w:noProof/>
            <w:webHidden/>
          </w:rPr>
        </w:r>
        <w:r w:rsidR="00917068">
          <w:rPr>
            <w:noProof/>
            <w:webHidden/>
          </w:rPr>
          <w:fldChar w:fldCharType="separate"/>
        </w:r>
        <w:r>
          <w:rPr>
            <w:noProof/>
            <w:webHidden/>
          </w:rPr>
          <w:t>9</w:t>
        </w:r>
        <w:r w:rsidR="00917068">
          <w:rPr>
            <w:noProof/>
            <w:webHidden/>
          </w:rPr>
          <w:fldChar w:fldCharType="end"/>
        </w:r>
      </w:hyperlink>
    </w:p>
    <w:p w:rsidR="00917068" w:rsidRDefault="00AF0586">
      <w:pPr>
        <w:pStyle w:val="TOC3"/>
        <w:rPr>
          <w:rFonts w:asciiTheme="minorHAnsi" w:hAnsiTheme="minorHAnsi"/>
          <w:noProof/>
          <w:szCs w:val="22"/>
          <w:lang w:val="en-AU" w:eastAsia="en-AU"/>
        </w:rPr>
      </w:pPr>
      <w:hyperlink w:anchor="_Toc88041429" w:history="1">
        <w:r w:rsidR="00917068" w:rsidRPr="00E6635E">
          <w:rPr>
            <w:rStyle w:val="Hyperlink"/>
            <w:noProof/>
          </w:rPr>
          <w:t>Taking a market stewardship approach, partnering with the sector, to improve quality and outcomes of support coordination</w:t>
        </w:r>
        <w:r w:rsidR="00917068">
          <w:rPr>
            <w:noProof/>
            <w:webHidden/>
          </w:rPr>
          <w:tab/>
        </w:r>
        <w:r w:rsidR="00917068">
          <w:rPr>
            <w:noProof/>
            <w:webHidden/>
          </w:rPr>
          <w:fldChar w:fldCharType="begin"/>
        </w:r>
        <w:r w:rsidR="00917068">
          <w:rPr>
            <w:noProof/>
            <w:webHidden/>
          </w:rPr>
          <w:instrText xml:space="preserve"> PAGEREF _Toc88041429 \h </w:instrText>
        </w:r>
        <w:r w:rsidR="00917068">
          <w:rPr>
            <w:noProof/>
            <w:webHidden/>
          </w:rPr>
        </w:r>
        <w:r w:rsidR="00917068">
          <w:rPr>
            <w:noProof/>
            <w:webHidden/>
          </w:rPr>
          <w:fldChar w:fldCharType="separate"/>
        </w:r>
        <w:r>
          <w:rPr>
            <w:noProof/>
            <w:webHidden/>
          </w:rPr>
          <w:t>9</w:t>
        </w:r>
        <w:r w:rsidR="00917068">
          <w:rPr>
            <w:noProof/>
            <w:webHidden/>
          </w:rPr>
          <w:fldChar w:fldCharType="end"/>
        </w:r>
      </w:hyperlink>
    </w:p>
    <w:p w:rsidR="00917068" w:rsidRDefault="00AF0586">
      <w:pPr>
        <w:pStyle w:val="TOC4"/>
        <w:rPr>
          <w:rFonts w:asciiTheme="minorHAnsi" w:hAnsiTheme="minorHAnsi"/>
          <w:szCs w:val="22"/>
          <w:lang w:val="en-AU" w:eastAsia="en-AU"/>
        </w:rPr>
      </w:pPr>
      <w:hyperlink w:anchor="_Toc88041430" w:history="1">
        <w:r w:rsidR="00917068" w:rsidRPr="00E6635E">
          <w:rPr>
            <w:rStyle w:val="Hyperlink"/>
            <w:rFonts w:eastAsiaTheme="majorEastAsia"/>
          </w:rPr>
          <w:t>Educating support coordinators on their roles</w:t>
        </w:r>
        <w:r w:rsidR="00917068">
          <w:rPr>
            <w:webHidden/>
          </w:rPr>
          <w:tab/>
        </w:r>
        <w:r w:rsidR="00917068">
          <w:rPr>
            <w:webHidden/>
          </w:rPr>
          <w:fldChar w:fldCharType="begin"/>
        </w:r>
        <w:r w:rsidR="00917068">
          <w:rPr>
            <w:webHidden/>
          </w:rPr>
          <w:instrText xml:space="preserve"> PAGEREF _Toc88041430 \h </w:instrText>
        </w:r>
        <w:r w:rsidR="00917068">
          <w:rPr>
            <w:webHidden/>
          </w:rPr>
        </w:r>
        <w:r w:rsidR="00917068">
          <w:rPr>
            <w:webHidden/>
          </w:rPr>
          <w:fldChar w:fldCharType="separate"/>
        </w:r>
        <w:r>
          <w:rPr>
            <w:webHidden/>
          </w:rPr>
          <w:t>9</w:t>
        </w:r>
        <w:r w:rsidR="00917068">
          <w:rPr>
            <w:webHidden/>
          </w:rPr>
          <w:fldChar w:fldCharType="end"/>
        </w:r>
      </w:hyperlink>
    </w:p>
    <w:p w:rsidR="00917068" w:rsidRDefault="00AF0586">
      <w:pPr>
        <w:pStyle w:val="TOC4"/>
        <w:rPr>
          <w:rFonts w:asciiTheme="minorHAnsi" w:hAnsiTheme="minorHAnsi"/>
          <w:szCs w:val="22"/>
          <w:lang w:val="en-AU" w:eastAsia="en-AU"/>
        </w:rPr>
      </w:pPr>
      <w:hyperlink w:anchor="_Toc88041431" w:history="1">
        <w:r w:rsidR="00917068" w:rsidRPr="00E6635E">
          <w:rPr>
            <w:rStyle w:val="Hyperlink"/>
          </w:rPr>
          <w:t>Lifting quality by encouraging better engagement with existing quality standards</w:t>
        </w:r>
        <w:r w:rsidR="00917068">
          <w:rPr>
            <w:webHidden/>
          </w:rPr>
          <w:tab/>
        </w:r>
        <w:r w:rsidR="00917068">
          <w:rPr>
            <w:webHidden/>
          </w:rPr>
          <w:fldChar w:fldCharType="begin"/>
        </w:r>
        <w:r w:rsidR="00917068">
          <w:rPr>
            <w:webHidden/>
          </w:rPr>
          <w:instrText xml:space="preserve"> PAGEREF _Toc88041431 \h </w:instrText>
        </w:r>
        <w:r w:rsidR="00917068">
          <w:rPr>
            <w:webHidden/>
          </w:rPr>
        </w:r>
        <w:r w:rsidR="00917068">
          <w:rPr>
            <w:webHidden/>
          </w:rPr>
          <w:fldChar w:fldCharType="separate"/>
        </w:r>
        <w:r>
          <w:rPr>
            <w:webHidden/>
          </w:rPr>
          <w:t>9</w:t>
        </w:r>
        <w:r w:rsidR="00917068">
          <w:rPr>
            <w:webHidden/>
          </w:rPr>
          <w:fldChar w:fldCharType="end"/>
        </w:r>
      </w:hyperlink>
    </w:p>
    <w:p w:rsidR="00917068" w:rsidRDefault="00AF0586">
      <w:pPr>
        <w:pStyle w:val="TOC4"/>
        <w:rPr>
          <w:rFonts w:asciiTheme="minorHAnsi" w:hAnsiTheme="minorHAnsi"/>
          <w:szCs w:val="22"/>
          <w:lang w:val="en-AU" w:eastAsia="en-AU"/>
        </w:rPr>
      </w:pPr>
      <w:hyperlink w:anchor="_Toc88041432" w:history="1">
        <w:r w:rsidR="00917068" w:rsidRPr="00E6635E">
          <w:rPr>
            <w:rStyle w:val="Hyperlink"/>
          </w:rPr>
          <w:t>Lifting quality through a range of initiatives led by the Australian government and broader sector</w:t>
        </w:r>
        <w:r w:rsidR="00917068">
          <w:rPr>
            <w:webHidden/>
          </w:rPr>
          <w:tab/>
        </w:r>
        <w:r w:rsidR="00917068">
          <w:rPr>
            <w:webHidden/>
          </w:rPr>
          <w:fldChar w:fldCharType="begin"/>
        </w:r>
        <w:r w:rsidR="00917068">
          <w:rPr>
            <w:webHidden/>
          </w:rPr>
          <w:instrText xml:space="preserve"> PAGEREF _Toc88041432 \h </w:instrText>
        </w:r>
        <w:r w:rsidR="00917068">
          <w:rPr>
            <w:webHidden/>
          </w:rPr>
        </w:r>
        <w:r w:rsidR="00917068">
          <w:rPr>
            <w:webHidden/>
          </w:rPr>
          <w:fldChar w:fldCharType="separate"/>
        </w:r>
        <w:r>
          <w:rPr>
            <w:webHidden/>
          </w:rPr>
          <w:t>10</w:t>
        </w:r>
        <w:r w:rsidR="00917068">
          <w:rPr>
            <w:webHidden/>
          </w:rPr>
          <w:fldChar w:fldCharType="end"/>
        </w:r>
      </w:hyperlink>
    </w:p>
    <w:p w:rsidR="00917068" w:rsidRDefault="00AF0586">
      <w:pPr>
        <w:pStyle w:val="TOC4"/>
        <w:rPr>
          <w:rFonts w:asciiTheme="minorHAnsi" w:hAnsiTheme="minorHAnsi"/>
          <w:szCs w:val="22"/>
          <w:lang w:val="en-AU" w:eastAsia="en-AU"/>
        </w:rPr>
      </w:pPr>
      <w:hyperlink w:anchor="_Toc88041433" w:history="1">
        <w:r w:rsidR="00917068" w:rsidRPr="00E6635E">
          <w:rPr>
            <w:rStyle w:val="Hyperlink"/>
          </w:rPr>
          <w:t>Supporting support coordinators who wish to develop expertise in specific areas</w:t>
        </w:r>
        <w:r w:rsidR="00917068">
          <w:rPr>
            <w:webHidden/>
          </w:rPr>
          <w:tab/>
        </w:r>
        <w:r w:rsidR="00917068">
          <w:rPr>
            <w:webHidden/>
          </w:rPr>
          <w:fldChar w:fldCharType="begin"/>
        </w:r>
        <w:r w:rsidR="00917068">
          <w:rPr>
            <w:webHidden/>
          </w:rPr>
          <w:instrText xml:space="preserve"> PAGEREF _Toc88041433 \h </w:instrText>
        </w:r>
        <w:r w:rsidR="00917068">
          <w:rPr>
            <w:webHidden/>
          </w:rPr>
        </w:r>
        <w:r w:rsidR="00917068">
          <w:rPr>
            <w:webHidden/>
          </w:rPr>
          <w:fldChar w:fldCharType="separate"/>
        </w:r>
        <w:r>
          <w:rPr>
            <w:webHidden/>
          </w:rPr>
          <w:t>11</w:t>
        </w:r>
        <w:r w:rsidR="00917068">
          <w:rPr>
            <w:webHidden/>
          </w:rPr>
          <w:fldChar w:fldCharType="end"/>
        </w:r>
      </w:hyperlink>
    </w:p>
    <w:p w:rsidR="00917068" w:rsidRDefault="00AF0586">
      <w:pPr>
        <w:pStyle w:val="TOC4"/>
        <w:rPr>
          <w:rFonts w:asciiTheme="minorHAnsi" w:hAnsiTheme="minorHAnsi"/>
          <w:szCs w:val="22"/>
          <w:lang w:val="en-AU" w:eastAsia="en-AU"/>
        </w:rPr>
      </w:pPr>
      <w:hyperlink w:anchor="_Toc88041434" w:history="1">
        <w:r w:rsidR="00917068" w:rsidRPr="00E6635E">
          <w:rPr>
            <w:rStyle w:val="Hyperlink"/>
          </w:rPr>
          <w:t>No change on arrangements for sharing plans</w:t>
        </w:r>
        <w:r w:rsidR="00917068">
          <w:rPr>
            <w:webHidden/>
          </w:rPr>
          <w:tab/>
        </w:r>
        <w:r w:rsidR="00917068">
          <w:rPr>
            <w:webHidden/>
          </w:rPr>
          <w:fldChar w:fldCharType="begin"/>
        </w:r>
        <w:r w:rsidR="00917068">
          <w:rPr>
            <w:webHidden/>
          </w:rPr>
          <w:instrText xml:space="preserve"> PAGEREF _Toc88041434 \h </w:instrText>
        </w:r>
        <w:r w:rsidR="00917068">
          <w:rPr>
            <w:webHidden/>
          </w:rPr>
        </w:r>
        <w:r w:rsidR="00917068">
          <w:rPr>
            <w:webHidden/>
          </w:rPr>
          <w:fldChar w:fldCharType="separate"/>
        </w:r>
        <w:r>
          <w:rPr>
            <w:webHidden/>
          </w:rPr>
          <w:t>11</w:t>
        </w:r>
        <w:r w:rsidR="00917068">
          <w:rPr>
            <w:webHidden/>
          </w:rPr>
          <w:fldChar w:fldCharType="end"/>
        </w:r>
      </w:hyperlink>
    </w:p>
    <w:p w:rsidR="00917068" w:rsidRDefault="00AF0586">
      <w:pPr>
        <w:pStyle w:val="TOC3"/>
        <w:rPr>
          <w:rFonts w:asciiTheme="minorHAnsi" w:hAnsiTheme="minorHAnsi"/>
          <w:noProof/>
          <w:szCs w:val="22"/>
          <w:lang w:val="en-AU" w:eastAsia="en-AU"/>
        </w:rPr>
      </w:pPr>
      <w:hyperlink w:anchor="_Toc88041435" w:history="1">
        <w:r w:rsidR="00917068" w:rsidRPr="00E6635E">
          <w:rPr>
            <w:rStyle w:val="Hyperlink"/>
            <w:noProof/>
          </w:rPr>
          <w:t>Working in partnership with the sector to address situations where real or perceived conflict of interest may be adversely affecting participant outcomes</w:t>
        </w:r>
        <w:r w:rsidR="00917068">
          <w:rPr>
            <w:noProof/>
            <w:webHidden/>
          </w:rPr>
          <w:tab/>
        </w:r>
        <w:r w:rsidR="00917068">
          <w:rPr>
            <w:noProof/>
            <w:webHidden/>
          </w:rPr>
          <w:fldChar w:fldCharType="begin"/>
        </w:r>
        <w:r w:rsidR="00917068">
          <w:rPr>
            <w:noProof/>
            <w:webHidden/>
          </w:rPr>
          <w:instrText xml:space="preserve"> PAGEREF _Toc88041435 \h </w:instrText>
        </w:r>
        <w:r w:rsidR="00917068">
          <w:rPr>
            <w:noProof/>
            <w:webHidden/>
          </w:rPr>
        </w:r>
        <w:r w:rsidR="00917068">
          <w:rPr>
            <w:noProof/>
            <w:webHidden/>
          </w:rPr>
          <w:fldChar w:fldCharType="separate"/>
        </w:r>
        <w:r>
          <w:rPr>
            <w:noProof/>
            <w:webHidden/>
          </w:rPr>
          <w:t>12</w:t>
        </w:r>
        <w:r w:rsidR="00917068">
          <w:rPr>
            <w:noProof/>
            <w:webHidden/>
          </w:rPr>
          <w:fldChar w:fldCharType="end"/>
        </w:r>
      </w:hyperlink>
    </w:p>
    <w:p w:rsidR="00917068" w:rsidRDefault="00AF0586">
      <w:pPr>
        <w:pStyle w:val="TOC4"/>
        <w:rPr>
          <w:rFonts w:asciiTheme="minorHAnsi" w:hAnsiTheme="minorHAnsi"/>
          <w:szCs w:val="22"/>
          <w:lang w:val="en-AU" w:eastAsia="en-AU"/>
        </w:rPr>
      </w:pPr>
      <w:hyperlink w:anchor="_Toc88041436" w:history="1">
        <w:r w:rsidR="00917068" w:rsidRPr="00E6635E">
          <w:rPr>
            <w:rStyle w:val="Hyperlink"/>
          </w:rPr>
          <w:t>Encouraging better engagement with existing conflict of interest requirements</w:t>
        </w:r>
        <w:r w:rsidR="00917068">
          <w:rPr>
            <w:webHidden/>
          </w:rPr>
          <w:tab/>
        </w:r>
        <w:r w:rsidR="00917068">
          <w:rPr>
            <w:webHidden/>
          </w:rPr>
          <w:fldChar w:fldCharType="begin"/>
        </w:r>
        <w:r w:rsidR="00917068">
          <w:rPr>
            <w:webHidden/>
          </w:rPr>
          <w:instrText xml:space="preserve"> PAGEREF _Toc88041436 \h </w:instrText>
        </w:r>
        <w:r w:rsidR="00917068">
          <w:rPr>
            <w:webHidden/>
          </w:rPr>
        </w:r>
        <w:r w:rsidR="00917068">
          <w:rPr>
            <w:webHidden/>
          </w:rPr>
          <w:fldChar w:fldCharType="separate"/>
        </w:r>
        <w:r>
          <w:rPr>
            <w:webHidden/>
          </w:rPr>
          <w:t>12</w:t>
        </w:r>
        <w:r w:rsidR="00917068">
          <w:rPr>
            <w:webHidden/>
          </w:rPr>
          <w:fldChar w:fldCharType="end"/>
        </w:r>
      </w:hyperlink>
    </w:p>
    <w:p w:rsidR="00917068" w:rsidRDefault="00AF0586">
      <w:pPr>
        <w:pStyle w:val="TOC4"/>
        <w:rPr>
          <w:rFonts w:asciiTheme="minorHAnsi" w:hAnsiTheme="minorHAnsi"/>
          <w:szCs w:val="22"/>
          <w:lang w:val="en-AU" w:eastAsia="en-AU"/>
        </w:rPr>
      </w:pPr>
      <w:hyperlink w:anchor="_Toc88041437" w:history="1">
        <w:r w:rsidR="00917068" w:rsidRPr="00E6635E">
          <w:rPr>
            <w:rStyle w:val="Hyperlink"/>
          </w:rPr>
          <w:t>Understanding and addressing specific situations to protect participants’ safety and wellbeing, in partnership with the sector</w:t>
        </w:r>
        <w:r w:rsidR="00917068">
          <w:rPr>
            <w:webHidden/>
          </w:rPr>
          <w:tab/>
        </w:r>
        <w:r w:rsidR="00917068">
          <w:rPr>
            <w:webHidden/>
          </w:rPr>
          <w:fldChar w:fldCharType="begin"/>
        </w:r>
        <w:r w:rsidR="00917068">
          <w:rPr>
            <w:webHidden/>
          </w:rPr>
          <w:instrText xml:space="preserve"> PAGEREF _Toc88041437 \h </w:instrText>
        </w:r>
        <w:r w:rsidR="00917068">
          <w:rPr>
            <w:webHidden/>
          </w:rPr>
        </w:r>
        <w:r w:rsidR="00917068">
          <w:rPr>
            <w:webHidden/>
          </w:rPr>
          <w:fldChar w:fldCharType="separate"/>
        </w:r>
        <w:r>
          <w:rPr>
            <w:webHidden/>
          </w:rPr>
          <w:t>12</w:t>
        </w:r>
        <w:r w:rsidR="00917068">
          <w:rPr>
            <w:webHidden/>
          </w:rPr>
          <w:fldChar w:fldCharType="end"/>
        </w:r>
      </w:hyperlink>
    </w:p>
    <w:p w:rsidR="00917068" w:rsidRDefault="00AF0586">
      <w:pPr>
        <w:pStyle w:val="TOC3"/>
        <w:rPr>
          <w:rFonts w:asciiTheme="minorHAnsi" w:hAnsiTheme="minorHAnsi"/>
          <w:noProof/>
          <w:szCs w:val="22"/>
          <w:lang w:val="en-AU" w:eastAsia="en-AU"/>
        </w:rPr>
      </w:pPr>
      <w:hyperlink w:anchor="_Toc88041438" w:history="1">
        <w:r w:rsidR="00917068" w:rsidRPr="00E6635E">
          <w:rPr>
            <w:rStyle w:val="Hyperlink"/>
            <w:noProof/>
          </w:rPr>
          <w:t>Reviewing p</w:t>
        </w:r>
        <w:r w:rsidR="00917068" w:rsidRPr="00E6635E">
          <w:rPr>
            <w:rStyle w:val="Hyperlink"/>
            <w:noProof/>
          </w:rPr>
          <w:t>r</w:t>
        </w:r>
        <w:r w:rsidR="00917068" w:rsidRPr="00E6635E">
          <w:rPr>
            <w:rStyle w:val="Hyperlink"/>
            <w:noProof/>
          </w:rPr>
          <w:t>icing</w:t>
        </w:r>
        <w:r w:rsidR="00917068">
          <w:rPr>
            <w:noProof/>
            <w:webHidden/>
          </w:rPr>
          <w:tab/>
        </w:r>
        <w:r w:rsidR="00917068">
          <w:rPr>
            <w:noProof/>
            <w:webHidden/>
          </w:rPr>
          <w:fldChar w:fldCharType="begin"/>
        </w:r>
        <w:r w:rsidR="00917068">
          <w:rPr>
            <w:noProof/>
            <w:webHidden/>
          </w:rPr>
          <w:instrText xml:space="preserve"> PAGEREF _Toc88041438 \h </w:instrText>
        </w:r>
        <w:r w:rsidR="00917068">
          <w:rPr>
            <w:noProof/>
            <w:webHidden/>
          </w:rPr>
        </w:r>
        <w:r w:rsidR="00917068">
          <w:rPr>
            <w:noProof/>
            <w:webHidden/>
          </w:rPr>
          <w:fldChar w:fldCharType="separate"/>
        </w:r>
        <w:r>
          <w:rPr>
            <w:noProof/>
            <w:webHidden/>
          </w:rPr>
          <w:t>13</w:t>
        </w:r>
        <w:r w:rsidR="00917068">
          <w:rPr>
            <w:noProof/>
            <w:webHidden/>
          </w:rPr>
          <w:fldChar w:fldCharType="end"/>
        </w:r>
      </w:hyperlink>
    </w:p>
    <w:p w:rsidR="00917068" w:rsidRDefault="00AF0586">
      <w:pPr>
        <w:pStyle w:val="TOC3"/>
        <w:rPr>
          <w:rFonts w:asciiTheme="minorHAnsi" w:hAnsiTheme="minorHAnsi"/>
          <w:noProof/>
          <w:szCs w:val="22"/>
          <w:lang w:val="en-AU" w:eastAsia="en-AU"/>
        </w:rPr>
      </w:pPr>
      <w:hyperlink w:anchor="_Toc88041439" w:history="1">
        <w:r w:rsidR="00917068" w:rsidRPr="00E6635E">
          <w:rPr>
            <w:rStyle w:val="Hyperlink"/>
            <w:noProof/>
          </w:rPr>
          <w:t>Continuing to work with the sector to deliver consistency and equity in planning outcomes (including support coordination)</w:t>
        </w:r>
        <w:r w:rsidR="00917068">
          <w:rPr>
            <w:noProof/>
            <w:webHidden/>
          </w:rPr>
          <w:tab/>
        </w:r>
        <w:r w:rsidR="00917068">
          <w:rPr>
            <w:noProof/>
            <w:webHidden/>
          </w:rPr>
          <w:fldChar w:fldCharType="begin"/>
        </w:r>
        <w:r w:rsidR="00917068">
          <w:rPr>
            <w:noProof/>
            <w:webHidden/>
          </w:rPr>
          <w:instrText xml:space="preserve"> PAGEREF _Toc88041439 \h </w:instrText>
        </w:r>
        <w:r w:rsidR="00917068">
          <w:rPr>
            <w:noProof/>
            <w:webHidden/>
          </w:rPr>
        </w:r>
        <w:r w:rsidR="00917068">
          <w:rPr>
            <w:noProof/>
            <w:webHidden/>
          </w:rPr>
          <w:fldChar w:fldCharType="separate"/>
        </w:r>
        <w:r>
          <w:rPr>
            <w:noProof/>
            <w:webHidden/>
          </w:rPr>
          <w:t>14</w:t>
        </w:r>
        <w:r w:rsidR="00917068">
          <w:rPr>
            <w:noProof/>
            <w:webHidden/>
          </w:rPr>
          <w:fldChar w:fldCharType="end"/>
        </w:r>
      </w:hyperlink>
    </w:p>
    <w:p w:rsidR="00917068" w:rsidRDefault="00AF0586">
      <w:pPr>
        <w:pStyle w:val="TOC2"/>
        <w:rPr>
          <w:rFonts w:asciiTheme="minorHAnsi" w:hAnsiTheme="minorHAnsi"/>
          <w:noProof/>
          <w:szCs w:val="22"/>
          <w:lang w:val="en-AU" w:eastAsia="en-AU"/>
        </w:rPr>
      </w:pPr>
      <w:hyperlink w:anchor="_Toc88041442" w:history="1">
        <w:r w:rsidR="00917068" w:rsidRPr="00E6635E">
          <w:rPr>
            <w:rStyle w:val="Hyperlink"/>
            <w:noProof/>
          </w:rPr>
          <w:t>Appendix A – Consultation overview</w:t>
        </w:r>
        <w:r w:rsidR="00917068">
          <w:rPr>
            <w:noProof/>
            <w:webHidden/>
          </w:rPr>
          <w:tab/>
        </w:r>
        <w:r w:rsidR="00917068">
          <w:rPr>
            <w:noProof/>
            <w:webHidden/>
          </w:rPr>
          <w:fldChar w:fldCharType="begin"/>
        </w:r>
        <w:r w:rsidR="00917068">
          <w:rPr>
            <w:noProof/>
            <w:webHidden/>
          </w:rPr>
          <w:instrText xml:space="preserve"> PAGEREF _Toc88041442 \h </w:instrText>
        </w:r>
        <w:r w:rsidR="00917068">
          <w:rPr>
            <w:noProof/>
            <w:webHidden/>
          </w:rPr>
        </w:r>
        <w:r w:rsidR="00917068">
          <w:rPr>
            <w:noProof/>
            <w:webHidden/>
          </w:rPr>
          <w:fldChar w:fldCharType="separate"/>
        </w:r>
        <w:r>
          <w:rPr>
            <w:noProof/>
            <w:webHidden/>
          </w:rPr>
          <w:t>16</w:t>
        </w:r>
        <w:r w:rsidR="00917068">
          <w:rPr>
            <w:noProof/>
            <w:webHidden/>
          </w:rPr>
          <w:fldChar w:fldCharType="end"/>
        </w:r>
      </w:hyperlink>
    </w:p>
    <w:p w:rsidR="00917068" w:rsidRDefault="00AF0586">
      <w:pPr>
        <w:pStyle w:val="TOC2"/>
        <w:rPr>
          <w:rFonts w:asciiTheme="minorHAnsi" w:hAnsiTheme="minorHAnsi"/>
          <w:noProof/>
          <w:szCs w:val="22"/>
          <w:lang w:val="en-AU" w:eastAsia="en-AU"/>
        </w:rPr>
      </w:pPr>
      <w:hyperlink w:anchor="_Toc88041454" w:history="1">
        <w:r w:rsidR="00917068" w:rsidRPr="00E6635E">
          <w:rPr>
            <w:rStyle w:val="Hyperlink"/>
            <w:noProof/>
          </w:rPr>
          <w:t>Appendix B – Use of support coordination</w:t>
        </w:r>
        <w:r w:rsidR="00917068">
          <w:rPr>
            <w:noProof/>
            <w:webHidden/>
          </w:rPr>
          <w:tab/>
        </w:r>
        <w:r w:rsidR="00917068">
          <w:rPr>
            <w:noProof/>
            <w:webHidden/>
          </w:rPr>
          <w:fldChar w:fldCharType="begin"/>
        </w:r>
        <w:r w:rsidR="00917068">
          <w:rPr>
            <w:noProof/>
            <w:webHidden/>
          </w:rPr>
          <w:instrText xml:space="preserve"> PAGEREF _Toc88041454 \h </w:instrText>
        </w:r>
        <w:r w:rsidR="00917068">
          <w:rPr>
            <w:noProof/>
            <w:webHidden/>
          </w:rPr>
        </w:r>
        <w:r w:rsidR="00917068">
          <w:rPr>
            <w:noProof/>
            <w:webHidden/>
          </w:rPr>
          <w:fldChar w:fldCharType="separate"/>
        </w:r>
        <w:r>
          <w:rPr>
            <w:noProof/>
            <w:webHidden/>
          </w:rPr>
          <w:t>22</w:t>
        </w:r>
        <w:r w:rsidR="00917068">
          <w:rPr>
            <w:noProof/>
            <w:webHidden/>
          </w:rPr>
          <w:fldChar w:fldCharType="end"/>
        </w:r>
      </w:hyperlink>
    </w:p>
    <w:p w:rsidR="004D32B5" w:rsidRDefault="0040062A" w:rsidP="004D32B5">
      <w:r>
        <w:fldChar w:fldCharType="end"/>
      </w:r>
    </w:p>
    <w:p w:rsidR="004D32B5" w:rsidRDefault="004D32B5">
      <w:pPr>
        <w:spacing w:line="276" w:lineRule="auto"/>
      </w:pPr>
      <w:r>
        <w:br w:type="page"/>
      </w:r>
    </w:p>
    <w:p w:rsidR="004D32B5" w:rsidRPr="00A21351" w:rsidRDefault="00B60C9F" w:rsidP="000D5D04">
      <w:pPr>
        <w:pStyle w:val="Heading2"/>
        <w:numPr>
          <w:ilvl w:val="0"/>
          <w:numId w:val="0"/>
        </w:numPr>
        <w:ind w:left="720" w:hanging="720"/>
      </w:pPr>
      <w:bookmarkStart w:id="2" w:name="_Toc88041421"/>
      <w:r>
        <w:lastRenderedPageBreak/>
        <w:t>Introduction</w:t>
      </w:r>
      <w:bookmarkEnd w:id="2"/>
      <w:r>
        <w:t xml:space="preserve"> </w:t>
      </w:r>
    </w:p>
    <w:p w:rsidR="00B60C9F" w:rsidRDefault="00B60C9F" w:rsidP="00B60C9F">
      <w:pPr>
        <w:rPr>
          <w:rFonts w:cs="Arial"/>
          <w:szCs w:val="22"/>
        </w:rPr>
      </w:pPr>
      <w:r>
        <w:rPr>
          <w:rFonts w:cs="Arial"/>
          <w:szCs w:val="22"/>
        </w:rPr>
        <w:t xml:space="preserve">Support coordination plays an important role in helping National Disability Insurance Scheme (NDIS) participants to make the most of their NDIS plans and to pursue their goals. </w:t>
      </w:r>
      <w:r w:rsidRPr="004243B9">
        <w:rPr>
          <w:rFonts w:cs="Arial"/>
          <w:szCs w:val="22"/>
        </w:rPr>
        <w:t>As at 3</w:t>
      </w:r>
      <w:r>
        <w:rPr>
          <w:rFonts w:cs="Arial"/>
          <w:szCs w:val="22"/>
        </w:rPr>
        <w:t>0</w:t>
      </w:r>
      <w:r w:rsidRPr="004243B9">
        <w:rPr>
          <w:rFonts w:cs="Arial"/>
          <w:szCs w:val="22"/>
        </w:rPr>
        <w:t xml:space="preserve"> </w:t>
      </w:r>
      <w:r>
        <w:rPr>
          <w:rFonts w:cs="Arial"/>
          <w:szCs w:val="22"/>
        </w:rPr>
        <w:t>September</w:t>
      </w:r>
      <w:r w:rsidRPr="004243B9">
        <w:rPr>
          <w:rFonts w:cs="Arial"/>
          <w:szCs w:val="22"/>
        </w:rPr>
        <w:t xml:space="preserve"> 2021, </w:t>
      </w:r>
      <w:r>
        <w:rPr>
          <w:rFonts w:cs="Arial"/>
          <w:szCs w:val="22"/>
        </w:rPr>
        <w:t>208,634 (</w:t>
      </w:r>
      <w:r w:rsidRPr="004243B9">
        <w:rPr>
          <w:rFonts w:cs="Arial"/>
          <w:szCs w:val="22"/>
        </w:rPr>
        <w:t>4</w:t>
      </w:r>
      <w:r>
        <w:rPr>
          <w:rFonts w:cs="Arial"/>
          <w:szCs w:val="22"/>
        </w:rPr>
        <w:t>3</w:t>
      </w:r>
      <w:r w:rsidRPr="004243B9">
        <w:rPr>
          <w:rFonts w:cs="Arial"/>
          <w:szCs w:val="22"/>
        </w:rPr>
        <w:t>%</w:t>
      </w:r>
      <w:r>
        <w:rPr>
          <w:rFonts w:cs="Arial"/>
          <w:szCs w:val="22"/>
        </w:rPr>
        <w:t>)</w:t>
      </w:r>
      <w:r w:rsidRPr="004243B9">
        <w:rPr>
          <w:rFonts w:cs="Arial"/>
          <w:szCs w:val="22"/>
        </w:rPr>
        <w:t xml:space="preserve"> active participants have support coordination funded in their approved plan</w:t>
      </w:r>
      <w:r>
        <w:rPr>
          <w:rFonts w:cs="Arial"/>
          <w:szCs w:val="22"/>
        </w:rPr>
        <w:t>.</w:t>
      </w:r>
      <w:r w:rsidRPr="00D4592C">
        <w:rPr>
          <w:rFonts w:cs="Arial"/>
          <w:szCs w:val="22"/>
        </w:rPr>
        <w:t xml:space="preserve"> </w:t>
      </w:r>
      <w:r>
        <w:rPr>
          <w:rFonts w:cs="Arial"/>
          <w:szCs w:val="22"/>
        </w:rPr>
        <w:t>T</w:t>
      </w:r>
      <w:r>
        <w:rPr>
          <w:rFonts w:cs="Arial"/>
        </w:rPr>
        <w:t xml:space="preserve">otal payments for support coordination were </w:t>
      </w:r>
      <w:r w:rsidRPr="005766F1">
        <w:rPr>
          <w:rFonts w:cs="Arial"/>
        </w:rPr>
        <w:t>$</w:t>
      </w:r>
      <w:r>
        <w:rPr>
          <w:rFonts w:cs="Arial"/>
        </w:rPr>
        <w:t>667</w:t>
      </w:r>
      <w:r w:rsidRPr="005766F1">
        <w:rPr>
          <w:rFonts w:cs="Arial"/>
        </w:rPr>
        <w:t xml:space="preserve"> million</w:t>
      </w:r>
      <w:r w:rsidRPr="00D4592C">
        <w:rPr>
          <w:rFonts w:cs="Arial"/>
        </w:rPr>
        <w:t xml:space="preserve"> </w:t>
      </w:r>
      <w:r>
        <w:rPr>
          <w:rFonts w:cs="Arial"/>
        </w:rPr>
        <w:t>for the year ending 30 September 2021.</w:t>
      </w:r>
      <w:r w:rsidRPr="004243B9">
        <w:rPr>
          <w:rStyle w:val="FootnoteReference"/>
          <w:rFonts w:cs="Arial"/>
          <w:szCs w:val="22"/>
        </w:rPr>
        <w:footnoteReference w:id="1"/>
      </w:r>
      <w:r>
        <w:rPr>
          <w:rFonts w:cs="Arial"/>
          <w:szCs w:val="22"/>
        </w:rPr>
        <w:t xml:space="preserve"> </w:t>
      </w:r>
    </w:p>
    <w:p w:rsidR="00B60C9F" w:rsidRDefault="00B60C9F" w:rsidP="00B60C9F">
      <w:pPr>
        <w:rPr>
          <w:rFonts w:eastAsia="Arial Unicode MS" w:cs="Arial"/>
          <w:color w:val="000000"/>
          <w:szCs w:val="22"/>
          <w:lang w:eastAsia="en-AU"/>
        </w:rPr>
      </w:pPr>
      <w:r>
        <w:rPr>
          <w:rFonts w:cs="Arial"/>
          <w:szCs w:val="22"/>
        </w:rPr>
        <w:t xml:space="preserve">The support coordination sector continues to mature under the changing NDIS landscape. </w:t>
      </w:r>
      <w:r w:rsidRPr="004730D1">
        <w:rPr>
          <w:rFonts w:eastAsia="Arial Unicode MS" w:cs="Arial"/>
          <w:color w:val="000000"/>
          <w:szCs w:val="22"/>
          <w:lang w:eastAsia="en-AU"/>
        </w:rPr>
        <w:t xml:space="preserve">The </w:t>
      </w:r>
      <w:hyperlink r:id="rId12" w:history="1">
        <w:r w:rsidRPr="00F9284C">
          <w:rPr>
            <w:rStyle w:val="Hyperlink"/>
            <w:rFonts w:eastAsia="Arial Unicode MS" w:cs="Arial"/>
            <w:szCs w:val="22"/>
            <w:lang w:eastAsia="en-AU"/>
          </w:rPr>
          <w:t>Participant Service Improvement Plan</w:t>
        </w:r>
      </w:hyperlink>
      <w:r w:rsidRPr="004730D1">
        <w:rPr>
          <w:rFonts w:eastAsia="Arial Unicode MS" w:cs="Arial"/>
          <w:color w:val="000000"/>
          <w:szCs w:val="22"/>
          <w:lang w:eastAsia="en-AU"/>
        </w:rPr>
        <w:t xml:space="preserve"> sets out what </w:t>
      </w:r>
      <w:r>
        <w:rPr>
          <w:rFonts w:eastAsia="Arial Unicode MS" w:cs="Arial"/>
          <w:color w:val="000000"/>
          <w:szCs w:val="22"/>
          <w:lang w:eastAsia="en-AU"/>
        </w:rPr>
        <w:t xml:space="preserve">the </w:t>
      </w:r>
      <w:r w:rsidRPr="001770BC">
        <w:rPr>
          <w:rFonts w:cs="Arial"/>
          <w:szCs w:val="22"/>
        </w:rPr>
        <w:t>National Disability In</w:t>
      </w:r>
      <w:r>
        <w:rPr>
          <w:rFonts w:cs="Arial"/>
          <w:szCs w:val="22"/>
        </w:rPr>
        <w:t xml:space="preserve">surance Agency (NDIA) is </w:t>
      </w:r>
      <w:r>
        <w:rPr>
          <w:rFonts w:eastAsia="Arial Unicode MS" w:cs="Arial"/>
          <w:color w:val="000000"/>
          <w:szCs w:val="22"/>
          <w:lang w:eastAsia="en-AU"/>
        </w:rPr>
        <w:t>going to do over the next two</w:t>
      </w:r>
      <w:r w:rsidRPr="004730D1">
        <w:rPr>
          <w:rFonts w:eastAsia="Arial Unicode MS" w:cs="Arial"/>
          <w:color w:val="000000"/>
          <w:szCs w:val="22"/>
          <w:lang w:eastAsia="en-AU"/>
        </w:rPr>
        <w:t xml:space="preserve"> years to deliver a Scheme that meets participants’ expectations.</w:t>
      </w:r>
      <w:r>
        <w:rPr>
          <w:rFonts w:eastAsia="Arial Unicode MS" w:cs="Arial"/>
          <w:color w:val="000000"/>
          <w:szCs w:val="22"/>
          <w:lang w:eastAsia="en-AU"/>
        </w:rPr>
        <w:t xml:space="preserve"> </w:t>
      </w:r>
      <w:r w:rsidRPr="001E75AC">
        <w:rPr>
          <w:rFonts w:eastAsia="Arial Unicode MS" w:cs="Arial"/>
          <w:color w:val="000000"/>
          <w:szCs w:val="22"/>
          <w:lang w:eastAsia="en-AU"/>
        </w:rPr>
        <w:t>One of our commitments in the Participant Service Improvement Plan is ‘we will be clearer about support coordination services, and what you should expect’.</w:t>
      </w:r>
      <w:r>
        <w:rPr>
          <w:rFonts w:eastAsia="Arial Unicode MS" w:cs="Arial"/>
          <w:color w:val="000000"/>
          <w:szCs w:val="22"/>
          <w:lang w:eastAsia="en-AU"/>
        </w:rPr>
        <w:t xml:space="preserve"> </w:t>
      </w:r>
    </w:p>
    <w:p w:rsidR="00B60C9F" w:rsidRDefault="00B60C9F" w:rsidP="00B60C9F">
      <w:pPr>
        <w:rPr>
          <w:rFonts w:eastAsia="Arial Unicode MS" w:cs="Arial"/>
          <w:color w:val="000000"/>
          <w:szCs w:val="22"/>
          <w:lang w:eastAsia="en-AU"/>
        </w:rPr>
      </w:pPr>
      <w:r>
        <w:rPr>
          <w:rFonts w:cs="Arial"/>
          <w:szCs w:val="22"/>
        </w:rPr>
        <w:t>Feedback to our 2020 Support Coordination</w:t>
      </w:r>
      <w:r w:rsidRPr="001770BC">
        <w:rPr>
          <w:rFonts w:cs="Arial"/>
          <w:szCs w:val="22"/>
        </w:rPr>
        <w:t xml:space="preserve"> Discussion Paper</w:t>
      </w:r>
      <w:r>
        <w:rPr>
          <w:rFonts w:cs="Arial"/>
          <w:szCs w:val="22"/>
        </w:rPr>
        <w:t xml:space="preserve"> was received from:</w:t>
      </w:r>
    </w:p>
    <w:p w:rsidR="00B60C9F" w:rsidRPr="001770BC" w:rsidRDefault="00B60C9F" w:rsidP="006B161E">
      <w:pPr>
        <w:pStyle w:val="ListParagraph"/>
        <w:numPr>
          <w:ilvl w:val="0"/>
          <w:numId w:val="3"/>
        </w:numPr>
        <w:spacing w:line="276" w:lineRule="auto"/>
        <w:rPr>
          <w:rFonts w:cs="Arial"/>
          <w:szCs w:val="22"/>
        </w:rPr>
      </w:pPr>
      <w:r>
        <w:rPr>
          <w:rFonts w:cs="Arial"/>
          <w:szCs w:val="22"/>
        </w:rPr>
        <w:t>NDIS</w:t>
      </w:r>
      <w:r w:rsidRPr="001770BC">
        <w:rPr>
          <w:rFonts w:cs="Arial"/>
          <w:szCs w:val="22"/>
        </w:rPr>
        <w:t xml:space="preserve"> participants</w:t>
      </w:r>
      <w:r>
        <w:rPr>
          <w:rFonts w:cs="Arial"/>
          <w:szCs w:val="22"/>
        </w:rPr>
        <w:t xml:space="preserve">, </w:t>
      </w:r>
      <w:r w:rsidRPr="001770BC">
        <w:rPr>
          <w:rFonts w:cs="Arial"/>
          <w:szCs w:val="22"/>
        </w:rPr>
        <w:t>their families and carers</w:t>
      </w:r>
    </w:p>
    <w:p w:rsidR="00B60C9F" w:rsidRPr="001770BC" w:rsidRDefault="00B60C9F" w:rsidP="006B161E">
      <w:pPr>
        <w:pStyle w:val="ListParagraph"/>
        <w:numPr>
          <w:ilvl w:val="0"/>
          <w:numId w:val="3"/>
        </w:numPr>
        <w:spacing w:line="276" w:lineRule="auto"/>
        <w:rPr>
          <w:rFonts w:cs="Arial"/>
          <w:szCs w:val="22"/>
        </w:rPr>
      </w:pPr>
      <w:r w:rsidRPr="001770BC">
        <w:rPr>
          <w:rFonts w:cs="Arial"/>
          <w:szCs w:val="22"/>
        </w:rPr>
        <w:t>NDIS providers (including support coordinators)</w:t>
      </w:r>
    </w:p>
    <w:p w:rsidR="00B60C9F" w:rsidRPr="001770BC" w:rsidRDefault="00B60C9F" w:rsidP="006B161E">
      <w:pPr>
        <w:pStyle w:val="ListParagraph"/>
        <w:numPr>
          <w:ilvl w:val="0"/>
          <w:numId w:val="3"/>
        </w:numPr>
        <w:spacing w:line="276" w:lineRule="auto"/>
        <w:rPr>
          <w:rFonts w:cs="Arial"/>
          <w:szCs w:val="22"/>
        </w:rPr>
      </w:pPr>
      <w:r w:rsidRPr="001770BC">
        <w:rPr>
          <w:rFonts w:cs="Arial"/>
          <w:szCs w:val="22"/>
        </w:rPr>
        <w:t>community organisations</w:t>
      </w:r>
    </w:p>
    <w:p w:rsidR="00B60C9F" w:rsidRPr="001770BC" w:rsidRDefault="00B60C9F" w:rsidP="006B161E">
      <w:pPr>
        <w:pStyle w:val="ListParagraph"/>
        <w:numPr>
          <w:ilvl w:val="0"/>
          <w:numId w:val="3"/>
        </w:numPr>
        <w:spacing w:line="276" w:lineRule="auto"/>
        <w:rPr>
          <w:rFonts w:cs="Arial"/>
          <w:szCs w:val="22"/>
        </w:rPr>
      </w:pPr>
      <w:r w:rsidRPr="001770BC">
        <w:rPr>
          <w:rFonts w:cs="Arial"/>
          <w:szCs w:val="22"/>
        </w:rPr>
        <w:t xml:space="preserve">peak bodies </w:t>
      </w:r>
    </w:p>
    <w:p w:rsidR="00B60C9F" w:rsidRPr="001770BC" w:rsidRDefault="00B60C9F" w:rsidP="006B161E">
      <w:pPr>
        <w:pStyle w:val="ListParagraph"/>
        <w:numPr>
          <w:ilvl w:val="0"/>
          <w:numId w:val="3"/>
        </w:numPr>
        <w:spacing w:line="276" w:lineRule="auto"/>
        <w:rPr>
          <w:rFonts w:cs="Arial"/>
          <w:szCs w:val="22"/>
        </w:rPr>
      </w:pPr>
      <w:r w:rsidRPr="001770BC">
        <w:rPr>
          <w:rFonts w:cs="Arial"/>
          <w:szCs w:val="22"/>
        </w:rPr>
        <w:t>government agencies</w:t>
      </w:r>
      <w:r>
        <w:rPr>
          <w:rFonts w:cs="Arial"/>
          <w:szCs w:val="22"/>
        </w:rPr>
        <w:t>.</w:t>
      </w:r>
    </w:p>
    <w:p w:rsidR="00B60C9F" w:rsidRDefault="00B60C9F" w:rsidP="00B60C9F">
      <w:pPr>
        <w:rPr>
          <w:rFonts w:cs="Arial"/>
          <w:szCs w:val="22"/>
        </w:rPr>
      </w:pPr>
      <w:r w:rsidRPr="001770BC">
        <w:rPr>
          <w:rFonts w:cs="Arial"/>
          <w:szCs w:val="22"/>
        </w:rPr>
        <w:t xml:space="preserve">Stakeholders </w:t>
      </w:r>
      <w:r>
        <w:rPr>
          <w:rFonts w:cs="Arial"/>
          <w:szCs w:val="22"/>
        </w:rPr>
        <w:t xml:space="preserve">agreed that the </w:t>
      </w:r>
      <w:r w:rsidRPr="001770BC">
        <w:rPr>
          <w:rFonts w:cs="Arial"/>
          <w:szCs w:val="22"/>
        </w:rPr>
        <w:t>current support coordinati</w:t>
      </w:r>
      <w:r>
        <w:rPr>
          <w:rFonts w:cs="Arial"/>
          <w:szCs w:val="22"/>
        </w:rPr>
        <w:t>on service model needed to improve. There were</w:t>
      </w:r>
      <w:r w:rsidRPr="001770BC">
        <w:rPr>
          <w:rFonts w:cs="Arial"/>
          <w:szCs w:val="22"/>
        </w:rPr>
        <w:t xml:space="preserve"> various perspectives on </w:t>
      </w:r>
      <w:r>
        <w:rPr>
          <w:rFonts w:cs="Arial"/>
          <w:szCs w:val="22"/>
        </w:rPr>
        <w:t xml:space="preserve">which areas of </w:t>
      </w:r>
      <w:r w:rsidRPr="001770BC">
        <w:rPr>
          <w:rFonts w:cs="Arial"/>
          <w:szCs w:val="22"/>
        </w:rPr>
        <w:t>support coordination services</w:t>
      </w:r>
      <w:r>
        <w:rPr>
          <w:rFonts w:cs="Arial"/>
          <w:szCs w:val="22"/>
        </w:rPr>
        <w:t xml:space="preserve"> could improve, and how.</w:t>
      </w:r>
    </w:p>
    <w:p w:rsidR="00B60C9F" w:rsidRDefault="00B60C9F" w:rsidP="00B60C9F">
      <w:pPr>
        <w:rPr>
          <w:rFonts w:cs="Arial"/>
          <w:szCs w:val="22"/>
        </w:rPr>
      </w:pPr>
      <w:r>
        <w:rPr>
          <w:rFonts w:cs="Arial"/>
          <w:szCs w:val="22"/>
        </w:rPr>
        <w:t xml:space="preserve">This paper outlines the </w:t>
      </w:r>
      <w:r w:rsidRPr="001770BC">
        <w:rPr>
          <w:rFonts w:cs="Arial"/>
          <w:szCs w:val="22"/>
        </w:rPr>
        <w:t>hi</w:t>
      </w:r>
      <w:r>
        <w:rPr>
          <w:rFonts w:cs="Arial"/>
          <w:szCs w:val="22"/>
        </w:rPr>
        <w:t>gh level outcomes from reviewing</w:t>
      </w:r>
      <w:r w:rsidRPr="001770BC">
        <w:rPr>
          <w:rFonts w:cs="Arial"/>
          <w:szCs w:val="22"/>
        </w:rPr>
        <w:t xml:space="preserve"> the current </w:t>
      </w:r>
      <w:r>
        <w:rPr>
          <w:rFonts w:cs="Arial"/>
          <w:szCs w:val="22"/>
        </w:rPr>
        <w:t>support coordination</w:t>
      </w:r>
      <w:r w:rsidRPr="001770BC">
        <w:rPr>
          <w:rFonts w:cs="Arial"/>
          <w:szCs w:val="22"/>
        </w:rPr>
        <w:t xml:space="preserve"> model</w:t>
      </w:r>
      <w:r>
        <w:rPr>
          <w:rFonts w:cs="Arial"/>
          <w:szCs w:val="22"/>
        </w:rPr>
        <w:t xml:space="preserve"> in the context of both the consultation process, and broader strategic design of the Scheme. </w:t>
      </w:r>
    </w:p>
    <w:p w:rsidR="00B60C9F" w:rsidRDefault="00B60C9F" w:rsidP="00B60C9F">
      <w:pPr>
        <w:rPr>
          <w:rFonts w:cs="Arial"/>
          <w:szCs w:val="22"/>
        </w:rPr>
      </w:pPr>
      <w:r w:rsidRPr="003E46F1">
        <w:rPr>
          <w:rFonts w:cs="Arial"/>
          <w:szCs w:val="22"/>
        </w:rPr>
        <w:t xml:space="preserve">While we have been considering the feedback, the NDIA </w:t>
      </w:r>
      <w:r>
        <w:rPr>
          <w:rFonts w:cs="Arial"/>
          <w:szCs w:val="22"/>
        </w:rPr>
        <w:t>has been</w:t>
      </w:r>
      <w:r w:rsidRPr="003E46F1">
        <w:rPr>
          <w:rFonts w:cs="Arial"/>
          <w:szCs w:val="22"/>
        </w:rPr>
        <w:t xml:space="preserve"> </w:t>
      </w:r>
      <w:r>
        <w:rPr>
          <w:rFonts w:cs="Arial"/>
          <w:szCs w:val="22"/>
        </w:rPr>
        <w:t>investing in building the</w:t>
      </w:r>
      <w:r w:rsidRPr="003E46F1">
        <w:rPr>
          <w:rFonts w:cs="Arial"/>
          <w:szCs w:val="22"/>
        </w:rPr>
        <w:t xml:space="preserve"> capability of support coordinators through initiatives such as thin market trials and the Exceptionally Complex Support Needs Program.</w:t>
      </w:r>
      <w:r>
        <w:rPr>
          <w:rFonts w:cs="Arial"/>
          <w:szCs w:val="22"/>
        </w:rPr>
        <w:t xml:space="preserve"> </w:t>
      </w:r>
    </w:p>
    <w:p w:rsidR="00B60C9F" w:rsidRDefault="00B60C9F" w:rsidP="00B60C9F">
      <w:pPr>
        <w:rPr>
          <w:rFonts w:cs="Arial"/>
          <w:szCs w:val="22"/>
        </w:rPr>
      </w:pPr>
      <w:r w:rsidRPr="003E46F1">
        <w:rPr>
          <w:rFonts w:cs="Arial"/>
          <w:szCs w:val="22"/>
        </w:rPr>
        <w:t xml:space="preserve">The NDIA has also observed a range of other initiatives to </w:t>
      </w:r>
      <w:r>
        <w:rPr>
          <w:rFonts w:cs="Arial"/>
          <w:szCs w:val="22"/>
        </w:rPr>
        <w:t>improve capability within</w:t>
      </w:r>
      <w:r w:rsidRPr="003E46F1">
        <w:rPr>
          <w:rFonts w:cs="Arial"/>
          <w:szCs w:val="22"/>
        </w:rPr>
        <w:t xml:space="preserve"> </w:t>
      </w:r>
      <w:r>
        <w:rPr>
          <w:rFonts w:cs="Arial"/>
          <w:szCs w:val="22"/>
        </w:rPr>
        <w:t xml:space="preserve">the </w:t>
      </w:r>
      <w:r w:rsidRPr="003E46F1">
        <w:rPr>
          <w:rFonts w:cs="Arial"/>
          <w:szCs w:val="22"/>
        </w:rPr>
        <w:t xml:space="preserve">sector </w:t>
      </w:r>
      <w:r>
        <w:rPr>
          <w:rFonts w:cs="Arial"/>
          <w:szCs w:val="22"/>
        </w:rPr>
        <w:t>more broadly. This</w:t>
      </w:r>
      <w:r w:rsidRPr="003E46F1">
        <w:rPr>
          <w:rFonts w:cs="Arial"/>
          <w:szCs w:val="22"/>
        </w:rPr>
        <w:t xml:space="preserve"> </w:t>
      </w:r>
      <w:r>
        <w:rPr>
          <w:rFonts w:cs="Arial"/>
          <w:szCs w:val="22"/>
        </w:rPr>
        <w:t>includes</w:t>
      </w:r>
      <w:r w:rsidRPr="003E46F1">
        <w:rPr>
          <w:rFonts w:cs="Arial"/>
          <w:szCs w:val="22"/>
        </w:rPr>
        <w:t xml:space="preserve"> </w:t>
      </w:r>
      <w:r w:rsidRPr="00823161">
        <w:rPr>
          <w:rFonts w:cs="Arial"/>
          <w:szCs w:val="22"/>
        </w:rPr>
        <w:t xml:space="preserve">initiatives funded </w:t>
      </w:r>
      <w:r>
        <w:rPr>
          <w:rFonts w:cs="Arial"/>
          <w:szCs w:val="22"/>
        </w:rPr>
        <w:t xml:space="preserve">through the </w:t>
      </w:r>
      <w:hyperlink r:id="rId13" w:history="1">
        <w:r w:rsidRPr="00F069D6">
          <w:rPr>
            <w:rStyle w:val="Hyperlink"/>
            <w:rFonts w:cs="Arial"/>
            <w:szCs w:val="22"/>
          </w:rPr>
          <w:t>Support for NDIS Providers grant program</w:t>
        </w:r>
      </w:hyperlink>
      <w:r>
        <w:rPr>
          <w:rFonts w:cs="Arial"/>
          <w:szCs w:val="22"/>
        </w:rPr>
        <w:t xml:space="preserve"> administered </w:t>
      </w:r>
      <w:r w:rsidRPr="00823161">
        <w:rPr>
          <w:rFonts w:cs="Arial"/>
          <w:szCs w:val="22"/>
        </w:rPr>
        <w:t xml:space="preserve">by the NDIS Quality and Safeguards Commission (NDIS Commission) to </w:t>
      </w:r>
      <w:r w:rsidRPr="00823161">
        <w:rPr>
          <w:rFonts w:cs="Arial"/>
          <w:shd w:val="clear" w:color="auto" w:fill="FFFFFF"/>
        </w:rPr>
        <w:t>support NDIS providers in meeting their quality and safeguarding responsibilities</w:t>
      </w:r>
      <w:r>
        <w:rPr>
          <w:rFonts w:cs="Arial"/>
          <w:shd w:val="clear" w:color="auto" w:fill="FFFFFF"/>
        </w:rPr>
        <w:t>.</w:t>
      </w:r>
      <w:r w:rsidRPr="00823161">
        <w:rPr>
          <w:rFonts w:cs="Arial"/>
          <w:shd w:val="clear" w:color="auto" w:fill="FFFFFF"/>
        </w:rPr>
        <w:t xml:space="preserve"> </w:t>
      </w:r>
      <w:r>
        <w:rPr>
          <w:rFonts w:cs="Arial"/>
          <w:shd w:val="clear" w:color="auto" w:fill="FFFFFF"/>
        </w:rPr>
        <w:t xml:space="preserve">Other initiatives include </w:t>
      </w:r>
      <w:r w:rsidRPr="00823161">
        <w:rPr>
          <w:rFonts w:cs="Arial"/>
          <w:szCs w:val="22"/>
        </w:rPr>
        <w:t xml:space="preserve">the development </w:t>
      </w:r>
      <w:r w:rsidRPr="003E46F1">
        <w:rPr>
          <w:rFonts w:cs="Arial"/>
          <w:szCs w:val="22"/>
        </w:rPr>
        <w:t xml:space="preserve">of </w:t>
      </w:r>
      <w:r>
        <w:rPr>
          <w:rFonts w:cs="Arial"/>
          <w:szCs w:val="22"/>
        </w:rPr>
        <w:t>support coordination</w:t>
      </w:r>
      <w:r w:rsidRPr="003E46F1">
        <w:rPr>
          <w:rFonts w:cs="Arial"/>
          <w:szCs w:val="22"/>
        </w:rPr>
        <w:t xml:space="preserve"> </w:t>
      </w:r>
      <w:r>
        <w:rPr>
          <w:rFonts w:cs="Arial"/>
          <w:szCs w:val="22"/>
        </w:rPr>
        <w:t xml:space="preserve">practice </w:t>
      </w:r>
      <w:r w:rsidRPr="003E46F1">
        <w:rPr>
          <w:rFonts w:cs="Arial"/>
          <w:szCs w:val="22"/>
        </w:rPr>
        <w:t xml:space="preserve">standards led by </w:t>
      </w:r>
      <w:r>
        <w:rPr>
          <w:rFonts w:cs="Arial"/>
          <w:szCs w:val="22"/>
        </w:rPr>
        <w:t>peak organisations, and a range of courses and communities of practice available in the market</w:t>
      </w:r>
      <w:r w:rsidRPr="003E46F1">
        <w:rPr>
          <w:rFonts w:cs="Arial"/>
          <w:szCs w:val="22"/>
        </w:rPr>
        <w:t xml:space="preserve">. </w:t>
      </w:r>
    </w:p>
    <w:p w:rsidR="000D5D04" w:rsidRPr="007C7FF4" w:rsidRDefault="00B60C9F" w:rsidP="007C7FF4">
      <w:pPr>
        <w:rPr>
          <w:rFonts w:cs="Arial"/>
          <w:szCs w:val="22"/>
        </w:rPr>
      </w:pPr>
      <w:r>
        <w:rPr>
          <w:rFonts w:cs="Arial"/>
          <w:szCs w:val="22"/>
        </w:rPr>
        <w:t>The NDIA will continue to work closely with the sector on how support coordinators can drive better participan</w:t>
      </w:r>
      <w:r w:rsidR="007C7FF4">
        <w:rPr>
          <w:rFonts w:cs="Arial"/>
          <w:szCs w:val="22"/>
        </w:rPr>
        <w:t>t outcomes as the NDIS evolves.</w:t>
      </w:r>
    </w:p>
    <w:p w:rsidR="00B60C9F" w:rsidRDefault="00B60C9F" w:rsidP="000D5D04">
      <w:pPr>
        <w:pStyle w:val="Heading2"/>
        <w:numPr>
          <w:ilvl w:val="0"/>
          <w:numId w:val="0"/>
        </w:numPr>
        <w:ind w:left="720" w:hanging="720"/>
      </w:pPr>
      <w:bookmarkStart w:id="3" w:name="_Toc88041422"/>
      <w:r>
        <w:lastRenderedPageBreak/>
        <w:t>The role of a support coordinator</w:t>
      </w:r>
      <w:bookmarkEnd w:id="3"/>
    </w:p>
    <w:p w:rsidR="00B60C9F" w:rsidRDefault="00B60C9F" w:rsidP="00B60C9F">
      <w:r>
        <w:t xml:space="preserve">Greater clarity on the role of support coordinators will help drive more consistent, quality outcomes from support coordination services. Consultation feedback (see </w:t>
      </w:r>
      <w:hyperlink w:anchor="_Appendix_–_Consultation" w:history="1">
        <w:r w:rsidRPr="00217A2E">
          <w:rPr>
            <w:rStyle w:val="Hyperlink"/>
          </w:rPr>
          <w:t>Appendix</w:t>
        </w:r>
      </w:hyperlink>
      <w:r>
        <w:rPr>
          <w:rStyle w:val="Hyperlink"/>
        </w:rPr>
        <w:t xml:space="preserve"> A</w:t>
      </w:r>
      <w:r>
        <w:t>) indicated a broad agreement around the following roles of a support coordinator. A support coordinator should:</w:t>
      </w:r>
    </w:p>
    <w:p w:rsidR="00B60C9F" w:rsidRDefault="00B60C9F" w:rsidP="006B161E">
      <w:pPr>
        <w:pStyle w:val="ListParagraph"/>
        <w:numPr>
          <w:ilvl w:val="0"/>
          <w:numId w:val="20"/>
        </w:numPr>
        <w:spacing w:line="276" w:lineRule="auto"/>
      </w:pPr>
      <w:r>
        <w:t>Help participants connect to NDIS and other supports</w:t>
      </w:r>
    </w:p>
    <w:p w:rsidR="00B60C9F" w:rsidRDefault="00B60C9F" w:rsidP="006B161E">
      <w:pPr>
        <w:pStyle w:val="ListParagraph"/>
        <w:numPr>
          <w:ilvl w:val="0"/>
          <w:numId w:val="20"/>
        </w:numPr>
        <w:spacing w:line="276" w:lineRule="auto"/>
      </w:pPr>
      <w:r>
        <w:t>Build a participant’s capacity and capability to understand their plan, navigate the NDIS and make their own decisions</w:t>
      </w:r>
    </w:p>
    <w:p w:rsidR="00B60C9F" w:rsidRDefault="00B60C9F" w:rsidP="006B161E">
      <w:pPr>
        <w:pStyle w:val="ListParagraph"/>
        <w:numPr>
          <w:ilvl w:val="0"/>
          <w:numId w:val="20"/>
        </w:numPr>
        <w:spacing w:line="276" w:lineRule="auto"/>
      </w:pPr>
      <w:r>
        <w:t>Broker supports and services in line with a participant’s wishes and their plan budget</w:t>
      </w:r>
    </w:p>
    <w:p w:rsidR="00B60C9F" w:rsidRDefault="00B60C9F" w:rsidP="006B161E">
      <w:pPr>
        <w:pStyle w:val="ListParagraph"/>
        <w:numPr>
          <w:ilvl w:val="0"/>
          <w:numId w:val="20"/>
        </w:numPr>
        <w:spacing w:line="276" w:lineRule="auto"/>
      </w:pPr>
      <w:r>
        <w:t>Monitor plan budgets and support effectiveness.</w:t>
      </w:r>
    </w:p>
    <w:p w:rsidR="00AF0586" w:rsidRDefault="00AF0586" w:rsidP="00AF0586">
      <w:pPr>
        <w:spacing w:before="240"/>
      </w:pPr>
      <w:r w:rsidRPr="00AF0586">
        <w:t>Support coordinators will help participants with different things depending on what the individual participant’s goals, needs and circumstances are. This should also consider what has been funded in the participant’s plan.</w:t>
      </w:r>
    </w:p>
    <w:p w:rsidR="00B60C9F" w:rsidRDefault="00B60C9F" w:rsidP="00AF0586">
      <w:pPr>
        <w:spacing w:before="240"/>
      </w:pPr>
      <w:r>
        <w:t>As with all NDIS providers and workers, support coordinators must promote and protect the safety and wellbeing of participants. This should underpin everything that a support coordinator does.</w:t>
      </w:r>
    </w:p>
    <w:p w:rsidR="00B60C9F" w:rsidRPr="000D5D04" w:rsidRDefault="00B60C9F" w:rsidP="000D5D04">
      <w:pPr>
        <w:pStyle w:val="Heading3"/>
      </w:pPr>
      <w:bookmarkStart w:id="4" w:name="_Toc88041423"/>
      <w:r w:rsidRPr="000D5D04">
        <w:t>Role 1: Help participants connect to NDIS and other supports</w:t>
      </w:r>
      <w:bookmarkEnd w:id="4"/>
    </w:p>
    <w:p w:rsidR="00B60C9F" w:rsidRPr="00AA257E" w:rsidRDefault="00B60C9F" w:rsidP="00B60C9F">
      <w:r>
        <w:t xml:space="preserve">To clearly define the parameters of a support coordinator’s role, the </w:t>
      </w:r>
      <w:hyperlink r:id="rId14" w:history="1">
        <w:r>
          <w:rPr>
            <w:rStyle w:val="Hyperlink"/>
          </w:rPr>
          <w:t>NDIS website</w:t>
        </w:r>
      </w:hyperlink>
      <w:r>
        <w:t xml:space="preserve"> sets out what activities support coordinators should and should not do when connecting participants to NDIS and other supports.</w:t>
      </w:r>
    </w:p>
    <w:p w:rsidR="00B60C9F" w:rsidRDefault="00B60C9F" w:rsidP="00B60C9F">
      <w:r>
        <w:t>The NDIA expects support coordinators to understand service offerings available in a participant’s local market, and actively help participants to find service providers who meet their needs. The NDIA has observed instances where support coordinators have used their local market knowledge to drive quality participant outcomes. For example, when a service provider decides to exit the NDIS or withdraw their services, quality support coordinators are able to quickly source and connect participants to alternative service providers. This has been integral for participants to maintain continuity of supports and services.</w:t>
      </w:r>
    </w:p>
    <w:p w:rsidR="00B60C9F" w:rsidRDefault="00B60C9F" w:rsidP="00B60C9F">
      <w:r>
        <w:t>Support coordinators should also link participants to mainstream, community and informal supports where appropriate. The NDIA has seen quality outcomes when support coordinators have a sound knowledge of service offerings – including mainstream, community and informal supports – and have strong provider networks in the participant’s local area.</w:t>
      </w:r>
    </w:p>
    <w:p w:rsidR="00AF0586" w:rsidRDefault="00AF0586">
      <w:pPr>
        <w:spacing w:line="276" w:lineRule="auto"/>
      </w:pPr>
      <w:r>
        <w:br w:type="page"/>
      </w:r>
    </w:p>
    <w:p w:rsidR="00B60C9F" w:rsidRDefault="00B60C9F" w:rsidP="00B60C9F">
      <w:r>
        <w:lastRenderedPageBreak/>
        <w:t xml:space="preserve">In our </w:t>
      </w:r>
      <w:hyperlink r:id="rId15" w:history="1">
        <w:r w:rsidRPr="00A40F6F">
          <w:rPr>
            <w:rStyle w:val="Hyperlink"/>
          </w:rPr>
          <w:t>NDIS thin market trials</w:t>
        </w:r>
      </w:hyperlink>
      <w:r>
        <w:t>, the NDIA has worked with local community stakeholders to improve support coordinator understanding of the range of community, mainstream and informal supports available locally. We have also worked closely to strengthen support coordinator relationships with local providers to maintain up-to-date knowledge of provider capacity and capability. In these areas, we saw an increased confidence of support coordinators to be more proactive in helping participants to access and connect with a wide range of NDIS and other disability supports. Support coordinators</w:t>
      </w:r>
      <w:r w:rsidRPr="00BE0F26">
        <w:t xml:space="preserve"> </w:t>
      </w:r>
      <w:r>
        <w:t>should continue to take initiative in forming</w:t>
      </w:r>
      <w:r w:rsidRPr="00BE0F26">
        <w:t xml:space="preserve"> communities of practice,</w:t>
      </w:r>
      <w:r>
        <w:t xml:space="preserve"> learning from one another and leveraging</w:t>
      </w:r>
      <w:r w:rsidRPr="00BE0F26">
        <w:t xml:space="preserve"> off the</w:t>
      </w:r>
      <w:r>
        <w:t>ir</w:t>
      </w:r>
      <w:r w:rsidRPr="00BE0F26">
        <w:t xml:space="preserve"> networks to attract services for the benefit of all participants in the area.</w:t>
      </w:r>
    </w:p>
    <w:p w:rsidR="00B60C9F" w:rsidRDefault="00B60C9F" w:rsidP="00B60C9F">
      <w:r>
        <w:t xml:space="preserve">At the same time, support coordinators should set clear expectations about their scope of service and be clear about the limits of their role. Support coordinators walk alongside a participant to engage with providers, NDIA, and other community, mainstream and government services. Support coordinators need to be aware when their involvement moves beyond supported engagement into the role of a formal advocate. While there is no hard and fast line between supported engagement and formal advocacy, this is an important consideration for support coordinators in determining the scope of their service. </w:t>
      </w:r>
    </w:p>
    <w:p w:rsidR="00B60C9F" w:rsidRDefault="00B60C9F" w:rsidP="00B60C9F">
      <w:r>
        <w:t>To consider whether their role as a support coordinator has moved into the role of a formal advocate, some questions which a support coordinator might ask include:</w:t>
      </w:r>
    </w:p>
    <w:p w:rsidR="00B60C9F" w:rsidRDefault="00B60C9F" w:rsidP="006B161E">
      <w:pPr>
        <w:pStyle w:val="ListParagraph"/>
        <w:numPr>
          <w:ilvl w:val="0"/>
          <w:numId w:val="23"/>
        </w:numPr>
        <w:spacing w:line="276" w:lineRule="auto"/>
      </w:pPr>
      <w:r>
        <w:t>Have I done all I can to help the participant make their needs clear to the provider, worker or government system through the established processes?</w:t>
      </w:r>
    </w:p>
    <w:p w:rsidR="00B60C9F" w:rsidRDefault="00B60C9F" w:rsidP="006B161E">
      <w:pPr>
        <w:pStyle w:val="ListParagraph"/>
        <w:numPr>
          <w:ilvl w:val="0"/>
          <w:numId w:val="23"/>
        </w:numPr>
        <w:spacing w:line="276" w:lineRule="auto"/>
      </w:pPr>
      <w:r>
        <w:t>Is the participant entering into a dispute, especially where there is legal involvement or escalation to administrative appeals?</w:t>
      </w:r>
    </w:p>
    <w:p w:rsidR="00B60C9F" w:rsidRDefault="00B60C9F" w:rsidP="006B161E">
      <w:pPr>
        <w:pStyle w:val="ListParagraph"/>
        <w:numPr>
          <w:ilvl w:val="0"/>
          <w:numId w:val="23"/>
        </w:numPr>
        <w:spacing w:line="276" w:lineRule="auto"/>
      </w:pPr>
      <w:r>
        <w:t>Have I fallen into dispute in a way that undermines my role and effectiveness as a support coordinator?</w:t>
      </w:r>
    </w:p>
    <w:p w:rsidR="00B60C9F" w:rsidRDefault="00B60C9F" w:rsidP="006B161E">
      <w:pPr>
        <w:pStyle w:val="ListParagraph"/>
        <w:numPr>
          <w:ilvl w:val="0"/>
          <w:numId w:val="23"/>
        </w:numPr>
        <w:spacing w:line="276" w:lineRule="auto"/>
      </w:pPr>
      <w:r w:rsidRPr="001B1FFC">
        <w:t>Does my involvement in an NDIS review process create a conflict of interest, especially if I am requesting more support coordination funding at the participant’s plan review?</w:t>
      </w:r>
    </w:p>
    <w:p w:rsidR="00B60C9F" w:rsidRDefault="00B60C9F" w:rsidP="006B161E">
      <w:pPr>
        <w:pStyle w:val="ListParagraph"/>
        <w:numPr>
          <w:ilvl w:val="0"/>
          <w:numId w:val="23"/>
        </w:numPr>
        <w:spacing w:line="276" w:lineRule="auto"/>
      </w:pPr>
      <w:r>
        <w:t>Is the level of complexity or time required to adequately represent the person beyond the level of support allocated to support coordination?</w:t>
      </w:r>
    </w:p>
    <w:p w:rsidR="00B60C9F" w:rsidRDefault="00B60C9F" w:rsidP="006B161E">
      <w:pPr>
        <w:pStyle w:val="ListParagraph"/>
        <w:numPr>
          <w:ilvl w:val="0"/>
          <w:numId w:val="23"/>
        </w:numPr>
        <w:spacing w:line="276" w:lineRule="auto"/>
      </w:pPr>
      <w:r>
        <w:t>Is the level of representation required beyond my skills and capacity, and the participant would benefit from an experienced advocate?</w:t>
      </w:r>
    </w:p>
    <w:p w:rsidR="00B60C9F" w:rsidRDefault="00B60C9F" w:rsidP="006B161E">
      <w:pPr>
        <w:pStyle w:val="ListParagraph"/>
        <w:numPr>
          <w:ilvl w:val="0"/>
          <w:numId w:val="23"/>
        </w:numPr>
        <w:spacing w:line="276" w:lineRule="auto"/>
      </w:pPr>
      <w:r>
        <w:t>Is there an appropriate formal advocacy service to refer the participant to?</w:t>
      </w:r>
    </w:p>
    <w:p w:rsidR="00B60C9F" w:rsidRDefault="00B60C9F" w:rsidP="00B60C9F">
      <w:r>
        <w:t xml:space="preserve">If the answer to some of these questions is ‘yes’, then a support coordinator should consider whether their participant might benefit from formal advocacy and assist them to find a suitable advocacy service. In line with the </w:t>
      </w:r>
      <w:r w:rsidRPr="00C362A6">
        <w:rPr>
          <w:i/>
        </w:rPr>
        <w:t>National Disability Insurance Scheme Act 2013</w:t>
      </w:r>
      <w:r>
        <w:t xml:space="preserve"> (Cth)</w:t>
      </w:r>
      <w:r>
        <w:rPr>
          <w:rStyle w:val="FootnoteReference"/>
        </w:rPr>
        <w:footnoteReference w:id="2"/>
      </w:r>
      <w:r>
        <w:t>, an independent advocate cannot be:</w:t>
      </w:r>
    </w:p>
    <w:p w:rsidR="00B60C9F" w:rsidRDefault="00B60C9F" w:rsidP="006B161E">
      <w:pPr>
        <w:pStyle w:val="ListParagraph"/>
        <w:numPr>
          <w:ilvl w:val="0"/>
          <w:numId w:val="14"/>
        </w:numPr>
        <w:spacing w:line="276" w:lineRule="auto"/>
      </w:pPr>
      <w:r>
        <w:t>a staff member of the NDIA</w:t>
      </w:r>
    </w:p>
    <w:p w:rsidR="00B60C9F" w:rsidRDefault="00B60C9F" w:rsidP="006B161E">
      <w:pPr>
        <w:pStyle w:val="ListParagraph"/>
        <w:numPr>
          <w:ilvl w:val="0"/>
          <w:numId w:val="14"/>
        </w:numPr>
        <w:spacing w:line="276" w:lineRule="auto"/>
      </w:pPr>
      <w:r>
        <w:t>a staff member of the NDIS Commission</w:t>
      </w:r>
    </w:p>
    <w:p w:rsidR="00B60C9F" w:rsidRDefault="00B60C9F" w:rsidP="006B161E">
      <w:pPr>
        <w:pStyle w:val="ListParagraph"/>
        <w:numPr>
          <w:ilvl w:val="0"/>
          <w:numId w:val="14"/>
        </w:numPr>
        <w:spacing w:line="276" w:lineRule="auto"/>
      </w:pPr>
      <w:r>
        <w:t>a registered or unregistered NDIS provider (including support coordinators) providing supports to the participant.</w:t>
      </w:r>
    </w:p>
    <w:p w:rsidR="00B60C9F" w:rsidRPr="000D5D04" w:rsidRDefault="00B60C9F" w:rsidP="000D5D04">
      <w:pPr>
        <w:pStyle w:val="Heading3"/>
      </w:pPr>
      <w:bookmarkStart w:id="5" w:name="_Toc88041424"/>
      <w:r w:rsidRPr="000D5D04">
        <w:lastRenderedPageBreak/>
        <w:t>Role 2: Build a participant’s capaci</w:t>
      </w:r>
      <w:r w:rsidR="000D5D04" w:rsidRPr="000D5D04">
        <w:t xml:space="preserve">ty and capability to understand </w:t>
      </w:r>
      <w:r w:rsidRPr="000D5D04">
        <w:t>their plan, navigate the NDIS and make their own decisions</w:t>
      </w:r>
      <w:bookmarkEnd w:id="5"/>
    </w:p>
    <w:p w:rsidR="00B60C9F" w:rsidRDefault="00B60C9F" w:rsidP="00B60C9F">
      <w:r>
        <w:t>Support coordinators should build a participant’s capacity for independence. We recognise there can be some barriers and challenges in capacity building, depending on individual participant circumstances.</w:t>
      </w:r>
    </w:p>
    <w:p w:rsidR="00B60C9F" w:rsidRDefault="00B60C9F" w:rsidP="00B60C9F">
      <w:r>
        <w:t>The NDIA is currently working on resources to empower participants to become more astute consumers in the NDIS market. These resources are designed to help participants to understand their plan and navigate the NDIS. A participant’s support network, including their support coordinator, will also be able to access these resources to help build the participant’s capability to do this themselves.</w:t>
      </w:r>
    </w:p>
    <w:p w:rsidR="00B60C9F" w:rsidRDefault="00B60C9F" w:rsidP="00B60C9F">
      <w:r>
        <w:t>To build a participant’s capacity for decision making, a support coordinator needs to develop trust with the participant. This could entail a variety of approaches that will largely depend on a participant’s individual circumstances.</w:t>
      </w:r>
    </w:p>
    <w:p w:rsidR="00B60C9F" w:rsidRDefault="00B60C9F" w:rsidP="00B60C9F">
      <w:r>
        <w:t xml:space="preserve">There is often a broad range of supports – </w:t>
      </w:r>
      <w:r w:rsidRPr="00684E89">
        <w:t>including informal and formal supports</w:t>
      </w:r>
      <w:r>
        <w:t xml:space="preserve"> – available to a participant to help them make informed decisions. Support for participants to make informed decisions can often be provided by many people in a participant’s life. This may include their family and friends, nominees and guardians, community supports and support workers.</w:t>
      </w:r>
    </w:p>
    <w:p w:rsidR="00B60C9F" w:rsidRDefault="00B60C9F" w:rsidP="00B60C9F">
      <w:r>
        <w:t>To strengthen these supports and increase opportunities for decision making, the NDIA is working on a Support for Decision Making policy framework which aims to:</w:t>
      </w:r>
    </w:p>
    <w:p w:rsidR="00B60C9F" w:rsidRDefault="00B60C9F" w:rsidP="006B161E">
      <w:pPr>
        <w:pStyle w:val="ListParagraph"/>
        <w:numPr>
          <w:ilvl w:val="0"/>
          <w:numId w:val="18"/>
        </w:numPr>
        <w:spacing w:line="276" w:lineRule="auto"/>
      </w:pPr>
      <w:r>
        <w:t>Increase opportunities for participants and future participants to be actively involved in making decisions about their life, and exercise real choice and control</w:t>
      </w:r>
    </w:p>
    <w:p w:rsidR="00B60C9F" w:rsidRDefault="00B60C9F" w:rsidP="006B161E">
      <w:pPr>
        <w:pStyle w:val="ListParagraph"/>
        <w:numPr>
          <w:ilvl w:val="0"/>
          <w:numId w:val="18"/>
        </w:numPr>
        <w:spacing w:line="276" w:lineRule="auto"/>
      </w:pPr>
      <w:r>
        <w:t>Support the development of the individual’s capability in making decisions (and helping to explore and make those decisions)</w:t>
      </w:r>
    </w:p>
    <w:p w:rsidR="00B60C9F" w:rsidRDefault="00B60C9F" w:rsidP="006B161E">
      <w:pPr>
        <w:pStyle w:val="ListParagraph"/>
        <w:numPr>
          <w:ilvl w:val="0"/>
          <w:numId w:val="18"/>
        </w:numPr>
        <w:spacing w:line="276" w:lineRule="auto"/>
      </w:pPr>
      <w:r>
        <w:t>Build the capacity of decision supporters, NDIA staff and partners to recognise and enable the will and preference of participants</w:t>
      </w:r>
    </w:p>
    <w:p w:rsidR="00B60C9F" w:rsidRDefault="00B60C9F" w:rsidP="006B161E">
      <w:pPr>
        <w:pStyle w:val="ListParagraph"/>
        <w:numPr>
          <w:ilvl w:val="0"/>
          <w:numId w:val="18"/>
        </w:numPr>
        <w:spacing w:line="276" w:lineRule="auto"/>
      </w:pPr>
      <w:r>
        <w:t>Strengthen a support for decision making approach in the appointment of nominees.</w:t>
      </w:r>
    </w:p>
    <w:p w:rsidR="00B60C9F" w:rsidRPr="000D5D04" w:rsidRDefault="00B60C9F" w:rsidP="000D5D04">
      <w:pPr>
        <w:pStyle w:val="Heading3"/>
      </w:pPr>
      <w:bookmarkStart w:id="6" w:name="_Toc88041425"/>
      <w:r w:rsidRPr="000D5D04">
        <w:t>Role 3: Broker supports and services in line with a participant’s wishes and their plan budget</w:t>
      </w:r>
      <w:bookmarkEnd w:id="6"/>
    </w:p>
    <w:p w:rsidR="00B60C9F" w:rsidRDefault="00B60C9F" w:rsidP="00B60C9F">
      <w:r>
        <w:t>In addition to helping participants connect with NDIS and other supports, support coordinators should also help participants to explore the right mix of supports. Stakeholders generally agreed that this should involve helping the participants to trial options, design a suitable support approach and negotiate service agreements in line with the participant’s preferences and plan.</w:t>
      </w:r>
    </w:p>
    <w:p w:rsidR="00AF0586" w:rsidRDefault="00AF0586">
      <w:pPr>
        <w:spacing w:line="276" w:lineRule="auto"/>
      </w:pPr>
      <w:r>
        <w:br w:type="page"/>
      </w:r>
    </w:p>
    <w:p w:rsidR="00B60C9F" w:rsidRDefault="00B60C9F" w:rsidP="00B60C9F">
      <w:pPr>
        <w:shd w:val="clear" w:color="auto" w:fill="FFFFFF"/>
      </w:pPr>
      <w:r>
        <w:lastRenderedPageBreak/>
        <w:t xml:space="preserve">The NDIA has been testing ways to promote more efficient organisation and more timely delivery of supports and services in rural and remote areas. We have worked closely with support coordinators to implement group purchasing models. Under these models, support coordinators have worked collaboratively with each other and their participants to bundle and pool plan funds to attract new providers and drive better participant outcomes. </w:t>
      </w:r>
    </w:p>
    <w:p w:rsidR="00B60C9F" w:rsidRPr="00AD014C" w:rsidRDefault="00B60C9F" w:rsidP="00B60C9F">
      <w:pPr>
        <w:shd w:val="clear" w:color="auto" w:fill="FFFFFF"/>
        <w:rPr>
          <w:rFonts w:ascii="Calibri" w:eastAsiaTheme="minorHAnsi" w:hAnsi="Calibri"/>
          <w:szCs w:val="22"/>
          <w:lang w:eastAsia="en-US"/>
        </w:rPr>
      </w:pPr>
      <w:r>
        <w:t>We continue to encourage support coordinators to be innovative and to take initiative when helping participants to broker supports and services in line with their support preferences and plan budgets. To do this, the NDIA will share tools with support coordinators and promote their use more widely. We will also continue to improve the market data available to enable support coordinators to better influence local markets.</w:t>
      </w:r>
    </w:p>
    <w:p w:rsidR="00B60C9F" w:rsidRPr="000D5D04" w:rsidRDefault="00B60C9F" w:rsidP="000D5D04">
      <w:pPr>
        <w:pStyle w:val="Heading3"/>
      </w:pPr>
      <w:bookmarkStart w:id="7" w:name="_Toc88041426"/>
      <w:r w:rsidRPr="000D5D04">
        <w:t>Role 4: Monitor plan budgets and support effectiveness</w:t>
      </w:r>
      <w:bookmarkEnd w:id="7"/>
    </w:p>
    <w:p w:rsidR="00B60C9F" w:rsidRDefault="00B60C9F" w:rsidP="00B60C9F">
      <w:r>
        <w:t>We agree with stakeholder feedback that support coordinators should regularly monitor a participant’s plan implementation to ensure participants are connected to providers and to evaluate the effectiveness of those supports in helping participants to pursue their goals.</w:t>
      </w:r>
    </w:p>
    <w:p w:rsidR="00B60C9F" w:rsidRDefault="00B60C9F" w:rsidP="00B60C9F">
      <w:r>
        <w:t>As part of the website guidance on support coordination, the NDIA outlines what we would generally expect support coordinators to discuss with the participant to effectively monitor plan implementation progress. This includes what information is needed to help the participant and their support coordinator to prepare for plan reviews. We will also work on improving the process to make it easier for support coordinators to report back to the NDIA.</w:t>
      </w:r>
    </w:p>
    <w:p w:rsidR="00B60C9F" w:rsidRDefault="00B60C9F" w:rsidP="00B60C9F">
      <w:r>
        <w:t>Support coordinators should regularly engage with participants to understand their individual circumstances, disability-related support needs and goals, including any potential changes. In doing so, support coordinators should work with the participant to prepare for unexpected events or interruptions in supports. Preparing participants for unexpected events includes establishing supports to prevent crisis situations from arising, and ensuring a plan is in place should a crisis occur. When a crisis situation arises, support coordinators should help the participant to put the plan into action and to access the appropriate supports, including crisis or emergency services, where needed.</w:t>
      </w:r>
    </w:p>
    <w:p w:rsidR="00B60C9F" w:rsidRDefault="00B60C9F" w:rsidP="00B60C9F">
      <w:r>
        <w:t xml:space="preserve">Support coordinators should also regularly track how the participant’s plan is being used and ensure the participant will be adequately supported throughout the duration of their plan. As part of this, support coordinators should evaluate how effectively their supports are meeting the participant’s needs. Support coordinators should regularly review whether the current support mix meets a participant’s needs or whether alternate options may be more suitable. Part of this should consider emerging, innovative support options or service delivery models (e.g. telehealth) in helping participants pursue their goals. </w:t>
      </w:r>
    </w:p>
    <w:p w:rsidR="00AF0586" w:rsidRDefault="00AF0586">
      <w:pPr>
        <w:spacing w:line="276" w:lineRule="auto"/>
        <w:rPr>
          <w:b/>
          <w:color w:val="6B2976"/>
          <w:sz w:val="30"/>
          <w:szCs w:val="30"/>
        </w:rPr>
      </w:pPr>
      <w:bookmarkStart w:id="8" w:name="_Toc88041427"/>
      <w:r>
        <w:br w:type="page"/>
      </w:r>
    </w:p>
    <w:p w:rsidR="00B60C9F" w:rsidRPr="000D5D04" w:rsidRDefault="00B60C9F" w:rsidP="000D5D04">
      <w:pPr>
        <w:pStyle w:val="Heading3"/>
      </w:pPr>
      <w:r w:rsidRPr="000D5D04">
        <w:lastRenderedPageBreak/>
        <w:t>Promoting and protecting the safety of participants</w:t>
      </w:r>
      <w:bookmarkEnd w:id="8"/>
    </w:p>
    <w:p w:rsidR="00B60C9F" w:rsidRDefault="00B60C9F" w:rsidP="00B60C9F">
      <w:r>
        <w:t xml:space="preserve">All NDIS providers and workers have an obligation to promote the safety of participants under the </w:t>
      </w:r>
      <w:hyperlink r:id="rId16" w:history="1">
        <w:r w:rsidRPr="003A6F26">
          <w:rPr>
            <w:rStyle w:val="Hyperlink"/>
          </w:rPr>
          <w:t>NDIS Code of Conduct</w:t>
        </w:r>
      </w:hyperlink>
      <w:r>
        <w:t>. In particular, the NDIS Code of Conduct requires all NDIS providers and workers (including support coordinators) to promptly:</w:t>
      </w:r>
    </w:p>
    <w:p w:rsidR="00B60C9F" w:rsidRPr="0032342B" w:rsidRDefault="00B60C9F" w:rsidP="006B161E">
      <w:pPr>
        <w:pStyle w:val="ListParagraph"/>
        <w:numPr>
          <w:ilvl w:val="0"/>
          <w:numId w:val="21"/>
        </w:numPr>
        <w:spacing w:line="276" w:lineRule="auto"/>
      </w:pPr>
      <w:r w:rsidRPr="0032342B">
        <w:rPr>
          <w:color w:val="000000"/>
          <w:szCs w:val="22"/>
        </w:rPr>
        <w:t>take steps to raise and act on concerns about matters that may impact the quality and safety of supports and services provided</w:t>
      </w:r>
      <w:r w:rsidRPr="002A7C1B">
        <w:rPr>
          <w:color w:val="000000"/>
          <w:szCs w:val="22"/>
        </w:rPr>
        <w:t xml:space="preserve"> to people with disability</w:t>
      </w:r>
    </w:p>
    <w:p w:rsidR="00B60C9F" w:rsidRPr="00856DA7" w:rsidRDefault="00B60C9F" w:rsidP="006B161E">
      <w:pPr>
        <w:pStyle w:val="ListParagraph"/>
        <w:numPr>
          <w:ilvl w:val="0"/>
          <w:numId w:val="21"/>
        </w:numPr>
        <w:spacing w:line="276" w:lineRule="auto"/>
      </w:pPr>
      <w:r w:rsidRPr="0032342B">
        <w:rPr>
          <w:color w:val="000000"/>
          <w:szCs w:val="22"/>
        </w:rPr>
        <w:t>take all reasonable steps to prevent and respond to all forms of violence against, and exploitation, neglect and abuse of, people with disability</w:t>
      </w:r>
    </w:p>
    <w:p w:rsidR="00B60C9F" w:rsidRPr="00856DA7" w:rsidRDefault="00B60C9F" w:rsidP="006B161E">
      <w:pPr>
        <w:pStyle w:val="ListParagraph"/>
        <w:numPr>
          <w:ilvl w:val="0"/>
          <w:numId w:val="21"/>
        </w:numPr>
        <w:spacing w:line="276" w:lineRule="auto"/>
        <w:rPr>
          <w:color w:val="000000"/>
          <w:szCs w:val="22"/>
        </w:rPr>
      </w:pPr>
      <w:r w:rsidRPr="00856DA7">
        <w:rPr>
          <w:color w:val="000000"/>
          <w:szCs w:val="22"/>
        </w:rPr>
        <w:t>act with respect for individual rights to freedom of expression, self-determination, and decision-making in accordance with relevant laws and conventions</w:t>
      </w:r>
    </w:p>
    <w:p w:rsidR="00B60C9F" w:rsidRPr="00856DA7" w:rsidRDefault="00B60C9F" w:rsidP="006B161E">
      <w:pPr>
        <w:pStyle w:val="ListParagraph"/>
        <w:numPr>
          <w:ilvl w:val="0"/>
          <w:numId w:val="21"/>
        </w:numPr>
        <w:spacing w:line="276" w:lineRule="auto"/>
        <w:rPr>
          <w:color w:val="000000"/>
          <w:szCs w:val="22"/>
        </w:rPr>
      </w:pPr>
      <w:r w:rsidRPr="00856DA7">
        <w:rPr>
          <w:color w:val="000000"/>
          <w:szCs w:val="22"/>
        </w:rPr>
        <w:t>provide supports and services in a safe and competent manner with care and skill</w:t>
      </w:r>
    </w:p>
    <w:p w:rsidR="00B60C9F" w:rsidRPr="00856DA7" w:rsidRDefault="00B60C9F" w:rsidP="006B161E">
      <w:pPr>
        <w:pStyle w:val="ListParagraph"/>
        <w:numPr>
          <w:ilvl w:val="0"/>
          <w:numId w:val="21"/>
        </w:numPr>
        <w:spacing w:line="276" w:lineRule="auto"/>
        <w:rPr>
          <w:color w:val="000000"/>
          <w:szCs w:val="22"/>
        </w:rPr>
      </w:pPr>
      <w:r w:rsidRPr="00856DA7">
        <w:rPr>
          <w:color w:val="000000"/>
          <w:szCs w:val="22"/>
        </w:rPr>
        <w:t>act with integrity, honesty, and transparency</w:t>
      </w:r>
      <w:r>
        <w:rPr>
          <w:color w:val="000000"/>
          <w:szCs w:val="22"/>
        </w:rPr>
        <w:t>.</w:t>
      </w:r>
    </w:p>
    <w:p w:rsidR="00B60C9F" w:rsidRDefault="00B60C9F" w:rsidP="00B60C9F">
      <w:r>
        <w:t>Support coordinators play an important part in safeguarding a participant’s wellbeing due to their unique perspective. Support coordinators will often be the first to become aware of any concerns about the quality and safety of a participant’s supports and services because support coordinators:</w:t>
      </w:r>
    </w:p>
    <w:p w:rsidR="00B60C9F" w:rsidRDefault="00B60C9F" w:rsidP="006B161E">
      <w:pPr>
        <w:pStyle w:val="ListParagraph"/>
        <w:numPr>
          <w:ilvl w:val="0"/>
          <w:numId w:val="22"/>
        </w:numPr>
        <w:spacing w:line="276" w:lineRule="auto"/>
      </w:pPr>
      <w:r>
        <w:t>have oversight, or a ‘helicopter view’, over the other supports and services received by the participant</w:t>
      </w:r>
    </w:p>
    <w:p w:rsidR="00B60C9F" w:rsidRDefault="00B60C9F" w:rsidP="006B161E">
      <w:pPr>
        <w:pStyle w:val="ListParagraph"/>
        <w:numPr>
          <w:ilvl w:val="0"/>
          <w:numId w:val="22"/>
        </w:numPr>
        <w:spacing w:line="276" w:lineRule="auto"/>
      </w:pPr>
      <w:r>
        <w:t>monitor the participants’ plan budgets, effectiveness of their supports and their changing needs</w:t>
      </w:r>
    </w:p>
    <w:p w:rsidR="00B60C9F" w:rsidRDefault="00B60C9F" w:rsidP="006B161E">
      <w:pPr>
        <w:pStyle w:val="ListParagraph"/>
        <w:numPr>
          <w:ilvl w:val="0"/>
          <w:numId w:val="22"/>
        </w:numPr>
        <w:spacing w:line="276" w:lineRule="auto"/>
      </w:pPr>
      <w:r>
        <w:t>have a trusted relationship with participants.</w:t>
      </w:r>
    </w:p>
    <w:p w:rsidR="00B60C9F" w:rsidRDefault="00B60C9F" w:rsidP="00B60C9F">
      <w:r>
        <w:t>For these reasons, support coordinators can provide an early warning</w:t>
      </w:r>
      <w:r w:rsidRPr="00733B86">
        <w:t xml:space="preserve"> </w:t>
      </w:r>
      <w:r>
        <w:t>where a participant’s safety or wellbeing is at risk. Support coordinators should proactively support the participant to raise any concerns or issues around the participant’s safety or the quality of their supports and services. Support coordinators can also raise their concerns or make a complaint themselves.</w:t>
      </w:r>
      <w:r w:rsidRPr="00733B86">
        <w:t xml:space="preserve"> </w:t>
      </w:r>
    </w:p>
    <w:p w:rsidR="00B60C9F" w:rsidRDefault="00B60C9F" w:rsidP="00B60C9F">
      <w:r>
        <w:t>All registered NDIS providers (including support coordinators) should understand and comply with their</w:t>
      </w:r>
      <w:r>
        <w:rPr>
          <w:color w:val="000000"/>
        </w:rPr>
        <w:t xml:space="preserve"> obligations to raise concerns, including through formal mechanisms.</w:t>
      </w:r>
      <w:r>
        <w:t xml:space="preserve"> If there is an immediate risk or threat to the participant, support coordinators should immediately contact emergency ‘triple zero’ services.</w:t>
      </w:r>
      <w:r>
        <w:br w:type="page"/>
      </w:r>
    </w:p>
    <w:p w:rsidR="000D5D04" w:rsidRDefault="00B60C9F" w:rsidP="000D5D04">
      <w:pPr>
        <w:pStyle w:val="Heading2"/>
        <w:numPr>
          <w:ilvl w:val="0"/>
          <w:numId w:val="0"/>
        </w:numPr>
        <w:ind w:left="720" w:hanging="720"/>
      </w:pPr>
      <w:bookmarkStart w:id="9" w:name="_Toc88041428"/>
      <w:bookmarkStart w:id="10" w:name="_GoBack"/>
      <w:bookmarkEnd w:id="10"/>
      <w:r>
        <w:lastRenderedPageBreak/>
        <w:t>What’s next?</w:t>
      </w:r>
      <w:bookmarkEnd w:id="9"/>
    </w:p>
    <w:p w:rsidR="00B60C9F" w:rsidRDefault="00B60C9F" w:rsidP="000D5D04">
      <w:pPr>
        <w:pStyle w:val="Heading3"/>
      </w:pPr>
      <w:bookmarkStart w:id="11" w:name="_Toc88041429"/>
      <w:r>
        <w:t>Taking a market stewardship approach, partnering with the sector, to improve quality and outcomes of support coordination</w:t>
      </w:r>
      <w:bookmarkEnd w:id="11"/>
    </w:p>
    <w:p w:rsidR="00B60C9F" w:rsidRPr="00C465F8" w:rsidRDefault="00B60C9F" w:rsidP="000D5D04">
      <w:pPr>
        <w:pStyle w:val="Heading4"/>
        <w:numPr>
          <w:ilvl w:val="0"/>
          <w:numId w:val="0"/>
        </w:numPr>
        <w:ind w:left="709" w:hanging="709"/>
        <w:rPr>
          <w:rFonts w:eastAsiaTheme="majorEastAsia"/>
        </w:rPr>
      </w:pPr>
      <w:bookmarkStart w:id="12" w:name="_Toc88041430"/>
      <w:r w:rsidRPr="00C465F8">
        <w:rPr>
          <w:rFonts w:eastAsiaTheme="majorEastAsia"/>
        </w:rPr>
        <w:t>Educating support coordinators on their roles</w:t>
      </w:r>
      <w:bookmarkEnd w:id="12"/>
    </w:p>
    <w:p w:rsidR="00B60C9F" w:rsidRDefault="00B60C9F" w:rsidP="00B60C9F">
      <w:r>
        <w:t>The NDIA has released guidance that builds on the above description of support coordinators’ four roles</w:t>
      </w:r>
      <w:r w:rsidRPr="00DD5DE8">
        <w:t xml:space="preserve"> on the </w:t>
      </w:r>
      <w:hyperlink r:id="rId17" w:history="1">
        <w:r w:rsidRPr="00DD5DE8">
          <w:rPr>
            <w:rStyle w:val="Hyperlink"/>
          </w:rPr>
          <w:t>NDIS website</w:t>
        </w:r>
      </w:hyperlink>
      <w:r>
        <w:t xml:space="preserve">. In particular, we have better defined what functions are in and out of scope for a support coordinator in the context of the broader NDIS service system. We will also run information sessions with a focus on educating participants and providers on the role of support coordinators. </w:t>
      </w:r>
      <w:r w:rsidRPr="00F22AD0">
        <w:t xml:space="preserve">We will </w:t>
      </w:r>
      <w:r>
        <w:t>work with stakeholders to develop</w:t>
      </w:r>
      <w:r w:rsidRPr="00F22AD0">
        <w:t xml:space="preserve"> best practice examples</w:t>
      </w:r>
      <w:r>
        <w:t xml:space="preserve"> to complement this material</w:t>
      </w:r>
      <w:r w:rsidRPr="0009509F">
        <w:t>.</w:t>
      </w:r>
      <w:r>
        <w:t xml:space="preserve"> </w:t>
      </w:r>
    </w:p>
    <w:p w:rsidR="00B60C9F" w:rsidRDefault="00B60C9F" w:rsidP="00B60C9F">
      <w:r>
        <w:t>As the Scheme continues to evolve, we will continue to review the most appropriate roles of support coordinators in the context of what is offered by other intermediaries such as Local Area Coordinators, plan managers and psychosocial recovery coaches. The aim is to ensure participants receive the most appropriate supports for them, from the most appropriately skilled and qualified intermediary.</w:t>
      </w:r>
    </w:p>
    <w:p w:rsidR="00B60C9F" w:rsidRPr="000D5D04" w:rsidRDefault="00B60C9F" w:rsidP="000D5D04">
      <w:pPr>
        <w:pStyle w:val="Heading4"/>
        <w:numPr>
          <w:ilvl w:val="0"/>
          <w:numId w:val="0"/>
        </w:numPr>
      </w:pPr>
      <w:bookmarkStart w:id="13" w:name="_Toc88041431"/>
      <w:r w:rsidRPr="000D5D04">
        <w:t>Lifting quality by encouraging better engagement with existing quality standards</w:t>
      </w:r>
      <w:bookmarkEnd w:id="13"/>
    </w:p>
    <w:p w:rsidR="00B60C9F" w:rsidRDefault="00B60C9F" w:rsidP="00B60C9F">
      <w:r w:rsidRPr="00F40BAA">
        <w:t>All NDIS providers</w:t>
      </w:r>
      <w:r>
        <w:t>,</w:t>
      </w:r>
      <w:r w:rsidRPr="00F40BAA">
        <w:t xml:space="preserve"> whether they are registered or not</w:t>
      </w:r>
      <w:r>
        <w:t xml:space="preserve">, and NDIS workers </w:t>
      </w:r>
      <w:r w:rsidRPr="00F40BAA">
        <w:t xml:space="preserve">have current obligations </w:t>
      </w:r>
      <w:r>
        <w:t xml:space="preserve">to comply with the </w:t>
      </w:r>
      <w:hyperlink r:id="rId18" w:history="1">
        <w:r w:rsidRPr="00405779">
          <w:rPr>
            <w:rStyle w:val="Hyperlink"/>
          </w:rPr>
          <w:t>NDIS Code of Conduct</w:t>
        </w:r>
      </w:hyperlink>
      <w:r>
        <w:t xml:space="preserve">. The NDIS Code of Conduct requires, among other things, that all NDIS providers and workers (including support coordinators) provide supports and services in a safe and competent manner, with care and skill.  </w:t>
      </w:r>
    </w:p>
    <w:p w:rsidR="00917068" w:rsidRDefault="00B60C9F" w:rsidP="00E9592E">
      <w:r>
        <w:t xml:space="preserve">Where required to be registered, NDIS providers must also comply with </w:t>
      </w:r>
      <w:hyperlink r:id="rId19" w:history="1">
        <w:r w:rsidRPr="00B63EC7">
          <w:rPr>
            <w:rStyle w:val="Hyperlink"/>
          </w:rPr>
          <w:t>conditions of registration</w:t>
        </w:r>
      </w:hyperlink>
      <w:r>
        <w:t xml:space="preserve">, including the NDIS Practice Standards. The </w:t>
      </w:r>
      <w:hyperlink r:id="rId20" w:history="1">
        <w:r w:rsidRPr="00990DFE">
          <w:rPr>
            <w:rStyle w:val="Hyperlink"/>
          </w:rPr>
          <w:t>NDIS Practice Standards</w:t>
        </w:r>
      </w:hyperlink>
      <w:r>
        <w:t xml:space="preserve"> </w:t>
      </w:r>
      <w:r w:rsidRPr="00990DFE">
        <w:t>specify the quality standards to be met by registered NDIS providers to provide supports and services to NDIS participants.</w:t>
      </w:r>
      <w:r>
        <w:t xml:space="preserve"> </w:t>
      </w:r>
      <w:r w:rsidRPr="00CF37FE">
        <w:t xml:space="preserve">Together with the NDIS Code of Conduct, </w:t>
      </w:r>
      <w:r>
        <w:t>the NDIS Practice Standards create an important benchmark for all providers (including support coordinators) to assess their performance, and to demonstrate how they provide high quality and safe supports and services to NDIS participants.</w:t>
      </w:r>
    </w:p>
    <w:p w:rsidR="00B60C9F" w:rsidRDefault="00B60C9F" w:rsidP="00B60C9F">
      <w:r w:rsidRPr="00DF5292">
        <w:t xml:space="preserve">Providers </w:t>
      </w:r>
      <w:r>
        <w:t>registered</w:t>
      </w:r>
      <w:r w:rsidRPr="00DF5292">
        <w:t xml:space="preserve"> to deliver registration group 106 ‘Assistance in coordinating or managing life stages, transitions or supports’ must comply with the Core module of the </w:t>
      </w:r>
      <w:r>
        <w:t xml:space="preserve">NDIS </w:t>
      </w:r>
      <w:r w:rsidRPr="00DF5292">
        <w:t>Practice Standards</w:t>
      </w:r>
      <w:r>
        <w:rPr>
          <w:rStyle w:val="FootnoteReference"/>
        </w:rPr>
        <w:footnoteReference w:id="3"/>
      </w:r>
      <w:r w:rsidRPr="00DF5292">
        <w:t xml:space="preserve">. </w:t>
      </w:r>
      <w:r>
        <w:t xml:space="preserve">The Core module includes standards for the rights of participants and responsibilities of providers, provider governance and management and the way that support is provided. </w:t>
      </w:r>
    </w:p>
    <w:p w:rsidR="00B60C9F" w:rsidRDefault="00B60C9F" w:rsidP="00B60C9F">
      <w:r w:rsidRPr="00DF5292">
        <w:lastRenderedPageBreak/>
        <w:t xml:space="preserve">Providers </w:t>
      </w:r>
      <w:r>
        <w:t>registered</w:t>
      </w:r>
      <w:r w:rsidRPr="00DF5292">
        <w:t xml:space="preserve"> to deliver registration group 132 </w:t>
      </w:r>
      <w:r>
        <w:t>‘</w:t>
      </w:r>
      <w:r w:rsidRPr="00DF5292">
        <w:t>Specialised support coordination</w:t>
      </w:r>
      <w:r>
        <w:t>’</w:t>
      </w:r>
      <w:r w:rsidRPr="00DF5292">
        <w:t xml:space="preserve">, must comply with the Core module and Module 4 of the </w:t>
      </w:r>
      <w:r>
        <w:t xml:space="preserve">NDIS </w:t>
      </w:r>
      <w:r w:rsidRPr="00DF5292">
        <w:t>Practice Standa</w:t>
      </w:r>
      <w:r>
        <w:t>rds</w:t>
      </w:r>
      <w:r>
        <w:rPr>
          <w:rStyle w:val="FootnoteReference"/>
        </w:rPr>
        <w:footnoteReference w:id="4"/>
      </w:r>
      <w:r w:rsidRPr="00DF5292">
        <w:t>.</w:t>
      </w:r>
      <w:r>
        <w:t xml:space="preserve"> Module 4 includes additional standards for the provision of support and management of conflict of interest.</w:t>
      </w:r>
    </w:p>
    <w:p w:rsidR="00B60C9F" w:rsidRDefault="00B60C9F" w:rsidP="00B60C9F">
      <w:r w:rsidRPr="00DF5292">
        <w:t>Each standard is supported by a set of quality indicators</w:t>
      </w:r>
      <w:r>
        <w:rPr>
          <w:rStyle w:val="FootnoteReference"/>
        </w:rPr>
        <w:footnoteReference w:id="5"/>
      </w:r>
      <w:r w:rsidRPr="00DF5292">
        <w:t xml:space="preserve"> which are used by providers to demonstrate evidence of compliance. </w:t>
      </w:r>
      <w:r>
        <w:t xml:space="preserve">While these specify the quality standards which need to be met by registered NDIS providers, all NDIS providers – including non-registered support coordinators – can use these to build understanding of what quality service provision should entail. The </w:t>
      </w:r>
      <w:hyperlink r:id="rId21" w:history="1">
        <w:r w:rsidRPr="00540803">
          <w:rPr>
            <w:rStyle w:val="Hyperlink"/>
          </w:rPr>
          <w:t>NDIS Practice Standards and Quality Indicators</w:t>
        </w:r>
      </w:hyperlink>
      <w:r>
        <w:t xml:space="preserve"> provides more detail.</w:t>
      </w:r>
    </w:p>
    <w:p w:rsidR="00B60C9F" w:rsidRPr="00C465F8" w:rsidRDefault="00B60C9F" w:rsidP="00B60C9F">
      <w:r>
        <w:t xml:space="preserve">The </w:t>
      </w:r>
      <w:r w:rsidRPr="0096765E">
        <w:t>guidance on the role of a support coordinator</w:t>
      </w:r>
      <w:r>
        <w:t xml:space="preserve"> builds on the existing requirements of support coordinators to deliver quality and safe supports and services under the NDIS Code of Conduct and NDIS Practice Standards. As part of their role in sector leadership, we will ask peak organisations to share this guidance with the sector and drive a common understanding of best practice support coordination. </w:t>
      </w:r>
    </w:p>
    <w:p w:rsidR="00B60C9F" w:rsidRPr="000D5D04" w:rsidRDefault="00B60C9F" w:rsidP="000D5D04">
      <w:pPr>
        <w:pStyle w:val="Heading4"/>
        <w:numPr>
          <w:ilvl w:val="0"/>
          <w:numId w:val="0"/>
        </w:numPr>
      </w:pPr>
      <w:bookmarkStart w:id="14" w:name="_Toc88041432"/>
      <w:r w:rsidRPr="00736777">
        <w:t>Lifting quality through a range of</w:t>
      </w:r>
      <w:r w:rsidRPr="00CE0A81">
        <w:t xml:space="preserve"> initiatives led by the Australian government and broader sector</w:t>
      </w:r>
      <w:bookmarkEnd w:id="14"/>
    </w:p>
    <w:p w:rsidR="00B60C9F" w:rsidRPr="00944406" w:rsidRDefault="00B60C9F" w:rsidP="00B60C9F">
      <w:pPr>
        <w:rPr>
          <w:rFonts w:cs="Arial"/>
          <w:color w:val="222222"/>
          <w:shd w:val="clear" w:color="auto" w:fill="FFFFFF"/>
        </w:rPr>
      </w:pPr>
      <w:r>
        <w:t xml:space="preserve">The </w:t>
      </w:r>
      <w:hyperlink r:id="rId22" w:history="1">
        <w:r>
          <w:rPr>
            <w:rStyle w:val="Hyperlink"/>
          </w:rPr>
          <w:t>NDIS National Workforce Plan 2021-2025</w:t>
        </w:r>
      </w:hyperlink>
      <w:r>
        <w:t xml:space="preserve"> outlines the Australian Government’s commitment to work with NDIS participants, industry and other stakeholders to grow a responsive and capable care and support workforce, and to strengthen the sector to meet the needs and aspirations of Australians with disability, now and in the years ahead. It builds on existing efforts to deliver significant improvements to the NDIS. The </w:t>
      </w:r>
      <w:hyperlink r:id="rId23" w:history="1">
        <w:r>
          <w:rPr>
            <w:rStyle w:val="Hyperlink"/>
          </w:rPr>
          <w:t>Growing the NDIS Market and Workforce Strategy 2019</w:t>
        </w:r>
      </w:hyperlink>
      <w:r>
        <w:t xml:space="preserve"> set out the long-term vision for a capable and responsive NDIS workforce. Developed as part of this strategy, the </w:t>
      </w:r>
      <w:hyperlink r:id="rId24" w:history="1">
        <w:r>
          <w:rPr>
            <w:rStyle w:val="Hyperlink"/>
          </w:rPr>
          <w:t>NDIS Workforce Capability Framework</w:t>
        </w:r>
      </w:hyperlink>
      <w:r>
        <w:t xml:space="preserve"> supports consistency in practice and delivery of quality disability services across Australia by translating the NDIS Principles, Code of Conduct and Practice </w:t>
      </w:r>
      <w:r w:rsidRPr="00944406">
        <w:t>Standards into a set of observable skills and behaviours for workers in the sector.</w:t>
      </w:r>
    </w:p>
    <w:p w:rsidR="00B60C9F" w:rsidRDefault="00B60C9F" w:rsidP="00B60C9F">
      <w:r w:rsidRPr="00FB46F2">
        <w:rPr>
          <w:rFonts w:cs="Arial"/>
          <w:szCs w:val="22"/>
        </w:rPr>
        <w:t xml:space="preserve">The NDIA has been investing in building the capability of support coordinators through initiatives such as the Exceptionally Complex Support Needs Program (ECSNP). </w:t>
      </w:r>
      <w:r w:rsidRPr="00FB46F2">
        <w:t xml:space="preserve">The ECSNP is a two year national program which started in late 2019. The ECSNP will soon conclude, having delivered over 590 sector development sessions, over 970 secondary consults and 70 communities of practice that have enhanced the capability of support coordinators working with participants with complex support needs. Consultation feedback also highlighted a range of training programs, communities of practice and other initiatives are being led and delivered by the sector. </w:t>
      </w:r>
    </w:p>
    <w:p w:rsidR="00AF0586" w:rsidRDefault="00AF0586">
      <w:pPr>
        <w:spacing w:line="276" w:lineRule="auto"/>
        <w:rPr>
          <w:rFonts w:cs="Arial"/>
          <w:shd w:val="clear" w:color="auto" w:fill="FFFFFF"/>
        </w:rPr>
      </w:pPr>
      <w:r>
        <w:rPr>
          <w:rFonts w:cs="Arial"/>
          <w:shd w:val="clear" w:color="auto" w:fill="FFFFFF"/>
        </w:rPr>
        <w:br w:type="page"/>
      </w:r>
    </w:p>
    <w:p w:rsidR="00B60C9F" w:rsidRPr="00FB46F2" w:rsidRDefault="00B60C9F" w:rsidP="00B60C9F">
      <w:r w:rsidRPr="00FB46F2">
        <w:rPr>
          <w:rFonts w:cs="Arial"/>
          <w:shd w:val="clear" w:color="auto" w:fill="FFFFFF"/>
        </w:rPr>
        <w:lastRenderedPageBreak/>
        <w:t xml:space="preserve">We are aware of work by peak organisations to help support coordinators deliver quality service and build capability within the NDIS. </w:t>
      </w:r>
      <w:r w:rsidRPr="00FB46F2">
        <w:t>We also recognise and encourage the high-quality training already in the sector. This training should continue to be led and delivered by the sector. To meet participants’ expectations of a quality support coordination service, we encourage the sector to continue working with participants in developing any training or industry standards</w:t>
      </w:r>
      <w:r>
        <w:t xml:space="preserve"> that may complement providers’ regulated obligations</w:t>
      </w:r>
      <w:r w:rsidRPr="00FB46F2">
        <w:t xml:space="preserve">. </w:t>
      </w:r>
    </w:p>
    <w:p w:rsidR="00B60C9F" w:rsidRPr="00941A88" w:rsidRDefault="00B60C9F" w:rsidP="00941A88">
      <w:pPr>
        <w:pStyle w:val="Heading4"/>
        <w:numPr>
          <w:ilvl w:val="0"/>
          <w:numId w:val="0"/>
        </w:numPr>
      </w:pPr>
      <w:bookmarkStart w:id="15" w:name="_Toc88041433"/>
      <w:r w:rsidRPr="00736777">
        <w:t>Supporting support coordinators who wish to develop expertise in specific areas</w:t>
      </w:r>
      <w:bookmarkEnd w:id="15"/>
    </w:p>
    <w:p w:rsidR="00B60C9F" w:rsidRDefault="00B60C9F" w:rsidP="00B60C9F">
      <w:r>
        <w:t>There is potential value of more targeted support coordination to participants with specific goals. Support coordination providers who see value in developing and promoting targeted expertise, or niche services, to meet specific participant needs are encouraged to do so. Participants can choose to engage these services within the existing support coordination funding arrangements in their NDIS plan.</w:t>
      </w:r>
      <w:r w:rsidRPr="00D740F4">
        <w:t xml:space="preserve"> </w:t>
      </w:r>
    </w:p>
    <w:p w:rsidR="00B60C9F" w:rsidRDefault="00B60C9F" w:rsidP="00B60C9F">
      <w:pPr>
        <w:rPr>
          <w:rFonts w:eastAsia="Times New Roman" w:cs="Arial"/>
        </w:rPr>
      </w:pPr>
      <w:r w:rsidRPr="00E070FB">
        <w:rPr>
          <w:rFonts w:eastAsia="Times New Roman" w:cs="Arial"/>
        </w:rPr>
        <w:t xml:space="preserve">To assist participants </w:t>
      </w:r>
      <w:r>
        <w:rPr>
          <w:rFonts w:eastAsia="Times New Roman" w:cs="Arial"/>
        </w:rPr>
        <w:t>in pursuing their</w:t>
      </w:r>
      <w:r w:rsidRPr="00E070FB">
        <w:rPr>
          <w:rFonts w:eastAsia="Times New Roman" w:cs="Arial"/>
        </w:rPr>
        <w:t xml:space="preserve"> </w:t>
      </w:r>
      <w:r>
        <w:rPr>
          <w:rFonts w:eastAsia="Times New Roman" w:cs="Arial"/>
        </w:rPr>
        <w:t xml:space="preserve">home and living </w:t>
      </w:r>
      <w:r w:rsidRPr="00E070FB">
        <w:rPr>
          <w:rFonts w:eastAsia="Times New Roman" w:cs="Arial"/>
        </w:rPr>
        <w:t xml:space="preserve">goals, the NDIA will continue to release practical guidance on </w:t>
      </w:r>
      <w:r>
        <w:rPr>
          <w:rFonts w:eastAsia="Times New Roman" w:cs="Arial"/>
        </w:rPr>
        <w:t xml:space="preserve">the available housing supports </w:t>
      </w:r>
      <w:r w:rsidRPr="00E070FB">
        <w:rPr>
          <w:rFonts w:eastAsia="Times New Roman" w:cs="Arial"/>
        </w:rPr>
        <w:t xml:space="preserve">through </w:t>
      </w:r>
      <w:r>
        <w:rPr>
          <w:rFonts w:eastAsia="Times New Roman" w:cs="Arial"/>
        </w:rPr>
        <w:t>‘</w:t>
      </w:r>
      <w:hyperlink r:id="rId25" w:history="1">
        <w:r w:rsidRPr="002E0987">
          <w:rPr>
            <w:rStyle w:val="Hyperlink"/>
            <w:rFonts w:eastAsia="Times New Roman" w:cs="Arial"/>
          </w:rPr>
          <w:t>Our Guidelines</w:t>
        </w:r>
      </w:hyperlink>
      <w:r>
        <w:rPr>
          <w:rFonts w:eastAsia="Times New Roman" w:cs="Arial"/>
        </w:rPr>
        <w:t xml:space="preserve">’ on the NDIS </w:t>
      </w:r>
      <w:r w:rsidRPr="00E070FB">
        <w:rPr>
          <w:rFonts w:eastAsia="Times New Roman" w:cs="Arial"/>
        </w:rPr>
        <w:t xml:space="preserve">website. </w:t>
      </w:r>
      <w:r>
        <w:rPr>
          <w:rFonts w:eastAsia="Times New Roman" w:cs="Arial"/>
        </w:rPr>
        <w:t>This guidance may also assist support coordinators in helping participants with goals related to housing.</w:t>
      </w:r>
    </w:p>
    <w:p w:rsidR="00B60C9F" w:rsidRDefault="00B60C9F" w:rsidP="00B60C9F">
      <w:pPr>
        <w:rPr>
          <w:rFonts w:eastAsia="Times New Roman" w:cs="Arial"/>
        </w:rPr>
      </w:pPr>
      <w:r>
        <w:rPr>
          <w:rFonts w:eastAsia="Times New Roman" w:cs="Arial"/>
        </w:rPr>
        <w:t>The NDIA is also currently developing a new approach to Home and Living. We have</w:t>
      </w:r>
      <w:r w:rsidRPr="00E070FB">
        <w:rPr>
          <w:rFonts w:eastAsia="Times New Roman" w:cs="Arial"/>
        </w:rPr>
        <w:t xml:space="preserve"> released a cons</w:t>
      </w:r>
      <w:r>
        <w:rPr>
          <w:rFonts w:eastAsia="Times New Roman" w:cs="Arial"/>
        </w:rPr>
        <w:t xml:space="preserve">ultation paper and survey, supported by targeted engagement sessions. Responses to the paper, survey and consultation sessions will help develop a Home and Living Policy. </w:t>
      </w:r>
      <w:r w:rsidRPr="00E070FB">
        <w:rPr>
          <w:rFonts w:eastAsia="Times New Roman" w:cs="Arial"/>
        </w:rPr>
        <w:t xml:space="preserve">The introduction of further information and resources may also be available following </w:t>
      </w:r>
      <w:r>
        <w:rPr>
          <w:rFonts w:eastAsia="Times New Roman" w:cs="Arial"/>
        </w:rPr>
        <w:t>the release</w:t>
      </w:r>
      <w:r w:rsidRPr="00E070FB">
        <w:rPr>
          <w:rFonts w:eastAsia="Times New Roman" w:cs="Arial"/>
        </w:rPr>
        <w:t xml:space="preserve"> of a Home and Living Policy.</w:t>
      </w:r>
    </w:p>
    <w:p w:rsidR="00B60C9F" w:rsidRDefault="00B60C9F" w:rsidP="00B60C9F">
      <w:r>
        <w:rPr>
          <w:rFonts w:cs="Arial"/>
          <w:szCs w:val="22"/>
        </w:rPr>
        <w:t xml:space="preserve">As participants become more empowered consumers, participants will consider how their support coordination needs complement their other support needs. </w:t>
      </w:r>
      <w:r>
        <w:t xml:space="preserve">All support coordinators are encouraged to promote their service offerings to participants. This may include promoting their expertise in specific areas. Participants can choose how to best use their existing support coordination funding in their NDIS plan. They can also choose whether they wish to engage more than one person. </w:t>
      </w:r>
    </w:p>
    <w:p w:rsidR="00B60C9F" w:rsidRPr="00941A88" w:rsidRDefault="00B60C9F" w:rsidP="00941A88">
      <w:pPr>
        <w:pStyle w:val="Heading4"/>
        <w:numPr>
          <w:ilvl w:val="0"/>
          <w:numId w:val="0"/>
        </w:numPr>
      </w:pPr>
      <w:bookmarkStart w:id="16" w:name="_Toc88041434"/>
      <w:r w:rsidRPr="00736777">
        <w:t xml:space="preserve">No change on arrangements for </w:t>
      </w:r>
      <w:r w:rsidRPr="00CE0A81">
        <w:t>sharing plans</w:t>
      </w:r>
      <w:bookmarkEnd w:id="16"/>
    </w:p>
    <w:p w:rsidR="00B60C9F" w:rsidRDefault="00B60C9F" w:rsidP="00B60C9F">
      <w:r>
        <w:t>A participant chooses who they wish to share their plan with, including their support coordinator. To respect and protect the participant’s privacy, we are otherwise unable to share a copy of a participant’s plan without consent.</w:t>
      </w:r>
    </w:p>
    <w:p w:rsidR="00B60C9F" w:rsidRDefault="00B60C9F" w:rsidP="00B60C9F">
      <w:r>
        <w:t xml:space="preserve">Both the participant and their support coordinator should discuss and agree on the information needed to ensure quality service outcomes. </w:t>
      </w:r>
      <w:r>
        <w:rPr>
          <w:color w:val="000000"/>
        </w:rPr>
        <w:t>Support coordinators are encouraged to discuss the benefits of the participant sharing their plan and how this may help the delivery of support coordination services</w:t>
      </w:r>
      <w:r>
        <w:t xml:space="preserve">. </w:t>
      </w:r>
    </w:p>
    <w:p w:rsidR="00E9592E" w:rsidRDefault="00B60C9F" w:rsidP="00B60C9F">
      <w:r>
        <w:t>In deciding whether to deliver services to a participant, a support coordinator must consider whether they have the information, capability and capacity required to meet the participant’s support coordination service needs.</w:t>
      </w:r>
      <w:r w:rsidR="00E9592E">
        <w:br w:type="page"/>
      </w:r>
    </w:p>
    <w:p w:rsidR="00B60C9F" w:rsidRDefault="00B60C9F" w:rsidP="00B60C9F">
      <w:pPr>
        <w:pStyle w:val="Heading3"/>
      </w:pPr>
      <w:bookmarkStart w:id="17" w:name="_Toc88041435"/>
      <w:r>
        <w:lastRenderedPageBreak/>
        <w:t>W</w:t>
      </w:r>
      <w:r w:rsidRPr="00E14ED7">
        <w:t>ork</w:t>
      </w:r>
      <w:r>
        <w:t>ing</w:t>
      </w:r>
      <w:r w:rsidRPr="00E14ED7">
        <w:t xml:space="preserve"> in partnership with the sector to address situations where </w:t>
      </w:r>
      <w:r>
        <w:t xml:space="preserve">real or perceived </w:t>
      </w:r>
      <w:r w:rsidRPr="00E14ED7">
        <w:t xml:space="preserve">conflict of interest </w:t>
      </w:r>
      <w:r>
        <w:t>may be</w:t>
      </w:r>
      <w:r w:rsidRPr="0001406A">
        <w:t xml:space="preserve"> </w:t>
      </w:r>
      <w:r>
        <w:t xml:space="preserve">adversely </w:t>
      </w:r>
      <w:r w:rsidRPr="0001406A">
        <w:t>affecting participant outcomes</w:t>
      </w:r>
      <w:bookmarkEnd w:id="17"/>
      <w:r>
        <w:t xml:space="preserve"> </w:t>
      </w:r>
    </w:p>
    <w:p w:rsidR="00B60C9F" w:rsidRPr="00736777" w:rsidRDefault="00B60C9F" w:rsidP="00941A88">
      <w:pPr>
        <w:pStyle w:val="Heading4"/>
        <w:numPr>
          <w:ilvl w:val="0"/>
          <w:numId w:val="0"/>
        </w:numPr>
      </w:pPr>
      <w:bookmarkStart w:id="18" w:name="_Toc88041436"/>
      <w:r w:rsidRPr="00736777">
        <w:t>Encouraging better engagement with existing conflict of interest requirements</w:t>
      </w:r>
      <w:bookmarkEnd w:id="18"/>
    </w:p>
    <w:p w:rsidR="00B60C9F" w:rsidRDefault="00B60C9F" w:rsidP="00B60C9F">
      <w:r w:rsidRPr="00F40BAA">
        <w:t>All NDIS providers</w:t>
      </w:r>
      <w:r>
        <w:t xml:space="preserve">, </w:t>
      </w:r>
      <w:r w:rsidRPr="00F40BAA">
        <w:t>whether they are registered or not</w:t>
      </w:r>
      <w:r>
        <w:t xml:space="preserve">, and NDIS workers </w:t>
      </w:r>
      <w:r w:rsidRPr="00F40BAA">
        <w:t xml:space="preserve">have current obligations </w:t>
      </w:r>
      <w:r>
        <w:t xml:space="preserve">to comply with the </w:t>
      </w:r>
      <w:hyperlink r:id="rId26" w:history="1">
        <w:r w:rsidRPr="00405779">
          <w:rPr>
            <w:rStyle w:val="Hyperlink"/>
          </w:rPr>
          <w:t>NDIS Code of Conduct</w:t>
        </w:r>
      </w:hyperlink>
      <w:r>
        <w:t xml:space="preserve">. Among other things, the NDIS Code of Conduct requires NDIS providers and workers, </w:t>
      </w:r>
      <w:r w:rsidRPr="00534F6F">
        <w:t>including support coordinator</w:t>
      </w:r>
      <w:r>
        <w:t>s, to</w:t>
      </w:r>
      <w:r w:rsidRPr="00534F6F">
        <w:t xml:space="preserve"> act with integrity, honesty and transparency. </w:t>
      </w:r>
      <w:r>
        <w:t>This includes guidance for</w:t>
      </w:r>
      <w:r w:rsidRPr="00534F6F">
        <w:t>:</w:t>
      </w:r>
    </w:p>
    <w:p w:rsidR="00B60C9F" w:rsidRDefault="00B60C9F" w:rsidP="006B161E">
      <w:pPr>
        <w:pStyle w:val="ListParagraph"/>
        <w:numPr>
          <w:ilvl w:val="0"/>
          <w:numId w:val="19"/>
        </w:numPr>
        <w:spacing w:line="276" w:lineRule="auto"/>
      </w:pPr>
      <w:r>
        <w:t>recommending and providing supports and services appropriate to the needs of the participant</w:t>
      </w:r>
    </w:p>
    <w:p w:rsidR="00B60C9F" w:rsidRDefault="00B60C9F" w:rsidP="006B161E">
      <w:pPr>
        <w:pStyle w:val="ListParagraph"/>
        <w:numPr>
          <w:ilvl w:val="0"/>
          <w:numId w:val="19"/>
        </w:numPr>
        <w:spacing w:line="276" w:lineRule="auto"/>
      </w:pPr>
      <w:r>
        <w:t>maintaining integrity by declaring and avoiding any real or perceived conflicts of interest</w:t>
      </w:r>
    </w:p>
    <w:p w:rsidR="00B60C9F" w:rsidRDefault="00B60C9F" w:rsidP="006B161E">
      <w:pPr>
        <w:pStyle w:val="ListParagraph"/>
        <w:numPr>
          <w:ilvl w:val="0"/>
          <w:numId w:val="19"/>
        </w:numPr>
        <w:spacing w:line="276" w:lineRule="auto"/>
      </w:pPr>
      <w:r>
        <w:t>avoiding engaging in, participating in or promoting sharp practices.</w:t>
      </w:r>
    </w:p>
    <w:p w:rsidR="00B60C9F" w:rsidRDefault="00B60C9F" w:rsidP="00B60C9F">
      <w:r>
        <w:t xml:space="preserve">The </w:t>
      </w:r>
      <w:hyperlink r:id="rId27" w:history="1">
        <w:r w:rsidRPr="00D967EE">
          <w:rPr>
            <w:rStyle w:val="Hyperlink"/>
          </w:rPr>
          <w:t>NDIS Code of Conduct: Guidance for NDIS Providers</w:t>
        </w:r>
      </w:hyperlink>
      <w:r>
        <w:rPr>
          <w:rStyle w:val="FootnoteReference"/>
        </w:rPr>
        <w:footnoteReference w:id="6"/>
      </w:r>
      <w:r>
        <w:t xml:space="preserve"> and </w:t>
      </w:r>
      <w:hyperlink r:id="rId28" w:history="1">
        <w:r w:rsidRPr="00D967EE">
          <w:rPr>
            <w:rStyle w:val="Hyperlink"/>
          </w:rPr>
          <w:t>NDIS Code of Conduct: Guidance for NDIS workers</w:t>
        </w:r>
      </w:hyperlink>
      <w:r>
        <w:rPr>
          <w:rStyle w:val="FootnoteReference"/>
        </w:rPr>
        <w:footnoteReference w:id="7"/>
      </w:r>
      <w:r>
        <w:t xml:space="preserve"> provides more information and includes scenarios to illustrate this guidance. The </w:t>
      </w:r>
      <w:hyperlink r:id="rId29" w:history="1">
        <w:r w:rsidRPr="009E2994">
          <w:rPr>
            <w:rStyle w:val="Hyperlink"/>
          </w:rPr>
          <w:t>NDIS Practice Standards</w:t>
        </w:r>
      </w:hyperlink>
      <w:r>
        <w:t xml:space="preserve"> also set out what registered NDIS providers are required to do to avoid real or perceived conflicts of interest in the delivery of supports and services</w:t>
      </w:r>
      <w:r w:rsidRPr="001A4BAC">
        <w:t>.</w:t>
      </w:r>
      <w:r>
        <w:t xml:space="preserve"> </w:t>
      </w:r>
    </w:p>
    <w:p w:rsidR="00B60C9F" w:rsidRDefault="00B60C9F" w:rsidP="00B60C9F">
      <w:r>
        <w:t xml:space="preserve">The NDIS Commission can take regulatory action where it identifies a provider or worker is in breach of their obligations under the NDIS Code of Conduct or the NDIS Practice Standards. Participants, providers and other stakeholders should raise any concerns – including where there are potential real or perceived conflicts of interest – with the </w:t>
      </w:r>
      <w:hyperlink r:id="rId30" w:history="1">
        <w:r w:rsidRPr="00A37C87">
          <w:rPr>
            <w:rStyle w:val="Hyperlink"/>
          </w:rPr>
          <w:t>NDIS Commission</w:t>
        </w:r>
      </w:hyperlink>
      <w:r>
        <w:t xml:space="preserve"> for further investigation. The NDIA will similarly raise any concerns with the NDIS Commission should we become aware of situations where a support coordinator’s real or perceived conflicts of interest may be adversely affecting participant outcomes.</w:t>
      </w:r>
    </w:p>
    <w:p w:rsidR="00B60C9F" w:rsidRPr="00941A88" w:rsidRDefault="00B60C9F" w:rsidP="00941A88">
      <w:pPr>
        <w:pStyle w:val="Heading4"/>
        <w:numPr>
          <w:ilvl w:val="0"/>
          <w:numId w:val="0"/>
        </w:numPr>
      </w:pPr>
      <w:bookmarkStart w:id="19" w:name="_Toc88041437"/>
      <w:r w:rsidRPr="00736777">
        <w:t>Understanding and address</w:t>
      </w:r>
      <w:r w:rsidRPr="00CE0A81">
        <w:t>ing specific situations to protect participants’ safety and wellbeing, in partnership with the sector</w:t>
      </w:r>
      <w:bookmarkEnd w:id="19"/>
    </w:p>
    <w:p w:rsidR="00B60C9F" w:rsidRDefault="00B60C9F" w:rsidP="00B60C9F">
      <w:r>
        <w:t xml:space="preserve">The NDIA is committed to preventing situations where a participant’s safety and wellbeing is put at risk because the same provider delivers both their support coordination and other funded supports. </w:t>
      </w:r>
    </w:p>
    <w:p w:rsidR="00B60C9F" w:rsidRDefault="00B60C9F" w:rsidP="00B60C9F">
      <w:r>
        <w:t>T</w:t>
      </w:r>
      <w:r w:rsidRPr="00F40BAA">
        <w:t xml:space="preserve">he </w:t>
      </w:r>
      <w:hyperlink r:id="rId31" w:history="1">
        <w:r>
          <w:rPr>
            <w:rStyle w:val="Hyperlink"/>
          </w:rPr>
          <w:t>Independent Advisory Council (IAC)</w:t>
        </w:r>
      </w:hyperlink>
      <w:r>
        <w:t xml:space="preserve"> has</w:t>
      </w:r>
      <w:r w:rsidRPr="00F40BAA">
        <w:t xml:space="preserve"> </w:t>
      </w:r>
      <w:r>
        <w:t>encouraged the NDIA</w:t>
      </w:r>
      <w:r w:rsidRPr="00F40BAA">
        <w:t xml:space="preserve"> to enforce independence between</w:t>
      </w:r>
      <w:r>
        <w:t xml:space="preserve"> </w:t>
      </w:r>
      <w:r w:rsidRPr="00F40BAA">
        <w:t xml:space="preserve">intermediary and </w:t>
      </w:r>
      <w:r>
        <w:t xml:space="preserve">other </w:t>
      </w:r>
      <w:r w:rsidRPr="00F40BAA">
        <w:t>funded supports at the participant level</w:t>
      </w:r>
      <w:r>
        <w:rPr>
          <w:rStyle w:val="CommentReference"/>
        </w:rPr>
        <w:t>.</w:t>
      </w:r>
      <w:r>
        <w:t xml:space="preserve"> </w:t>
      </w:r>
      <w:r w:rsidRPr="00A84781">
        <w:t xml:space="preserve">Independence at the participant level </w:t>
      </w:r>
      <w:r>
        <w:t>would</w:t>
      </w:r>
      <w:r w:rsidRPr="00A84781">
        <w:t xml:space="preserve"> not prevent providers from operating both as a support coordinator and provider of other disability supports</w:t>
      </w:r>
      <w:r>
        <w:t xml:space="preserve">. However, </w:t>
      </w:r>
      <w:r w:rsidRPr="00F40BAA">
        <w:t>to protect participants from sharp practices</w:t>
      </w:r>
      <w:r>
        <w:t xml:space="preserve">, </w:t>
      </w:r>
      <w:r w:rsidRPr="00A84781">
        <w:t xml:space="preserve">a single provider </w:t>
      </w:r>
      <w:r>
        <w:t xml:space="preserve">would be prevented </w:t>
      </w:r>
      <w:r w:rsidRPr="00A84781">
        <w:t>from providing support coordination and other supports to an individual participant</w:t>
      </w:r>
      <w:r>
        <w:t>.</w:t>
      </w:r>
    </w:p>
    <w:p w:rsidR="00B60C9F" w:rsidRDefault="00B60C9F" w:rsidP="00B60C9F">
      <w:r w:rsidRPr="00F40BAA">
        <w:rPr>
          <w:rFonts w:cs="Arial"/>
        </w:rPr>
        <w:lastRenderedPageBreak/>
        <w:t xml:space="preserve">The </w:t>
      </w:r>
      <w:hyperlink r:id="rId32" w:history="1">
        <w:r w:rsidRPr="00164421">
          <w:rPr>
            <w:rStyle w:val="Hyperlink"/>
            <w:rFonts w:cs="Arial"/>
          </w:rPr>
          <w:t>Tune Review 2019</w:t>
        </w:r>
      </w:hyperlink>
      <w:r w:rsidRPr="00F40BAA">
        <w:rPr>
          <w:rFonts w:cs="Arial"/>
        </w:rPr>
        <w:t xml:space="preserve"> recommended that the NDIS </w:t>
      </w:r>
      <w:r>
        <w:rPr>
          <w:rFonts w:cs="Arial"/>
        </w:rPr>
        <w:t>R</w:t>
      </w:r>
      <w:r w:rsidRPr="00F40BAA">
        <w:rPr>
          <w:rFonts w:cs="Arial"/>
        </w:rPr>
        <w:t>ules be amended to outline circumstances i</w:t>
      </w:r>
      <w:r w:rsidRPr="00F40BAA">
        <w:t>n which it is not appropriate for the providers of support coordination to be the provider of any other funded supports in a participant’s plan</w:t>
      </w:r>
      <w:r w:rsidRPr="00A77083">
        <w:t xml:space="preserve"> </w:t>
      </w:r>
      <w:r w:rsidRPr="00F40BAA">
        <w:t>(Recommendation 16b).</w:t>
      </w:r>
      <w:r>
        <w:t xml:space="preserve">  </w:t>
      </w:r>
    </w:p>
    <w:p w:rsidR="00B60C9F" w:rsidRPr="007C02BA" w:rsidRDefault="00B60C9F" w:rsidP="00B60C9F">
      <w:r>
        <w:t>The Department of Social Services (DSS) has released proposed changes to the NDIS Act and NDIS Rules.</w:t>
      </w:r>
      <w:r w:rsidRPr="002552CA">
        <w:t xml:space="preserve"> </w:t>
      </w:r>
      <w:r>
        <w:t xml:space="preserve">Tune Review 16b is in the process of being implemented through the proposed amendments to the </w:t>
      </w:r>
      <w:r>
        <w:rPr>
          <w:i/>
        </w:rPr>
        <w:t>NDIS</w:t>
      </w:r>
      <w:r w:rsidRPr="007C02BA">
        <w:rPr>
          <w:i/>
        </w:rPr>
        <w:t xml:space="preserve"> (Plan Management) Rules 2013</w:t>
      </w:r>
      <w:r>
        <w:t>. Public consultation on the draft legislation was undertaken from 9 September 2021 to 7 October 2021.</w:t>
      </w:r>
    </w:p>
    <w:p w:rsidR="00B60C9F" w:rsidRDefault="00B60C9F" w:rsidP="00B60C9F">
      <w:r>
        <w:t xml:space="preserve">We strongly support the IAC and Tune Review recommendations, and will work to ensure the commitments made in the </w:t>
      </w:r>
      <w:hyperlink r:id="rId33" w:history="1">
        <w:r w:rsidRPr="00127836">
          <w:rPr>
            <w:rStyle w:val="Hyperlink"/>
          </w:rPr>
          <w:t>Australian Government’s response</w:t>
        </w:r>
      </w:hyperlink>
      <w:r>
        <w:t xml:space="preserve"> to the Tune Review 2019 are delivered. In doing so, t</w:t>
      </w:r>
      <w:r w:rsidRPr="00D62994">
        <w:t xml:space="preserve">he NDIA will </w:t>
      </w:r>
      <w:r>
        <w:t>partner</w:t>
      </w:r>
      <w:r w:rsidRPr="00D62994">
        <w:t xml:space="preserve"> with key stakeholders to agree on a path to implement these recommendations</w:t>
      </w:r>
      <w:r>
        <w:t xml:space="preserve">. The aim is to </w:t>
      </w:r>
      <w:r w:rsidRPr="00D62994">
        <w:t>ensure participants have access to a diverse range of service providers of their choice, while also ensuring service delivery arrangements protect participants from conflicts of interest.</w:t>
      </w:r>
    </w:p>
    <w:p w:rsidR="00B60C9F" w:rsidRDefault="00B60C9F" w:rsidP="00B60C9F">
      <w:r>
        <w:t>We recognise the breadth of roles involved to implement change in this important policy area, and the need to work collaboratively with all stakeholders to identify, address and prevent situations where a provider should not deliver both support coordination and other funded supports in a participant’s plan. Together, we will consider:</w:t>
      </w:r>
    </w:p>
    <w:p w:rsidR="00B60C9F" w:rsidRDefault="00B60C9F" w:rsidP="006B161E">
      <w:pPr>
        <w:pStyle w:val="ListParagraph"/>
        <w:numPr>
          <w:ilvl w:val="0"/>
          <w:numId w:val="19"/>
        </w:numPr>
        <w:spacing w:line="276" w:lineRule="auto"/>
      </w:pPr>
      <w:r>
        <w:t>how to prevent these situations from occurring, and actions to respond to existing situations</w:t>
      </w:r>
    </w:p>
    <w:p w:rsidR="00B60C9F" w:rsidRDefault="00B60C9F" w:rsidP="006B161E">
      <w:pPr>
        <w:pStyle w:val="ListParagraph"/>
        <w:numPr>
          <w:ilvl w:val="0"/>
          <w:numId w:val="19"/>
        </w:numPr>
        <w:spacing w:line="276" w:lineRule="auto"/>
      </w:pPr>
      <w:r>
        <w:t>what is the appropriate pace and sequencing of the rollout, taking into account the areas of most urgent need and managing any associated disruption</w:t>
      </w:r>
    </w:p>
    <w:p w:rsidR="00B60C9F" w:rsidRDefault="00B60C9F" w:rsidP="006B161E">
      <w:pPr>
        <w:pStyle w:val="ListParagraph"/>
        <w:numPr>
          <w:ilvl w:val="0"/>
          <w:numId w:val="19"/>
        </w:numPr>
        <w:spacing w:line="276" w:lineRule="auto"/>
      </w:pPr>
      <w:r>
        <w:t xml:space="preserve">how to ensure participant choice and control is at the centre of decision-making.  </w:t>
      </w:r>
    </w:p>
    <w:p w:rsidR="00B60C9F" w:rsidRDefault="00B60C9F" w:rsidP="00B60C9F">
      <w:pPr>
        <w:pStyle w:val="Heading3"/>
      </w:pPr>
      <w:bookmarkStart w:id="20" w:name="_Toc88041438"/>
      <w:r>
        <w:t>Reviewing pricing</w:t>
      </w:r>
      <w:bookmarkEnd w:id="20"/>
      <w:r>
        <w:t xml:space="preserve"> </w:t>
      </w:r>
    </w:p>
    <w:p w:rsidR="00B60C9F" w:rsidRDefault="00B60C9F" w:rsidP="00B60C9F">
      <w:r>
        <w:t xml:space="preserve">Support coordination will be considered in the Annual Pricing Review (the Review). The roles of a support coordinator and other elements set out in the paper will inform the Review. </w:t>
      </w:r>
      <w:r w:rsidRPr="00ED0C52">
        <w:t>The Review will consider</w:t>
      </w:r>
      <w:r>
        <w:t>:</w:t>
      </w:r>
    </w:p>
    <w:p w:rsidR="00B60C9F" w:rsidRDefault="00B60C9F" w:rsidP="006B161E">
      <w:pPr>
        <w:pStyle w:val="ListParagraph"/>
        <w:numPr>
          <w:ilvl w:val="0"/>
          <w:numId w:val="19"/>
        </w:numPr>
        <w:spacing w:line="276" w:lineRule="auto"/>
      </w:pPr>
      <w:r>
        <w:t>how the current tiers of support coordination pricing arrangements are being used and if they are effective</w:t>
      </w:r>
    </w:p>
    <w:p w:rsidR="00B60C9F" w:rsidRDefault="00B60C9F" w:rsidP="006B161E">
      <w:pPr>
        <w:pStyle w:val="ListParagraph"/>
        <w:numPr>
          <w:ilvl w:val="0"/>
          <w:numId w:val="19"/>
        </w:numPr>
        <w:spacing w:line="276" w:lineRule="auto"/>
      </w:pPr>
      <w:r w:rsidRPr="005F20F5">
        <w:t xml:space="preserve">whether the price limits for support coordination are </w:t>
      </w:r>
      <w:r w:rsidRPr="004943F9">
        <w:t>reasonable</w:t>
      </w:r>
      <w:r w:rsidRPr="005F20F5">
        <w:t>, especially when compared to the price limits for other services</w:t>
      </w:r>
    </w:p>
    <w:p w:rsidR="00B60C9F" w:rsidRDefault="00B60C9F" w:rsidP="006B161E">
      <w:pPr>
        <w:pStyle w:val="ListParagraph"/>
        <w:numPr>
          <w:ilvl w:val="0"/>
          <w:numId w:val="19"/>
        </w:numPr>
        <w:spacing w:line="276" w:lineRule="auto"/>
      </w:pPr>
      <w:r w:rsidRPr="00ED0C52">
        <w:t>the experience and skills required to deliver quality</w:t>
      </w:r>
      <w:r>
        <w:t xml:space="preserve"> </w:t>
      </w:r>
      <w:r w:rsidRPr="00ED0C52">
        <w:t>support coordination services</w:t>
      </w:r>
      <w:r>
        <w:t xml:space="preserve"> by tier</w:t>
      </w:r>
    </w:p>
    <w:p w:rsidR="00B60C9F" w:rsidRDefault="00B60C9F" w:rsidP="006B161E">
      <w:pPr>
        <w:pStyle w:val="ListParagraph"/>
        <w:numPr>
          <w:ilvl w:val="0"/>
          <w:numId w:val="19"/>
        </w:numPr>
        <w:spacing w:line="276" w:lineRule="auto"/>
      </w:pPr>
      <w:r>
        <w:t xml:space="preserve">how pricing can best encourage innovation, improve quality of service, and ensure </w:t>
      </w:r>
      <w:r w:rsidRPr="00ED0C52">
        <w:t>value for money</w:t>
      </w:r>
      <w:r>
        <w:t xml:space="preserve"> for participants.</w:t>
      </w:r>
    </w:p>
    <w:p w:rsidR="00B60C9F" w:rsidRDefault="00B60C9F" w:rsidP="00B60C9F">
      <w:r>
        <w:t xml:space="preserve">We will avoid introducing further complexity. Given the identified challenges (see </w:t>
      </w:r>
      <w:hyperlink w:anchor="_Outcomes-based_pricing_is" w:history="1">
        <w:r w:rsidRPr="00A53DA3">
          <w:rPr>
            <w:rStyle w:val="Hyperlink"/>
          </w:rPr>
          <w:t>Appendix</w:t>
        </w:r>
      </w:hyperlink>
      <w:r>
        <w:rPr>
          <w:rStyle w:val="Hyperlink"/>
        </w:rPr>
        <w:t xml:space="preserve"> A</w:t>
      </w:r>
      <w:r>
        <w:t>), the NDIA is not currently considering outcomes-based pricing for support coordination services.</w:t>
      </w:r>
    </w:p>
    <w:p w:rsidR="00C764CA" w:rsidRDefault="00C764CA">
      <w:pPr>
        <w:spacing w:line="276" w:lineRule="auto"/>
      </w:pPr>
      <w:r>
        <w:br w:type="page"/>
      </w:r>
    </w:p>
    <w:p w:rsidR="00B60C9F" w:rsidRDefault="00B60C9F" w:rsidP="00B60C9F">
      <w:r>
        <w:lastRenderedPageBreak/>
        <w:t xml:space="preserve">We are particularly focused on how we can </w:t>
      </w:r>
      <w:r>
        <w:rPr>
          <w:rFonts w:cs="Arial"/>
        </w:rPr>
        <w:t>ensure higher quality outcomes for participants with the most complex needs</w:t>
      </w:r>
      <w:r>
        <w:t>. Effective support coordination is a critical enabler of good outcomes for all participants, including those with complex support needs. We are considering how the NDIA could more directly engage in the support coordination market to ensure participants with complex support needs can access a skilled, quality support coordinator who meets their needs and who may take on some additional responsibilities, for example around safeguarding. More actions are likely to arise for this participant cohort as we consider the options available to engage more actively with this market.</w:t>
      </w:r>
    </w:p>
    <w:p w:rsidR="00B60C9F" w:rsidRPr="00ED0E75" w:rsidRDefault="00B60C9F" w:rsidP="00B60C9F">
      <w:pPr>
        <w:pStyle w:val="Heading3"/>
      </w:pPr>
      <w:bookmarkStart w:id="21" w:name="_Toc88041439"/>
      <w:r>
        <w:t>Continuing to work with the sector to deliver consistency and equity in planning outcomes (including support coordination)</w:t>
      </w:r>
      <w:bookmarkEnd w:id="21"/>
    </w:p>
    <w:p w:rsidR="00B60C9F" w:rsidRDefault="00B60C9F" w:rsidP="00B60C9F">
      <w:r>
        <w:t>Consistent reasonable and necessary funding decisions across all supports remains a key priority for participants and the Agency. We will continue to work with the sector through a process of continuous improvement.</w:t>
      </w:r>
      <w:r w:rsidRPr="004943F9">
        <w:t xml:space="preserve"> </w:t>
      </w:r>
      <w:r>
        <w:t>Insights from the support coordination consultation will be used to inform this process.</w:t>
      </w:r>
    </w:p>
    <w:p w:rsidR="00B60C9F" w:rsidRDefault="00B60C9F" w:rsidP="00B60C9F">
      <w:pPr>
        <w:rPr>
          <w:rFonts w:cs="Arial"/>
        </w:rPr>
      </w:pPr>
      <w:r w:rsidRPr="009C6EB1">
        <w:rPr>
          <w:rFonts w:cs="Arial"/>
        </w:rPr>
        <w:t xml:space="preserve">As at 30 </w:t>
      </w:r>
      <w:r>
        <w:rPr>
          <w:rFonts w:cs="Arial"/>
        </w:rPr>
        <w:t>September</w:t>
      </w:r>
      <w:r w:rsidRPr="009C6EB1">
        <w:rPr>
          <w:rFonts w:cs="Arial"/>
        </w:rPr>
        <w:t xml:space="preserve"> 2021, </w:t>
      </w:r>
      <w:r>
        <w:rPr>
          <w:rFonts w:cs="Arial"/>
        </w:rPr>
        <w:t>208</w:t>
      </w:r>
      <w:r w:rsidRPr="005766F1">
        <w:rPr>
          <w:rFonts w:cs="Arial"/>
        </w:rPr>
        <w:t>,</w:t>
      </w:r>
      <w:r>
        <w:rPr>
          <w:rFonts w:cs="Arial"/>
        </w:rPr>
        <w:t>634</w:t>
      </w:r>
      <w:r w:rsidRPr="005766F1">
        <w:rPr>
          <w:rFonts w:cs="Arial"/>
        </w:rPr>
        <w:t xml:space="preserve"> (43%) </w:t>
      </w:r>
      <w:r w:rsidRPr="009C6EB1">
        <w:rPr>
          <w:rFonts w:cs="Arial"/>
        </w:rPr>
        <w:t xml:space="preserve">active participants have support coordination funded in their approved plan. </w:t>
      </w:r>
      <w:r>
        <w:rPr>
          <w:rFonts w:cs="Arial"/>
        </w:rPr>
        <w:t xml:space="preserve">In line with stakeholder feedback (see </w:t>
      </w:r>
      <w:hyperlink w:anchor="_Funding_for_support" w:history="1">
        <w:r w:rsidRPr="00607396">
          <w:rPr>
            <w:rStyle w:val="Hyperlink"/>
            <w:rFonts w:cs="Arial"/>
          </w:rPr>
          <w:t>Appendix A</w:t>
        </w:r>
      </w:hyperlink>
      <w:r>
        <w:rPr>
          <w:rFonts w:cs="Arial"/>
        </w:rPr>
        <w:t>), factors in deciding support coordination funding in plans consider a participant’s disability, their capacity to make decisions, their existing formal and informal support network, and their individual needs and circumstances.</w:t>
      </w:r>
    </w:p>
    <w:p w:rsidR="00B60C9F" w:rsidRDefault="00B60C9F" w:rsidP="00B60C9F">
      <w:pPr>
        <w:rPr>
          <w:rFonts w:cs="Arial"/>
        </w:rPr>
      </w:pPr>
      <w:r>
        <w:rPr>
          <w:rFonts w:cs="Arial"/>
        </w:rPr>
        <w:t>Table 1 shows that participants in y</w:t>
      </w:r>
      <w:r w:rsidRPr="009C6EB1">
        <w:rPr>
          <w:rFonts w:cs="Arial"/>
        </w:rPr>
        <w:t>o</w:t>
      </w:r>
      <w:r>
        <w:rPr>
          <w:rFonts w:cs="Arial"/>
        </w:rPr>
        <w:t>unger age groups, especially those</w:t>
      </w:r>
      <w:r w:rsidRPr="009C6EB1">
        <w:rPr>
          <w:rFonts w:cs="Arial"/>
        </w:rPr>
        <w:t xml:space="preserve"> under 18 years old, tend to have a </w:t>
      </w:r>
      <w:r>
        <w:rPr>
          <w:rFonts w:cs="Arial"/>
        </w:rPr>
        <w:t>proportionally lower need for assistance from a support coordinator</w:t>
      </w:r>
      <w:r w:rsidRPr="009C6EB1">
        <w:rPr>
          <w:rFonts w:cs="Arial"/>
        </w:rPr>
        <w:t xml:space="preserve">. </w:t>
      </w:r>
      <w:r>
        <w:rPr>
          <w:rFonts w:cs="Arial"/>
        </w:rPr>
        <w:t xml:space="preserve">The existing formal and informal support network of participants in younger age groups are likely considered when funding support coordination in plans. </w:t>
      </w:r>
    </w:p>
    <w:p w:rsidR="00B60C9F" w:rsidRPr="009C6EB1" w:rsidRDefault="00B60C9F" w:rsidP="00B60C9F">
      <w:pPr>
        <w:rPr>
          <w:rFonts w:cs="Arial"/>
        </w:rPr>
      </w:pPr>
      <w:r>
        <w:rPr>
          <w:rFonts w:cs="Arial"/>
        </w:rPr>
        <w:t xml:space="preserve">The need for support coordination in the younger age groups may also be linked to the nature of their disability. Table 2 indicates that participants </w:t>
      </w:r>
      <w:r w:rsidRPr="009C6EB1">
        <w:rPr>
          <w:rFonts w:cs="Arial"/>
        </w:rPr>
        <w:t xml:space="preserve">with </w:t>
      </w:r>
      <w:r>
        <w:rPr>
          <w:rFonts w:cs="Arial"/>
        </w:rPr>
        <w:t>developmental delay (9</w:t>
      </w:r>
      <w:r w:rsidRPr="009C6EB1">
        <w:rPr>
          <w:rFonts w:cs="Arial"/>
        </w:rPr>
        <w:t xml:space="preserve">%) and </w:t>
      </w:r>
      <w:r>
        <w:rPr>
          <w:rFonts w:cs="Arial"/>
        </w:rPr>
        <w:t xml:space="preserve">global </w:t>
      </w:r>
      <w:r w:rsidRPr="009C6EB1">
        <w:rPr>
          <w:rFonts w:cs="Arial"/>
        </w:rPr>
        <w:t>developmental delay (</w:t>
      </w:r>
      <w:r>
        <w:rPr>
          <w:rFonts w:cs="Arial"/>
        </w:rPr>
        <w:t>13%) are less likely to have support coordination funding in plans. These participants may receive most of the support they need from their Early Childhood partner or Local Area Coordinator.</w:t>
      </w:r>
    </w:p>
    <w:p w:rsidR="00B60C9F" w:rsidRDefault="00B60C9F" w:rsidP="00B60C9F">
      <w:pPr>
        <w:rPr>
          <w:rStyle w:val="CommentReference"/>
        </w:rPr>
      </w:pPr>
      <w:r>
        <w:rPr>
          <w:rFonts w:cs="Arial"/>
        </w:rPr>
        <w:t>In comparison, p</w:t>
      </w:r>
      <w:r w:rsidRPr="009C6EB1">
        <w:rPr>
          <w:rFonts w:cs="Arial"/>
        </w:rPr>
        <w:t>articipants with a psychosocial disability (</w:t>
      </w:r>
      <w:r>
        <w:rPr>
          <w:rFonts w:cs="Arial"/>
        </w:rPr>
        <w:t>90%), an acquired brain injury (81%</w:t>
      </w:r>
      <w:r w:rsidRPr="009C6EB1">
        <w:rPr>
          <w:rFonts w:cs="Arial"/>
        </w:rPr>
        <w:t>) or stroke (6</w:t>
      </w:r>
      <w:r>
        <w:rPr>
          <w:rFonts w:cs="Arial"/>
        </w:rPr>
        <w:t>9%</w:t>
      </w:r>
      <w:r w:rsidRPr="009C6EB1">
        <w:rPr>
          <w:rFonts w:cs="Arial"/>
        </w:rPr>
        <w:t xml:space="preserve">) have a proportionally greater incidence of support coordination funding in plans. </w:t>
      </w:r>
      <w:r>
        <w:rPr>
          <w:rFonts w:cs="Arial"/>
        </w:rPr>
        <w:t>The participant’s capacity to make decisions and the availability or capability of their support network would be factors in funding support coordination. P</w:t>
      </w:r>
      <w:r w:rsidRPr="009C6EB1">
        <w:rPr>
          <w:rFonts w:cs="Arial"/>
        </w:rPr>
        <w:t xml:space="preserve">articipants with a psychosocial disability </w:t>
      </w:r>
      <w:r>
        <w:rPr>
          <w:rFonts w:cs="Arial"/>
        </w:rPr>
        <w:t>may receive funding in their Support Coordination budget</w:t>
      </w:r>
      <w:r w:rsidRPr="009C6EB1">
        <w:rPr>
          <w:rFonts w:cs="Arial"/>
        </w:rPr>
        <w:t xml:space="preserve"> to access</w:t>
      </w:r>
      <w:r>
        <w:rPr>
          <w:rFonts w:cs="Arial"/>
        </w:rPr>
        <w:t xml:space="preserve"> assistance from</w:t>
      </w:r>
      <w:r w:rsidRPr="009C6EB1">
        <w:rPr>
          <w:rFonts w:cs="Arial"/>
        </w:rPr>
        <w:t xml:space="preserve"> a support coordinator or </w:t>
      </w:r>
      <w:r>
        <w:rPr>
          <w:rFonts w:cs="Arial"/>
        </w:rPr>
        <w:t>psychosocial recovery coach, depending on their individual needs and circumstances.</w:t>
      </w:r>
    </w:p>
    <w:p w:rsidR="00BC6FBC" w:rsidRDefault="00BC6FBC">
      <w:pPr>
        <w:spacing w:line="276" w:lineRule="auto"/>
        <w:rPr>
          <w:b/>
          <w:sz w:val="24"/>
        </w:rPr>
      </w:pPr>
      <w:bookmarkStart w:id="22" w:name="_Toc88041440"/>
      <w:r>
        <w:br w:type="page"/>
      </w:r>
    </w:p>
    <w:p w:rsidR="00B60C9F" w:rsidRDefault="00B60C9F" w:rsidP="00941A88">
      <w:pPr>
        <w:pStyle w:val="Heading4"/>
        <w:numPr>
          <w:ilvl w:val="0"/>
          <w:numId w:val="0"/>
        </w:numPr>
      </w:pPr>
      <w:r>
        <w:lastRenderedPageBreak/>
        <w:t xml:space="preserve">Table </w:t>
      </w:r>
      <w:r>
        <w:fldChar w:fldCharType="begin"/>
      </w:r>
      <w:r>
        <w:instrText xml:space="preserve"> SEQ Table \* ARABIC </w:instrText>
      </w:r>
      <w:r>
        <w:fldChar w:fldCharType="separate"/>
      </w:r>
      <w:r w:rsidR="00AF0586">
        <w:rPr>
          <w:noProof/>
        </w:rPr>
        <w:t>1</w:t>
      </w:r>
      <w:r>
        <w:rPr>
          <w:noProof/>
        </w:rPr>
        <w:fldChar w:fldCharType="end"/>
      </w:r>
      <w:r>
        <w:t>: Support coordination funding in plans by age group, as at 30 September 2021</w:t>
      </w:r>
      <w:bookmarkEnd w:id="22"/>
    </w:p>
    <w:tbl>
      <w:tblPr>
        <w:tblW w:w="5098" w:type="dxa"/>
        <w:jc w:val="center"/>
        <w:tblLook w:val="04A0" w:firstRow="1" w:lastRow="0" w:firstColumn="1" w:lastColumn="0" w:noHBand="0" w:noVBand="1"/>
      </w:tblPr>
      <w:tblGrid>
        <w:gridCol w:w="2509"/>
        <w:gridCol w:w="2589"/>
      </w:tblGrid>
      <w:tr w:rsidR="00B60C9F" w:rsidRPr="007D5D1D" w:rsidTr="00B83085">
        <w:trPr>
          <w:trHeight w:val="1230"/>
          <w:tblHeader/>
          <w:jc w:val="center"/>
        </w:trPr>
        <w:tc>
          <w:tcPr>
            <w:tcW w:w="2509" w:type="dxa"/>
            <w:tcBorders>
              <w:top w:val="single" w:sz="4" w:space="0" w:color="auto"/>
              <w:left w:val="single" w:sz="4" w:space="0" w:color="auto"/>
              <w:bottom w:val="single" w:sz="4" w:space="0" w:color="auto"/>
              <w:right w:val="single" w:sz="4" w:space="0" w:color="auto"/>
            </w:tcBorders>
            <w:shd w:val="clear" w:color="000000" w:fill="6B2976"/>
            <w:noWrap/>
            <w:vAlign w:val="center"/>
            <w:hideMark/>
          </w:tcPr>
          <w:p w:rsidR="00B60C9F" w:rsidRPr="007D5D1D" w:rsidRDefault="00B60C9F" w:rsidP="000D5D04">
            <w:pPr>
              <w:spacing w:after="0" w:line="240" w:lineRule="auto"/>
              <w:jc w:val="center"/>
              <w:rPr>
                <w:rFonts w:eastAsia="Times New Roman" w:cs="Arial"/>
                <w:b/>
                <w:color w:val="FFFFFF"/>
                <w:lang w:eastAsia="en-AU"/>
              </w:rPr>
            </w:pPr>
            <w:r w:rsidRPr="007D5D1D">
              <w:rPr>
                <w:rFonts w:eastAsia="Times New Roman" w:cs="Arial"/>
                <w:b/>
                <w:color w:val="FFFFFF"/>
                <w:lang w:eastAsia="en-AU"/>
              </w:rPr>
              <w:t>Age Band</w:t>
            </w:r>
          </w:p>
        </w:tc>
        <w:tc>
          <w:tcPr>
            <w:tcW w:w="2589" w:type="dxa"/>
            <w:tcBorders>
              <w:top w:val="single" w:sz="4" w:space="0" w:color="auto"/>
              <w:left w:val="nil"/>
              <w:bottom w:val="single" w:sz="4" w:space="0" w:color="auto"/>
              <w:right w:val="single" w:sz="4" w:space="0" w:color="auto"/>
            </w:tcBorders>
            <w:shd w:val="clear" w:color="000000" w:fill="6B2976"/>
            <w:vAlign w:val="center"/>
            <w:hideMark/>
          </w:tcPr>
          <w:p w:rsidR="00B60C9F" w:rsidRPr="007D5D1D" w:rsidRDefault="00B60C9F" w:rsidP="000D5D04">
            <w:pPr>
              <w:spacing w:after="0" w:line="240" w:lineRule="auto"/>
              <w:jc w:val="center"/>
              <w:rPr>
                <w:rFonts w:eastAsia="Times New Roman" w:cs="Arial"/>
                <w:b/>
                <w:color w:val="FFFFFF"/>
                <w:lang w:eastAsia="en-AU"/>
              </w:rPr>
            </w:pPr>
            <w:r w:rsidRPr="007D5D1D">
              <w:rPr>
                <w:rFonts w:eastAsia="Times New Roman" w:cs="Arial"/>
                <w:b/>
                <w:color w:val="FFFFFF"/>
                <w:lang w:eastAsia="en-AU"/>
              </w:rPr>
              <w:t>Participants with support coordination as a proportion of all participants</w:t>
            </w:r>
          </w:p>
        </w:tc>
      </w:tr>
      <w:tr w:rsidR="00B60C9F" w:rsidRPr="007D5D1D" w:rsidTr="000D5D04">
        <w:trPr>
          <w:trHeight w:val="266"/>
          <w:jc w:val="center"/>
        </w:trPr>
        <w:tc>
          <w:tcPr>
            <w:tcW w:w="2509" w:type="dxa"/>
            <w:tcBorders>
              <w:top w:val="nil"/>
              <w:left w:val="single" w:sz="4" w:space="0" w:color="auto"/>
              <w:bottom w:val="single" w:sz="4" w:space="0" w:color="auto"/>
              <w:right w:val="single" w:sz="4" w:space="0" w:color="auto"/>
            </w:tcBorders>
            <w:shd w:val="clear" w:color="000000" w:fill="D1D3D4"/>
            <w:noWrap/>
            <w:vAlign w:val="center"/>
            <w:hideMark/>
          </w:tcPr>
          <w:p w:rsidR="00B60C9F" w:rsidRPr="007D5D1D" w:rsidRDefault="00B60C9F" w:rsidP="000D5D04">
            <w:pPr>
              <w:spacing w:after="0" w:line="240" w:lineRule="auto"/>
              <w:jc w:val="center"/>
              <w:rPr>
                <w:rFonts w:eastAsia="Times New Roman" w:cs="Arial"/>
                <w:color w:val="000000"/>
                <w:lang w:eastAsia="en-AU"/>
              </w:rPr>
            </w:pPr>
            <w:r w:rsidRPr="007D5D1D">
              <w:rPr>
                <w:rFonts w:eastAsia="Times New Roman" w:cs="Arial"/>
                <w:color w:val="000000"/>
                <w:lang w:eastAsia="en-AU"/>
              </w:rPr>
              <w:t>0 to 6</w:t>
            </w:r>
          </w:p>
        </w:tc>
        <w:tc>
          <w:tcPr>
            <w:tcW w:w="2589" w:type="dxa"/>
            <w:tcBorders>
              <w:top w:val="nil"/>
              <w:left w:val="nil"/>
              <w:bottom w:val="single" w:sz="4" w:space="0" w:color="auto"/>
              <w:right w:val="single" w:sz="4" w:space="0" w:color="auto"/>
            </w:tcBorders>
            <w:shd w:val="clear" w:color="auto" w:fill="auto"/>
            <w:noWrap/>
            <w:hideMark/>
          </w:tcPr>
          <w:p w:rsidR="00B60C9F" w:rsidRPr="007D5D1D" w:rsidRDefault="00B60C9F" w:rsidP="000D5D04">
            <w:pPr>
              <w:spacing w:after="0" w:line="240" w:lineRule="auto"/>
              <w:jc w:val="center"/>
              <w:rPr>
                <w:rFonts w:eastAsia="Times New Roman" w:cs="Arial"/>
                <w:color w:val="000000"/>
                <w:lang w:eastAsia="en-AU"/>
              </w:rPr>
            </w:pPr>
            <w:r w:rsidRPr="00576E82">
              <w:rPr>
                <w:rFonts w:cs="Arial"/>
              </w:rPr>
              <w:t>9%</w:t>
            </w:r>
          </w:p>
        </w:tc>
      </w:tr>
      <w:tr w:rsidR="00B60C9F" w:rsidRPr="007D5D1D" w:rsidTr="000D5D04">
        <w:trPr>
          <w:trHeight w:val="266"/>
          <w:jc w:val="center"/>
        </w:trPr>
        <w:tc>
          <w:tcPr>
            <w:tcW w:w="2509" w:type="dxa"/>
            <w:tcBorders>
              <w:top w:val="nil"/>
              <w:left w:val="single" w:sz="4" w:space="0" w:color="auto"/>
              <w:bottom w:val="single" w:sz="4" w:space="0" w:color="auto"/>
              <w:right w:val="single" w:sz="4" w:space="0" w:color="auto"/>
            </w:tcBorders>
            <w:shd w:val="clear" w:color="000000" w:fill="D1D3D4"/>
            <w:noWrap/>
            <w:vAlign w:val="center"/>
            <w:hideMark/>
          </w:tcPr>
          <w:p w:rsidR="00B60C9F" w:rsidRPr="007D5D1D" w:rsidRDefault="00B60C9F" w:rsidP="000D5D04">
            <w:pPr>
              <w:spacing w:after="0" w:line="240" w:lineRule="auto"/>
              <w:jc w:val="center"/>
              <w:rPr>
                <w:rFonts w:eastAsia="Times New Roman" w:cs="Arial"/>
                <w:color w:val="000000"/>
                <w:lang w:eastAsia="en-AU"/>
              </w:rPr>
            </w:pPr>
            <w:r w:rsidRPr="007D5D1D">
              <w:rPr>
                <w:rFonts w:eastAsia="Times New Roman" w:cs="Arial"/>
                <w:color w:val="000000"/>
                <w:lang w:eastAsia="en-AU"/>
              </w:rPr>
              <w:t>7 to 14</w:t>
            </w:r>
          </w:p>
        </w:tc>
        <w:tc>
          <w:tcPr>
            <w:tcW w:w="2589" w:type="dxa"/>
            <w:tcBorders>
              <w:top w:val="nil"/>
              <w:left w:val="nil"/>
              <w:bottom w:val="single" w:sz="4" w:space="0" w:color="auto"/>
              <w:right w:val="single" w:sz="4" w:space="0" w:color="auto"/>
            </w:tcBorders>
            <w:shd w:val="clear" w:color="auto" w:fill="auto"/>
            <w:noWrap/>
            <w:hideMark/>
          </w:tcPr>
          <w:p w:rsidR="00B60C9F" w:rsidRPr="007D5D1D" w:rsidRDefault="00B60C9F" w:rsidP="000D5D04">
            <w:pPr>
              <w:spacing w:after="0" w:line="240" w:lineRule="auto"/>
              <w:jc w:val="center"/>
              <w:rPr>
                <w:rFonts w:eastAsia="Times New Roman" w:cs="Arial"/>
                <w:color w:val="000000"/>
                <w:lang w:eastAsia="en-AU"/>
              </w:rPr>
            </w:pPr>
            <w:r w:rsidRPr="00576E82">
              <w:rPr>
                <w:rFonts w:cs="Arial"/>
              </w:rPr>
              <w:t>20%</w:t>
            </w:r>
          </w:p>
        </w:tc>
      </w:tr>
      <w:tr w:rsidR="00B60C9F" w:rsidRPr="007D5D1D" w:rsidTr="000D5D04">
        <w:trPr>
          <w:trHeight w:val="266"/>
          <w:jc w:val="center"/>
        </w:trPr>
        <w:tc>
          <w:tcPr>
            <w:tcW w:w="2509" w:type="dxa"/>
            <w:tcBorders>
              <w:top w:val="nil"/>
              <w:left w:val="single" w:sz="4" w:space="0" w:color="auto"/>
              <w:bottom w:val="single" w:sz="4" w:space="0" w:color="auto"/>
              <w:right w:val="single" w:sz="4" w:space="0" w:color="auto"/>
            </w:tcBorders>
            <w:shd w:val="clear" w:color="000000" w:fill="D1D3D4"/>
            <w:noWrap/>
            <w:vAlign w:val="center"/>
            <w:hideMark/>
          </w:tcPr>
          <w:p w:rsidR="00B60C9F" w:rsidRPr="007D5D1D" w:rsidRDefault="00B60C9F" w:rsidP="000D5D04">
            <w:pPr>
              <w:spacing w:after="0" w:line="240" w:lineRule="auto"/>
              <w:jc w:val="center"/>
              <w:rPr>
                <w:rFonts w:eastAsia="Times New Roman" w:cs="Arial"/>
                <w:color w:val="000000"/>
                <w:lang w:eastAsia="en-AU"/>
              </w:rPr>
            </w:pPr>
            <w:r w:rsidRPr="007D5D1D">
              <w:rPr>
                <w:rFonts w:eastAsia="Times New Roman" w:cs="Arial"/>
                <w:color w:val="000000"/>
                <w:lang w:eastAsia="en-AU"/>
              </w:rPr>
              <w:t>15 to 18</w:t>
            </w:r>
          </w:p>
        </w:tc>
        <w:tc>
          <w:tcPr>
            <w:tcW w:w="2589" w:type="dxa"/>
            <w:tcBorders>
              <w:top w:val="nil"/>
              <w:left w:val="nil"/>
              <w:bottom w:val="single" w:sz="4" w:space="0" w:color="auto"/>
              <w:right w:val="single" w:sz="4" w:space="0" w:color="auto"/>
            </w:tcBorders>
            <w:shd w:val="clear" w:color="auto" w:fill="auto"/>
            <w:noWrap/>
            <w:hideMark/>
          </w:tcPr>
          <w:p w:rsidR="00B60C9F" w:rsidRPr="007D5D1D" w:rsidRDefault="00B60C9F" w:rsidP="000D5D04">
            <w:pPr>
              <w:spacing w:after="0" w:line="240" w:lineRule="auto"/>
              <w:jc w:val="center"/>
              <w:rPr>
                <w:rFonts w:eastAsia="Times New Roman" w:cs="Arial"/>
                <w:color w:val="000000"/>
                <w:lang w:eastAsia="en-AU"/>
              </w:rPr>
            </w:pPr>
            <w:r w:rsidRPr="00576E82">
              <w:rPr>
                <w:rFonts w:cs="Arial"/>
              </w:rPr>
              <w:t>38%</w:t>
            </w:r>
          </w:p>
        </w:tc>
      </w:tr>
      <w:tr w:rsidR="00B60C9F" w:rsidRPr="007D5D1D" w:rsidTr="000D5D04">
        <w:trPr>
          <w:trHeight w:val="266"/>
          <w:jc w:val="center"/>
        </w:trPr>
        <w:tc>
          <w:tcPr>
            <w:tcW w:w="2509" w:type="dxa"/>
            <w:tcBorders>
              <w:top w:val="nil"/>
              <w:left w:val="single" w:sz="4" w:space="0" w:color="auto"/>
              <w:bottom w:val="single" w:sz="4" w:space="0" w:color="auto"/>
              <w:right w:val="single" w:sz="4" w:space="0" w:color="auto"/>
            </w:tcBorders>
            <w:shd w:val="clear" w:color="000000" w:fill="D1D3D4"/>
            <w:noWrap/>
            <w:vAlign w:val="center"/>
            <w:hideMark/>
          </w:tcPr>
          <w:p w:rsidR="00B60C9F" w:rsidRPr="007D5D1D" w:rsidRDefault="00B60C9F" w:rsidP="000D5D04">
            <w:pPr>
              <w:spacing w:after="0" w:line="240" w:lineRule="auto"/>
              <w:jc w:val="center"/>
              <w:rPr>
                <w:rFonts w:eastAsia="Times New Roman" w:cs="Arial"/>
                <w:color w:val="000000"/>
                <w:lang w:eastAsia="en-AU"/>
              </w:rPr>
            </w:pPr>
            <w:r w:rsidRPr="007D5D1D">
              <w:rPr>
                <w:rFonts w:eastAsia="Times New Roman" w:cs="Arial"/>
                <w:color w:val="000000"/>
                <w:lang w:eastAsia="en-AU"/>
              </w:rPr>
              <w:t>19 to 24</w:t>
            </w:r>
          </w:p>
        </w:tc>
        <w:tc>
          <w:tcPr>
            <w:tcW w:w="2589" w:type="dxa"/>
            <w:tcBorders>
              <w:top w:val="nil"/>
              <w:left w:val="nil"/>
              <w:bottom w:val="single" w:sz="4" w:space="0" w:color="auto"/>
              <w:right w:val="single" w:sz="4" w:space="0" w:color="auto"/>
            </w:tcBorders>
            <w:shd w:val="clear" w:color="auto" w:fill="auto"/>
            <w:noWrap/>
            <w:hideMark/>
          </w:tcPr>
          <w:p w:rsidR="00B60C9F" w:rsidRPr="007D5D1D" w:rsidRDefault="00B60C9F" w:rsidP="000D5D04">
            <w:pPr>
              <w:spacing w:after="0" w:line="240" w:lineRule="auto"/>
              <w:jc w:val="center"/>
              <w:rPr>
                <w:rFonts w:eastAsia="Times New Roman" w:cs="Arial"/>
                <w:color w:val="000000"/>
                <w:lang w:eastAsia="en-AU"/>
              </w:rPr>
            </w:pPr>
            <w:r w:rsidRPr="00576E82">
              <w:rPr>
                <w:rFonts w:cs="Arial"/>
              </w:rPr>
              <w:t>49%</w:t>
            </w:r>
          </w:p>
        </w:tc>
      </w:tr>
      <w:tr w:rsidR="00B60C9F" w:rsidRPr="007D5D1D" w:rsidTr="000D5D04">
        <w:trPr>
          <w:trHeight w:val="266"/>
          <w:jc w:val="center"/>
        </w:trPr>
        <w:tc>
          <w:tcPr>
            <w:tcW w:w="2509" w:type="dxa"/>
            <w:tcBorders>
              <w:top w:val="nil"/>
              <w:left w:val="single" w:sz="4" w:space="0" w:color="auto"/>
              <w:bottom w:val="single" w:sz="4" w:space="0" w:color="auto"/>
              <w:right w:val="single" w:sz="4" w:space="0" w:color="auto"/>
            </w:tcBorders>
            <w:shd w:val="clear" w:color="000000" w:fill="D1D3D4"/>
            <w:noWrap/>
            <w:vAlign w:val="center"/>
            <w:hideMark/>
          </w:tcPr>
          <w:p w:rsidR="00B60C9F" w:rsidRPr="007D5D1D" w:rsidRDefault="00B60C9F" w:rsidP="000D5D04">
            <w:pPr>
              <w:spacing w:after="0" w:line="240" w:lineRule="auto"/>
              <w:jc w:val="center"/>
              <w:rPr>
                <w:rFonts w:eastAsia="Times New Roman" w:cs="Arial"/>
                <w:color w:val="000000"/>
                <w:lang w:eastAsia="en-AU"/>
              </w:rPr>
            </w:pPr>
            <w:r w:rsidRPr="007D5D1D">
              <w:rPr>
                <w:rFonts w:eastAsia="Times New Roman" w:cs="Arial"/>
                <w:color w:val="000000"/>
                <w:lang w:eastAsia="en-AU"/>
              </w:rPr>
              <w:t>25 to 34</w:t>
            </w:r>
          </w:p>
        </w:tc>
        <w:tc>
          <w:tcPr>
            <w:tcW w:w="2589" w:type="dxa"/>
            <w:tcBorders>
              <w:top w:val="nil"/>
              <w:left w:val="nil"/>
              <w:bottom w:val="single" w:sz="4" w:space="0" w:color="auto"/>
              <w:right w:val="single" w:sz="4" w:space="0" w:color="auto"/>
            </w:tcBorders>
            <w:shd w:val="clear" w:color="auto" w:fill="auto"/>
            <w:noWrap/>
            <w:hideMark/>
          </w:tcPr>
          <w:p w:rsidR="00B60C9F" w:rsidRPr="007D5D1D" w:rsidRDefault="00B60C9F" w:rsidP="000D5D04">
            <w:pPr>
              <w:spacing w:after="0" w:line="240" w:lineRule="auto"/>
              <w:jc w:val="center"/>
              <w:rPr>
                <w:rFonts w:eastAsia="Times New Roman" w:cs="Arial"/>
                <w:color w:val="000000"/>
                <w:lang w:eastAsia="en-AU"/>
              </w:rPr>
            </w:pPr>
            <w:r w:rsidRPr="00576E82">
              <w:rPr>
                <w:rFonts w:cs="Arial"/>
              </w:rPr>
              <w:t>60%</w:t>
            </w:r>
          </w:p>
        </w:tc>
      </w:tr>
      <w:tr w:rsidR="00B60C9F" w:rsidRPr="007D5D1D" w:rsidTr="000D5D04">
        <w:trPr>
          <w:trHeight w:val="266"/>
          <w:jc w:val="center"/>
        </w:trPr>
        <w:tc>
          <w:tcPr>
            <w:tcW w:w="2509" w:type="dxa"/>
            <w:tcBorders>
              <w:top w:val="nil"/>
              <w:left w:val="single" w:sz="4" w:space="0" w:color="auto"/>
              <w:bottom w:val="single" w:sz="4" w:space="0" w:color="auto"/>
              <w:right w:val="single" w:sz="4" w:space="0" w:color="auto"/>
            </w:tcBorders>
            <w:shd w:val="clear" w:color="000000" w:fill="D1D3D4"/>
            <w:noWrap/>
            <w:vAlign w:val="center"/>
            <w:hideMark/>
          </w:tcPr>
          <w:p w:rsidR="00B60C9F" w:rsidRPr="007D5D1D" w:rsidRDefault="00B60C9F" w:rsidP="000D5D04">
            <w:pPr>
              <w:spacing w:after="0" w:line="240" w:lineRule="auto"/>
              <w:jc w:val="center"/>
              <w:rPr>
                <w:rFonts w:eastAsia="Times New Roman" w:cs="Arial"/>
                <w:color w:val="000000"/>
                <w:lang w:eastAsia="en-AU"/>
              </w:rPr>
            </w:pPr>
            <w:r w:rsidRPr="007D5D1D">
              <w:rPr>
                <w:rFonts w:eastAsia="Times New Roman" w:cs="Arial"/>
                <w:color w:val="000000"/>
                <w:lang w:eastAsia="en-AU"/>
              </w:rPr>
              <w:t>35 to 44</w:t>
            </w:r>
          </w:p>
        </w:tc>
        <w:tc>
          <w:tcPr>
            <w:tcW w:w="2589" w:type="dxa"/>
            <w:tcBorders>
              <w:top w:val="nil"/>
              <w:left w:val="nil"/>
              <w:bottom w:val="single" w:sz="4" w:space="0" w:color="auto"/>
              <w:right w:val="single" w:sz="4" w:space="0" w:color="auto"/>
            </w:tcBorders>
            <w:shd w:val="clear" w:color="auto" w:fill="auto"/>
            <w:noWrap/>
            <w:hideMark/>
          </w:tcPr>
          <w:p w:rsidR="00B60C9F" w:rsidRPr="007D5D1D" w:rsidRDefault="00B60C9F" w:rsidP="000D5D04">
            <w:pPr>
              <w:spacing w:after="0" w:line="240" w:lineRule="auto"/>
              <w:jc w:val="center"/>
              <w:rPr>
                <w:rFonts w:eastAsia="Times New Roman" w:cs="Arial"/>
                <w:color w:val="000000"/>
                <w:lang w:eastAsia="en-AU"/>
              </w:rPr>
            </w:pPr>
            <w:r w:rsidRPr="00576E82">
              <w:rPr>
                <w:rFonts w:cs="Arial"/>
              </w:rPr>
              <w:t>70%</w:t>
            </w:r>
          </w:p>
        </w:tc>
      </w:tr>
      <w:tr w:rsidR="00B60C9F" w:rsidRPr="007D5D1D" w:rsidTr="000D5D04">
        <w:trPr>
          <w:trHeight w:val="266"/>
          <w:jc w:val="center"/>
        </w:trPr>
        <w:tc>
          <w:tcPr>
            <w:tcW w:w="2509" w:type="dxa"/>
            <w:tcBorders>
              <w:top w:val="nil"/>
              <w:left w:val="single" w:sz="4" w:space="0" w:color="auto"/>
              <w:bottom w:val="single" w:sz="4" w:space="0" w:color="auto"/>
              <w:right w:val="single" w:sz="4" w:space="0" w:color="auto"/>
            </w:tcBorders>
            <w:shd w:val="clear" w:color="000000" w:fill="D1D3D4"/>
            <w:noWrap/>
            <w:vAlign w:val="center"/>
            <w:hideMark/>
          </w:tcPr>
          <w:p w:rsidR="00B60C9F" w:rsidRPr="007D5D1D" w:rsidRDefault="00B60C9F" w:rsidP="000D5D04">
            <w:pPr>
              <w:spacing w:after="0" w:line="240" w:lineRule="auto"/>
              <w:jc w:val="center"/>
              <w:rPr>
                <w:rFonts w:eastAsia="Times New Roman" w:cs="Arial"/>
                <w:color w:val="000000"/>
                <w:lang w:eastAsia="en-AU"/>
              </w:rPr>
            </w:pPr>
            <w:r w:rsidRPr="007D5D1D">
              <w:rPr>
                <w:rFonts w:eastAsia="Times New Roman" w:cs="Arial"/>
                <w:color w:val="000000"/>
                <w:lang w:eastAsia="en-AU"/>
              </w:rPr>
              <w:t>45 to 54</w:t>
            </w:r>
          </w:p>
        </w:tc>
        <w:tc>
          <w:tcPr>
            <w:tcW w:w="2589" w:type="dxa"/>
            <w:tcBorders>
              <w:top w:val="nil"/>
              <w:left w:val="nil"/>
              <w:bottom w:val="single" w:sz="4" w:space="0" w:color="auto"/>
              <w:right w:val="single" w:sz="4" w:space="0" w:color="auto"/>
            </w:tcBorders>
            <w:shd w:val="clear" w:color="auto" w:fill="auto"/>
            <w:noWrap/>
            <w:hideMark/>
          </w:tcPr>
          <w:p w:rsidR="00B60C9F" w:rsidRPr="007D5D1D" w:rsidRDefault="00B60C9F" w:rsidP="000D5D04">
            <w:pPr>
              <w:spacing w:after="0" w:line="240" w:lineRule="auto"/>
              <w:jc w:val="center"/>
              <w:rPr>
                <w:rFonts w:eastAsia="Times New Roman" w:cs="Arial"/>
                <w:color w:val="000000"/>
                <w:lang w:eastAsia="en-AU"/>
              </w:rPr>
            </w:pPr>
            <w:r w:rsidRPr="00576E82">
              <w:rPr>
                <w:rFonts w:cs="Arial"/>
              </w:rPr>
              <w:t>73%</w:t>
            </w:r>
          </w:p>
        </w:tc>
      </w:tr>
      <w:tr w:rsidR="00B60C9F" w:rsidRPr="007D5D1D" w:rsidTr="000D5D04">
        <w:trPr>
          <w:trHeight w:val="266"/>
          <w:jc w:val="center"/>
        </w:trPr>
        <w:tc>
          <w:tcPr>
            <w:tcW w:w="2509" w:type="dxa"/>
            <w:tcBorders>
              <w:top w:val="nil"/>
              <w:left w:val="single" w:sz="4" w:space="0" w:color="auto"/>
              <w:bottom w:val="single" w:sz="4" w:space="0" w:color="auto"/>
              <w:right w:val="single" w:sz="4" w:space="0" w:color="auto"/>
            </w:tcBorders>
            <w:shd w:val="clear" w:color="000000" w:fill="D1D3D4"/>
            <w:noWrap/>
            <w:vAlign w:val="center"/>
            <w:hideMark/>
          </w:tcPr>
          <w:p w:rsidR="00B60C9F" w:rsidRPr="007D5D1D" w:rsidRDefault="00B60C9F" w:rsidP="000D5D04">
            <w:pPr>
              <w:spacing w:after="0" w:line="240" w:lineRule="auto"/>
              <w:jc w:val="center"/>
              <w:rPr>
                <w:rFonts w:eastAsia="Times New Roman" w:cs="Arial"/>
                <w:color w:val="000000"/>
                <w:lang w:eastAsia="en-AU"/>
              </w:rPr>
            </w:pPr>
            <w:r w:rsidRPr="007D5D1D">
              <w:rPr>
                <w:rFonts w:eastAsia="Times New Roman" w:cs="Arial"/>
                <w:color w:val="000000"/>
                <w:lang w:eastAsia="en-AU"/>
              </w:rPr>
              <w:t>55 to 64</w:t>
            </w:r>
          </w:p>
        </w:tc>
        <w:tc>
          <w:tcPr>
            <w:tcW w:w="2589" w:type="dxa"/>
            <w:tcBorders>
              <w:top w:val="nil"/>
              <w:left w:val="nil"/>
              <w:bottom w:val="single" w:sz="4" w:space="0" w:color="auto"/>
              <w:right w:val="single" w:sz="4" w:space="0" w:color="auto"/>
            </w:tcBorders>
            <w:shd w:val="clear" w:color="auto" w:fill="auto"/>
            <w:noWrap/>
            <w:hideMark/>
          </w:tcPr>
          <w:p w:rsidR="00B60C9F" w:rsidRPr="007D5D1D" w:rsidRDefault="00B60C9F" w:rsidP="000D5D04">
            <w:pPr>
              <w:spacing w:after="0" w:line="240" w:lineRule="auto"/>
              <w:jc w:val="center"/>
              <w:rPr>
                <w:rFonts w:eastAsia="Times New Roman" w:cs="Arial"/>
                <w:color w:val="000000"/>
                <w:lang w:eastAsia="en-AU"/>
              </w:rPr>
            </w:pPr>
            <w:r w:rsidRPr="00576E82">
              <w:rPr>
                <w:rFonts w:cs="Arial"/>
              </w:rPr>
              <w:t>71%</w:t>
            </w:r>
          </w:p>
        </w:tc>
      </w:tr>
      <w:tr w:rsidR="00B60C9F" w:rsidRPr="007D5D1D" w:rsidTr="000D5D04">
        <w:trPr>
          <w:trHeight w:val="266"/>
          <w:jc w:val="center"/>
        </w:trPr>
        <w:tc>
          <w:tcPr>
            <w:tcW w:w="2509" w:type="dxa"/>
            <w:tcBorders>
              <w:top w:val="nil"/>
              <w:left w:val="single" w:sz="4" w:space="0" w:color="auto"/>
              <w:bottom w:val="single" w:sz="4" w:space="0" w:color="auto"/>
              <w:right w:val="single" w:sz="4" w:space="0" w:color="auto"/>
            </w:tcBorders>
            <w:shd w:val="clear" w:color="000000" w:fill="D1D3D4"/>
            <w:noWrap/>
            <w:vAlign w:val="center"/>
            <w:hideMark/>
          </w:tcPr>
          <w:p w:rsidR="00B60C9F" w:rsidRPr="007D5D1D" w:rsidRDefault="00B60C9F" w:rsidP="000D5D04">
            <w:pPr>
              <w:spacing w:after="0" w:line="240" w:lineRule="auto"/>
              <w:jc w:val="center"/>
              <w:rPr>
                <w:rFonts w:eastAsia="Times New Roman" w:cs="Arial"/>
                <w:color w:val="000000"/>
                <w:lang w:eastAsia="en-AU"/>
              </w:rPr>
            </w:pPr>
            <w:r w:rsidRPr="007D5D1D">
              <w:rPr>
                <w:rFonts w:eastAsia="Times New Roman" w:cs="Arial"/>
                <w:color w:val="000000"/>
                <w:lang w:eastAsia="en-AU"/>
              </w:rPr>
              <w:t>65+</w:t>
            </w:r>
          </w:p>
        </w:tc>
        <w:tc>
          <w:tcPr>
            <w:tcW w:w="2589" w:type="dxa"/>
            <w:tcBorders>
              <w:top w:val="nil"/>
              <w:left w:val="nil"/>
              <w:bottom w:val="single" w:sz="4" w:space="0" w:color="auto"/>
              <w:right w:val="single" w:sz="4" w:space="0" w:color="auto"/>
            </w:tcBorders>
            <w:shd w:val="clear" w:color="auto" w:fill="auto"/>
            <w:noWrap/>
            <w:hideMark/>
          </w:tcPr>
          <w:p w:rsidR="00B60C9F" w:rsidRPr="007D5D1D" w:rsidRDefault="00B60C9F" w:rsidP="000D5D04">
            <w:pPr>
              <w:spacing w:after="0" w:line="240" w:lineRule="auto"/>
              <w:jc w:val="center"/>
              <w:rPr>
                <w:rFonts w:eastAsia="Times New Roman" w:cs="Arial"/>
                <w:color w:val="000000"/>
                <w:lang w:eastAsia="en-AU"/>
              </w:rPr>
            </w:pPr>
            <w:r w:rsidRPr="00576E82">
              <w:rPr>
                <w:rFonts w:cs="Arial"/>
              </w:rPr>
              <w:t>67%</w:t>
            </w:r>
          </w:p>
        </w:tc>
      </w:tr>
      <w:tr w:rsidR="00B60C9F" w:rsidRPr="007D5D1D" w:rsidTr="000D5D04">
        <w:trPr>
          <w:trHeight w:val="273"/>
          <w:jc w:val="center"/>
        </w:trPr>
        <w:tc>
          <w:tcPr>
            <w:tcW w:w="2509" w:type="dxa"/>
            <w:tcBorders>
              <w:top w:val="nil"/>
              <w:left w:val="single" w:sz="4" w:space="0" w:color="auto"/>
              <w:bottom w:val="single" w:sz="4" w:space="0" w:color="auto"/>
              <w:right w:val="single" w:sz="4" w:space="0" w:color="auto"/>
            </w:tcBorders>
            <w:shd w:val="clear" w:color="000000" w:fill="A7A9AC"/>
            <w:noWrap/>
            <w:vAlign w:val="center"/>
            <w:hideMark/>
          </w:tcPr>
          <w:p w:rsidR="00B60C9F" w:rsidRPr="007D5D1D" w:rsidRDefault="00B60C9F" w:rsidP="000D5D04">
            <w:pPr>
              <w:spacing w:after="0" w:line="240" w:lineRule="auto"/>
              <w:jc w:val="center"/>
              <w:rPr>
                <w:rFonts w:eastAsia="Times New Roman" w:cs="Arial"/>
                <w:b/>
                <w:bCs/>
                <w:color w:val="000000"/>
                <w:lang w:eastAsia="en-AU"/>
              </w:rPr>
            </w:pPr>
            <w:r w:rsidRPr="007D5D1D">
              <w:rPr>
                <w:rFonts w:eastAsia="Times New Roman" w:cs="Arial"/>
                <w:b/>
                <w:bCs/>
                <w:color w:val="000000"/>
                <w:lang w:eastAsia="en-AU"/>
              </w:rPr>
              <w:t>Total</w:t>
            </w:r>
          </w:p>
        </w:tc>
        <w:tc>
          <w:tcPr>
            <w:tcW w:w="2589" w:type="dxa"/>
            <w:tcBorders>
              <w:top w:val="nil"/>
              <w:left w:val="nil"/>
              <w:bottom w:val="single" w:sz="4" w:space="0" w:color="auto"/>
              <w:right w:val="single" w:sz="4" w:space="0" w:color="auto"/>
            </w:tcBorders>
            <w:shd w:val="clear" w:color="000000" w:fill="A7A9AC"/>
            <w:noWrap/>
            <w:hideMark/>
          </w:tcPr>
          <w:p w:rsidR="00B60C9F" w:rsidRPr="007D5D1D" w:rsidRDefault="00B60C9F" w:rsidP="000D5D04">
            <w:pPr>
              <w:spacing w:after="0" w:line="240" w:lineRule="auto"/>
              <w:jc w:val="center"/>
              <w:rPr>
                <w:rFonts w:eastAsia="Times New Roman" w:cs="Arial"/>
                <w:b/>
                <w:color w:val="000000"/>
                <w:lang w:eastAsia="en-AU"/>
              </w:rPr>
            </w:pPr>
            <w:r w:rsidRPr="00576E82">
              <w:rPr>
                <w:rFonts w:cs="Arial"/>
                <w:b/>
              </w:rPr>
              <w:t>43%</w:t>
            </w:r>
          </w:p>
        </w:tc>
      </w:tr>
    </w:tbl>
    <w:p w:rsidR="00941A88" w:rsidRDefault="00941A88" w:rsidP="00E9592E"/>
    <w:p w:rsidR="00B60C9F" w:rsidRDefault="00B60C9F" w:rsidP="00941A88">
      <w:pPr>
        <w:pStyle w:val="Heading4"/>
        <w:numPr>
          <w:ilvl w:val="0"/>
          <w:numId w:val="0"/>
        </w:numPr>
      </w:pPr>
      <w:bookmarkStart w:id="23" w:name="_Toc88041441"/>
      <w:r>
        <w:t xml:space="preserve">Table </w:t>
      </w:r>
      <w:r>
        <w:fldChar w:fldCharType="begin"/>
      </w:r>
      <w:r>
        <w:instrText xml:space="preserve"> SEQ Table \* ARABIC </w:instrText>
      </w:r>
      <w:r>
        <w:fldChar w:fldCharType="separate"/>
      </w:r>
      <w:r w:rsidR="00AF0586">
        <w:rPr>
          <w:noProof/>
        </w:rPr>
        <w:t>2</w:t>
      </w:r>
      <w:r>
        <w:fldChar w:fldCharType="end"/>
      </w:r>
      <w:r>
        <w:t xml:space="preserve">: </w:t>
      </w:r>
      <w:r w:rsidRPr="005E324C">
        <w:t>Support coordinati</w:t>
      </w:r>
      <w:r>
        <w:t>on funding in plans by disability type</w:t>
      </w:r>
      <w:r w:rsidRPr="005E324C">
        <w:t xml:space="preserve">, as at 30 </w:t>
      </w:r>
      <w:r>
        <w:t>September</w:t>
      </w:r>
      <w:r w:rsidRPr="005E324C">
        <w:t xml:space="preserve"> 2021</w:t>
      </w:r>
      <w:bookmarkEnd w:id="23"/>
    </w:p>
    <w:tbl>
      <w:tblPr>
        <w:tblW w:w="5665" w:type="dxa"/>
        <w:jc w:val="center"/>
        <w:tblLook w:val="04A0" w:firstRow="1" w:lastRow="0" w:firstColumn="1" w:lastColumn="0" w:noHBand="0" w:noVBand="1"/>
      </w:tblPr>
      <w:tblGrid>
        <w:gridCol w:w="3219"/>
        <w:gridCol w:w="2446"/>
      </w:tblGrid>
      <w:tr w:rsidR="00B60C9F" w:rsidRPr="007D5D1D" w:rsidTr="000D5D04">
        <w:trPr>
          <w:trHeight w:val="977"/>
          <w:tblHeader/>
          <w:jc w:val="center"/>
        </w:trPr>
        <w:tc>
          <w:tcPr>
            <w:tcW w:w="3219" w:type="dxa"/>
            <w:tcBorders>
              <w:top w:val="single" w:sz="4" w:space="0" w:color="auto"/>
              <w:left w:val="single" w:sz="4" w:space="0" w:color="auto"/>
              <w:bottom w:val="single" w:sz="4" w:space="0" w:color="auto"/>
              <w:right w:val="single" w:sz="4" w:space="0" w:color="auto"/>
            </w:tcBorders>
            <w:shd w:val="clear" w:color="000000" w:fill="6B2976"/>
            <w:noWrap/>
            <w:vAlign w:val="center"/>
            <w:hideMark/>
          </w:tcPr>
          <w:p w:rsidR="00B60C9F" w:rsidRPr="002A7C1B" w:rsidRDefault="00B60C9F" w:rsidP="000D5D04">
            <w:pPr>
              <w:spacing w:after="0" w:line="240" w:lineRule="auto"/>
              <w:jc w:val="center"/>
              <w:rPr>
                <w:rFonts w:eastAsia="Times New Roman" w:cs="Arial"/>
                <w:b/>
                <w:bCs/>
                <w:color w:val="FFFFFF"/>
                <w:szCs w:val="20"/>
                <w:lang w:eastAsia="en-AU"/>
              </w:rPr>
            </w:pPr>
            <w:r w:rsidRPr="002A7C1B">
              <w:rPr>
                <w:rFonts w:eastAsia="Times New Roman" w:cs="Arial"/>
                <w:b/>
                <w:bCs/>
                <w:color w:val="FFFFFF"/>
                <w:szCs w:val="20"/>
                <w:lang w:eastAsia="en-AU"/>
              </w:rPr>
              <w:t>Disability type</w:t>
            </w:r>
          </w:p>
        </w:tc>
        <w:tc>
          <w:tcPr>
            <w:tcW w:w="2446" w:type="dxa"/>
            <w:tcBorders>
              <w:top w:val="single" w:sz="4" w:space="0" w:color="auto"/>
              <w:left w:val="nil"/>
              <w:bottom w:val="single" w:sz="4" w:space="0" w:color="auto"/>
              <w:right w:val="single" w:sz="4" w:space="0" w:color="auto"/>
            </w:tcBorders>
            <w:shd w:val="clear" w:color="000000" w:fill="6B2976"/>
            <w:vAlign w:val="center"/>
            <w:hideMark/>
          </w:tcPr>
          <w:p w:rsidR="00B60C9F" w:rsidRPr="000C4449" w:rsidRDefault="00B60C9F" w:rsidP="000D5D04">
            <w:pPr>
              <w:spacing w:after="0" w:line="240" w:lineRule="auto"/>
              <w:jc w:val="center"/>
              <w:rPr>
                <w:rFonts w:eastAsia="Times New Roman" w:cs="Arial"/>
                <w:b/>
                <w:bCs/>
                <w:color w:val="FFFFFF"/>
                <w:szCs w:val="20"/>
                <w:lang w:eastAsia="en-AU"/>
              </w:rPr>
            </w:pPr>
            <w:r w:rsidRPr="000C4449">
              <w:rPr>
                <w:rFonts w:eastAsia="Times New Roman" w:cs="Arial"/>
                <w:b/>
                <w:bCs/>
                <w:color w:val="FFFFFF"/>
                <w:szCs w:val="20"/>
                <w:lang w:eastAsia="en-AU"/>
              </w:rPr>
              <w:t>Participants with support coordination as a proportion of all participants</w:t>
            </w:r>
          </w:p>
        </w:tc>
      </w:tr>
      <w:tr w:rsidR="00B60C9F" w:rsidRPr="007D5D1D" w:rsidTr="000D5D04">
        <w:trPr>
          <w:trHeight w:val="237"/>
          <w:jc w:val="center"/>
        </w:trPr>
        <w:tc>
          <w:tcPr>
            <w:tcW w:w="3219" w:type="dxa"/>
            <w:tcBorders>
              <w:top w:val="nil"/>
              <w:left w:val="single" w:sz="4" w:space="0" w:color="auto"/>
              <w:bottom w:val="single" w:sz="4" w:space="0" w:color="auto"/>
              <w:right w:val="single" w:sz="4" w:space="0" w:color="auto"/>
            </w:tcBorders>
            <w:shd w:val="clear" w:color="000000" w:fill="D1D3D4"/>
            <w:noWrap/>
            <w:vAlign w:val="center"/>
            <w:hideMark/>
          </w:tcPr>
          <w:p w:rsidR="00B60C9F" w:rsidRPr="002A7C1B" w:rsidRDefault="00B60C9F" w:rsidP="000D5D04">
            <w:pPr>
              <w:spacing w:after="0" w:line="240" w:lineRule="auto"/>
              <w:rPr>
                <w:rFonts w:eastAsia="Times New Roman" w:cs="Arial"/>
                <w:color w:val="000000"/>
                <w:szCs w:val="20"/>
                <w:lang w:eastAsia="en-AU"/>
              </w:rPr>
            </w:pPr>
            <w:r w:rsidRPr="002A7C1B">
              <w:rPr>
                <w:rFonts w:eastAsia="Times New Roman" w:cs="Arial"/>
                <w:color w:val="000000"/>
                <w:szCs w:val="20"/>
                <w:lang w:eastAsia="en-AU"/>
              </w:rPr>
              <w:t>Acquired Brain Injury</w:t>
            </w:r>
          </w:p>
        </w:tc>
        <w:tc>
          <w:tcPr>
            <w:tcW w:w="2446" w:type="dxa"/>
            <w:tcBorders>
              <w:top w:val="nil"/>
              <w:left w:val="nil"/>
              <w:bottom w:val="single" w:sz="4" w:space="0" w:color="auto"/>
              <w:right w:val="single" w:sz="4" w:space="0" w:color="auto"/>
            </w:tcBorders>
            <w:shd w:val="clear" w:color="auto" w:fill="auto"/>
            <w:noWrap/>
            <w:hideMark/>
          </w:tcPr>
          <w:p w:rsidR="00B60C9F" w:rsidRPr="000C4449" w:rsidRDefault="00B60C9F" w:rsidP="000D5D04">
            <w:pPr>
              <w:spacing w:after="0" w:line="240" w:lineRule="auto"/>
              <w:jc w:val="center"/>
              <w:rPr>
                <w:rFonts w:eastAsia="Times New Roman" w:cs="Arial"/>
                <w:color w:val="000000"/>
                <w:szCs w:val="20"/>
                <w:lang w:eastAsia="en-AU"/>
              </w:rPr>
            </w:pPr>
            <w:r w:rsidRPr="00576E82">
              <w:rPr>
                <w:rFonts w:cs="Arial"/>
              </w:rPr>
              <w:t>81%</w:t>
            </w:r>
          </w:p>
        </w:tc>
      </w:tr>
      <w:tr w:rsidR="00B60C9F" w:rsidRPr="007D5D1D" w:rsidTr="000D5D04">
        <w:trPr>
          <w:trHeight w:val="237"/>
          <w:jc w:val="center"/>
        </w:trPr>
        <w:tc>
          <w:tcPr>
            <w:tcW w:w="3219" w:type="dxa"/>
            <w:tcBorders>
              <w:top w:val="nil"/>
              <w:left w:val="single" w:sz="4" w:space="0" w:color="auto"/>
              <w:bottom w:val="single" w:sz="4" w:space="0" w:color="auto"/>
              <w:right w:val="single" w:sz="4" w:space="0" w:color="auto"/>
            </w:tcBorders>
            <w:shd w:val="clear" w:color="000000" w:fill="D1D3D4"/>
            <w:noWrap/>
            <w:vAlign w:val="center"/>
            <w:hideMark/>
          </w:tcPr>
          <w:p w:rsidR="00B60C9F" w:rsidRPr="002A7C1B" w:rsidRDefault="00B60C9F" w:rsidP="000D5D04">
            <w:pPr>
              <w:spacing w:after="0" w:line="240" w:lineRule="auto"/>
              <w:rPr>
                <w:rFonts w:eastAsia="Times New Roman" w:cs="Arial"/>
                <w:color w:val="000000"/>
                <w:szCs w:val="20"/>
                <w:lang w:eastAsia="en-AU"/>
              </w:rPr>
            </w:pPr>
            <w:r w:rsidRPr="002A7C1B">
              <w:rPr>
                <w:rFonts w:eastAsia="Times New Roman" w:cs="Arial"/>
                <w:color w:val="000000"/>
                <w:szCs w:val="20"/>
                <w:lang w:eastAsia="en-AU"/>
              </w:rPr>
              <w:t>Autism</w:t>
            </w:r>
          </w:p>
        </w:tc>
        <w:tc>
          <w:tcPr>
            <w:tcW w:w="2446" w:type="dxa"/>
            <w:tcBorders>
              <w:top w:val="nil"/>
              <w:left w:val="nil"/>
              <w:bottom w:val="single" w:sz="4" w:space="0" w:color="auto"/>
              <w:right w:val="single" w:sz="4" w:space="0" w:color="auto"/>
            </w:tcBorders>
            <w:shd w:val="clear" w:color="auto" w:fill="auto"/>
            <w:noWrap/>
            <w:hideMark/>
          </w:tcPr>
          <w:p w:rsidR="00B60C9F" w:rsidRPr="000C4449" w:rsidRDefault="00B60C9F" w:rsidP="000D5D04">
            <w:pPr>
              <w:spacing w:after="0" w:line="240" w:lineRule="auto"/>
              <w:jc w:val="center"/>
              <w:rPr>
                <w:rFonts w:eastAsia="Times New Roman" w:cs="Arial"/>
                <w:color w:val="000000"/>
                <w:szCs w:val="20"/>
                <w:lang w:eastAsia="en-AU"/>
              </w:rPr>
            </w:pPr>
            <w:r w:rsidRPr="00576E82">
              <w:rPr>
                <w:rFonts w:cs="Arial"/>
              </w:rPr>
              <w:t>26%</w:t>
            </w:r>
          </w:p>
        </w:tc>
      </w:tr>
      <w:tr w:rsidR="00B60C9F" w:rsidRPr="007D5D1D" w:rsidTr="000D5D04">
        <w:trPr>
          <w:trHeight w:val="237"/>
          <w:jc w:val="center"/>
        </w:trPr>
        <w:tc>
          <w:tcPr>
            <w:tcW w:w="3219" w:type="dxa"/>
            <w:tcBorders>
              <w:top w:val="nil"/>
              <w:left w:val="single" w:sz="4" w:space="0" w:color="auto"/>
              <w:bottom w:val="single" w:sz="4" w:space="0" w:color="auto"/>
              <w:right w:val="single" w:sz="4" w:space="0" w:color="auto"/>
            </w:tcBorders>
            <w:shd w:val="clear" w:color="000000" w:fill="D1D3D4"/>
            <w:noWrap/>
            <w:vAlign w:val="center"/>
            <w:hideMark/>
          </w:tcPr>
          <w:p w:rsidR="00B60C9F" w:rsidRPr="002A7C1B" w:rsidRDefault="00B60C9F" w:rsidP="000D5D04">
            <w:pPr>
              <w:spacing w:after="0" w:line="240" w:lineRule="auto"/>
              <w:rPr>
                <w:rFonts w:eastAsia="Times New Roman" w:cs="Arial"/>
                <w:color w:val="000000"/>
                <w:szCs w:val="20"/>
                <w:lang w:eastAsia="en-AU"/>
              </w:rPr>
            </w:pPr>
            <w:r w:rsidRPr="002A7C1B">
              <w:rPr>
                <w:rFonts w:eastAsia="Times New Roman" w:cs="Arial"/>
                <w:color w:val="000000"/>
                <w:szCs w:val="20"/>
                <w:lang w:eastAsia="en-AU"/>
              </w:rPr>
              <w:t>Cerebral Palsy</w:t>
            </w:r>
          </w:p>
        </w:tc>
        <w:tc>
          <w:tcPr>
            <w:tcW w:w="2446" w:type="dxa"/>
            <w:tcBorders>
              <w:top w:val="nil"/>
              <w:left w:val="nil"/>
              <w:bottom w:val="single" w:sz="4" w:space="0" w:color="auto"/>
              <w:right w:val="single" w:sz="4" w:space="0" w:color="auto"/>
            </w:tcBorders>
            <w:shd w:val="clear" w:color="auto" w:fill="auto"/>
            <w:noWrap/>
            <w:hideMark/>
          </w:tcPr>
          <w:p w:rsidR="00B60C9F" w:rsidRPr="000C4449" w:rsidRDefault="00B60C9F" w:rsidP="000D5D04">
            <w:pPr>
              <w:spacing w:after="0" w:line="240" w:lineRule="auto"/>
              <w:jc w:val="center"/>
              <w:rPr>
                <w:rFonts w:eastAsia="Times New Roman" w:cs="Arial"/>
                <w:color w:val="000000"/>
                <w:szCs w:val="20"/>
                <w:lang w:eastAsia="en-AU"/>
              </w:rPr>
            </w:pPr>
            <w:r w:rsidRPr="00576E82">
              <w:rPr>
                <w:rFonts w:cs="Arial"/>
              </w:rPr>
              <w:t>49%</w:t>
            </w:r>
          </w:p>
        </w:tc>
      </w:tr>
      <w:tr w:rsidR="00B60C9F" w:rsidRPr="007D5D1D" w:rsidTr="000D5D04">
        <w:trPr>
          <w:trHeight w:val="237"/>
          <w:jc w:val="center"/>
        </w:trPr>
        <w:tc>
          <w:tcPr>
            <w:tcW w:w="3219" w:type="dxa"/>
            <w:tcBorders>
              <w:top w:val="nil"/>
              <w:left w:val="single" w:sz="4" w:space="0" w:color="auto"/>
              <w:bottom w:val="single" w:sz="4" w:space="0" w:color="auto"/>
              <w:right w:val="single" w:sz="4" w:space="0" w:color="auto"/>
            </w:tcBorders>
            <w:shd w:val="clear" w:color="000000" w:fill="D1D3D4"/>
            <w:noWrap/>
            <w:vAlign w:val="center"/>
            <w:hideMark/>
          </w:tcPr>
          <w:p w:rsidR="00B60C9F" w:rsidRPr="002A7C1B" w:rsidRDefault="00B60C9F" w:rsidP="000D5D04">
            <w:pPr>
              <w:spacing w:after="0" w:line="240" w:lineRule="auto"/>
              <w:rPr>
                <w:rFonts w:eastAsia="Times New Roman" w:cs="Arial"/>
                <w:color w:val="000000"/>
                <w:szCs w:val="20"/>
                <w:lang w:eastAsia="en-AU"/>
              </w:rPr>
            </w:pPr>
            <w:r w:rsidRPr="002A7C1B">
              <w:rPr>
                <w:rFonts w:eastAsia="Times New Roman" w:cs="Arial"/>
                <w:color w:val="000000"/>
                <w:szCs w:val="20"/>
                <w:lang w:eastAsia="en-AU"/>
              </w:rPr>
              <w:t>Developmental Delay</w:t>
            </w:r>
          </w:p>
        </w:tc>
        <w:tc>
          <w:tcPr>
            <w:tcW w:w="2446" w:type="dxa"/>
            <w:tcBorders>
              <w:top w:val="nil"/>
              <w:left w:val="nil"/>
              <w:bottom w:val="single" w:sz="4" w:space="0" w:color="auto"/>
              <w:right w:val="single" w:sz="4" w:space="0" w:color="auto"/>
            </w:tcBorders>
            <w:shd w:val="clear" w:color="auto" w:fill="auto"/>
            <w:noWrap/>
            <w:hideMark/>
          </w:tcPr>
          <w:p w:rsidR="00B60C9F" w:rsidRPr="000C4449" w:rsidRDefault="00B60C9F" w:rsidP="000D5D04">
            <w:pPr>
              <w:spacing w:after="0" w:line="240" w:lineRule="auto"/>
              <w:jc w:val="center"/>
              <w:rPr>
                <w:rFonts w:eastAsia="Times New Roman" w:cs="Arial"/>
                <w:color w:val="000000"/>
                <w:szCs w:val="20"/>
                <w:lang w:eastAsia="en-AU"/>
              </w:rPr>
            </w:pPr>
            <w:r w:rsidRPr="00576E82">
              <w:rPr>
                <w:rFonts w:cs="Arial"/>
              </w:rPr>
              <w:t>9%</w:t>
            </w:r>
          </w:p>
        </w:tc>
      </w:tr>
      <w:tr w:rsidR="00B60C9F" w:rsidRPr="007D5D1D" w:rsidTr="000D5D04">
        <w:trPr>
          <w:trHeight w:val="237"/>
          <w:jc w:val="center"/>
        </w:trPr>
        <w:tc>
          <w:tcPr>
            <w:tcW w:w="3219" w:type="dxa"/>
            <w:tcBorders>
              <w:top w:val="nil"/>
              <w:left w:val="single" w:sz="4" w:space="0" w:color="auto"/>
              <w:bottom w:val="single" w:sz="4" w:space="0" w:color="auto"/>
              <w:right w:val="single" w:sz="4" w:space="0" w:color="auto"/>
            </w:tcBorders>
            <w:shd w:val="clear" w:color="000000" w:fill="D1D3D4"/>
            <w:noWrap/>
            <w:vAlign w:val="center"/>
            <w:hideMark/>
          </w:tcPr>
          <w:p w:rsidR="00B60C9F" w:rsidRPr="002A7C1B" w:rsidRDefault="00B60C9F" w:rsidP="000D5D04">
            <w:pPr>
              <w:spacing w:after="0" w:line="240" w:lineRule="auto"/>
              <w:rPr>
                <w:rFonts w:eastAsia="Times New Roman" w:cs="Arial"/>
                <w:color w:val="000000"/>
                <w:szCs w:val="20"/>
                <w:lang w:eastAsia="en-AU"/>
              </w:rPr>
            </w:pPr>
            <w:r w:rsidRPr="002A7C1B">
              <w:rPr>
                <w:rFonts w:eastAsia="Times New Roman" w:cs="Arial"/>
                <w:color w:val="000000"/>
                <w:szCs w:val="20"/>
                <w:lang w:eastAsia="en-AU"/>
              </w:rPr>
              <w:t>Down Syndrome</w:t>
            </w:r>
          </w:p>
        </w:tc>
        <w:tc>
          <w:tcPr>
            <w:tcW w:w="2446" w:type="dxa"/>
            <w:tcBorders>
              <w:top w:val="nil"/>
              <w:left w:val="nil"/>
              <w:bottom w:val="single" w:sz="4" w:space="0" w:color="auto"/>
              <w:right w:val="single" w:sz="4" w:space="0" w:color="auto"/>
            </w:tcBorders>
            <w:shd w:val="clear" w:color="auto" w:fill="auto"/>
            <w:noWrap/>
            <w:hideMark/>
          </w:tcPr>
          <w:p w:rsidR="00B60C9F" w:rsidRPr="000C4449" w:rsidRDefault="00B60C9F" w:rsidP="000D5D04">
            <w:pPr>
              <w:spacing w:after="0" w:line="240" w:lineRule="auto"/>
              <w:jc w:val="center"/>
              <w:rPr>
                <w:rFonts w:eastAsia="Times New Roman" w:cs="Arial"/>
                <w:color w:val="000000"/>
                <w:szCs w:val="20"/>
                <w:lang w:eastAsia="en-AU"/>
              </w:rPr>
            </w:pPr>
            <w:r w:rsidRPr="00576E82">
              <w:rPr>
                <w:rFonts w:cs="Arial"/>
              </w:rPr>
              <w:t>46%</w:t>
            </w:r>
          </w:p>
        </w:tc>
      </w:tr>
      <w:tr w:rsidR="00B60C9F" w:rsidRPr="007D5D1D" w:rsidTr="000D5D04">
        <w:trPr>
          <w:trHeight w:val="237"/>
          <w:jc w:val="center"/>
        </w:trPr>
        <w:tc>
          <w:tcPr>
            <w:tcW w:w="3219" w:type="dxa"/>
            <w:tcBorders>
              <w:top w:val="nil"/>
              <w:left w:val="single" w:sz="4" w:space="0" w:color="auto"/>
              <w:bottom w:val="single" w:sz="4" w:space="0" w:color="auto"/>
              <w:right w:val="single" w:sz="4" w:space="0" w:color="auto"/>
            </w:tcBorders>
            <w:shd w:val="clear" w:color="000000" w:fill="D1D3D4"/>
            <w:noWrap/>
            <w:vAlign w:val="center"/>
            <w:hideMark/>
          </w:tcPr>
          <w:p w:rsidR="00B60C9F" w:rsidRPr="002A7C1B" w:rsidRDefault="00B60C9F" w:rsidP="000D5D04">
            <w:pPr>
              <w:spacing w:after="0" w:line="240" w:lineRule="auto"/>
              <w:rPr>
                <w:rFonts w:eastAsia="Times New Roman" w:cs="Arial"/>
                <w:color w:val="000000"/>
                <w:szCs w:val="20"/>
                <w:lang w:eastAsia="en-AU"/>
              </w:rPr>
            </w:pPr>
            <w:r w:rsidRPr="002A7C1B">
              <w:rPr>
                <w:rFonts w:eastAsia="Times New Roman" w:cs="Arial"/>
                <w:color w:val="000000"/>
                <w:szCs w:val="20"/>
                <w:lang w:eastAsia="en-AU"/>
              </w:rPr>
              <w:t>Global Developmental Delay</w:t>
            </w:r>
          </w:p>
        </w:tc>
        <w:tc>
          <w:tcPr>
            <w:tcW w:w="2446" w:type="dxa"/>
            <w:tcBorders>
              <w:top w:val="nil"/>
              <w:left w:val="nil"/>
              <w:bottom w:val="single" w:sz="4" w:space="0" w:color="auto"/>
              <w:right w:val="single" w:sz="4" w:space="0" w:color="auto"/>
            </w:tcBorders>
            <w:shd w:val="clear" w:color="auto" w:fill="auto"/>
            <w:noWrap/>
            <w:hideMark/>
          </w:tcPr>
          <w:p w:rsidR="00B60C9F" w:rsidRPr="000C4449" w:rsidRDefault="00B60C9F" w:rsidP="000D5D04">
            <w:pPr>
              <w:spacing w:after="0" w:line="240" w:lineRule="auto"/>
              <w:jc w:val="center"/>
              <w:rPr>
                <w:rFonts w:eastAsia="Times New Roman" w:cs="Arial"/>
                <w:color w:val="000000"/>
                <w:szCs w:val="20"/>
                <w:lang w:eastAsia="en-AU"/>
              </w:rPr>
            </w:pPr>
            <w:r w:rsidRPr="00576E82">
              <w:rPr>
                <w:rFonts w:cs="Arial"/>
              </w:rPr>
              <w:t>13%</w:t>
            </w:r>
          </w:p>
        </w:tc>
      </w:tr>
      <w:tr w:rsidR="00B60C9F" w:rsidRPr="007D5D1D" w:rsidTr="000D5D04">
        <w:trPr>
          <w:trHeight w:val="237"/>
          <w:jc w:val="center"/>
        </w:trPr>
        <w:tc>
          <w:tcPr>
            <w:tcW w:w="3219" w:type="dxa"/>
            <w:tcBorders>
              <w:top w:val="nil"/>
              <w:left w:val="single" w:sz="4" w:space="0" w:color="auto"/>
              <w:bottom w:val="single" w:sz="4" w:space="0" w:color="auto"/>
              <w:right w:val="single" w:sz="4" w:space="0" w:color="auto"/>
            </w:tcBorders>
            <w:shd w:val="clear" w:color="000000" w:fill="D1D3D4"/>
            <w:noWrap/>
            <w:vAlign w:val="center"/>
            <w:hideMark/>
          </w:tcPr>
          <w:p w:rsidR="00B60C9F" w:rsidRPr="002A7C1B" w:rsidRDefault="00B60C9F" w:rsidP="000D5D04">
            <w:pPr>
              <w:spacing w:after="0" w:line="240" w:lineRule="auto"/>
              <w:rPr>
                <w:rFonts w:eastAsia="Times New Roman" w:cs="Arial"/>
                <w:color w:val="000000"/>
                <w:szCs w:val="20"/>
                <w:lang w:eastAsia="en-AU"/>
              </w:rPr>
            </w:pPr>
            <w:r w:rsidRPr="002A7C1B">
              <w:rPr>
                <w:rFonts w:eastAsia="Times New Roman" w:cs="Arial"/>
                <w:color w:val="000000"/>
                <w:szCs w:val="20"/>
                <w:lang w:eastAsia="en-AU"/>
              </w:rPr>
              <w:t>Hearing Impairment</w:t>
            </w:r>
          </w:p>
        </w:tc>
        <w:tc>
          <w:tcPr>
            <w:tcW w:w="2446" w:type="dxa"/>
            <w:tcBorders>
              <w:top w:val="nil"/>
              <w:left w:val="nil"/>
              <w:bottom w:val="single" w:sz="4" w:space="0" w:color="auto"/>
              <w:right w:val="single" w:sz="4" w:space="0" w:color="auto"/>
            </w:tcBorders>
            <w:shd w:val="clear" w:color="auto" w:fill="auto"/>
            <w:noWrap/>
            <w:hideMark/>
          </w:tcPr>
          <w:p w:rsidR="00B60C9F" w:rsidRPr="000C4449" w:rsidRDefault="00B60C9F" w:rsidP="000D5D04">
            <w:pPr>
              <w:spacing w:after="0" w:line="240" w:lineRule="auto"/>
              <w:jc w:val="center"/>
              <w:rPr>
                <w:rFonts w:eastAsia="Times New Roman" w:cs="Arial"/>
                <w:color w:val="000000"/>
                <w:szCs w:val="20"/>
                <w:lang w:eastAsia="en-AU"/>
              </w:rPr>
            </w:pPr>
            <w:r w:rsidRPr="00576E82">
              <w:rPr>
                <w:rFonts w:cs="Arial"/>
              </w:rPr>
              <w:t>14%</w:t>
            </w:r>
          </w:p>
        </w:tc>
      </w:tr>
      <w:tr w:rsidR="00B60C9F" w:rsidRPr="007D5D1D" w:rsidTr="000D5D04">
        <w:trPr>
          <w:trHeight w:val="237"/>
          <w:jc w:val="center"/>
        </w:trPr>
        <w:tc>
          <w:tcPr>
            <w:tcW w:w="3219" w:type="dxa"/>
            <w:tcBorders>
              <w:top w:val="nil"/>
              <w:left w:val="single" w:sz="4" w:space="0" w:color="auto"/>
              <w:bottom w:val="single" w:sz="4" w:space="0" w:color="auto"/>
              <w:right w:val="single" w:sz="4" w:space="0" w:color="auto"/>
            </w:tcBorders>
            <w:shd w:val="clear" w:color="000000" w:fill="D1D3D4"/>
            <w:noWrap/>
            <w:vAlign w:val="center"/>
            <w:hideMark/>
          </w:tcPr>
          <w:p w:rsidR="00B60C9F" w:rsidRPr="002A7C1B" w:rsidRDefault="00B60C9F" w:rsidP="000D5D04">
            <w:pPr>
              <w:spacing w:after="0" w:line="240" w:lineRule="auto"/>
              <w:rPr>
                <w:rFonts w:eastAsia="Times New Roman" w:cs="Arial"/>
                <w:color w:val="000000"/>
                <w:szCs w:val="20"/>
                <w:lang w:eastAsia="en-AU"/>
              </w:rPr>
            </w:pPr>
            <w:r w:rsidRPr="002A7C1B">
              <w:rPr>
                <w:rFonts w:eastAsia="Times New Roman" w:cs="Arial"/>
                <w:color w:val="000000"/>
                <w:szCs w:val="20"/>
                <w:lang w:eastAsia="en-AU"/>
              </w:rPr>
              <w:t>Intellectual disability</w:t>
            </w:r>
          </w:p>
        </w:tc>
        <w:tc>
          <w:tcPr>
            <w:tcW w:w="2446" w:type="dxa"/>
            <w:tcBorders>
              <w:top w:val="nil"/>
              <w:left w:val="nil"/>
              <w:bottom w:val="single" w:sz="4" w:space="0" w:color="auto"/>
              <w:right w:val="single" w:sz="4" w:space="0" w:color="auto"/>
            </w:tcBorders>
            <w:shd w:val="clear" w:color="auto" w:fill="auto"/>
            <w:noWrap/>
            <w:hideMark/>
          </w:tcPr>
          <w:p w:rsidR="00B60C9F" w:rsidRPr="000C4449" w:rsidRDefault="00B60C9F" w:rsidP="000D5D04">
            <w:pPr>
              <w:spacing w:after="0" w:line="240" w:lineRule="auto"/>
              <w:jc w:val="center"/>
              <w:rPr>
                <w:rFonts w:eastAsia="Times New Roman" w:cs="Arial"/>
                <w:color w:val="000000"/>
                <w:szCs w:val="20"/>
                <w:lang w:eastAsia="en-AU"/>
              </w:rPr>
            </w:pPr>
            <w:r w:rsidRPr="00576E82">
              <w:rPr>
                <w:rFonts w:cs="Arial"/>
              </w:rPr>
              <w:t>58%</w:t>
            </w:r>
          </w:p>
        </w:tc>
      </w:tr>
      <w:tr w:rsidR="00B60C9F" w:rsidRPr="007D5D1D" w:rsidTr="000D5D04">
        <w:trPr>
          <w:trHeight w:val="237"/>
          <w:jc w:val="center"/>
        </w:trPr>
        <w:tc>
          <w:tcPr>
            <w:tcW w:w="3219" w:type="dxa"/>
            <w:tcBorders>
              <w:top w:val="nil"/>
              <w:left w:val="single" w:sz="4" w:space="0" w:color="auto"/>
              <w:bottom w:val="single" w:sz="4" w:space="0" w:color="auto"/>
              <w:right w:val="single" w:sz="4" w:space="0" w:color="auto"/>
            </w:tcBorders>
            <w:shd w:val="clear" w:color="000000" w:fill="D1D3D4"/>
            <w:noWrap/>
            <w:vAlign w:val="center"/>
            <w:hideMark/>
          </w:tcPr>
          <w:p w:rsidR="00B60C9F" w:rsidRPr="002A7C1B" w:rsidRDefault="00B60C9F" w:rsidP="000D5D04">
            <w:pPr>
              <w:spacing w:after="0" w:line="240" w:lineRule="auto"/>
              <w:rPr>
                <w:rFonts w:eastAsia="Times New Roman" w:cs="Arial"/>
                <w:color w:val="000000"/>
                <w:szCs w:val="20"/>
                <w:lang w:eastAsia="en-AU"/>
              </w:rPr>
            </w:pPr>
            <w:r w:rsidRPr="002A7C1B">
              <w:rPr>
                <w:rFonts w:eastAsia="Times New Roman" w:cs="Arial"/>
                <w:color w:val="000000"/>
                <w:szCs w:val="20"/>
                <w:lang w:eastAsia="en-AU"/>
              </w:rPr>
              <w:t>Multiple Sclerosis</w:t>
            </w:r>
          </w:p>
        </w:tc>
        <w:tc>
          <w:tcPr>
            <w:tcW w:w="2446" w:type="dxa"/>
            <w:tcBorders>
              <w:top w:val="nil"/>
              <w:left w:val="nil"/>
              <w:bottom w:val="single" w:sz="4" w:space="0" w:color="auto"/>
              <w:right w:val="single" w:sz="4" w:space="0" w:color="auto"/>
            </w:tcBorders>
            <w:shd w:val="clear" w:color="auto" w:fill="auto"/>
            <w:noWrap/>
            <w:hideMark/>
          </w:tcPr>
          <w:p w:rsidR="00B60C9F" w:rsidRPr="000C4449" w:rsidRDefault="00B60C9F" w:rsidP="000D5D04">
            <w:pPr>
              <w:spacing w:after="0" w:line="240" w:lineRule="auto"/>
              <w:jc w:val="center"/>
              <w:rPr>
                <w:rFonts w:eastAsia="Times New Roman" w:cs="Arial"/>
                <w:color w:val="000000"/>
                <w:szCs w:val="20"/>
                <w:lang w:eastAsia="en-AU"/>
              </w:rPr>
            </w:pPr>
            <w:r w:rsidRPr="00576E82">
              <w:rPr>
                <w:rFonts w:cs="Arial"/>
              </w:rPr>
              <w:t>65%</w:t>
            </w:r>
          </w:p>
        </w:tc>
      </w:tr>
      <w:tr w:rsidR="00B60C9F" w:rsidRPr="007D5D1D" w:rsidTr="000D5D04">
        <w:trPr>
          <w:trHeight w:val="237"/>
          <w:jc w:val="center"/>
        </w:trPr>
        <w:tc>
          <w:tcPr>
            <w:tcW w:w="3219" w:type="dxa"/>
            <w:tcBorders>
              <w:top w:val="nil"/>
              <w:left w:val="single" w:sz="4" w:space="0" w:color="auto"/>
              <w:bottom w:val="single" w:sz="4" w:space="0" w:color="auto"/>
              <w:right w:val="single" w:sz="4" w:space="0" w:color="auto"/>
            </w:tcBorders>
            <w:shd w:val="clear" w:color="000000" w:fill="D1D3D4"/>
            <w:noWrap/>
            <w:vAlign w:val="center"/>
            <w:hideMark/>
          </w:tcPr>
          <w:p w:rsidR="00B60C9F" w:rsidRPr="002A7C1B" w:rsidRDefault="00B60C9F" w:rsidP="000D5D04">
            <w:pPr>
              <w:spacing w:after="0" w:line="240" w:lineRule="auto"/>
              <w:rPr>
                <w:rFonts w:eastAsia="Times New Roman" w:cs="Arial"/>
                <w:color w:val="000000"/>
                <w:szCs w:val="20"/>
                <w:lang w:eastAsia="en-AU"/>
              </w:rPr>
            </w:pPr>
            <w:r w:rsidRPr="002A7C1B">
              <w:rPr>
                <w:rFonts w:eastAsia="Times New Roman" w:cs="Arial"/>
                <w:color w:val="000000"/>
                <w:szCs w:val="20"/>
                <w:lang w:eastAsia="en-AU"/>
              </w:rPr>
              <w:t>Other</w:t>
            </w:r>
          </w:p>
        </w:tc>
        <w:tc>
          <w:tcPr>
            <w:tcW w:w="2446" w:type="dxa"/>
            <w:tcBorders>
              <w:top w:val="nil"/>
              <w:left w:val="nil"/>
              <w:bottom w:val="single" w:sz="4" w:space="0" w:color="auto"/>
              <w:right w:val="single" w:sz="4" w:space="0" w:color="auto"/>
            </w:tcBorders>
            <w:shd w:val="clear" w:color="auto" w:fill="auto"/>
            <w:noWrap/>
            <w:hideMark/>
          </w:tcPr>
          <w:p w:rsidR="00B60C9F" w:rsidRPr="000C4449" w:rsidRDefault="00B60C9F" w:rsidP="000D5D04">
            <w:pPr>
              <w:spacing w:after="0" w:line="240" w:lineRule="auto"/>
              <w:jc w:val="center"/>
              <w:rPr>
                <w:rFonts w:eastAsia="Times New Roman" w:cs="Arial"/>
                <w:color w:val="000000"/>
                <w:szCs w:val="20"/>
                <w:lang w:eastAsia="en-AU"/>
              </w:rPr>
            </w:pPr>
            <w:r w:rsidRPr="00576E82">
              <w:rPr>
                <w:rFonts w:cs="Arial"/>
              </w:rPr>
              <w:t>53%</w:t>
            </w:r>
          </w:p>
        </w:tc>
      </w:tr>
      <w:tr w:rsidR="00B60C9F" w:rsidRPr="007D5D1D" w:rsidTr="000D5D04">
        <w:trPr>
          <w:trHeight w:val="237"/>
          <w:jc w:val="center"/>
        </w:trPr>
        <w:tc>
          <w:tcPr>
            <w:tcW w:w="3219" w:type="dxa"/>
            <w:tcBorders>
              <w:top w:val="nil"/>
              <w:left w:val="single" w:sz="4" w:space="0" w:color="auto"/>
              <w:bottom w:val="single" w:sz="4" w:space="0" w:color="auto"/>
              <w:right w:val="single" w:sz="4" w:space="0" w:color="auto"/>
            </w:tcBorders>
            <w:shd w:val="clear" w:color="000000" w:fill="D1D3D4"/>
            <w:noWrap/>
            <w:vAlign w:val="center"/>
            <w:hideMark/>
          </w:tcPr>
          <w:p w:rsidR="00B60C9F" w:rsidRPr="002A7C1B" w:rsidRDefault="00B60C9F" w:rsidP="000D5D04">
            <w:pPr>
              <w:spacing w:after="0" w:line="240" w:lineRule="auto"/>
              <w:rPr>
                <w:rFonts w:eastAsia="Times New Roman" w:cs="Arial"/>
                <w:color w:val="000000"/>
                <w:szCs w:val="20"/>
                <w:lang w:eastAsia="en-AU"/>
              </w:rPr>
            </w:pPr>
            <w:r w:rsidRPr="002A7C1B">
              <w:rPr>
                <w:rFonts w:eastAsia="Times New Roman" w:cs="Arial"/>
                <w:color w:val="000000"/>
                <w:szCs w:val="20"/>
                <w:lang w:eastAsia="en-AU"/>
              </w:rPr>
              <w:t>Other Neurological</w:t>
            </w:r>
          </w:p>
        </w:tc>
        <w:tc>
          <w:tcPr>
            <w:tcW w:w="2446" w:type="dxa"/>
            <w:tcBorders>
              <w:top w:val="nil"/>
              <w:left w:val="nil"/>
              <w:bottom w:val="single" w:sz="4" w:space="0" w:color="auto"/>
              <w:right w:val="single" w:sz="4" w:space="0" w:color="auto"/>
            </w:tcBorders>
            <w:shd w:val="clear" w:color="auto" w:fill="auto"/>
            <w:noWrap/>
            <w:hideMark/>
          </w:tcPr>
          <w:p w:rsidR="00B60C9F" w:rsidRPr="000C4449" w:rsidRDefault="00B60C9F" w:rsidP="000D5D04">
            <w:pPr>
              <w:spacing w:after="0" w:line="240" w:lineRule="auto"/>
              <w:jc w:val="center"/>
              <w:rPr>
                <w:rFonts w:eastAsia="Times New Roman" w:cs="Arial"/>
                <w:color w:val="000000"/>
                <w:szCs w:val="20"/>
                <w:lang w:eastAsia="en-AU"/>
              </w:rPr>
            </w:pPr>
            <w:r w:rsidRPr="00576E82">
              <w:rPr>
                <w:rFonts w:cs="Arial"/>
              </w:rPr>
              <w:t>67%</w:t>
            </w:r>
          </w:p>
        </w:tc>
      </w:tr>
      <w:tr w:rsidR="00B60C9F" w:rsidRPr="007D5D1D" w:rsidTr="000D5D04">
        <w:trPr>
          <w:trHeight w:val="237"/>
          <w:jc w:val="center"/>
        </w:trPr>
        <w:tc>
          <w:tcPr>
            <w:tcW w:w="3219" w:type="dxa"/>
            <w:tcBorders>
              <w:top w:val="nil"/>
              <w:left w:val="single" w:sz="4" w:space="0" w:color="auto"/>
              <w:bottom w:val="single" w:sz="4" w:space="0" w:color="auto"/>
              <w:right w:val="single" w:sz="4" w:space="0" w:color="auto"/>
            </w:tcBorders>
            <w:shd w:val="clear" w:color="000000" w:fill="D1D3D4"/>
            <w:noWrap/>
            <w:vAlign w:val="center"/>
            <w:hideMark/>
          </w:tcPr>
          <w:p w:rsidR="00B60C9F" w:rsidRPr="002A7C1B" w:rsidRDefault="00B60C9F" w:rsidP="000D5D04">
            <w:pPr>
              <w:spacing w:after="0" w:line="240" w:lineRule="auto"/>
              <w:rPr>
                <w:rFonts w:eastAsia="Times New Roman" w:cs="Arial"/>
                <w:color w:val="000000"/>
                <w:szCs w:val="20"/>
                <w:lang w:eastAsia="en-AU"/>
              </w:rPr>
            </w:pPr>
            <w:r w:rsidRPr="002A7C1B">
              <w:rPr>
                <w:rFonts w:eastAsia="Times New Roman" w:cs="Arial"/>
                <w:color w:val="000000"/>
                <w:szCs w:val="20"/>
                <w:lang w:eastAsia="en-AU"/>
              </w:rPr>
              <w:t>Other Physical</w:t>
            </w:r>
          </w:p>
        </w:tc>
        <w:tc>
          <w:tcPr>
            <w:tcW w:w="2446" w:type="dxa"/>
            <w:tcBorders>
              <w:top w:val="nil"/>
              <w:left w:val="nil"/>
              <w:bottom w:val="single" w:sz="4" w:space="0" w:color="auto"/>
              <w:right w:val="single" w:sz="4" w:space="0" w:color="auto"/>
            </w:tcBorders>
            <w:shd w:val="clear" w:color="auto" w:fill="auto"/>
            <w:noWrap/>
            <w:hideMark/>
          </w:tcPr>
          <w:p w:rsidR="00B60C9F" w:rsidRPr="000C4449" w:rsidRDefault="00B60C9F" w:rsidP="000D5D04">
            <w:pPr>
              <w:spacing w:after="0" w:line="240" w:lineRule="auto"/>
              <w:jc w:val="center"/>
              <w:rPr>
                <w:rFonts w:eastAsia="Times New Roman" w:cs="Arial"/>
                <w:color w:val="000000"/>
                <w:szCs w:val="20"/>
                <w:lang w:eastAsia="en-AU"/>
              </w:rPr>
            </w:pPr>
            <w:r w:rsidRPr="00576E82">
              <w:rPr>
                <w:rFonts w:cs="Arial"/>
              </w:rPr>
              <w:t>41%</w:t>
            </w:r>
          </w:p>
        </w:tc>
      </w:tr>
      <w:tr w:rsidR="00B60C9F" w:rsidRPr="007D5D1D" w:rsidTr="000D5D04">
        <w:trPr>
          <w:trHeight w:val="237"/>
          <w:jc w:val="center"/>
        </w:trPr>
        <w:tc>
          <w:tcPr>
            <w:tcW w:w="3219" w:type="dxa"/>
            <w:tcBorders>
              <w:top w:val="nil"/>
              <w:left w:val="single" w:sz="4" w:space="0" w:color="auto"/>
              <w:bottom w:val="single" w:sz="4" w:space="0" w:color="auto"/>
              <w:right w:val="single" w:sz="4" w:space="0" w:color="auto"/>
            </w:tcBorders>
            <w:shd w:val="clear" w:color="000000" w:fill="D1D3D4"/>
            <w:noWrap/>
            <w:vAlign w:val="center"/>
            <w:hideMark/>
          </w:tcPr>
          <w:p w:rsidR="00B60C9F" w:rsidRPr="002A7C1B" w:rsidRDefault="00B60C9F" w:rsidP="000D5D04">
            <w:pPr>
              <w:spacing w:after="0" w:line="240" w:lineRule="auto"/>
              <w:rPr>
                <w:rFonts w:eastAsia="Times New Roman" w:cs="Arial"/>
                <w:color w:val="000000"/>
                <w:szCs w:val="20"/>
                <w:lang w:eastAsia="en-AU"/>
              </w:rPr>
            </w:pPr>
            <w:r w:rsidRPr="002A7C1B">
              <w:rPr>
                <w:rFonts w:eastAsia="Times New Roman" w:cs="Arial"/>
                <w:color w:val="000000"/>
                <w:szCs w:val="20"/>
                <w:lang w:eastAsia="en-AU"/>
              </w:rPr>
              <w:t>Other Sensory/Speech</w:t>
            </w:r>
          </w:p>
        </w:tc>
        <w:tc>
          <w:tcPr>
            <w:tcW w:w="2446" w:type="dxa"/>
            <w:tcBorders>
              <w:top w:val="nil"/>
              <w:left w:val="nil"/>
              <w:bottom w:val="single" w:sz="4" w:space="0" w:color="auto"/>
              <w:right w:val="single" w:sz="4" w:space="0" w:color="auto"/>
            </w:tcBorders>
            <w:shd w:val="clear" w:color="auto" w:fill="auto"/>
            <w:noWrap/>
            <w:hideMark/>
          </w:tcPr>
          <w:p w:rsidR="00B60C9F" w:rsidRPr="000C4449" w:rsidRDefault="00B60C9F" w:rsidP="000D5D04">
            <w:pPr>
              <w:spacing w:after="0" w:line="240" w:lineRule="auto"/>
              <w:jc w:val="center"/>
              <w:rPr>
                <w:rFonts w:eastAsia="Times New Roman" w:cs="Arial"/>
                <w:color w:val="000000"/>
                <w:szCs w:val="20"/>
                <w:lang w:eastAsia="en-AU"/>
              </w:rPr>
            </w:pPr>
            <w:r w:rsidRPr="00576E82">
              <w:rPr>
                <w:rFonts w:cs="Arial"/>
              </w:rPr>
              <w:t>15%</w:t>
            </w:r>
          </w:p>
        </w:tc>
      </w:tr>
      <w:tr w:rsidR="00B60C9F" w:rsidRPr="007D5D1D" w:rsidTr="000D5D04">
        <w:trPr>
          <w:trHeight w:val="237"/>
          <w:jc w:val="center"/>
        </w:trPr>
        <w:tc>
          <w:tcPr>
            <w:tcW w:w="3219" w:type="dxa"/>
            <w:tcBorders>
              <w:top w:val="nil"/>
              <w:left w:val="single" w:sz="4" w:space="0" w:color="auto"/>
              <w:bottom w:val="single" w:sz="4" w:space="0" w:color="auto"/>
              <w:right w:val="single" w:sz="4" w:space="0" w:color="auto"/>
            </w:tcBorders>
            <w:shd w:val="clear" w:color="000000" w:fill="D1D3D4"/>
            <w:noWrap/>
            <w:vAlign w:val="center"/>
            <w:hideMark/>
          </w:tcPr>
          <w:p w:rsidR="00B60C9F" w:rsidRPr="002A7C1B" w:rsidRDefault="00B60C9F" w:rsidP="000D5D04">
            <w:pPr>
              <w:spacing w:after="0" w:line="240" w:lineRule="auto"/>
              <w:rPr>
                <w:rFonts w:eastAsia="Times New Roman" w:cs="Arial"/>
                <w:color w:val="000000"/>
                <w:szCs w:val="20"/>
                <w:lang w:eastAsia="en-AU"/>
              </w:rPr>
            </w:pPr>
            <w:r w:rsidRPr="002A7C1B">
              <w:rPr>
                <w:rFonts w:eastAsia="Times New Roman" w:cs="Arial"/>
                <w:color w:val="000000"/>
                <w:szCs w:val="20"/>
                <w:lang w:eastAsia="en-AU"/>
              </w:rPr>
              <w:t>Psychosocial Disability</w:t>
            </w:r>
          </w:p>
        </w:tc>
        <w:tc>
          <w:tcPr>
            <w:tcW w:w="2446" w:type="dxa"/>
            <w:tcBorders>
              <w:top w:val="nil"/>
              <w:left w:val="nil"/>
              <w:bottom w:val="single" w:sz="4" w:space="0" w:color="auto"/>
              <w:right w:val="single" w:sz="4" w:space="0" w:color="auto"/>
            </w:tcBorders>
            <w:shd w:val="clear" w:color="auto" w:fill="auto"/>
            <w:noWrap/>
            <w:hideMark/>
          </w:tcPr>
          <w:p w:rsidR="00B60C9F" w:rsidRPr="000C4449" w:rsidRDefault="00B60C9F" w:rsidP="000D5D04">
            <w:pPr>
              <w:spacing w:after="0" w:line="240" w:lineRule="auto"/>
              <w:jc w:val="center"/>
              <w:rPr>
                <w:rFonts w:eastAsia="Times New Roman" w:cs="Arial"/>
                <w:color w:val="000000"/>
                <w:szCs w:val="20"/>
                <w:lang w:eastAsia="en-AU"/>
              </w:rPr>
            </w:pPr>
            <w:r w:rsidRPr="00576E82">
              <w:rPr>
                <w:rFonts w:cs="Arial"/>
              </w:rPr>
              <w:t>90%</w:t>
            </w:r>
          </w:p>
        </w:tc>
      </w:tr>
      <w:tr w:rsidR="00B60C9F" w:rsidRPr="007D5D1D" w:rsidTr="000D5D04">
        <w:trPr>
          <w:trHeight w:val="237"/>
          <w:jc w:val="center"/>
        </w:trPr>
        <w:tc>
          <w:tcPr>
            <w:tcW w:w="3219" w:type="dxa"/>
            <w:tcBorders>
              <w:top w:val="nil"/>
              <w:left w:val="single" w:sz="4" w:space="0" w:color="auto"/>
              <w:bottom w:val="single" w:sz="4" w:space="0" w:color="auto"/>
              <w:right w:val="single" w:sz="4" w:space="0" w:color="auto"/>
            </w:tcBorders>
            <w:shd w:val="clear" w:color="000000" w:fill="D1D3D4"/>
            <w:noWrap/>
            <w:vAlign w:val="center"/>
            <w:hideMark/>
          </w:tcPr>
          <w:p w:rsidR="00B60C9F" w:rsidRPr="002A7C1B" w:rsidRDefault="00B60C9F" w:rsidP="000D5D04">
            <w:pPr>
              <w:spacing w:after="0" w:line="240" w:lineRule="auto"/>
              <w:rPr>
                <w:rFonts w:eastAsia="Times New Roman" w:cs="Arial"/>
                <w:color w:val="000000"/>
                <w:szCs w:val="20"/>
                <w:lang w:eastAsia="en-AU"/>
              </w:rPr>
            </w:pPr>
            <w:r w:rsidRPr="002A7C1B">
              <w:rPr>
                <w:rFonts w:eastAsia="Times New Roman" w:cs="Arial"/>
                <w:color w:val="000000"/>
                <w:szCs w:val="20"/>
                <w:lang w:eastAsia="en-AU"/>
              </w:rPr>
              <w:t>Spinal Cord Injury</w:t>
            </w:r>
          </w:p>
        </w:tc>
        <w:tc>
          <w:tcPr>
            <w:tcW w:w="2446" w:type="dxa"/>
            <w:tcBorders>
              <w:top w:val="nil"/>
              <w:left w:val="nil"/>
              <w:bottom w:val="single" w:sz="4" w:space="0" w:color="auto"/>
              <w:right w:val="single" w:sz="4" w:space="0" w:color="auto"/>
            </w:tcBorders>
            <w:shd w:val="clear" w:color="auto" w:fill="auto"/>
            <w:noWrap/>
            <w:hideMark/>
          </w:tcPr>
          <w:p w:rsidR="00B60C9F" w:rsidRPr="000C4449" w:rsidRDefault="00B60C9F" w:rsidP="000D5D04">
            <w:pPr>
              <w:spacing w:after="0" w:line="240" w:lineRule="auto"/>
              <w:jc w:val="center"/>
              <w:rPr>
                <w:rFonts w:eastAsia="Times New Roman" w:cs="Arial"/>
                <w:color w:val="000000"/>
                <w:szCs w:val="20"/>
                <w:lang w:eastAsia="en-AU"/>
              </w:rPr>
            </w:pPr>
            <w:r w:rsidRPr="00576E82">
              <w:rPr>
                <w:rFonts w:cs="Arial"/>
              </w:rPr>
              <w:t>56%</w:t>
            </w:r>
          </w:p>
        </w:tc>
      </w:tr>
      <w:tr w:rsidR="00B60C9F" w:rsidRPr="007D5D1D" w:rsidTr="000D5D04">
        <w:trPr>
          <w:trHeight w:val="237"/>
          <w:jc w:val="center"/>
        </w:trPr>
        <w:tc>
          <w:tcPr>
            <w:tcW w:w="3219" w:type="dxa"/>
            <w:tcBorders>
              <w:top w:val="nil"/>
              <w:left w:val="single" w:sz="4" w:space="0" w:color="auto"/>
              <w:bottom w:val="single" w:sz="4" w:space="0" w:color="auto"/>
              <w:right w:val="single" w:sz="4" w:space="0" w:color="auto"/>
            </w:tcBorders>
            <w:shd w:val="clear" w:color="000000" w:fill="D1D3D4"/>
            <w:noWrap/>
            <w:vAlign w:val="center"/>
            <w:hideMark/>
          </w:tcPr>
          <w:p w:rsidR="00B60C9F" w:rsidRPr="002A7C1B" w:rsidRDefault="00B60C9F" w:rsidP="000D5D04">
            <w:pPr>
              <w:spacing w:after="0" w:line="240" w:lineRule="auto"/>
              <w:rPr>
                <w:rFonts w:eastAsia="Times New Roman" w:cs="Arial"/>
                <w:color w:val="000000"/>
                <w:szCs w:val="20"/>
                <w:lang w:eastAsia="en-AU"/>
              </w:rPr>
            </w:pPr>
            <w:r w:rsidRPr="002A7C1B">
              <w:rPr>
                <w:rFonts w:eastAsia="Times New Roman" w:cs="Arial"/>
                <w:color w:val="000000"/>
                <w:szCs w:val="20"/>
                <w:lang w:eastAsia="en-AU"/>
              </w:rPr>
              <w:t>Stroke</w:t>
            </w:r>
          </w:p>
        </w:tc>
        <w:tc>
          <w:tcPr>
            <w:tcW w:w="2446" w:type="dxa"/>
            <w:tcBorders>
              <w:top w:val="nil"/>
              <w:left w:val="nil"/>
              <w:bottom w:val="single" w:sz="4" w:space="0" w:color="auto"/>
              <w:right w:val="single" w:sz="4" w:space="0" w:color="auto"/>
            </w:tcBorders>
            <w:shd w:val="clear" w:color="auto" w:fill="auto"/>
            <w:noWrap/>
            <w:hideMark/>
          </w:tcPr>
          <w:p w:rsidR="00B60C9F" w:rsidRPr="000C4449" w:rsidRDefault="00B60C9F" w:rsidP="000D5D04">
            <w:pPr>
              <w:spacing w:after="0" w:line="240" w:lineRule="auto"/>
              <w:jc w:val="center"/>
              <w:rPr>
                <w:rFonts w:eastAsia="Times New Roman" w:cs="Arial"/>
                <w:color w:val="000000"/>
                <w:szCs w:val="20"/>
                <w:lang w:eastAsia="en-AU"/>
              </w:rPr>
            </w:pPr>
            <w:r w:rsidRPr="00576E82">
              <w:rPr>
                <w:rFonts w:cs="Arial"/>
              </w:rPr>
              <w:t>69%</w:t>
            </w:r>
          </w:p>
        </w:tc>
      </w:tr>
      <w:tr w:rsidR="00B60C9F" w:rsidRPr="007D5D1D" w:rsidTr="000D5D04">
        <w:trPr>
          <w:trHeight w:val="237"/>
          <w:jc w:val="center"/>
        </w:trPr>
        <w:tc>
          <w:tcPr>
            <w:tcW w:w="3219" w:type="dxa"/>
            <w:tcBorders>
              <w:top w:val="nil"/>
              <w:left w:val="single" w:sz="4" w:space="0" w:color="auto"/>
              <w:bottom w:val="single" w:sz="4" w:space="0" w:color="auto"/>
              <w:right w:val="single" w:sz="4" w:space="0" w:color="auto"/>
            </w:tcBorders>
            <w:shd w:val="clear" w:color="000000" w:fill="D1D3D4"/>
            <w:noWrap/>
            <w:vAlign w:val="center"/>
            <w:hideMark/>
          </w:tcPr>
          <w:p w:rsidR="00B60C9F" w:rsidRPr="002A7C1B" w:rsidRDefault="00B60C9F" w:rsidP="000D5D04">
            <w:pPr>
              <w:spacing w:after="0" w:line="240" w:lineRule="auto"/>
              <w:rPr>
                <w:rFonts w:eastAsia="Times New Roman" w:cs="Arial"/>
                <w:color w:val="000000"/>
                <w:szCs w:val="20"/>
                <w:lang w:eastAsia="en-AU"/>
              </w:rPr>
            </w:pPr>
            <w:r w:rsidRPr="002A7C1B">
              <w:rPr>
                <w:rFonts w:eastAsia="Times New Roman" w:cs="Arial"/>
                <w:color w:val="000000"/>
                <w:szCs w:val="20"/>
                <w:lang w:eastAsia="en-AU"/>
              </w:rPr>
              <w:t>Visual Impairment</w:t>
            </w:r>
          </w:p>
        </w:tc>
        <w:tc>
          <w:tcPr>
            <w:tcW w:w="2446" w:type="dxa"/>
            <w:tcBorders>
              <w:top w:val="nil"/>
              <w:left w:val="nil"/>
              <w:bottom w:val="single" w:sz="4" w:space="0" w:color="auto"/>
              <w:right w:val="single" w:sz="4" w:space="0" w:color="auto"/>
            </w:tcBorders>
            <w:shd w:val="clear" w:color="auto" w:fill="auto"/>
            <w:noWrap/>
            <w:hideMark/>
          </w:tcPr>
          <w:p w:rsidR="00B60C9F" w:rsidRPr="000C4449" w:rsidRDefault="00B60C9F" w:rsidP="000D5D04">
            <w:pPr>
              <w:spacing w:after="0" w:line="240" w:lineRule="auto"/>
              <w:jc w:val="center"/>
              <w:rPr>
                <w:rFonts w:eastAsia="Times New Roman" w:cs="Arial"/>
                <w:color w:val="000000"/>
                <w:szCs w:val="20"/>
                <w:lang w:eastAsia="en-AU"/>
              </w:rPr>
            </w:pPr>
            <w:r w:rsidRPr="00576E82">
              <w:rPr>
                <w:rFonts w:cs="Arial"/>
              </w:rPr>
              <w:t>34%</w:t>
            </w:r>
          </w:p>
        </w:tc>
      </w:tr>
      <w:tr w:rsidR="00B60C9F" w:rsidRPr="007D5D1D" w:rsidTr="000D5D04">
        <w:trPr>
          <w:trHeight w:val="237"/>
          <w:jc w:val="center"/>
        </w:trPr>
        <w:tc>
          <w:tcPr>
            <w:tcW w:w="3219" w:type="dxa"/>
            <w:tcBorders>
              <w:top w:val="nil"/>
              <w:left w:val="single" w:sz="4" w:space="0" w:color="auto"/>
              <w:bottom w:val="single" w:sz="4" w:space="0" w:color="auto"/>
              <w:right w:val="single" w:sz="4" w:space="0" w:color="auto"/>
            </w:tcBorders>
            <w:shd w:val="clear" w:color="000000" w:fill="A7A9AC"/>
            <w:noWrap/>
            <w:vAlign w:val="center"/>
            <w:hideMark/>
          </w:tcPr>
          <w:p w:rsidR="00B60C9F" w:rsidRPr="002A7C1B" w:rsidRDefault="00B60C9F" w:rsidP="000D5D04">
            <w:pPr>
              <w:spacing w:after="0" w:line="240" w:lineRule="auto"/>
              <w:rPr>
                <w:rFonts w:eastAsia="Times New Roman" w:cs="Arial"/>
                <w:b/>
                <w:color w:val="000000"/>
                <w:szCs w:val="20"/>
                <w:lang w:eastAsia="en-AU"/>
              </w:rPr>
            </w:pPr>
            <w:r w:rsidRPr="002A7C1B">
              <w:rPr>
                <w:rFonts w:eastAsia="Times New Roman" w:cs="Arial"/>
                <w:b/>
                <w:color w:val="000000"/>
                <w:szCs w:val="20"/>
                <w:lang w:eastAsia="en-AU"/>
              </w:rPr>
              <w:t>Total</w:t>
            </w:r>
          </w:p>
        </w:tc>
        <w:tc>
          <w:tcPr>
            <w:tcW w:w="2446" w:type="dxa"/>
            <w:tcBorders>
              <w:top w:val="nil"/>
              <w:left w:val="nil"/>
              <w:bottom w:val="single" w:sz="4" w:space="0" w:color="auto"/>
              <w:right w:val="single" w:sz="4" w:space="0" w:color="auto"/>
            </w:tcBorders>
            <w:shd w:val="clear" w:color="000000" w:fill="A7A9AC"/>
            <w:noWrap/>
            <w:vAlign w:val="bottom"/>
            <w:hideMark/>
          </w:tcPr>
          <w:p w:rsidR="00B60C9F" w:rsidRPr="000C4449" w:rsidRDefault="00B60C9F" w:rsidP="000D5D04">
            <w:pPr>
              <w:spacing w:after="0" w:line="240" w:lineRule="auto"/>
              <w:jc w:val="center"/>
              <w:rPr>
                <w:rFonts w:eastAsia="Times New Roman" w:cs="Arial"/>
                <w:b/>
                <w:color w:val="000000"/>
                <w:szCs w:val="20"/>
                <w:lang w:eastAsia="en-AU"/>
              </w:rPr>
            </w:pPr>
            <w:r w:rsidRPr="000C4449">
              <w:rPr>
                <w:rFonts w:eastAsia="Times New Roman" w:cs="Arial"/>
                <w:b/>
                <w:color w:val="000000"/>
                <w:szCs w:val="20"/>
                <w:lang w:eastAsia="en-AU"/>
              </w:rPr>
              <w:t>43%</w:t>
            </w:r>
          </w:p>
        </w:tc>
      </w:tr>
    </w:tbl>
    <w:p w:rsidR="00B60C9F" w:rsidRDefault="00B60C9F" w:rsidP="00B60C9F">
      <w:pPr>
        <w:spacing w:before="120"/>
      </w:pPr>
      <w:r w:rsidDel="006416AC">
        <w:t xml:space="preserve">We recognise the importance of support coordination in helping participants build skills to understand and implement their NDIS plan, and to overcome any potential barriers or challenges in doing so. </w:t>
      </w:r>
      <w:r>
        <w:t xml:space="preserve">We will continue to ensure that the support coordination service model effectively and efficiently delivers the best possible outcomes for all participants. </w:t>
      </w:r>
    </w:p>
    <w:p w:rsidR="00B60C9F" w:rsidRDefault="00B60C9F" w:rsidP="00B60C9F">
      <w:pPr>
        <w:spacing w:before="200" w:after="0"/>
      </w:pPr>
      <w:r>
        <w:t xml:space="preserve">The NDIA welcomes any feedback on the directions in this report. Feedback can be emailed to </w:t>
      </w:r>
      <w:hyperlink r:id="rId34" w:history="1">
        <w:r w:rsidRPr="004A2E92">
          <w:rPr>
            <w:rStyle w:val="Hyperlink"/>
          </w:rPr>
          <w:t>supportcoordination@ndis.gov.au</w:t>
        </w:r>
      </w:hyperlink>
      <w:r>
        <w:t>.</w:t>
      </w:r>
      <w:r>
        <w:br w:type="page"/>
      </w:r>
    </w:p>
    <w:p w:rsidR="00B60C9F" w:rsidRDefault="00B60C9F" w:rsidP="00941A88">
      <w:pPr>
        <w:pStyle w:val="Heading2"/>
        <w:numPr>
          <w:ilvl w:val="0"/>
          <w:numId w:val="0"/>
        </w:numPr>
        <w:tabs>
          <w:tab w:val="left" w:pos="7310"/>
        </w:tabs>
        <w:ind w:left="720" w:hanging="720"/>
      </w:pPr>
      <w:bookmarkStart w:id="24" w:name="_Appendix_–_Consultation"/>
      <w:bookmarkStart w:id="25" w:name="_Toc88041442"/>
      <w:bookmarkEnd w:id="24"/>
      <w:r>
        <w:lastRenderedPageBreak/>
        <w:t>Appendix A – Consultation overview</w:t>
      </w:r>
      <w:bookmarkEnd w:id="25"/>
    </w:p>
    <w:p w:rsidR="00B60C9F" w:rsidRPr="001770BC" w:rsidRDefault="00B60C9F" w:rsidP="00B60C9F">
      <w:pPr>
        <w:rPr>
          <w:rFonts w:cs="Arial"/>
          <w:szCs w:val="22"/>
        </w:rPr>
      </w:pPr>
      <w:r>
        <w:rPr>
          <w:rFonts w:cs="Arial"/>
          <w:szCs w:val="22"/>
        </w:rPr>
        <w:t>On 12 August 2020</w:t>
      </w:r>
      <w:r w:rsidRPr="001770BC">
        <w:rPr>
          <w:rFonts w:cs="Arial"/>
          <w:szCs w:val="22"/>
        </w:rPr>
        <w:t xml:space="preserve"> </w:t>
      </w:r>
      <w:r>
        <w:rPr>
          <w:rFonts w:cs="Arial"/>
          <w:szCs w:val="22"/>
        </w:rPr>
        <w:t>we released a Support Coordination</w:t>
      </w:r>
      <w:r w:rsidRPr="001770BC">
        <w:rPr>
          <w:rFonts w:cs="Arial"/>
          <w:szCs w:val="22"/>
        </w:rPr>
        <w:t xml:space="preserve"> Discussion Paper. </w:t>
      </w:r>
      <w:r>
        <w:rPr>
          <w:rFonts w:cs="Arial"/>
          <w:szCs w:val="22"/>
        </w:rPr>
        <w:t>We wanted to better understand how the support coordination</w:t>
      </w:r>
      <w:r w:rsidRPr="001770BC">
        <w:rPr>
          <w:rFonts w:cs="Arial"/>
          <w:szCs w:val="22"/>
        </w:rPr>
        <w:t xml:space="preserve"> service mode</w:t>
      </w:r>
      <w:r>
        <w:rPr>
          <w:rFonts w:cs="Arial"/>
          <w:szCs w:val="22"/>
        </w:rPr>
        <w:t>l works in practice and how it</w:t>
      </w:r>
      <w:r w:rsidRPr="001770BC">
        <w:rPr>
          <w:rFonts w:cs="Arial"/>
          <w:szCs w:val="22"/>
        </w:rPr>
        <w:t xml:space="preserve"> can</w:t>
      </w:r>
      <w:r>
        <w:rPr>
          <w:rFonts w:cs="Arial"/>
          <w:szCs w:val="22"/>
        </w:rPr>
        <w:t xml:space="preserve"> be</w:t>
      </w:r>
      <w:r w:rsidRPr="001770BC">
        <w:rPr>
          <w:rFonts w:cs="Arial"/>
          <w:szCs w:val="22"/>
        </w:rPr>
        <w:t xml:space="preserve"> improve</w:t>
      </w:r>
      <w:r>
        <w:rPr>
          <w:rFonts w:cs="Arial"/>
          <w:szCs w:val="22"/>
        </w:rPr>
        <w:t>d</w:t>
      </w:r>
      <w:r w:rsidRPr="001770BC">
        <w:rPr>
          <w:rFonts w:cs="Arial"/>
          <w:szCs w:val="22"/>
        </w:rPr>
        <w:t xml:space="preserve"> to better</w:t>
      </w:r>
      <w:r>
        <w:rPr>
          <w:rFonts w:cs="Arial"/>
          <w:szCs w:val="22"/>
        </w:rPr>
        <w:t xml:space="preserve"> support participant outcomes. </w:t>
      </w:r>
      <w:r w:rsidRPr="001770BC">
        <w:rPr>
          <w:rFonts w:cs="Arial"/>
          <w:szCs w:val="22"/>
        </w:rPr>
        <w:t>The consultation sou</w:t>
      </w:r>
      <w:r>
        <w:rPr>
          <w:rFonts w:cs="Arial"/>
          <w:szCs w:val="22"/>
        </w:rPr>
        <w:t>ght feedback on five key areas:</w:t>
      </w:r>
    </w:p>
    <w:p w:rsidR="00B60C9F" w:rsidRPr="001770BC" w:rsidRDefault="00B60C9F" w:rsidP="006B161E">
      <w:pPr>
        <w:pStyle w:val="ListParagraph"/>
        <w:numPr>
          <w:ilvl w:val="0"/>
          <w:numId w:val="16"/>
        </w:numPr>
        <w:spacing w:line="276" w:lineRule="auto"/>
        <w:rPr>
          <w:rFonts w:cs="Arial"/>
          <w:szCs w:val="22"/>
        </w:rPr>
      </w:pPr>
      <w:r w:rsidRPr="001770BC">
        <w:rPr>
          <w:rFonts w:cs="Arial"/>
          <w:szCs w:val="22"/>
        </w:rPr>
        <w:t>inclusion of support coordination</w:t>
      </w:r>
    </w:p>
    <w:p w:rsidR="00B60C9F" w:rsidRPr="001770BC" w:rsidRDefault="00B60C9F" w:rsidP="006B161E">
      <w:pPr>
        <w:pStyle w:val="ListParagraph"/>
        <w:numPr>
          <w:ilvl w:val="0"/>
          <w:numId w:val="16"/>
        </w:numPr>
        <w:spacing w:line="276" w:lineRule="auto"/>
        <w:rPr>
          <w:rFonts w:cs="Arial"/>
          <w:szCs w:val="22"/>
        </w:rPr>
      </w:pPr>
      <w:r w:rsidRPr="001770BC">
        <w:rPr>
          <w:rFonts w:cs="Arial"/>
          <w:szCs w:val="22"/>
        </w:rPr>
        <w:t>understanding the role of a support coordinator</w:t>
      </w:r>
    </w:p>
    <w:p w:rsidR="00B60C9F" w:rsidRPr="001770BC" w:rsidRDefault="00B60C9F" w:rsidP="006B161E">
      <w:pPr>
        <w:pStyle w:val="ListParagraph"/>
        <w:numPr>
          <w:ilvl w:val="0"/>
          <w:numId w:val="16"/>
        </w:numPr>
        <w:spacing w:line="276" w:lineRule="auto"/>
        <w:rPr>
          <w:rFonts w:cs="Arial"/>
          <w:szCs w:val="22"/>
        </w:rPr>
      </w:pPr>
      <w:r w:rsidRPr="001770BC">
        <w:rPr>
          <w:rFonts w:cs="Arial"/>
          <w:szCs w:val="22"/>
        </w:rPr>
        <w:t>quality of service and value for money</w:t>
      </w:r>
    </w:p>
    <w:p w:rsidR="00B60C9F" w:rsidRPr="001770BC" w:rsidRDefault="00B60C9F" w:rsidP="006B161E">
      <w:pPr>
        <w:pStyle w:val="ListParagraph"/>
        <w:numPr>
          <w:ilvl w:val="0"/>
          <w:numId w:val="16"/>
        </w:numPr>
        <w:spacing w:line="276" w:lineRule="auto"/>
        <w:rPr>
          <w:rFonts w:cs="Arial"/>
          <w:szCs w:val="22"/>
        </w:rPr>
      </w:pPr>
      <w:r w:rsidRPr="001770BC">
        <w:rPr>
          <w:rFonts w:cs="Arial"/>
          <w:szCs w:val="22"/>
        </w:rPr>
        <w:t>capacity building for decision making</w:t>
      </w:r>
    </w:p>
    <w:p w:rsidR="00B60C9F" w:rsidRPr="001770BC" w:rsidRDefault="00B60C9F" w:rsidP="006B161E">
      <w:pPr>
        <w:pStyle w:val="ListParagraph"/>
        <w:numPr>
          <w:ilvl w:val="0"/>
          <w:numId w:val="16"/>
        </w:numPr>
        <w:spacing w:line="276" w:lineRule="auto"/>
        <w:rPr>
          <w:rFonts w:cs="Arial"/>
          <w:szCs w:val="22"/>
        </w:rPr>
      </w:pPr>
      <w:r>
        <w:rPr>
          <w:rFonts w:cs="Arial"/>
          <w:szCs w:val="22"/>
        </w:rPr>
        <w:t>conflict of interest.</w:t>
      </w:r>
    </w:p>
    <w:p w:rsidR="00B60C9F" w:rsidRPr="001770BC" w:rsidRDefault="00B60C9F" w:rsidP="00B60C9F">
      <w:pPr>
        <w:rPr>
          <w:rFonts w:cs="Arial"/>
          <w:szCs w:val="22"/>
        </w:rPr>
      </w:pPr>
      <w:r w:rsidRPr="001770BC">
        <w:rPr>
          <w:rFonts w:cs="Arial"/>
          <w:szCs w:val="22"/>
        </w:rPr>
        <w:t>Stakeholders who participated in the consultation process included:</w:t>
      </w:r>
    </w:p>
    <w:p w:rsidR="00B60C9F" w:rsidRPr="001770BC" w:rsidRDefault="00B60C9F" w:rsidP="006B161E">
      <w:pPr>
        <w:pStyle w:val="ListParagraph"/>
        <w:numPr>
          <w:ilvl w:val="0"/>
          <w:numId w:val="3"/>
        </w:numPr>
        <w:spacing w:line="276" w:lineRule="auto"/>
        <w:rPr>
          <w:rFonts w:cs="Arial"/>
          <w:szCs w:val="22"/>
        </w:rPr>
      </w:pPr>
      <w:r>
        <w:rPr>
          <w:rFonts w:cs="Arial"/>
          <w:szCs w:val="22"/>
        </w:rPr>
        <w:t>NDIS</w:t>
      </w:r>
      <w:r w:rsidRPr="001770BC">
        <w:rPr>
          <w:rFonts w:cs="Arial"/>
          <w:szCs w:val="22"/>
        </w:rPr>
        <w:t xml:space="preserve"> participants</w:t>
      </w:r>
      <w:r>
        <w:rPr>
          <w:rFonts w:cs="Arial"/>
          <w:szCs w:val="22"/>
        </w:rPr>
        <w:t xml:space="preserve">, </w:t>
      </w:r>
      <w:r w:rsidRPr="001770BC">
        <w:rPr>
          <w:rFonts w:cs="Arial"/>
          <w:szCs w:val="22"/>
        </w:rPr>
        <w:t>their families and carers</w:t>
      </w:r>
    </w:p>
    <w:p w:rsidR="00B60C9F" w:rsidRPr="001770BC" w:rsidRDefault="00B60C9F" w:rsidP="006B161E">
      <w:pPr>
        <w:pStyle w:val="ListParagraph"/>
        <w:numPr>
          <w:ilvl w:val="0"/>
          <w:numId w:val="3"/>
        </w:numPr>
        <w:spacing w:line="276" w:lineRule="auto"/>
        <w:rPr>
          <w:rFonts w:cs="Arial"/>
          <w:szCs w:val="22"/>
        </w:rPr>
      </w:pPr>
      <w:r w:rsidRPr="001770BC">
        <w:rPr>
          <w:rFonts w:cs="Arial"/>
          <w:szCs w:val="22"/>
        </w:rPr>
        <w:t>NDIS providers (including support coordinators)</w:t>
      </w:r>
    </w:p>
    <w:p w:rsidR="00B60C9F" w:rsidRPr="001770BC" w:rsidRDefault="00B60C9F" w:rsidP="006B161E">
      <w:pPr>
        <w:pStyle w:val="ListParagraph"/>
        <w:numPr>
          <w:ilvl w:val="0"/>
          <w:numId w:val="3"/>
        </w:numPr>
        <w:spacing w:line="276" w:lineRule="auto"/>
        <w:rPr>
          <w:rFonts w:cs="Arial"/>
          <w:szCs w:val="22"/>
        </w:rPr>
      </w:pPr>
      <w:r w:rsidRPr="001770BC">
        <w:rPr>
          <w:rFonts w:cs="Arial"/>
          <w:szCs w:val="22"/>
        </w:rPr>
        <w:t>community organisations</w:t>
      </w:r>
    </w:p>
    <w:p w:rsidR="00B60C9F" w:rsidRPr="001770BC" w:rsidRDefault="00B60C9F" w:rsidP="006B161E">
      <w:pPr>
        <w:pStyle w:val="ListParagraph"/>
        <w:numPr>
          <w:ilvl w:val="0"/>
          <w:numId w:val="3"/>
        </w:numPr>
        <w:spacing w:line="276" w:lineRule="auto"/>
        <w:rPr>
          <w:rFonts w:cs="Arial"/>
          <w:szCs w:val="22"/>
        </w:rPr>
      </w:pPr>
      <w:r w:rsidRPr="001770BC">
        <w:rPr>
          <w:rFonts w:cs="Arial"/>
          <w:szCs w:val="22"/>
        </w:rPr>
        <w:t xml:space="preserve">peak bodies </w:t>
      </w:r>
    </w:p>
    <w:p w:rsidR="00B60C9F" w:rsidRPr="001770BC" w:rsidRDefault="00B60C9F" w:rsidP="006B161E">
      <w:pPr>
        <w:pStyle w:val="ListParagraph"/>
        <w:numPr>
          <w:ilvl w:val="0"/>
          <w:numId w:val="3"/>
        </w:numPr>
        <w:spacing w:line="276" w:lineRule="auto"/>
        <w:rPr>
          <w:rFonts w:cs="Arial"/>
          <w:szCs w:val="22"/>
        </w:rPr>
      </w:pPr>
      <w:r w:rsidRPr="001770BC">
        <w:rPr>
          <w:rFonts w:cs="Arial"/>
          <w:szCs w:val="22"/>
        </w:rPr>
        <w:t>government agencies</w:t>
      </w:r>
      <w:r>
        <w:rPr>
          <w:rFonts w:cs="Arial"/>
          <w:szCs w:val="22"/>
        </w:rPr>
        <w:t>.</w:t>
      </w:r>
    </w:p>
    <w:p w:rsidR="00B60C9F" w:rsidRDefault="00B60C9F" w:rsidP="00B60C9F">
      <w:pPr>
        <w:rPr>
          <w:rFonts w:cs="Arial"/>
          <w:szCs w:val="22"/>
        </w:rPr>
      </w:pPr>
      <w:r w:rsidRPr="004C0241">
        <w:rPr>
          <w:rFonts w:cs="Arial"/>
          <w:szCs w:val="22"/>
        </w:rPr>
        <w:t xml:space="preserve">Thank you to everyone who attended an online forum </w:t>
      </w:r>
      <w:r>
        <w:rPr>
          <w:rFonts w:cs="Arial"/>
          <w:szCs w:val="22"/>
        </w:rPr>
        <w:t>or made written submissions. The NDIA</w:t>
      </w:r>
      <w:r w:rsidRPr="004C0241">
        <w:rPr>
          <w:rFonts w:cs="Arial"/>
          <w:szCs w:val="22"/>
        </w:rPr>
        <w:t xml:space="preserve"> acknowledge</w:t>
      </w:r>
      <w:r>
        <w:rPr>
          <w:rFonts w:cs="Arial"/>
          <w:szCs w:val="22"/>
        </w:rPr>
        <w:t>s</w:t>
      </w:r>
      <w:r w:rsidRPr="004C0241">
        <w:rPr>
          <w:rFonts w:cs="Arial"/>
          <w:szCs w:val="22"/>
        </w:rPr>
        <w:t xml:space="preserve"> the significant time and effort of stakeholders to provide feedback. We also thank everyone for allowing us the time to consider and analyse the feedback.</w:t>
      </w:r>
    </w:p>
    <w:p w:rsidR="00B60C9F" w:rsidRPr="00B431F9" w:rsidRDefault="00B60C9F" w:rsidP="00B60C9F">
      <w:pPr>
        <w:rPr>
          <w:rFonts w:cs="Arial"/>
          <w:szCs w:val="22"/>
        </w:rPr>
      </w:pPr>
      <w:r w:rsidRPr="00B431F9">
        <w:rPr>
          <w:rFonts w:cs="Arial"/>
          <w:szCs w:val="22"/>
        </w:rPr>
        <w:t xml:space="preserve">During the consultation </w:t>
      </w:r>
      <w:r>
        <w:rPr>
          <w:rFonts w:cs="Arial"/>
          <w:szCs w:val="22"/>
        </w:rPr>
        <w:t>we</w:t>
      </w:r>
      <w:r w:rsidRPr="00B431F9">
        <w:rPr>
          <w:rFonts w:cs="Arial"/>
          <w:szCs w:val="22"/>
        </w:rPr>
        <w:t xml:space="preserve"> </w:t>
      </w:r>
      <w:r>
        <w:rPr>
          <w:rFonts w:cs="Arial"/>
          <w:szCs w:val="22"/>
        </w:rPr>
        <w:t>spoke</w:t>
      </w:r>
      <w:r w:rsidRPr="00B431F9">
        <w:rPr>
          <w:rFonts w:cs="Arial"/>
          <w:szCs w:val="22"/>
        </w:rPr>
        <w:t xml:space="preserve"> with </w:t>
      </w:r>
      <w:r>
        <w:rPr>
          <w:rFonts w:cs="Arial"/>
          <w:szCs w:val="22"/>
        </w:rPr>
        <w:t>various stakeholders</w:t>
      </w:r>
      <w:r w:rsidRPr="00B431F9">
        <w:rPr>
          <w:rFonts w:cs="Arial"/>
          <w:szCs w:val="22"/>
        </w:rPr>
        <w:t xml:space="preserve"> about their support coordination</w:t>
      </w:r>
      <w:r>
        <w:rPr>
          <w:rFonts w:cs="Arial"/>
          <w:szCs w:val="22"/>
        </w:rPr>
        <w:t xml:space="preserve"> experience</w:t>
      </w:r>
      <w:r w:rsidRPr="00B431F9">
        <w:rPr>
          <w:rFonts w:cs="Arial"/>
          <w:szCs w:val="22"/>
        </w:rPr>
        <w:t xml:space="preserve">. </w:t>
      </w:r>
      <w:r>
        <w:rPr>
          <w:rFonts w:cs="Arial"/>
          <w:szCs w:val="22"/>
        </w:rPr>
        <w:t>Through more than 40 online discussion forums, we received quality feedback from approximately</w:t>
      </w:r>
      <w:r w:rsidRPr="00B431F9">
        <w:rPr>
          <w:rFonts w:cs="Arial"/>
          <w:szCs w:val="22"/>
        </w:rPr>
        <w:t xml:space="preserve">: </w:t>
      </w:r>
    </w:p>
    <w:p w:rsidR="00B60C9F" w:rsidRPr="00B431F9" w:rsidRDefault="00B60C9F" w:rsidP="006B161E">
      <w:pPr>
        <w:pStyle w:val="ListParagraph"/>
        <w:numPr>
          <w:ilvl w:val="0"/>
          <w:numId w:val="4"/>
        </w:numPr>
        <w:spacing w:line="276" w:lineRule="auto"/>
        <w:rPr>
          <w:rFonts w:cs="Arial"/>
          <w:szCs w:val="22"/>
        </w:rPr>
      </w:pPr>
      <w:r w:rsidRPr="00B431F9">
        <w:rPr>
          <w:rFonts w:cs="Arial"/>
          <w:b/>
          <w:szCs w:val="22"/>
        </w:rPr>
        <w:t>80</w:t>
      </w:r>
      <w:r w:rsidRPr="00B431F9">
        <w:rPr>
          <w:rFonts w:cs="Arial"/>
          <w:szCs w:val="22"/>
        </w:rPr>
        <w:t xml:space="preserve"> participants and nominees</w:t>
      </w:r>
    </w:p>
    <w:p w:rsidR="00B60C9F" w:rsidRPr="00B431F9" w:rsidRDefault="00B60C9F" w:rsidP="006B161E">
      <w:pPr>
        <w:pStyle w:val="ListParagraph"/>
        <w:numPr>
          <w:ilvl w:val="0"/>
          <w:numId w:val="4"/>
        </w:numPr>
        <w:spacing w:line="276" w:lineRule="auto"/>
        <w:rPr>
          <w:rFonts w:cs="Arial"/>
          <w:szCs w:val="22"/>
        </w:rPr>
      </w:pPr>
      <w:r w:rsidRPr="00B431F9">
        <w:rPr>
          <w:rFonts w:cs="Arial"/>
          <w:b/>
          <w:szCs w:val="22"/>
        </w:rPr>
        <w:t>375</w:t>
      </w:r>
      <w:r w:rsidRPr="00B431F9">
        <w:rPr>
          <w:rFonts w:cs="Arial"/>
          <w:szCs w:val="22"/>
        </w:rPr>
        <w:t xml:space="preserve"> NDIS providers</w:t>
      </w:r>
    </w:p>
    <w:p w:rsidR="00B60C9F" w:rsidRPr="00B431F9" w:rsidRDefault="00B60C9F" w:rsidP="006B161E">
      <w:pPr>
        <w:pStyle w:val="ListParagraph"/>
        <w:numPr>
          <w:ilvl w:val="0"/>
          <w:numId w:val="4"/>
        </w:numPr>
        <w:spacing w:line="276" w:lineRule="auto"/>
        <w:rPr>
          <w:rFonts w:cs="Arial"/>
          <w:szCs w:val="22"/>
        </w:rPr>
      </w:pPr>
      <w:r w:rsidRPr="00B431F9">
        <w:rPr>
          <w:rFonts w:cs="Arial"/>
          <w:b/>
          <w:szCs w:val="22"/>
        </w:rPr>
        <w:t>55</w:t>
      </w:r>
      <w:r w:rsidRPr="00B431F9">
        <w:rPr>
          <w:rFonts w:cs="Arial"/>
          <w:szCs w:val="22"/>
        </w:rPr>
        <w:t xml:space="preserve"> representatives from industry peak bodie</w:t>
      </w:r>
      <w:r>
        <w:rPr>
          <w:rFonts w:cs="Arial"/>
          <w:szCs w:val="22"/>
        </w:rPr>
        <w:t>s.</w:t>
      </w:r>
    </w:p>
    <w:p w:rsidR="00B60C9F" w:rsidRPr="00B431F9" w:rsidRDefault="00B60C9F" w:rsidP="00B60C9F">
      <w:pPr>
        <w:rPr>
          <w:rFonts w:cs="Arial"/>
          <w:szCs w:val="22"/>
        </w:rPr>
      </w:pPr>
      <w:r w:rsidRPr="00B431F9">
        <w:rPr>
          <w:rFonts w:cs="Arial"/>
          <w:szCs w:val="22"/>
        </w:rPr>
        <w:t>Stakeholders were also invited to provide a written submission</w:t>
      </w:r>
      <w:r>
        <w:rPr>
          <w:rFonts w:cs="Arial"/>
          <w:szCs w:val="22"/>
        </w:rPr>
        <w:t xml:space="preserve">. </w:t>
      </w:r>
      <w:r w:rsidRPr="00B431F9">
        <w:rPr>
          <w:rFonts w:cs="Arial"/>
          <w:szCs w:val="22"/>
        </w:rPr>
        <w:t>In total,</w:t>
      </w:r>
      <w:r>
        <w:rPr>
          <w:rFonts w:cs="Arial"/>
          <w:szCs w:val="22"/>
        </w:rPr>
        <w:t xml:space="preserve"> the NDIA received</w:t>
      </w:r>
      <w:r w:rsidRPr="00B431F9">
        <w:rPr>
          <w:rFonts w:cs="Arial"/>
          <w:szCs w:val="22"/>
        </w:rPr>
        <w:t xml:space="preserve"> </w:t>
      </w:r>
      <w:r w:rsidRPr="00B431F9">
        <w:rPr>
          <w:rFonts w:cs="Arial"/>
          <w:b/>
          <w:szCs w:val="22"/>
        </w:rPr>
        <w:t>421</w:t>
      </w:r>
      <w:r w:rsidRPr="00B431F9">
        <w:rPr>
          <w:rFonts w:cs="Arial"/>
          <w:szCs w:val="22"/>
        </w:rPr>
        <w:t xml:space="preserve"> submissions from: </w:t>
      </w:r>
    </w:p>
    <w:p w:rsidR="00B60C9F" w:rsidRPr="00B431F9" w:rsidRDefault="00B60C9F" w:rsidP="006B161E">
      <w:pPr>
        <w:pStyle w:val="ListParagraph"/>
        <w:numPr>
          <w:ilvl w:val="0"/>
          <w:numId w:val="5"/>
        </w:numPr>
        <w:spacing w:line="276" w:lineRule="auto"/>
        <w:rPr>
          <w:rFonts w:cs="Arial"/>
          <w:szCs w:val="22"/>
        </w:rPr>
      </w:pPr>
      <w:r w:rsidRPr="003953F4">
        <w:rPr>
          <w:rFonts w:cs="Arial"/>
          <w:b/>
          <w:szCs w:val="22"/>
        </w:rPr>
        <w:t>35</w:t>
      </w:r>
      <w:r>
        <w:rPr>
          <w:rFonts w:cs="Arial"/>
          <w:szCs w:val="22"/>
        </w:rPr>
        <w:t xml:space="preserve"> </w:t>
      </w:r>
      <w:r w:rsidRPr="00B431F9">
        <w:rPr>
          <w:rFonts w:cs="Arial"/>
          <w:szCs w:val="22"/>
        </w:rPr>
        <w:t>participants nominees</w:t>
      </w:r>
      <w:r>
        <w:rPr>
          <w:rFonts w:cs="Arial"/>
          <w:szCs w:val="22"/>
        </w:rPr>
        <w:t xml:space="preserve">, families and carers </w:t>
      </w:r>
    </w:p>
    <w:p w:rsidR="00B60C9F" w:rsidRPr="00B431F9" w:rsidRDefault="00B60C9F" w:rsidP="006B161E">
      <w:pPr>
        <w:pStyle w:val="ListParagraph"/>
        <w:numPr>
          <w:ilvl w:val="0"/>
          <w:numId w:val="5"/>
        </w:numPr>
        <w:spacing w:line="276" w:lineRule="auto"/>
        <w:rPr>
          <w:rFonts w:cs="Arial"/>
          <w:szCs w:val="22"/>
        </w:rPr>
      </w:pPr>
      <w:r w:rsidRPr="003953F4">
        <w:rPr>
          <w:rFonts w:cs="Arial"/>
          <w:b/>
          <w:szCs w:val="22"/>
        </w:rPr>
        <w:t>290</w:t>
      </w:r>
      <w:r>
        <w:rPr>
          <w:rFonts w:cs="Arial"/>
          <w:szCs w:val="22"/>
        </w:rPr>
        <w:t xml:space="preserve"> </w:t>
      </w:r>
      <w:r w:rsidRPr="00B431F9">
        <w:rPr>
          <w:rFonts w:cs="Arial"/>
          <w:szCs w:val="22"/>
        </w:rPr>
        <w:t>NDIS providers</w:t>
      </w:r>
      <w:r>
        <w:rPr>
          <w:rFonts w:cs="Arial"/>
          <w:szCs w:val="22"/>
        </w:rPr>
        <w:t xml:space="preserve">, including support coordinators </w:t>
      </w:r>
    </w:p>
    <w:p w:rsidR="00B60C9F" w:rsidRPr="00B431F9" w:rsidRDefault="00B60C9F" w:rsidP="006B161E">
      <w:pPr>
        <w:pStyle w:val="ListParagraph"/>
        <w:numPr>
          <w:ilvl w:val="0"/>
          <w:numId w:val="5"/>
        </w:numPr>
        <w:spacing w:line="276" w:lineRule="auto"/>
        <w:rPr>
          <w:rFonts w:cs="Arial"/>
          <w:szCs w:val="22"/>
        </w:rPr>
      </w:pPr>
      <w:r w:rsidRPr="003953F4">
        <w:rPr>
          <w:rFonts w:cs="Arial"/>
          <w:b/>
          <w:szCs w:val="22"/>
        </w:rPr>
        <w:t>44</w:t>
      </w:r>
      <w:r>
        <w:rPr>
          <w:rFonts w:cs="Arial"/>
          <w:szCs w:val="22"/>
        </w:rPr>
        <w:t xml:space="preserve"> </w:t>
      </w:r>
      <w:r w:rsidRPr="00B431F9">
        <w:rPr>
          <w:rFonts w:cs="Arial"/>
          <w:szCs w:val="22"/>
        </w:rPr>
        <w:t>industry peak bodie</w:t>
      </w:r>
      <w:r>
        <w:rPr>
          <w:rFonts w:cs="Arial"/>
          <w:szCs w:val="22"/>
        </w:rPr>
        <w:t>s</w:t>
      </w:r>
    </w:p>
    <w:p w:rsidR="00B60C9F" w:rsidRPr="00B431F9" w:rsidRDefault="00B60C9F" w:rsidP="006B161E">
      <w:pPr>
        <w:pStyle w:val="ListParagraph"/>
        <w:numPr>
          <w:ilvl w:val="0"/>
          <w:numId w:val="5"/>
        </w:numPr>
        <w:spacing w:line="276" w:lineRule="auto"/>
        <w:rPr>
          <w:rFonts w:cs="Arial"/>
          <w:szCs w:val="22"/>
        </w:rPr>
      </w:pPr>
      <w:r w:rsidRPr="003953F4">
        <w:rPr>
          <w:rFonts w:cs="Arial"/>
          <w:b/>
          <w:szCs w:val="22"/>
        </w:rPr>
        <w:t>37</w:t>
      </w:r>
      <w:r>
        <w:rPr>
          <w:rFonts w:cs="Arial"/>
          <w:szCs w:val="22"/>
        </w:rPr>
        <w:t xml:space="preserve"> </w:t>
      </w:r>
      <w:r w:rsidRPr="00B431F9">
        <w:rPr>
          <w:rFonts w:cs="Arial"/>
          <w:szCs w:val="22"/>
        </w:rPr>
        <w:t>community organisations</w:t>
      </w:r>
    </w:p>
    <w:p w:rsidR="00B60C9F" w:rsidRDefault="00B60C9F" w:rsidP="006B161E">
      <w:pPr>
        <w:pStyle w:val="ListParagraph"/>
        <w:numPr>
          <w:ilvl w:val="0"/>
          <w:numId w:val="5"/>
        </w:numPr>
        <w:spacing w:line="276" w:lineRule="auto"/>
        <w:rPr>
          <w:rFonts w:cs="Arial"/>
          <w:szCs w:val="22"/>
        </w:rPr>
      </w:pPr>
      <w:r w:rsidRPr="003953F4">
        <w:rPr>
          <w:rFonts w:cs="Arial"/>
          <w:b/>
          <w:szCs w:val="22"/>
        </w:rPr>
        <w:t>15</w:t>
      </w:r>
      <w:r>
        <w:rPr>
          <w:rFonts w:cs="Arial"/>
          <w:szCs w:val="22"/>
        </w:rPr>
        <w:t xml:space="preserve"> </w:t>
      </w:r>
      <w:r w:rsidRPr="00B431F9">
        <w:rPr>
          <w:rFonts w:cs="Arial"/>
          <w:szCs w:val="22"/>
        </w:rPr>
        <w:t xml:space="preserve">government </w:t>
      </w:r>
      <w:r>
        <w:rPr>
          <w:rFonts w:cs="Arial"/>
          <w:szCs w:val="22"/>
        </w:rPr>
        <w:t>agencies.</w:t>
      </w:r>
    </w:p>
    <w:p w:rsidR="00BC6FBC" w:rsidRDefault="00BC6FBC">
      <w:pPr>
        <w:spacing w:line="276" w:lineRule="auto"/>
        <w:rPr>
          <w:b/>
          <w:color w:val="6B2976"/>
          <w:sz w:val="30"/>
          <w:szCs w:val="30"/>
        </w:rPr>
      </w:pPr>
      <w:bookmarkStart w:id="26" w:name="_Toc88041443"/>
      <w:r>
        <w:br w:type="page"/>
      </w:r>
    </w:p>
    <w:p w:rsidR="00B60C9F" w:rsidRPr="003C61D1" w:rsidRDefault="00B60C9F" w:rsidP="00B60C9F">
      <w:pPr>
        <w:pStyle w:val="Heading3"/>
      </w:pPr>
      <w:r>
        <w:lastRenderedPageBreak/>
        <w:t>Summary of feedback themes</w:t>
      </w:r>
      <w:bookmarkEnd w:id="26"/>
    </w:p>
    <w:p w:rsidR="00B60C9F" w:rsidRPr="00736777" w:rsidRDefault="00B60C9F" w:rsidP="00941A88">
      <w:pPr>
        <w:pStyle w:val="Heading4"/>
        <w:numPr>
          <w:ilvl w:val="0"/>
          <w:numId w:val="0"/>
        </w:numPr>
      </w:pPr>
      <w:bookmarkStart w:id="27" w:name="_Toc88041444"/>
      <w:r w:rsidRPr="00736777">
        <w:t>Greater clarity is required around the role of a support coordinator</w:t>
      </w:r>
      <w:bookmarkEnd w:id="27"/>
      <w:r w:rsidRPr="00736777">
        <w:t xml:space="preserve"> </w:t>
      </w:r>
    </w:p>
    <w:p w:rsidR="00B60C9F" w:rsidRDefault="00B60C9F" w:rsidP="00B60C9F">
      <w:r>
        <w:t>F</w:t>
      </w:r>
      <w:r w:rsidRPr="005A4B80">
        <w:t xml:space="preserve">eedback highlighted </w:t>
      </w:r>
      <w:r>
        <w:t>inconsistent participant and provider understanding about the role of a support coordinator</w:t>
      </w:r>
      <w:r w:rsidRPr="005A4B80">
        <w:t xml:space="preserve">. </w:t>
      </w:r>
      <w:r>
        <w:t xml:space="preserve">Generally, there is a lack of clarity in the sector about the key functions and responsibilities of a support coordinator. Further guidance is needed to improve this understanding. </w:t>
      </w:r>
    </w:p>
    <w:p w:rsidR="00B60C9F" w:rsidRDefault="00B60C9F" w:rsidP="00B60C9F">
      <w:r>
        <w:t>Most stakeholders agreed that a support coordinator should:</w:t>
      </w:r>
    </w:p>
    <w:p w:rsidR="00B60C9F" w:rsidRDefault="00B60C9F" w:rsidP="006B161E">
      <w:pPr>
        <w:pStyle w:val="ListParagraph"/>
        <w:numPr>
          <w:ilvl w:val="0"/>
          <w:numId w:val="6"/>
        </w:numPr>
        <w:spacing w:line="276" w:lineRule="auto"/>
      </w:pPr>
      <w:r>
        <w:t>help participants connect to NDIS and other supports</w:t>
      </w:r>
    </w:p>
    <w:p w:rsidR="00B60C9F" w:rsidRDefault="00B60C9F" w:rsidP="006B161E">
      <w:pPr>
        <w:pStyle w:val="ListParagraph"/>
        <w:numPr>
          <w:ilvl w:val="0"/>
          <w:numId w:val="6"/>
        </w:numPr>
        <w:spacing w:line="276" w:lineRule="auto"/>
      </w:pPr>
      <w:r>
        <w:t>b</w:t>
      </w:r>
      <w:r w:rsidRPr="003C7571">
        <w:t xml:space="preserve">uild </w:t>
      </w:r>
      <w:r>
        <w:t xml:space="preserve">a participant’s </w:t>
      </w:r>
      <w:r w:rsidRPr="003C7571">
        <w:t xml:space="preserve">capacity and capability to understand their plan, navigate </w:t>
      </w:r>
      <w:r>
        <w:t xml:space="preserve">the </w:t>
      </w:r>
      <w:r w:rsidRPr="003C7571">
        <w:t>NDIS and make decisions</w:t>
      </w:r>
    </w:p>
    <w:p w:rsidR="00B60C9F" w:rsidRDefault="00B60C9F" w:rsidP="006B161E">
      <w:pPr>
        <w:pStyle w:val="ListParagraph"/>
        <w:numPr>
          <w:ilvl w:val="0"/>
          <w:numId w:val="6"/>
        </w:numPr>
        <w:spacing w:line="276" w:lineRule="auto"/>
      </w:pPr>
      <w:r>
        <w:t>broker supports and services in line with</w:t>
      </w:r>
      <w:r w:rsidRPr="006C2175">
        <w:t xml:space="preserve"> participant </w:t>
      </w:r>
      <w:r>
        <w:t xml:space="preserve">wishes </w:t>
      </w:r>
      <w:r w:rsidRPr="006C2175">
        <w:t xml:space="preserve">and </w:t>
      </w:r>
      <w:r>
        <w:t xml:space="preserve">their </w:t>
      </w:r>
      <w:r w:rsidRPr="006C2175">
        <w:t>plan budget</w:t>
      </w:r>
    </w:p>
    <w:p w:rsidR="00B60C9F" w:rsidRDefault="00B60C9F" w:rsidP="006B161E">
      <w:pPr>
        <w:pStyle w:val="ListParagraph"/>
        <w:numPr>
          <w:ilvl w:val="0"/>
          <w:numId w:val="6"/>
        </w:numPr>
        <w:spacing w:line="276" w:lineRule="auto"/>
      </w:pPr>
      <w:r>
        <w:t>monitor</w:t>
      </w:r>
      <w:r w:rsidRPr="003C7571">
        <w:t xml:space="preserve"> plan budgets and support effectiveness</w:t>
      </w:r>
      <w:r>
        <w:t>.</w:t>
      </w:r>
    </w:p>
    <w:p w:rsidR="00B60C9F" w:rsidRPr="00941A88" w:rsidRDefault="00B60C9F" w:rsidP="00941A88">
      <w:pPr>
        <w:pStyle w:val="Heading4"/>
        <w:numPr>
          <w:ilvl w:val="0"/>
          <w:numId w:val="0"/>
        </w:numPr>
      </w:pPr>
      <w:bookmarkStart w:id="28" w:name="_Toc88041445"/>
      <w:r w:rsidRPr="00736777">
        <w:t xml:space="preserve">Support coordinators sometimes </w:t>
      </w:r>
      <w:r w:rsidRPr="00CE0A81">
        <w:t>feel the need to “fill gaps” when they perceive a participant needs an advocate</w:t>
      </w:r>
      <w:bookmarkEnd w:id="28"/>
      <w:r w:rsidRPr="00D967EE">
        <w:t xml:space="preserve"> </w:t>
      </w:r>
    </w:p>
    <w:p w:rsidR="00B60C9F" w:rsidRDefault="00B60C9F" w:rsidP="00B60C9F">
      <w:r w:rsidRPr="000118CD">
        <w:t xml:space="preserve">Most stakeholders agreed that it is not a support coordinator’s role to advocate </w:t>
      </w:r>
      <w:r>
        <w:t xml:space="preserve">on behalf of a participant. Most were aware that advocacy services are provided by </w:t>
      </w:r>
      <w:r>
        <w:rPr>
          <w:rFonts w:eastAsia="Times New Roman"/>
          <w:lang w:eastAsia="en-AU"/>
        </w:rPr>
        <w:t>o</w:t>
      </w:r>
      <w:r w:rsidRPr="009C15B5">
        <w:rPr>
          <w:rFonts w:eastAsia="Times New Roman"/>
          <w:lang w:eastAsia="en-AU"/>
        </w:rPr>
        <w:t>rganisations</w:t>
      </w:r>
      <w:r>
        <w:rPr>
          <w:rFonts w:eastAsia="Times New Roman"/>
          <w:lang w:eastAsia="en-AU"/>
        </w:rPr>
        <w:t xml:space="preserve"> funded</w:t>
      </w:r>
      <w:r w:rsidRPr="009C15B5">
        <w:rPr>
          <w:rFonts w:eastAsia="Times New Roman"/>
          <w:lang w:eastAsia="en-AU"/>
        </w:rPr>
        <w:t xml:space="preserve"> through the </w:t>
      </w:r>
      <w:hyperlink r:id="rId35" w:history="1">
        <w:r w:rsidRPr="009C15B5">
          <w:rPr>
            <w:rFonts w:eastAsia="Times New Roman"/>
            <w:color w:val="0432FF" w:themeColor="hyperlink"/>
            <w:u w:val="single"/>
            <w:lang w:eastAsia="en-AU"/>
          </w:rPr>
          <w:t>National Disability Advocacy Program</w:t>
        </w:r>
      </w:hyperlink>
      <w:r>
        <w:rPr>
          <w:rFonts w:eastAsia="Times New Roman"/>
          <w:lang w:eastAsia="en-AU"/>
        </w:rPr>
        <w:t xml:space="preserve">. </w:t>
      </w:r>
    </w:p>
    <w:p w:rsidR="00B60C9F" w:rsidRDefault="00B60C9F" w:rsidP="00B60C9F">
      <w:r>
        <w:t>Despite this, in some circumstances some s</w:t>
      </w:r>
      <w:r w:rsidRPr="008867D7">
        <w:t xml:space="preserve">upport coordination providers </w:t>
      </w:r>
      <w:r>
        <w:t xml:space="preserve">stated that they </w:t>
      </w:r>
      <w:r w:rsidRPr="008867D7">
        <w:t>fel</w:t>
      </w:r>
      <w:r>
        <w:t>t</w:t>
      </w:r>
      <w:r w:rsidRPr="008867D7">
        <w:t xml:space="preserve"> compelled to act outside the scope of their role and undertake advocacy functions.</w:t>
      </w:r>
      <w:r>
        <w:t xml:space="preserve"> Some submissions revealed confusion about where a support coordinator’s role ends and an advocate’s role begins. </w:t>
      </w:r>
    </w:p>
    <w:p w:rsidR="00B60C9F" w:rsidRPr="00941A88" w:rsidRDefault="00B60C9F" w:rsidP="00941A88">
      <w:pPr>
        <w:pStyle w:val="Heading4"/>
        <w:numPr>
          <w:ilvl w:val="0"/>
          <w:numId w:val="0"/>
        </w:numPr>
      </w:pPr>
      <w:bookmarkStart w:id="29" w:name="_Toc88041446"/>
      <w:r w:rsidRPr="00736777">
        <w:t>Support coordinators can</w:t>
      </w:r>
      <w:r w:rsidRPr="00CE0A81">
        <w:t xml:space="preserve"> experience challenges when supporting participants to make informed decisions</w:t>
      </w:r>
      <w:bookmarkEnd w:id="29"/>
    </w:p>
    <w:p w:rsidR="00B60C9F" w:rsidRDefault="00B60C9F" w:rsidP="00B60C9F">
      <w:r>
        <w:t>Stakeholders generally agreed that a support coordinator should help a participant to make informed decisions about their supports. To do this, support coordinators should:</w:t>
      </w:r>
    </w:p>
    <w:p w:rsidR="00B60C9F" w:rsidRPr="00F36B73" w:rsidRDefault="00B60C9F" w:rsidP="006B161E">
      <w:pPr>
        <w:pStyle w:val="ListParagraph"/>
        <w:numPr>
          <w:ilvl w:val="0"/>
          <w:numId w:val="9"/>
        </w:numPr>
        <w:spacing w:line="276" w:lineRule="auto"/>
      </w:pPr>
      <w:r>
        <w:t>u</w:t>
      </w:r>
      <w:r w:rsidRPr="00F36B73">
        <w:t xml:space="preserve">nderstand </w:t>
      </w:r>
      <w:r>
        <w:t xml:space="preserve">the </w:t>
      </w:r>
      <w:r w:rsidRPr="00F36B73">
        <w:t xml:space="preserve">participant and build </w:t>
      </w:r>
      <w:r>
        <w:t xml:space="preserve">their </w:t>
      </w:r>
      <w:r w:rsidRPr="00F36B73">
        <w:t>trust</w:t>
      </w:r>
    </w:p>
    <w:p w:rsidR="00B60C9F" w:rsidRPr="00F36B73" w:rsidRDefault="00B60C9F" w:rsidP="006B161E">
      <w:pPr>
        <w:pStyle w:val="ListParagraph"/>
        <w:numPr>
          <w:ilvl w:val="0"/>
          <w:numId w:val="9"/>
        </w:numPr>
        <w:spacing w:line="276" w:lineRule="auto"/>
      </w:pPr>
      <w:r>
        <w:t>e</w:t>
      </w:r>
      <w:r w:rsidRPr="00F36B73">
        <w:t>nsur</w:t>
      </w:r>
      <w:r>
        <w:t>e</w:t>
      </w:r>
      <w:r w:rsidRPr="00F36B73">
        <w:t xml:space="preserve"> information is communicated in a way the participant understands</w:t>
      </w:r>
    </w:p>
    <w:p w:rsidR="00B60C9F" w:rsidRPr="00F36B73" w:rsidRDefault="00B60C9F" w:rsidP="006B161E">
      <w:pPr>
        <w:pStyle w:val="ListParagraph"/>
        <w:numPr>
          <w:ilvl w:val="0"/>
          <w:numId w:val="9"/>
        </w:numPr>
        <w:spacing w:line="276" w:lineRule="auto"/>
      </w:pPr>
      <w:r>
        <w:t>pr</w:t>
      </w:r>
      <w:r w:rsidRPr="00F36B73">
        <w:t>ovid</w:t>
      </w:r>
      <w:r>
        <w:t>e</w:t>
      </w:r>
      <w:r w:rsidRPr="00F36B73">
        <w:t xml:space="preserve"> multiple options or choices</w:t>
      </w:r>
    </w:p>
    <w:p w:rsidR="00B60C9F" w:rsidRPr="00F36B73" w:rsidRDefault="00B60C9F" w:rsidP="006B161E">
      <w:pPr>
        <w:pStyle w:val="ListParagraph"/>
        <w:numPr>
          <w:ilvl w:val="0"/>
          <w:numId w:val="9"/>
        </w:numPr>
        <w:spacing w:line="276" w:lineRule="auto"/>
      </w:pPr>
      <w:r>
        <w:t>d</w:t>
      </w:r>
      <w:r w:rsidRPr="00F36B73">
        <w:t>iscuss consequences</w:t>
      </w:r>
    </w:p>
    <w:p w:rsidR="00B60C9F" w:rsidRDefault="00B60C9F" w:rsidP="006B161E">
      <w:pPr>
        <w:pStyle w:val="ListParagraph"/>
        <w:numPr>
          <w:ilvl w:val="0"/>
          <w:numId w:val="9"/>
        </w:numPr>
        <w:spacing w:line="276" w:lineRule="auto"/>
      </w:pPr>
      <w:r>
        <w:t>a</w:t>
      </w:r>
      <w:r w:rsidRPr="00F36B73">
        <w:t>llow time to consider options</w:t>
      </w:r>
    </w:p>
    <w:p w:rsidR="00B60C9F" w:rsidRPr="00F36B73" w:rsidRDefault="00B60C9F" w:rsidP="006B161E">
      <w:pPr>
        <w:pStyle w:val="ListParagraph"/>
        <w:numPr>
          <w:ilvl w:val="0"/>
          <w:numId w:val="9"/>
        </w:numPr>
        <w:spacing w:line="276" w:lineRule="auto"/>
      </w:pPr>
      <w:r>
        <w:t>allow time to trial options</w:t>
      </w:r>
    </w:p>
    <w:p w:rsidR="00B60C9F" w:rsidRDefault="00B60C9F" w:rsidP="006B161E">
      <w:pPr>
        <w:pStyle w:val="ListParagraph"/>
        <w:numPr>
          <w:ilvl w:val="0"/>
          <w:numId w:val="9"/>
        </w:numPr>
        <w:spacing w:line="276" w:lineRule="auto"/>
      </w:pPr>
      <w:r>
        <w:t xml:space="preserve">follow up or </w:t>
      </w:r>
      <w:r w:rsidRPr="00F36B73">
        <w:t>check in</w:t>
      </w:r>
      <w:r>
        <w:t xml:space="preserve"> regularly.</w:t>
      </w:r>
    </w:p>
    <w:p w:rsidR="00B60C9F" w:rsidRDefault="00B60C9F" w:rsidP="00B60C9F">
      <w:r>
        <w:t xml:space="preserve">Many support coordination providers find it challenging to support participants to make informed decisions. Support coordinators gave a variety of reasons, including: </w:t>
      </w:r>
    </w:p>
    <w:p w:rsidR="00B60C9F" w:rsidRDefault="00B60C9F" w:rsidP="006B161E">
      <w:pPr>
        <w:pStyle w:val="ListParagraph"/>
        <w:numPr>
          <w:ilvl w:val="0"/>
          <w:numId w:val="8"/>
        </w:numPr>
        <w:spacing w:line="276" w:lineRule="auto"/>
      </w:pPr>
      <w:r>
        <w:t>insufficient hours funded to enable a support coordinator to build trust and understand a participant’s needs and goals</w:t>
      </w:r>
    </w:p>
    <w:p w:rsidR="00B60C9F" w:rsidRDefault="00B60C9F" w:rsidP="006B161E">
      <w:pPr>
        <w:pStyle w:val="ListParagraph"/>
        <w:numPr>
          <w:ilvl w:val="0"/>
          <w:numId w:val="8"/>
        </w:numPr>
        <w:spacing w:line="276" w:lineRule="auto"/>
      </w:pPr>
      <w:r>
        <w:t>some participants may not wish to engage in decision-making.</w:t>
      </w:r>
    </w:p>
    <w:p w:rsidR="00B60C9F" w:rsidRDefault="00B60C9F" w:rsidP="00B60C9F">
      <w:r>
        <w:lastRenderedPageBreak/>
        <w:t>Some participants said their support coordinator lacks the necessary skills or knowledge needed to help them to make informed decisions. Sometimes support coordinators lacked knowledge and understanding of their specific disability and the suitable service offerings available. This impacts the quality of service that a participant receives.</w:t>
      </w:r>
    </w:p>
    <w:p w:rsidR="00B60C9F" w:rsidRDefault="00B60C9F" w:rsidP="00B60C9F">
      <w:r>
        <w:t>Responses recognised that a support coordinator needs to develop trust with a participant to build their capacity for decision making. This could entail a variety of approaches that will largely depend on a participant’s individual circumstances. Supporting participants to make informed decisions can often be performed by many people in a participant’s life. This may include their family and friends, nominees, community supports and support worker.</w:t>
      </w:r>
    </w:p>
    <w:p w:rsidR="00B60C9F" w:rsidRPr="00736777" w:rsidRDefault="00B60C9F" w:rsidP="00941A88">
      <w:pPr>
        <w:pStyle w:val="Heading4"/>
        <w:numPr>
          <w:ilvl w:val="0"/>
          <w:numId w:val="0"/>
        </w:numPr>
      </w:pPr>
      <w:bookmarkStart w:id="30" w:name="_Toc88041447"/>
      <w:r w:rsidRPr="00736777">
        <w:t>The quality of support coordination services is highly variable</w:t>
      </w:r>
      <w:bookmarkEnd w:id="30"/>
      <w:r w:rsidRPr="00736777">
        <w:t xml:space="preserve"> </w:t>
      </w:r>
    </w:p>
    <w:p w:rsidR="00B60C9F" w:rsidRDefault="00B60C9F" w:rsidP="00B60C9F">
      <w:r w:rsidRPr="0041679A">
        <w:t xml:space="preserve">Many participants said their support coordinator is not supporting them </w:t>
      </w:r>
      <w:r>
        <w:t xml:space="preserve">sufficiently </w:t>
      </w:r>
      <w:r w:rsidRPr="0041679A">
        <w:t xml:space="preserve">to </w:t>
      </w:r>
      <w:r>
        <w:t>pursue</w:t>
      </w:r>
      <w:r w:rsidRPr="0041679A">
        <w:t xml:space="preserve"> their goals. A general lack of accountability </w:t>
      </w:r>
      <w:r>
        <w:t xml:space="preserve">of support coordinators </w:t>
      </w:r>
      <w:r w:rsidRPr="0041679A">
        <w:t xml:space="preserve">was also </w:t>
      </w:r>
      <w:r>
        <w:t>identified</w:t>
      </w:r>
      <w:r w:rsidRPr="0041679A">
        <w:t>.</w:t>
      </w:r>
      <w:r>
        <w:t xml:space="preserve"> Some participants reported their support coordinator:</w:t>
      </w:r>
    </w:p>
    <w:p w:rsidR="00B60C9F" w:rsidRDefault="00B60C9F" w:rsidP="006B161E">
      <w:pPr>
        <w:pStyle w:val="ListParagraph"/>
        <w:numPr>
          <w:ilvl w:val="0"/>
          <w:numId w:val="11"/>
        </w:numPr>
        <w:spacing w:line="276" w:lineRule="auto"/>
      </w:pPr>
      <w:r>
        <w:t>made no or very little contact with them</w:t>
      </w:r>
    </w:p>
    <w:p w:rsidR="00B60C9F" w:rsidRDefault="00B60C9F" w:rsidP="006B161E">
      <w:pPr>
        <w:pStyle w:val="ListParagraph"/>
        <w:numPr>
          <w:ilvl w:val="0"/>
          <w:numId w:val="11"/>
        </w:numPr>
        <w:spacing w:line="276" w:lineRule="auto"/>
      </w:pPr>
      <w:r>
        <w:t>lacked knowledge about their disability type</w:t>
      </w:r>
    </w:p>
    <w:p w:rsidR="00B60C9F" w:rsidRDefault="00B60C9F" w:rsidP="006B161E">
      <w:pPr>
        <w:pStyle w:val="ListParagraph"/>
        <w:numPr>
          <w:ilvl w:val="0"/>
          <w:numId w:val="11"/>
        </w:numPr>
        <w:spacing w:line="276" w:lineRule="auto"/>
      </w:pPr>
      <w:r>
        <w:t>lacked knowledge about the services available.</w:t>
      </w:r>
    </w:p>
    <w:p w:rsidR="00B60C9F" w:rsidRDefault="00B60C9F" w:rsidP="00B60C9F">
      <w:r>
        <w:t xml:space="preserve">Support coordination providers said their services would improve if they had more information about a participant and their plan. Many support coordinators argued for the NDIA to provide them with a copy of the participant’s plan or to provide more information in the support coordination request for service. They argued this information would enable them to better understand a participant’s individual circumstances and plan goals, thereby allowing them to work more efficiently. </w:t>
      </w:r>
    </w:p>
    <w:p w:rsidR="00B60C9F" w:rsidRDefault="00B60C9F" w:rsidP="00B60C9F">
      <w:r>
        <w:t>A range of participants provided examples of effective support coordination practices. Participants appreciate when their support coordinator helps them to navigate the NDIS to pursue their goals, by:</w:t>
      </w:r>
    </w:p>
    <w:p w:rsidR="00B60C9F" w:rsidRDefault="00B60C9F" w:rsidP="006B161E">
      <w:pPr>
        <w:pStyle w:val="ListParagraph"/>
        <w:numPr>
          <w:ilvl w:val="0"/>
          <w:numId w:val="13"/>
        </w:numPr>
        <w:spacing w:line="276" w:lineRule="auto"/>
      </w:pPr>
      <w:r>
        <w:t>taking the time to understand their situation</w:t>
      </w:r>
    </w:p>
    <w:p w:rsidR="00B60C9F" w:rsidRDefault="00B60C9F" w:rsidP="006B161E">
      <w:pPr>
        <w:pStyle w:val="ListParagraph"/>
        <w:numPr>
          <w:ilvl w:val="0"/>
          <w:numId w:val="13"/>
        </w:numPr>
        <w:spacing w:line="276" w:lineRule="auto"/>
      </w:pPr>
      <w:r>
        <w:t>engaging with them on a regular basis</w:t>
      </w:r>
    </w:p>
    <w:p w:rsidR="00B60C9F" w:rsidRDefault="00B60C9F" w:rsidP="006B161E">
      <w:pPr>
        <w:pStyle w:val="ListParagraph"/>
        <w:numPr>
          <w:ilvl w:val="0"/>
          <w:numId w:val="13"/>
        </w:numPr>
        <w:spacing w:line="276" w:lineRule="auto"/>
      </w:pPr>
      <w:r>
        <w:t>sourcing evidence to support their plan reviews.</w:t>
      </w:r>
    </w:p>
    <w:p w:rsidR="00B60C9F" w:rsidRDefault="00B60C9F" w:rsidP="00B60C9F">
      <w:r>
        <w:t>Common suggestions on ways to measure the effectiveness of support coordination included:</w:t>
      </w:r>
    </w:p>
    <w:p w:rsidR="00B60C9F" w:rsidRDefault="00B60C9F" w:rsidP="006B161E">
      <w:pPr>
        <w:pStyle w:val="ListParagraph"/>
        <w:numPr>
          <w:ilvl w:val="0"/>
          <w:numId w:val="7"/>
        </w:numPr>
        <w:spacing w:line="276" w:lineRule="auto"/>
      </w:pPr>
      <w:r>
        <w:t>participant plan implementation and utilisation</w:t>
      </w:r>
    </w:p>
    <w:p w:rsidR="00B60C9F" w:rsidRDefault="00B60C9F" w:rsidP="006B161E">
      <w:pPr>
        <w:pStyle w:val="ListParagraph"/>
        <w:numPr>
          <w:ilvl w:val="0"/>
          <w:numId w:val="7"/>
        </w:numPr>
        <w:spacing w:line="276" w:lineRule="auto"/>
      </w:pPr>
      <w:r>
        <w:t>participant progress towards goals</w:t>
      </w:r>
    </w:p>
    <w:p w:rsidR="00B60C9F" w:rsidRPr="007A2960" w:rsidRDefault="00B60C9F" w:rsidP="006B161E">
      <w:pPr>
        <w:pStyle w:val="ListParagraph"/>
        <w:numPr>
          <w:ilvl w:val="0"/>
          <w:numId w:val="7"/>
        </w:numPr>
        <w:spacing w:line="276" w:lineRule="auto"/>
      </w:pPr>
      <w:r>
        <w:t>p</w:t>
      </w:r>
      <w:r w:rsidRPr="007A2960">
        <w:t>articipant satisfaction</w:t>
      </w:r>
    </w:p>
    <w:p w:rsidR="00B60C9F" w:rsidRDefault="00B60C9F" w:rsidP="006B161E">
      <w:pPr>
        <w:pStyle w:val="ListParagraph"/>
        <w:numPr>
          <w:ilvl w:val="0"/>
          <w:numId w:val="7"/>
        </w:numPr>
        <w:spacing w:line="276" w:lineRule="auto"/>
      </w:pPr>
      <w:r>
        <w:t>s</w:t>
      </w:r>
      <w:r w:rsidRPr="007A2960">
        <w:t>atisfac</w:t>
      </w:r>
      <w:r>
        <w:t>tion from other stakeholders (including a</w:t>
      </w:r>
      <w:r w:rsidRPr="007A2960">
        <w:t xml:space="preserve"> participant’s support network)</w:t>
      </w:r>
      <w:r>
        <w:t>.</w:t>
      </w:r>
    </w:p>
    <w:p w:rsidR="00B60C9F" w:rsidRDefault="00B60C9F" w:rsidP="00B60C9F">
      <w:r>
        <w:t xml:space="preserve">Feedback highlighted greater awareness and engagement with existing quality standards is needed. Stakeholders recognised </w:t>
      </w:r>
      <w:r w:rsidRPr="002E0A50">
        <w:t>having quality indicators</w:t>
      </w:r>
      <w:r>
        <w:t xml:space="preserve"> can</w:t>
      </w:r>
      <w:r w:rsidRPr="002E0A50">
        <w:t xml:space="preserve"> improve service st</w:t>
      </w:r>
      <w:r>
        <w:t>andards and participant outcomes.</w:t>
      </w:r>
    </w:p>
    <w:p w:rsidR="00BC6FBC" w:rsidRDefault="00BC6FBC">
      <w:pPr>
        <w:spacing w:line="276" w:lineRule="auto"/>
        <w:rPr>
          <w:b/>
          <w:sz w:val="24"/>
        </w:rPr>
      </w:pPr>
      <w:bookmarkStart w:id="31" w:name="_Toc88041448"/>
      <w:r>
        <w:br w:type="page"/>
      </w:r>
    </w:p>
    <w:p w:rsidR="00B60C9F" w:rsidRPr="00736777" w:rsidRDefault="00B60C9F" w:rsidP="00941A88">
      <w:pPr>
        <w:pStyle w:val="Heading4"/>
        <w:numPr>
          <w:ilvl w:val="0"/>
          <w:numId w:val="0"/>
        </w:numPr>
      </w:pPr>
      <w:r w:rsidRPr="00736777">
        <w:lastRenderedPageBreak/>
        <w:t>Support coordinators should be upskilled</w:t>
      </w:r>
      <w:bookmarkEnd w:id="31"/>
      <w:r w:rsidRPr="00736777">
        <w:t xml:space="preserve"> </w:t>
      </w:r>
    </w:p>
    <w:p w:rsidR="00B60C9F" w:rsidRDefault="00B60C9F" w:rsidP="00B60C9F">
      <w:r>
        <w:t xml:space="preserve">Most stakeholders said support coordinators should be upskilled to better support participants. Feedback was mixed as to what this should entail. A mix of qualifications, lived experience of disability and industry work experience were suggested. Many sought more guidance on recommended skills and experience for support coordinators. </w:t>
      </w:r>
    </w:p>
    <w:p w:rsidR="00B60C9F" w:rsidRDefault="00B60C9F" w:rsidP="00B60C9F">
      <w:r>
        <w:t>There was support for industry accreditation standards. Many support coordinators also highlighted the value of peer groups and communities of practice in assisting them to build knowledge and expertise.</w:t>
      </w:r>
    </w:p>
    <w:p w:rsidR="00B60C9F" w:rsidRPr="00736777" w:rsidRDefault="00B60C9F" w:rsidP="00941A88">
      <w:pPr>
        <w:pStyle w:val="Heading4"/>
        <w:numPr>
          <w:ilvl w:val="0"/>
          <w:numId w:val="0"/>
        </w:numPr>
      </w:pPr>
      <w:bookmarkStart w:id="32" w:name="_Toc88041449"/>
      <w:r w:rsidRPr="00736777">
        <w:t>Stronger measures should be introduced to promote independence</w:t>
      </w:r>
      <w:bookmarkEnd w:id="32"/>
      <w:r w:rsidRPr="00736777">
        <w:t xml:space="preserve"> </w:t>
      </w:r>
    </w:p>
    <w:p w:rsidR="00B60C9F" w:rsidRDefault="00B60C9F" w:rsidP="00B60C9F">
      <w:r>
        <w:t>Stakeholders generally agreed that there need to be</w:t>
      </w:r>
      <w:r w:rsidRPr="00F40BAA">
        <w:t xml:space="preserve"> </w:t>
      </w:r>
      <w:r>
        <w:t>measures in place to manage conflict of interest</w:t>
      </w:r>
      <w:r w:rsidRPr="00F40BAA">
        <w:t xml:space="preserve"> </w:t>
      </w:r>
      <w:r>
        <w:t xml:space="preserve">in </w:t>
      </w:r>
      <w:r w:rsidRPr="00F40BAA">
        <w:t>support coordination</w:t>
      </w:r>
      <w:r>
        <w:t xml:space="preserve">. </w:t>
      </w:r>
    </w:p>
    <w:p w:rsidR="00B60C9F" w:rsidRDefault="00B60C9F" w:rsidP="00B60C9F">
      <w:r>
        <w:rPr>
          <w:rFonts w:cs="Arial"/>
        </w:rPr>
        <w:t>The need for stronger measures to be introduced has been previously raised in t</w:t>
      </w:r>
      <w:r w:rsidRPr="00F40BAA">
        <w:rPr>
          <w:rFonts w:cs="Arial"/>
        </w:rPr>
        <w:t xml:space="preserve">he </w:t>
      </w:r>
      <w:hyperlink r:id="rId36" w:history="1">
        <w:r w:rsidRPr="0038454B">
          <w:rPr>
            <w:rStyle w:val="Hyperlink"/>
            <w:rFonts w:cs="Arial"/>
          </w:rPr>
          <w:t>2019 Review of the National Disability Insurance Scheme Act 2013 Report</w:t>
        </w:r>
      </w:hyperlink>
      <w:r>
        <w:rPr>
          <w:rFonts w:cs="Arial"/>
        </w:rPr>
        <w:t xml:space="preserve"> (Tune Review 2019) and by the</w:t>
      </w:r>
      <w:r w:rsidRPr="00F40BAA">
        <w:t xml:space="preserve"> </w:t>
      </w:r>
      <w:hyperlink r:id="rId37" w:history="1">
        <w:r w:rsidRPr="0038454B">
          <w:rPr>
            <w:rStyle w:val="Hyperlink"/>
          </w:rPr>
          <w:t>Independent Advisory Council (IAC)</w:t>
        </w:r>
      </w:hyperlink>
      <w:r>
        <w:t>. Some participants, providers and peak bodies raised similar concerns in the consultation process. They argued for stronger</w:t>
      </w:r>
      <w:r w:rsidRPr="00C94CF5">
        <w:t xml:space="preserve"> </w:t>
      </w:r>
      <w:r>
        <w:t xml:space="preserve">measures to be introduced to manage a support coordinator’s real or perceived conflict of interest. Troubling examples, where providers delivered both support coordination and accommodation supports to the same participant, highlighted potential sharp practices. </w:t>
      </w:r>
    </w:p>
    <w:p w:rsidR="00B60C9F" w:rsidRPr="00F40BAA" w:rsidRDefault="00B60C9F" w:rsidP="00B60C9F">
      <w:r w:rsidRPr="00F40BAA">
        <w:t>When arguing against mandating</w:t>
      </w:r>
      <w:r w:rsidRPr="00AA3956">
        <w:t xml:space="preserve"> </w:t>
      </w:r>
      <w:r w:rsidRPr="00F40BAA">
        <w:t>independence, providers often asserted</w:t>
      </w:r>
      <w:r>
        <w:t xml:space="preserve"> </w:t>
      </w:r>
      <w:r w:rsidRPr="00F40BAA">
        <w:t xml:space="preserve">they currently manage conflict of interest </w:t>
      </w:r>
      <w:r>
        <w:t xml:space="preserve">sufficiently </w:t>
      </w:r>
      <w:r w:rsidRPr="00F40BAA">
        <w:t xml:space="preserve">through their internal </w:t>
      </w:r>
      <w:r>
        <w:t>processes</w:t>
      </w:r>
      <w:r w:rsidRPr="00F40BAA">
        <w:t xml:space="preserve">. </w:t>
      </w:r>
      <w:r>
        <w:t>Providers and participants also highlighted that mandatory independence r</w:t>
      </w:r>
      <w:r w:rsidRPr="00F40BAA">
        <w:t>educe</w:t>
      </w:r>
      <w:r>
        <w:t>s</w:t>
      </w:r>
      <w:r w:rsidRPr="00F40BAA">
        <w:t xml:space="preserve"> participant choice and control, particularly in the short term. Some participants prefer the convenience of receiving support coordination and other supports from a single provider.</w:t>
      </w:r>
    </w:p>
    <w:p w:rsidR="00B60C9F" w:rsidRDefault="00B60C9F" w:rsidP="00B60C9F">
      <w:r>
        <w:t>However, arguments for mandating independence commonly suggested that independence between services would i</w:t>
      </w:r>
      <w:r w:rsidRPr="00F40BAA">
        <w:t>ncrease participant choice and control</w:t>
      </w:r>
      <w:r>
        <w:t xml:space="preserve"> while safeguarding participants from provider sharp practice. Over the long term, many reasoned that independence</w:t>
      </w:r>
      <w:r w:rsidRPr="00F40BAA">
        <w:t xml:space="preserve"> would </w:t>
      </w:r>
      <w:r>
        <w:t xml:space="preserve">drive better </w:t>
      </w:r>
      <w:r w:rsidRPr="00F40BAA">
        <w:t xml:space="preserve">quality and </w:t>
      </w:r>
      <w:r>
        <w:t xml:space="preserve">greater </w:t>
      </w:r>
      <w:r w:rsidRPr="00F40BAA">
        <w:t xml:space="preserve">diversity </w:t>
      </w:r>
      <w:r>
        <w:t xml:space="preserve">of services in the NDIS market. </w:t>
      </w:r>
    </w:p>
    <w:p w:rsidR="00B60C9F" w:rsidRDefault="00B60C9F" w:rsidP="00B60C9F">
      <w:r>
        <w:t xml:space="preserve">Stakeholders outlined practical considerations for mandating independence between support coordination and other services. If introduced at the participant level, a transition period would be appropriate to minimise disruption to participants and providers. Exceptions to mandated independence were also proposed for consideration. </w:t>
      </w:r>
      <w:r w:rsidRPr="00F40BAA">
        <w:t xml:space="preserve">Suggested exceptions </w:t>
      </w:r>
      <w:r w:rsidRPr="00E768B6">
        <w:t xml:space="preserve">included rural and remote areas or thin markets. </w:t>
      </w:r>
    </w:p>
    <w:p w:rsidR="00BC6FBC" w:rsidRDefault="00BC6FBC">
      <w:pPr>
        <w:spacing w:line="276" w:lineRule="auto"/>
        <w:rPr>
          <w:b/>
          <w:sz w:val="24"/>
        </w:rPr>
      </w:pPr>
      <w:bookmarkStart w:id="33" w:name="_Toc88041450"/>
      <w:r>
        <w:br w:type="page"/>
      </w:r>
    </w:p>
    <w:p w:rsidR="00B60C9F" w:rsidRPr="00736777" w:rsidRDefault="00B60C9F" w:rsidP="00941A88">
      <w:pPr>
        <w:pStyle w:val="Heading4"/>
        <w:numPr>
          <w:ilvl w:val="0"/>
          <w:numId w:val="0"/>
        </w:numPr>
      </w:pPr>
      <w:r w:rsidRPr="00736777">
        <w:lastRenderedPageBreak/>
        <w:t>The three levels of support coordination should be simplified</w:t>
      </w:r>
      <w:bookmarkEnd w:id="33"/>
      <w:r w:rsidRPr="00736777">
        <w:t xml:space="preserve"> </w:t>
      </w:r>
    </w:p>
    <w:p w:rsidR="00B60C9F" w:rsidRPr="00F9470D" w:rsidRDefault="00B60C9F" w:rsidP="00B60C9F">
      <w:r w:rsidRPr="00F9470D">
        <w:t xml:space="preserve">Most stakeholders said Level 1 Support Connection is rarely used. Support coordination providers argued that it is not viable to deliver this level of support. </w:t>
      </w:r>
    </w:p>
    <w:p w:rsidR="00B60C9F" w:rsidRPr="00F9470D" w:rsidRDefault="00B60C9F" w:rsidP="00B60C9F">
      <w:r w:rsidRPr="00F9470D">
        <w:t xml:space="preserve">Many also said it is not always clear when a participant’s plan should include Level 3 Specialist Support Coordination and who should deliver it. Many suggested that Level 3 Specialist Support Coordination funding is provided inconsistently. They found it </w:t>
      </w:r>
      <w:r>
        <w:t>was often unclear as to</w:t>
      </w:r>
      <w:r w:rsidRPr="00F9470D">
        <w:t xml:space="preserve"> when a participant should be receiving Level 2 or Level 3 support. </w:t>
      </w:r>
    </w:p>
    <w:p w:rsidR="00B60C9F" w:rsidRPr="00F9470D" w:rsidRDefault="00B60C9F" w:rsidP="00B60C9F">
      <w:r w:rsidRPr="00F9470D">
        <w:t>Many respondents asked for the three level structure of support coordination to be simplified.</w:t>
      </w:r>
    </w:p>
    <w:p w:rsidR="00B60C9F" w:rsidRPr="00736777" w:rsidRDefault="00B60C9F" w:rsidP="00941A88">
      <w:pPr>
        <w:pStyle w:val="Heading4"/>
        <w:numPr>
          <w:ilvl w:val="0"/>
          <w:numId w:val="0"/>
        </w:numPr>
      </w:pPr>
      <w:bookmarkStart w:id="34" w:name="_Toc88041451"/>
      <w:r w:rsidRPr="00736777">
        <w:t>More targeted support coordination may be beneficial to meet specific goals</w:t>
      </w:r>
      <w:bookmarkEnd w:id="34"/>
    </w:p>
    <w:p w:rsidR="00B60C9F" w:rsidRDefault="00B60C9F" w:rsidP="00B60C9F">
      <w:r>
        <w:t>Support coordination providers generally agreed that more targeted expertise</w:t>
      </w:r>
      <w:r w:rsidRPr="001C15DB">
        <w:t xml:space="preserve"> </w:t>
      </w:r>
      <w:r>
        <w:t>could</w:t>
      </w:r>
      <w:r w:rsidRPr="001C15DB">
        <w:t xml:space="preserve"> </w:t>
      </w:r>
      <w:r>
        <w:t xml:space="preserve">benefit participants who want to pursue specific goals, such as moving out of home. </w:t>
      </w:r>
    </w:p>
    <w:p w:rsidR="00B60C9F" w:rsidRDefault="00B60C9F" w:rsidP="00B60C9F">
      <w:r>
        <w:t>There were different delivery models suggested. Some suggested that a participant could have a ‘general’ support coordinator to assist them with their overall NDIS plan. A support coordinator with more targeted expertise could also be engaged to assist them with specific goals. However,</w:t>
      </w:r>
      <w:r w:rsidRPr="004A57DB">
        <w:t xml:space="preserve"> </w:t>
      </w:r>
      <w:r>
        <w:t>many participants said that they would prefer to have a single point of contact. Many did not wish to engage more than one support coordinator to pursue their goals. It is ultimately up to the participant as to whether they wish to engage one or more support coordinators.</w:t>
      </w:r>
    </w:p>
    <w:p w:rsidR="00B60C9F" w:rsidRDefault="00B60C9F" w:rsidP="00B60C9F">
      <w:r>
        <w:t xml:space="preserve">A variety of stakeholders also identified some gaps in the current market. In some circumstances, support coordinator knowledge and capability was insufficient to deliver more targeted support coordination. Stakeholders highlighted the need for increased market development, including training opportunities. </w:t>
      </w:r>
    </w:p>
    <w:p w:rsidR="00B60C9F" w:rsidRPr="00736777" w:rsidRDefault="00B60C9F" w:rsidP="00941A88">
      <w:pPr>
        <w:pStyle w:val="Heading4"/>
        <w:numPr>
          <w:ilvl w:val="0"/>
          <w:numId w:val="0"/>
        </w:numPr>
      </w:pPr>
      <w:bookmarkStart w:id="35" w:name="_Outcomes-based_pricing_is"/>
      <w:bookmarkStart w:id="36" w:name="_Toc88041452"/>
      <w:bookmarkEnd w:id="35"/>
      <w:r w:rsidRPr="00736777">
        <w:t>Outcomes-based pricing is probably not an appropriate lever to incentivise better performance, given current Scheme design</w:t>
      </w:r>
      <w:bookmarkEnd w:id="36"/>
    </w:p>
    <w:p w:rsidR="00B60C9F" w:rsidRDefault="00B60C9F" w:rsidP="00B60C9F">
      <w:r>
        <w:t>Some stakeholders supported outcomes-based pricing. They argued it would incentivise support coordinators to assist a participant in pursuing their goals. Outcomes-based pricing could also increase accountability for delivering participant outcomes.</w:t>
      </w:r>
    </w:p>
    <w:p w:rsidR="00B60C9F" w:rsidRDefault="00B60C9F" w:rsidP="00B60C9F">
      <w:r>
        <w:t xml:space="preserve">However, potential challenges were also raised about shifting to an outcomes-based pricing model, such as: </w:t>
      </w:r>
    </w:p>
    <w:p w:rsidR="00B60C9F" w:rsidRDefault="00B60C9F" w:rsidP="006B161E">
      <w:pPr>
        <w:pStyle w:val="ListParagraph"/>
        <w:numPr>
          <w:ilvl w:val="0"/>
          <w:numId w:val="12"/>
        </w:numPr>
        <w:spacing w:line="276" w:lineRule="auto"/>
      </w:pPr>
      <w:r w:rsidRPr="00882D6F">
        <w:t>variability in goal setting – for example, whether goals are achievable in the short or long term</w:t>
      </w:r>
    </w:p>
    <w:p w:rsidR="00B60C9F" w:rsidRPr="00882D6F" w:rsidRDefault="00B60C9F" w:rsidP="006B161E">
      <w:pPr>
        <w:pStyle w:val="ListParagraph"/>
        <w:numPr>
          <w:ilvl w:val="0"/>
          <w:numId w:val="12"/>
        </w:numPr>
        <w:spacing w:line="276" w:lineRule="auto"/>
      </w:pPr>
      <w:r>
        <w:t>risk of ‘cherry picking’ participants</w:t>
      </w:r>
    </w:p>
    <w:p w:rsidR="00B60C9F" w:rsidRPr="00882D6F" w:rsidRDefault="00B60C9F" w:rsidP="006B161E">
      <w:pPr>
        <w:pStyle w:val="ListParagraph"/>
        <w:numPr>
          <w:ilvl w:val="0"/>
          <w:numId w:val="10"/>
        </w:numPr>
        <w:spacing w:line="276" w:lineRule="auto"/>
      </w:pPr>
      <w:r w:rsidRPr="00882D6F">
        <w:t>difficulty in measuring progress – for example, the episodic nature of some disabilities may mean progress will be hard to measure</w:t>
      </w:r>
    </w:p>
    <w:p w:rsidR="00B60C9F" w:rsidRPr="00993303" w:rsidRDefault="00B60C9F" w:rsidP="006B161E">
      <w:pPr>
        <w:pStyle w:val="ListParagraph"/>
        <w:numPr>
          <w:ilvl w:val="0"/>
          <w:numId w:val="10"/>
        </w:numPr>
        <w:spacing w:line="276" w:lineRule="auto"/>
        <w:rPr>
          <w:b/>
        </w:rPr>
      </w:pPr>
      <w:r w:rsidRPr="00882D6F">
        <w:t xml:space="preserve">external factors affecting </w:t>
      </w:r>
      <w:r>
        <w:t xml:space="preserve">participant </w:t>
      </w:r>
      <w:r w:rsidRPr="00882D6F">
        <w:t>o</w:t>
      </w:r>
      <w:r w:rsidRPr="000743FA">
        <w:t xml:space="preserve">utcomes – for example, thin market </w:t>
      </w:r>
      <w:r>
        <w:t>supply and participant crises.</w:t>
      </w:r>
    </w:p>
    <w:p w:rsidR="00BC6FBC" w:rsidRDefault="00BC6FBC">
      <w:pPr>
        <w:spacing w:line="276" w:lineRule="auto"/>
        <w:rPr>
          <w:b/>
          <w:sz w:val="24"/>
        </w:rPr>
      </w:pPr>
      <w:bookmarkStart w:id="37" w:name="_Funding_for_support"/>
      <w:bookmarkStart w:id="38" w:name="_Toc88041453"/>
      <w:bookmarkEnd w:id="37"/>
      <w:r>
        <w:br w:type="page"/>
      </w:r>
    </w:p>
    <w:p w:rsidR="00B60C9F" w:rsidRPr="00736777" w:rsidRDefault="00B60C9F" w:rsidP="00941A88">
      <w:pPr>
        <w:pStyle w:val="Heading4"/>
        <w:numPr>
          <w:ilvl w:val="0"/>
          <w:numId w:val="0"/>
        </w:numPr>
      </w:pPr>
      <w:r w:rsidRPr="00736777">
        <w:lastRenderedPageBreak/>
        <w:t>Funding for support coordination is inconsistent</w:t>
      </w:r>
      <w:bookmarkEnd w:id="38"/>
      <w:r w:rsidRPr="00736777">
        <w:t xml:space="preserve"> </w:t>
      </w:r>
    </w:p>
    <w:p w:rsidR="00B60C9F" w:rsidRDefault="00B60C9F" w:rsidP="00B60C9F">
      <w:r>
        <w:t xml:space="preserve">Many stakeholders asked for more clarity and consistency on when and how support coordination goes into a participant’s plan. </w:t>
      </w:r>
    </w:p>
    <w:p w:rsidR="00B60C9F" w:rsidRDefault="00B60C9F" w:rsidP="00B60C9F">
      <w:r>
        <w:t xml:space="preserve">This feedback </w:t>
      </w:r>
      <w:r w:rsidRPr="00506F0B">
        <w:t>generally agreed with the 2017 Productivity Commission Report, which said participant need should determine funding for support coordination, rather than be limited by time.</w:t>
      </w:r>
      <w:r w:rsidRPr="00506F0B">
        <w:rPr>
          <w:rStyle w:val="FootnoteReference"/>
        </w:rPr>
        <w:footnoteReference w:id="8"/>
      </w:r>
      <w:r>
        <w:t xml:space="preserve"> </w:t>
      </w:r>
    </w:p>
    <w:p w:rsidR="00B60C9F" w:rsidRDefault="00B60C9F" w:rsidP="00B60C9F">
      <w:r>
        <w:t xml:space="preserve">Stakeholders said support coordination funding decisions should consider a participant’s: </w:t>
      </w:r>
    </w:p>
    <w:p w:rsidR="00B60C9F" w:rsidRDefault="00B60C9F" w:rsidP="006B161E">
      <w:pPr>
        <w:pStyle w:val="ListParagraph"/>
        <w:numPr>
          <w:ilvl w:val="0"/>
          <w:numId w:val="15"/>
        </w:numPr>
        <w:spacing w:line="276" w:lineRule="auto"/>
      </w:pPr>
      <w:r>
        <w:t>capacity to make decisions</w:t>
      </w:r>
    </w:p>
    <w:p w:rsidR="00B60C9F" w:rsidRDefault="00B60C9F" w:rsidP="006B161E">
      <w:pPr>
        <w:pStyle w:val="ListParagraph"/>
        <w:numPr>
          <w:ilvl w:val="0"/>
          <w:numId w:val="15"/>
        </w:numPr>
        <w:spacing w:line="276" w:lineRule="auto"/>
      </w:pPr>
      <w:r>
        <w:t>existing formal and informal support network</w:t>
      </w:r>
    </w:p>
    <w:p w:rsidR="00B60C9F" w:rsidRDefault="00B60C9F" w:rsidP="006B161E">
      <w:pPr>
        <w:pStyle w:val="ListParagraph"/>
        <w:numPr>
          <w:ilvl w:val="0"/>
          <w:numId w:val="15"/>
        </w:numPr>
        <w:spacing w:line="276" w:lineRule="auto"/>
      </w:pPr>
      <w:r>
        <w:t>individual needs and circumstances.</w:t>
      </w:r>
    </w:p>
    <w:p w:rsidR="00B60C9F" w:rsidRDefault="00B60C9F" w:rsidP="00B60C9F">
      <w:r>
        <w:t>Stakeholders also said support coordination funding decisions can be inconsistent. Support coordination providers said that sometimes plans had insufficient support coordination funding to deliver holistic support and that they often only had enough time to find and connect participants to providers. Stakeholders commented that limited support coordination hours in plans prevented building a participant’s capacity to become more independent.</w:t>
      </w:r>
    </w:p>
    <w:p w:rsidR="00B60C9F" w:rsidRPr="006705CB" w:rsidRDefault="00B60C9F" w:rsidP="00B60C9F">
      <w:pPr>
        <w:spacing w:before="200" w:after="0"/>
        <w:rPr>
          <w:sz w:val="24"/>
        </w:rPr>
      </w:pPr>
    </w:p>
    <w:p w:rsidR="00B60C9F" w:rsidRDefault="00B60C9F" w:rsidP="00B60C9F">
      <w:pPr>
        <w:spacing w:after="160" w:line="259" w:lineRule="auto"/>
        <w:rPr>
          <w:rFonts w:cs="Arial"/>
          <w:szCs w:val="22"/>
        </w:rPr>
      </w:pPr>
      <w:r>
        <w:rPr>
          <w:rFonts w:cs="Arial"/>
          <w:szCs w:val="22"/>
        </w:rPr>
        <w:br w:type="page"/>
      </w:r>
    </w:p>
    <w:p w:rsidR="00B60C9F" w:rsidRDefault="00B60C9F" w:rsidP="00941A88">
      <w:pPr>
        <w:pStyle w:val="Heading2"/>
        <w:numPr>
          <w:ilvl w:val="0"/>
          <w:numId w:val="0"/>
        </w:numPr>
        <w:tabs>
          <w:tab w:val="left" w:pos="7310"/>
        </w:tabs>
        <w:ind w:left="720" w:hanging="720"/>
      </w:pPr>
      <w:bookmarkStart w:id="39" w:name="_Toc88041454"/>
      <w:r>
        <w:lastRenderedPageBreak/>
        <w:t>Appendix B – Use of support coordination</w:t>
      </w:r>
      <w:bookmarkEnd w:id="39"/>
    </w:p>
    <w:p w:rsidR="00B60C9F" w:rsidRDefault="00B60C9F" w:rsidP="00B60C9F">
      <w:pPr>
        <w:pStyle w:val="Heading3"/>
      </w:pPr>
      <w:bookmarkStart w:id="40" w:name="_Toc88041455"/>
      <w:r>
        <w:t>Total support coordination payments</w:t>
      </w:r>
      <w:bookmarkEnd w:id="40"/>
    </w:p>
    <w:p w:rsidR="00B60C9F" w:rsidRDefault="00B60C9F" w:rsidP="00B60C9F">
      <w:pPr>
        <w:rPr>
          <w:rFonts w:cs="Arial"/>
        </w:rPr>
      </w:pPr>
      <w:r>
        <w:rPr>
          <w:rFonts w:cs="Arial"/>
        </w:rPr>
        <w:t>As the NDIS has grown and rolled out, the total spend on support coordination has increased. This is partly due to participants becoming more familiar with and more experienced in navigating the NDIS, which is driving an increase in average payments per participant, for those with support coordination funding in their plan budgets and</w:t>
      </w:r>
      <w:r w:rsidRPr="00AA078B">
        <w:rPr>
          <w:rFonts w:cs="Arial"/>
        </w:rPr>
        <w:t xml:space="preserve"> </w:t>
      </w:r>
      <w:r>
        <w:rPr>
          <w:rFonts w:cs="Arial"/>
        </w:rPr>
        <w:t>plans more generally.</w:t>
      </w:r>
    </w:p>
    <w:p w:rsidR="00B60C9F" w:rsidRPr="007C7FF4" w:rsidRDefault="00B60C9F" w:rsidP="007C7FF4">
      <w:pPr>
        <w:pStyle w:val="Heading4"/>
        <w:numPr>
          <w:ilvl w:val="0"/>
          <w:numId w:val="0"/>
        </w:numPr>
      </w:pPr>
      <w:bookmarkStart w:id="41" w:name="_Toc88041456"/>
      <w:r w:rsidRPr="007C7FF4">
        <w:rPr>
          <w:rStyle w:val="Heading4Char"/>
          <w:b/>
        </w:rPr>
        <w:t>Table B.1: Total support coordination payments over time</w:t>
      </w:r>
      <w:bookmarkEnd w:id="41"/>
      <w:r w:rsidRPr="007C7FF4">
        <w:rPr>
          <w:rStyle w:val="FootnoteReference"/>
          <w:vertAlign w:val="baseline"/>
        </w:rPr>
        <w:footnoteReference w:id="9"/>
      </w:r>
    </w:p>
    <w:tbl>
      <w:tblPr>
        <w:tblpPr w:leftFromText="180" w:rightFromText="180" w:vertAnchor="text" w:tblpXSpec="center" w:tblpY="1"/>
        <w:tblOverlap w:val="never"/>
        <w:tblW w:w="4668" w:type="dxa"/>
        <w:tblLook w:val="04A0" w:firstRow="1" w:lastRow="0" w:firstColumn="1" w:lastColumn="0" w:noHBand="0" w:noVBand="1"/>
      </w:tblPr>
      <w:tblGrid>
        <w:gridCol w:w="2117"/>
        <w:gridCol w:w="2551"/>
      </w:tblGrid>
      <w:tr w:rsidR="00B60C9F" w:rsidRPr="00A80D62" w:rsidTr="00B83085">
        <w:trPr>
          <w:trHeight w:val="1067"/>
          <w:tblHeader/>
        </w:trPr>
        <w:tc>
          <w:tcPr>
            <w:tcW w:w="2117" w:type="dxa"/>
            <w:tcBorders>
              <w:top w:val="single" w:sz="8" w:space="0" w:color="auto"/>
              <w:left w:val="single" w:sz="8" w:space="0" w:color="auto"/>
              <w:bottom w:val="nil"/>
              <w:right w:val="single" w:sz="8" w:space="0" w:color="auto"/>
            </w:tcBorders>
            <w:shd w:val="clear" w:color="000000" w:fill="6B2976"/>
            <w:vAlign w:val="center"/>
            <w:hideMark/>
          </w:tcPr>
          <w:p w:rsidR="00B60C9F" w:rsidRPr="00A80D62" w:rsidRDefault="00B60C9F" w:rsidP="000D5D04">
            <w:pPr>
              <w:spacing w:after="0" w:line="240" w:lineRule="auto"/>
              <w:jc w:val="center"/>
              <w:rPr>
                <w:rFonts w:eastAsia="Times New Roman" w:cs="Arial"/>
                <w:b/>
                <w:bCs/>
                <w:color w:val="FFFFFF"/>
                <w:lang w:eastAsia="en-AU"/>
              </w:rPr>
            </w:pPr>
            <w:r>
              <w:rPr>
                <w:rFonts w:eastAsia="Times New Roman" w:cs="Arial"/>
                <w:b/>
                <w:bCs/>
                <w:color w:val="FFFFFF"/>
                <w:lang w:eastAsia="en-AU"/>
              </w:rPr>
              <w:t>12 month period</w:t>
            </w:r>
          </w:p>
        </w:tc>
        <w:tc>
          <w:tcPr>
            <w:tcW w:w="2551" w:type="dxa"/>
            <w:tcBorders>
              <w:top w:val="single" w:sz="8" w:space="0" w:color="auto"/>
              <w:left w:val="nil"/>
              <w:bottom w:val="nil"/>
              <w:right w:val="single" w:sz="8" w:space="0" w:color="auto"/>
            </w:tcBorders>
            <w:shd w:val="clear" w:color="000000" w:fill="6B2976"/>
            <w:vAlign w:val="center"/>
            <w:hideMark/>
          </w:tcPr>
          <w:p w:rsidR="00B60C9F" w:rsidRPr="00A80D62" w:rsidRDefault="00B60C9F" w:rsidP="000D5D04">
            <w:pPr>
              <w:spacing w:after="0" w:line="240" w:lineRule="auto"/>
              <w:jc w:val="center"/>
              <w:rPr>
                <w:rFonts w:eastAsia="Times New Roman" w:cs="Arial"/>
                <w:b/>
                <w:bCs/>
                <w:color w:val="FFFFFF"/>
                <w:lang w:eastAsia="en-AU"/>
              </w:rPr>
            </w:pPr>
            <w:r>
              <w:rPr>
                <w:rFonts w:eastAsia="Times New Roman" w:cs="Arial"/>
                <w:b/>
                <w:bCs/>
                <w:color w:val="FFFFFF"/>
                <w:lang w:eastAsia="en-AU"/>
              </w:rPr>
              <w:t>Total support coordination payments</w:t>
            </w:r>
            <w:r w:rsidRPr="00A80D62">
              <w:rPr>
                <w:rFonts w:eastAsia="Times New Roman" w:cs="Arial"/>
                <w:b/>
                <w:bCs/>
                <w:color w:val="FFFFFF"/>
                <w:lang w:eastAsia="en-AU"/>
              </w:rPr>
              <w:t xml:space="preserve"> ($m)</w:t>
            </w:r>
          </w:p>
        </w:tc>
      </w:tr>
      <w:tr w:rsidR="00B60C9F" w:rsidRPr="00A80D62" w:rsidTr="000D5D04">
        <w:trPr>
          <w:trHeight w:val="284"/>
        </w:trPr>
        <w:tc>
          <w:tcPr>
            <w:tcW w:w="2117" w:type="dxa"/>
            <w:tcBorders>
              <w:top w:val="nil"/>
              <w:left w:val="single" w:sz="8" w:space="0" w:color="auto"/>
              <w:bottom w:val="nil"/>
              <w:right w:val="single" w:sz="8" w:space="0" w:color="auto"/>
            </w:tcBorders>
            <w:shd w:val="clear" w:color="000000" w:fill="F7EEF7"/>
            <w:noWrap/>
            <w:hideMark/>
          </w:tcPr>
          <w:p w:rsidR="00B60C9F" w:rsidRPr="003258E9" w:rsidRDefault="00B60C9F" w:rsidP="000D5D04">
            <w:pPr>
              <w:spacing w:after="0" w:line="240" w:lineRule="auto"/>
              <w:jc w:val="center"/>
              <w:rPr>
                <w:rFonts w:eastAsia="Times New Roman" w:cs="Arial"/>
                <w:color w:val="000000"/>
                <w:lang w:eastAsia="en-AU"/>
              </w:rPr>
            </w:pPr>
            <w:r w:rsidRPr="003258E9">
              <w:rPr>
                <w:rFonts w:cs="Arial"/>
              </w:rPr>
              <w:t>Oct-17 to Sep-18</w:t>
            </w:r>
          </w:p>
        </w:tc>
        <w:tc>
          <w:tcPr>
            <w:tcW w:w="2551" w:type="dxa"/>
            <w:tcBorders>
              <w:top w:val="nil"/>
              <w:left w:val="nil"/>
              <w:bottom w:val="nil"/>
              <w:right w:val="single" w:sz="8" w:space="0" w:color="auto"/>
            </w:tcBorders>
            <w:shd w:val="clear" w:color="000000" w:fill="auto"/>
            <w:noWrap/>
            <w:hideMark/>
          </w:tcPr>
          <w:p w:rsidR="00B60C9F" w:rsidRPr="003258E9" w:rsidRDefault="00B60C9F" w:rsidP="000D5D04">
            <w:pPr>
              <w:spacing w:after="0" w:line="240" w:lineRule="auto"/>
              <w:jc w:val="center"/>
              <w:rPr>
                <w:rFonts w:eastAsia="Times New Roman" w:cs="Arial"/>
                <w:color w:val="000000"/>
                <w:lang w:eastAsia="en-AU"/>
              </w:rPr>
            </w:pPr>
            <w:r w:rsidRPr="003258E9">
              <w:rPr>
                <w:rFonts w:cs="Arial"/>
              </w:rPr>
              <w:t>$161 million</w:t>
            </w:r>
          </w:p>
        </w:tc>
      </w:tr>
      <w:tr w:rsidR="00B60C9F" w:rsidRPr="00A80D62" w:rsidTr="000D5D04">
        <w:trPr>
          <w:trHeight w:val="284"/>
        </w:trPr>
        <w:tc>
          <w:tcPr>
            <w:tcW w:w="2117" w:type="dxa"/>
            <w:tcBorders>
              <w:top w:val="nil"/>
              <w:left w:val="single" w:sz="8" w:space="0" w:color="auto"/>
              <w:bottom w:val="nil"/>
              <w:right w:val="single" w:sz="8" w:space="0" w:color="auto"/>
            </w:tcBorders>
            <w:shd w:val="clear" w:color="000000" w:fill="F7EEF7"/>
            <w:noWrap/>
            <w:hideMark/>
          </w:tcPr>
          <w:p w:rsidR="00B60C9F" w:rsidRPr="003258E9" w:rsidRDefault="00B60C9F" w:rsidP="000D5D04">
            <w:pPr>
              <w:spacing w:after="0" w:line="240" w:lineRule="auto"/>
              <w:jc w:val="center"/>
              <w:rPr>
                <w:rFonts w:eastAsia="Times New Roman" w:cs="Arial"/>
                <w:color w:val="000000"/>
                <w:lang w:eastAsia="en-AU"/>
              </w:rPr>
            </w:pPr>
            <w:r w:rsidRPr="003258E9">
              <w:rPr>
                <w:rFonts w:cs="Arial"/>
              </w:rPr>
              <w:t>Oct-18 to Sep-19</w:t>
            </w:r>
          </w:p>
        </w:tc>
        <w:tc>
          <w:tcPr>
            <w:tcW w:w="2551" w:type="dxa"/>
            <w:tcBorders>
              <w:top w:val="nil"/>
              <w:left w:val="nil"/>
              <w:bottom w:val="nil"/>
              <w:right w:val="single" w:sz="8" w:space="0" w:color="auto"/>
            </w:tcBorders>
            <w:shd w:val="clear" w:color="000000" w:fill="auto"/>
            <w:noWrap/>
            <w:hideMark/>
          </w:tcPr>
          <w:p w:rsidR="00B60C9F" w:rsidRPr="003258E9" w:rsidRDefault="00B60C9F" w:rsidP="000D5D04">
            <w:pPr>
              <w:spacing w:after="0" w:line="240" w:lineRule="auto"/>
              <w:jc w:val="center"/>
              <w:rPr>
                <w:rFonts w:eastAsia="Times New Roman" w:cs="Arial"/>
                <w:color w:val="000000"/>
                <w:lang w:eastAsia="en-AU"/>
              </w:rPr>
            </w:pPr>
            <w:r w:rsidRPr="003258E9">
              <w:rPr>
                <w:rFonts w:cs="Arial"/>
              </w:rPr>
              <w:t>$272 million</w:t>
            </w:r>
          </w:p>
        </w:tc>
      </w:tr>
      <w:tr w:rsidR="00B60C9F" w:rsidRPr="00A80D62" w:rsidTr="000D5D04">
        <w:trPr>
          <w:trHeight w:val="284"/>
        </w:trPr>
        <w:tc>
          <w:tcPr>
            <w:tcW w:w="2117" w:type="dxa"/>
            <w:tcBorders>
              <w:top w:val="nil"/>
              <w:left w:val="single" w:sz="8" w:space="0" w:color="auto"/>
              <w:bottom w:val="nil"/>
              <w:right w:val="single" w:sz="8" w:space="0" w:color="auto"/>
            </w:tcBorders>
            <w:shd w:val="clear" w:color="000000" w:fill="F7EEF7"/>
            <w:noWrap/>
            <w:hideMark/>
          </w:tcPr>
          <w:p w:rsidR="00B60C9F" w:rsidRPr="003258E9" w:rsidRDefault="00B60C9F" w:rsidP="000D5D04">
            <w:pPr>
              <w:spacing w:after="0" w:line="240" w:lineRule="auto"/>
              <w:jc w:val="center"/>
              <w:rPr>
                <w:rFonts w:eastAsia="Times New Roman" w:cs="Arial"/>
                <w:color w:val="000000"/>
                <w:lang w:eastAsia="en-AU"/>
              </w:rPr>
            </w:pPr>
            <w:r w:rsidRPr="003258E9">
              <w:rPr>
                <w:rFonts w:cs="Arial"/>
              </w:rPr>
              <w:t>Oct-19 to Sep-20</w:t>
            </w:r>
          </w:p>
        </w:tc>
        <w:tc>
          <w:tcPr>
            <w:tcW w:w="2551" w:type="dxa"/>
            <w:tcBorders>
              <w:top w:val="nil"/>
              <w:left w:val="nil"/>
              <w:bottom w:val="nil"/>
              <w:right w:val="single" w:sz="8" w:space="0" w:color="auto"/>
            </w:tcBorders>
            <w:shd w:val="clear" w:color="000000" w:fill="auto"/>
            <w:noWrap/>
            <w:hideMark/>
          </w:tcPr>
          <w:p w:rsidR="00B60C9F" w:rsidRPr="003258E9" w:rsidRDefault="00B60C9F" w:rsidP="000D5D04">
            <w:pPr>
              <w:spacing w:after="0" w:line="240" w:lineRule="auto"/>
              <w:jc w:val="center"/>
              <w:rPr>
                <w:rFonts w:eastAsia="Times New Roman" w:cs="Arial"/>
                <w:color w:val="000000"/>
                <w:lang w:eastAsia="en-AU"/>
              </w:rPr>
            </w:pPr>
            <w:r w:rsidRPr="003258E9">
              <w:rPr>
                <w:rFonts w:cs="Arial"/>
              </w:rPr>
              <w:t>$481 million</w:t>
            </w:r>
          </w:p>
        </w:tc>
      </w:tr>
      <w:tr w:rsidR="00B60C9F" w:rsidRPr="00A80D62" w:rsidTr="000D5D04">
        <w:trPr>
          <w:trHeight w:val="284"/>
        </w:trPr>
        <w:tc>
          <w:tcPr>
            <w:tcW w:w="2117" w:type="dxa"/>
            <w:tcBorders>
              <w:top w:val="nil"/>
              <w:left w:val="single" w:sz="8" w:space="0" w:color="auto"/>
              <w:bottom w:val="single" w:sz="8" w:space="0" w:color="auto"/>
              <w:right w:val="single" w:sz="8" w:space="0" w:color="auto"/>
            </w:tcBorders>
            <w:shd w:val="clear" w:color="000000" w:fill="F7EEF7"/>
            <w:noWrap/>
            <w:hideMark/>
          </w:tcPr>
          <w:p w:rsidR="00B60C9F" w:rsidRPr="003258E9" w:rsidRDefault="00B60C9F" w:rsidP="000D5D04">
            <w:pPr>
              <w:spacing w:after="0" w:line="240" w:lineRule="auto"/>
              <w:jc w:val="center"/>
              <w:rPr>
                <w:rFonts w:eastAsia="Times New Roman" w:cs="Arial"/>
                <w:color w:val="000000"/>
                <w:lang w:eastAsia="en-AU"/>
              </w:rPr>
            </w:pPr>
            <w:r w:rsidRPr="003258E9">
              <w:rPr>
                <w:rFonts w:cs="Arial"/>
              </w:rPr>
              <w:t>Oct-20 to Sep-21</w:t>
            </w:r>
          </w:p>
        </w:tc>
        <w:tc>
          <w:tcPr>
            <w:tcW w:w="2551" w:type="dxa"/>
            <w:tcBorders>
              <w:top w:val="nil"/>
              <w:left w:val="nil"/>
              <w:bottom w:val="single" w:sz="8" w:space="0" w:color="auto"/>
              <w:right w:val="single" w:sz="8" w:space="0" w:color="auto"/>
            </w:tcBorders>
            <w:shd w:val="clear" w:color="000000" w:fill="auto"/>
            <w:noWrap/>
            <w:hideMark/>
          </w:tcPr>
          <w:p w:rsidR="00B60C9F" w:rsidRPr="003258E9" w:rsidRDefault="00B60C9F" w:rsidP="000D5D04">
            <w:pPr>
              <w:spacing w:after="0" w:line="240" w:lineRule="auto"/>
              <w:jc w:val="center"/>
              <w:rPr>
                <w:rFonts w:eastAsia="Times New Roman" w:cs="Arial"/>
                <w:color w:val="000000"/>
                <w:lang w:eastAsia="en-AU"/>
              </w:rPr>
            </w:pPr>
            <w:r w:rsidRPr="003258E9">
              <w:rPr>
                <w:rFonts w:cs="Arial"/>
              </w:rPr>
              <w:t>$667 million</w:t>
            </w:r>
          </w:p>
        </w:tc>
      </w:tr>
    </w:tbl>
    <w:p w:rsidR="00B60C9F" w:rsidRPr="004E0176" w:rsidRDefault="00B60C9F" w:rsidP="00B60C9F">
      <w:pPr>
        <w:spacing w:after="0"/>
        <w:jc w:val="center"/>
        <w:rPr>
          <w:rFonts w:cs="Arial"/>
          <w:b/>
          <w:i/>
          <w:sz w:val="20"/>
          <w:szCs w:val="20"/>
        </w:rPr>
      </w:pPr>
    </w:p>
    <w:p w:rsidR="00B60C9F" w:rsidRDefault="00B60C9F" w:rsidP="00B60C9F">
      <w:pPr>
        <w:spacing w:before="120"/>
        <w:rPr>
          <w:rFonts w:cs="Arial"/>
        </w:rPr>
      </w:pPr>
    </w:p>
    <w:p w:rsidR="00B60C9F" w:rsidRDefault="00B60C9F" w:rsidP="00B60C9F">
      <w:pPr>
        <w:spacing w:before="120"/>
        <w:rPr>
          <w:rFonts w:cs="Arial"/>
        </w:rPr>
      </w:pPr>
    </w:p>
    <w:p w:rsidR="00B60C9F" w:rsidRDefault="00B60C9F" w:rsidP="00B60C9F">
      <w:pPr>
        <w:spacing w:before="120"/>
        <w:rPr>
          <w:rFonts w:cs="Arial"/>
        </w:rPr>
      </w:pPr>
    </w:p>
    <w:p w:rsidR="00B60C9F" w:rsidRDefault="00B60C9F" w:rsidP="00B60C9F">
      <w:pPr>
        <w:spacing w:before="120"/>
        <w:rPr>
          <w:rFonts w:cs="Arial"/>
        </w:rPr>
      </w:pPr>
    </w:p>
    <w:p w:rsidR="00B60C9F" w:rsidRDefault="00B60C9F" w:rsidP="00B60C9F">
      <w:pPr>
        <w:spacing w:before="120"/>
        <w:rPr>
          <w:rFonts w:cs="Arial"/>
        </w:rPr>
      </w:pPr>
      <w:r>
        <w:rPr>
          <w:rFonts w:cs="Arial"/>
        </w:rPr>
        <w:t xml:space="preserve">For the year ending 30 September 2021, total payments for support coordination were </w:t>
      </w:r>
      <w:r w:rsidRPr="005766F1">
        <w:rPr>
          <w:rFonts w:cs="Arial"/>
        </w:rPr>
        <w:t>$</w:t>
      </w:r>
      <w:r>
        <w:rPr>
          <w:rFonts w:cs="Arial"/>
        </w:rPr>
        <w:t>667</w:t>
      </w:r>
      <w:r w:rsidRPr="005766F1">
        <w:rPr>
          <w:rFonts w:cs="Arial"/>
        </w:rPr>
        <w:t xml:space="preserve"> million, with </w:t>
      </w:r>
      <w:r>
        <w:rPr>
          <w:rFonts w:cs="Arial"/>
        </w:rPr>
        <w:t xml:space="preserve">63% of payments used to </w:t>
      </w:r>
      <w:r w:rsidRPr="005766F1">
        <w:rPr>
          <w:rFonts w:cs="Arial"/>
        </w:rPr>
        <w:t xml:space="preserve">support participants with </w:t>
      </w:r>
      <w:r>
        <w:rPr>
          <w:rFonts w:cs="Arial"/>
        </w:rPr>
        <w:t xml:space="preserve">a </w:t>
      </w:r>
      <w:r w:rsidRPr="005766F1">
        <w:rPr>
          <w:rFonts w:cs="Arial"/>
        </w:rPr>
        <w:t>psychosocial disability ($</w:t>
      </w:r>
      <w:r>
        <w:rPr>
          <w:rFonts w:cs="Arial"/>
        </w:rPr>
        <w:t>166</w:t>
      </w:r>
      <w:r w:rsidRPr="005766F1">
        <w:rPr>
          <w:rFonts w:cs="Arial"/>
        </w:rPr>
        <w:t xml:space="preserve"> million) </w:t>
      </w:r>
      <w:r>
        <w:rPr>
          <w:rFonts w:cs="Arial"/>
        </w:rPr>
        <w:t>an</w:t>
      </w:r>
      <w:r w:rsidRPr="005766F1">
        <w:rPr>
          <w:rFonts w:cs="Arial"/>
        </w:rPr>
        <w:t xml:space="preserve"> intellectual</w:t>
      </w:r>
      <w:r>
        <w:rPr>
          <w:rFonts w:cs="Arial"/>
        </w:rPr>
        <w:t xml:space="preserve"> disability</w:t>
      </w:r>
      <w:r>
        <w:rPr>
          <w:rStyle w:val="FootnoteReference"/>
          <w:rFonts w:cs="Arial"/>
        </w:rPr>
        <w:footnoteReference w:id="10"/>
      </w:r>
      <w:r>
        <w:rPr>
          <w:rFonts w:cs="Arial"/>
        </w:rPr>
        <w:t xml:space="preserve"> ($154 million) or autism ($102 million).</w:t>
      </w:r>
    </w:p>
    <w:p w:rsidR="00BC6FBC" w:rsidRDefault="00BC6FBC">
      <w:pPr>
        <w:spacing w:line="276" w:lineRule="auto"/>
        <w:rPr>
          <w:rStyle w:val="Heading4Char"/>
        </w:rPr>
      </w:pPr>
      <w:bookmarkStart w:id="42" w:name="_Toc88041457"/>
      <w:r>
        <w:rPr>
          <w:rStyle w:val="Heading4Char"/>
          <w:b w:val="0"/>
        </w:rPr>
        <w:br w:type="page"/>
      </w:r>
    </w:p>
    <w:p w:rsidR="00B60C9F" w:rsidRPr="00941A88" w:rsidRDefault="00B60C9F" w:rsidP="00941A88">
      <w:pPr>
        <w:pStyle w:val="Heading4"/>
        <w:numPr>
          <w:ilvl w:val="0"/>
          <w:numId w:val="0"/>
        </w:numPr>
        <w:rPr>
          <w:rStyle w:val="Heading4Char"/>
          <w:b/>
        </w:rPr>
      </w:pPr>
      <w:r w:rsidRPr="00941A88">
        <w:rPr>
          <w:rStyle w:val="Heading4Char"/>
          <w:b/>
        </w:rPr>
        <w:lastRenderedPageBreak/>
        <w:t>Table B.2: Total support coordination payments by disability type for the year ending 30 September 2021</w:t>
      </w:r>
      <w:bookmarkEnd w:id="42"/>
    </w:p>
    <w:tbl>
      <w:tblPr>
        <w:tblW w:w="7941" w:type="dxa"/>
        <w:jc w:val="center"/>
        <w:tblLook w:val="04A0" w:firstRow="1" w:lastRow="0" w:firstColumn="1" w:lastColumn="0" w:noHBand="0" w:noVBand="1"/>
      </w:tblPr>
      <w:tblGrid>
        <w:gridCol w:w="3256"/>
        <w:gridCol w:w="4685"/>
      </w:tblGrid>
      <w:tr w:rsidR="00B60C9F" w:rsidRPr="007D5D1D" w:rsidTr="00BC6FBC">
        <w:trPr>
          <w:trHeight w:val="625"/>
          <w:tblHeader/>
          <w:jc w:val="center"/>
        </w:trPr>
        <w:tc>
          <w:tcPr>
            <w:tcW w:w="3256" w:type="dxa"/>
            <w:tcBorders>
              <w:top w:val="single" w:sz="4" w:space="0" w:color="auto"/>
              <w:left w:val="single" w:sz="4" w:space="0" w:color="auto"/>
              <w:bottom w:val="single" w:sz="4" w:space="0" w:color="auto"/>
              <w:right w:val="single" w:sz="4" w:space="0" w:color="auto"/>
            </w:tcBorders>
            <w:shd w:val="clear" w:color="000000" w:fill="6B2976"/>
            <w:noWrap/>
            <w:vAlign w:val="center"/>
            <w:hideMark/>
          </w:tcPr>
          <w:p w:rsidR="00B60C9F" w:rsidRPr="007D5D1D" w:rsidRDefault="00B60C9F" w:rsidP="000D5D04">
            <w:pPr>
              <w:spacing w:after="0" w:line="240" w:lineRule="auto"/>
              <w:jc w:val="center"/>
              <w:rPr>
                <w:rFonts w:eastAsia="Times New Roman" w:cs="Arial"/>
                <w:b/>
                <w:bCs/>
                <w:color w:val="FFFFFF"/>
                <w:lang w:eastAsia="en-AU"/>
              </w:rPr>
            </w:pPr>
            <w:r w:rsidRPr="007D5D1D">
              <w:rPr>
                <w:rFonts w:eastAsia="Times New Roman" w:cs="Arial"/>
                <w:b/>
                <w:bCs/>
                <w:color w:val="FFFFFF"/>
                <w:lang w:eastAsia="en-AU"/>
              </w:rPr>
              <w:t>Disability type</w:t>
            </w:r>
          </w:p>
        </w:tc>
        <w:tc>
          <w:tcPr>
            <w:tcW w:w="4685" w:type="dxa"/>
            <w:tcBorders>
              <w:top w:val="single" w:sz="4" w:space="0" w:color="auto"/>
              <w:left w:val="nil"/>
              <w:bottom w:val="single" w:sz="4" w:space="0" w:color="auto"/>
              <w:right w:val="single" w:sz="4" w:space="0" w:color="auto"/>
            </w:tcBorders>
            <w:shd w:val="clear" w:color="000000" w:fill="6B2976"/>
            <w:vAlign w:val="center"/>
            <w:hideMark/>
          </w:tcPr>
          <w:p w:rsidR="00B60C9F" w:rsidRPr="007D5D1D" w:rsidRDefault="00B60C9F" w:rsidP="000D5D04">
            <w:pPr>
              <w:spacing w:after="0" w:line="240" w:lineRule="auto"/>
              <w:jc w:val="center"/>
              <w:rPr>
                <w:rFonts w:eastAsia="Times New Roman" w:cs="Arial"/>
                <w:b/>
                <w:bCs/>
                <w:color w:val="FFFFFF"/>
                <w:lang w:eastAsia="en-AU"/>
              </w:rPr>
            </w:pPr>
            <w:r w:rsidRPr="007D5D1D">
              <w:rPr>
                <w:rFonts w:eastAsia="Times New Roman" w:cs="Arial"/>
                <w:b/>
                <w:bCs/>
                <w:color w:val="FFFFFF"/>
                <w:lang w:eastAsia="en-AU"/>
              </w:rPr>
              <w:t xml:space="preserve">Total support coordination payments for the year ending 30 </w:t>
            </w:r>
            <w:r>
              <w:rPr>
                <w:rFonts w:eastAsia="Times New Roman" w:cs="Arial"/>
                <w:b/>
                <w:bCs/>
                <w:color w:val="FFFFFF"/>
                <w:lang w:eastAsia="en-AU"/>
              </w:rPr>
              <w:t>September</w:t>
            </w:r>
            <w:r w:rsidRPr="007D5D1D">
              <w:rPr>
                <w:rFonts w:eastAsia="Times New Roman" w:cs="Arial"/>
                <w:b/>
                <w:bCs/>
                <w:color w:val="FFFFFF"/>
                <w:lang w:eastAsia="en-AU"/>
              </w:rPr>
              <w:t xml:space="preserve"> 2021</w:t>
            </w:r>
            <w:r w:rsidRPr="007D5D1D" w:rsidDel="00AF6831">
              <w:rPr>
                <w:rFonts w:eastAsia="Times New Roman" w:cs="Arial"/>
                <w:b/>
                <w:bCs/>
                <w:color w:val="FFFFFF"/>
                <w:lang w:eastAsia="en-AU"/>
              </w:rPr>
              <w:t xml:space="preserve"> </w:t>
            </w:r>
          </w:p>
        </w:tc>
      </w:tr>
      <w:tr w:rsidR="00B60C9F" w:rsidRPr="007D5D1D" w:rsidTr="00BC6FBC">
        <w:trPr>
          <w:trHeight w:val="271"/>
          <w:jc w:val="center"/>
        </w:trPr>
        <w:tc>
          <w:tcPr>
            <w:tcW w:w="3256" w:type="dxa"/>
            <w:tcBorders>
              <w:top w:val="nil"/>
              <w:left w:val="single" w:sz="4" w:space="0" w:color="auto"/>
              <w:bottom w:val="single" w:sz="4" w:space="0" w:color="auto"/>
              <w:right w:val="single" w:sz="4" w:space="0" w:color="auto"/>
            </w:tcBorders>
            <w:shd w:val="clear" w:color="000000" w:fill="D1D3D4"/>
            <w:noWrap/>
            <w:vAlign w:val="center"/>
            <w:hideMark/>
          </w:tcPr>
          <w:p w:rsidR="00B60C9F" w:rsidRPr="007D5D1D" w:rsidRDefault="00B60C9F" w:rsidP="000D5D04">
            <w:pPr>
              <w:spacing w:after="0" w:line="240" w:lineRule="auto"/>
              <w:rPr>
                <w:rFonts w:eastAsia="Times New Roman" w:cs="Arial"/>
                <w:color w:val="000000"/>
                <w:lang w:eastAsia="en-AU"/>
              </w:rPr>
            </w:pPr>
            <w:r w:rsidRPr="007D5D1D">
              <w:rPr>
                <w:rFonts w:eastAsia="Times New Roman" w:cs="Arial"/>
                <w:color w:val="000000"/>
                <w:lang w:eastAsia="en-AU"/>
              </w:rPr>
              <w:t>Acquired Brain Injury</w:t>
            </w:r>
          </w:p>
        </w:tc>
        <w:tc>
          <w:tcPr>
            <w:tcW w:w="4685" w:type="dxa"/>
            <w:tcBorders>
              <w:top w:val="nil"/>
              <w:left w:val="nil"/>
              <w:bottom w:val="single" w:sz="4" w:space="0" w:color="auto"/>
              <w:right w:val="single" w:sz="4" w:space="0" w:color="auto"/>
            </w:tcBorders>
            <w:shd w:val="clear" w:color="auto" w:fill="auto"/>
            <w:noWrap/>
          </w:tcPr>
          <w:p w:rsidR="00B60C9F" w:rsidRPr="007D5D1D" w:rsidRDefault="00B60C9F" w:rsidP="000D5D04">
            <w:pPr>
              <w:spacing w:after="0" w:line="240" w:lineRule="auto"/>
              <w:jc w:val="center"/>
              <w:rPr>
                <w:rFonts w:eastAsia="Times New Roman" w:cs="Arial"/>
                <w:color w:val="000000"/>
                <w:lang w:eastAsia="en-AU"/>
              </w:rPr>
            </w:pPr>
            <w:r w:rsidRPr="00576E82">
              <w:rPr>
                <w:rFonts w:cs="Arial"/>
              </w:rPr>
              <w:t>$50</w:t>
            </w:r>
            <w:r>
              <w:rPr>
                <w:rFonts w:cs="Arial"/>
              </w:rPr>
              <w:t xml:space="preserve"> </w:t>
            </w:r>
            <w:r w:rsidRPr="003258E9">
              <w:rPr>
                <w:rFonts w:cs="Arial"/>
              </w:rPr>
              <w:t>million</w:t>
            </w:r>
            <w:r w:rsidRPr="007D5D1D" w:rsidDel="00456E99">
              <w:rPr>
                <w:rFonts w:eastAsia="Times New Roman" w:cs="Arial"/>
                <w:color w:val="000000"/>
                <w:lang w:eastAsia="en-AU"/>
              </w:rPr>
              <w:t xml:space="preserve"> </w:t>
            </w:r>
          </w:p>
        </w:tc>
      </w:tr>
      <w:tr w:rsidR="00B60C9F" w:rsidRPr="007D5D1D" w:rsidTr="00BC6FBC">
        <w:trPr>
          <w:trHeight w:val="271"/>
          <w:jc w:val="center"/>
        </w:trPr>
        <w:tc>
          <w:tcPr>
            <w:tcW w:w="3256" w:type="dxa"/>
            <w:tcBorders>
              <w:top w:val="nil"/>
              <w:left w:val="single" w:sz="4" w:space="0" w:color="auto"/>
              <w:bottom w:val="single" w:sz="4" w:space="0" w:color="auto"/>
              <w:right w:val="single" w:sz="4" w:space="0" w:color="auto"/>
            </w:tcBorders>
            <w:shd w:val="clear" w:color="000000" w:fill="D1D3D4"/>
            <w:noWrap/>
            <w:vAlign w:val="center"/>
            <w:hideMark/>
          </w:tcPr>
          <w:p w:rsidR="00B60C9F" w:rsidRPr="007D5D1D" w:rsidRDefault="00B60C9F" w:rsidP="000D5D04">
            <w:pPr>
              <w:spacing w:after="0" w:line="240" w:lineRule="auto"/>
              <w:rPr>
                <w:rFonts w:eastAsia="Times New Roman" w:cs="Arial"/>
                <w:color w:val="000000"/>
                <w:lang w:eastAsia="en-AU"/>
              </w:rPr>
            </w:pPr>
            <w:r w:rsidRPr="007D5D1D">
              <w:rPr>
                <w:rFonts w:eastAsia="Times New Roman" w:cs="Arial"/>
                <w:color w:val="000000"/>
                <w:lang w:eastAsia="en-AU"/>
              </w:rPr>
              <w:t>Autism</w:t>
            </w:r>
          </w:p>
        </w:tc>
        <w:tc>
          <w:tcPr>
            <w:tcW w:w="4685" w:type="dxa"/>
            <w:tcBorders>
              <w:top w:val="nil"/>
              <w:left w:val="nil"/>
              <w:bottom w:val="single" w:sz="4" w:space="0" w:color="auto"/>
              <w:right w:val="single" w:sz="4" w:space="0" w:color="auto"/>
            </w:tcBorders>
            <w:shd w:val="clear" w:color="auto" w:fill="auto"/>
            <w:noWrap/>
          </w:tcPr>
          <w:p w:rsidR="00B60C9F" w:rsidRPr="007D5D1D" w:rsidRDefault="00B60C9F" w:rsidP="000D5D04">
            <w:pPr>
              <w:spacing w:after="0" w:line="240" w:lineRule="auto"/>
              <w:jc w:val="center"/>
              <w:rPr>
                <w:rFonts w:eastAsia="Times New Roman" w:cs="Arial"/>
                <w:color w:val="000000"/>
                <w:lang w:eastAsia="en-AU"/>
              </w:rPr>
            </w:pPr>
            <w:r w:rsidRPr="00576E82">
              <w:rPr>
                <w:rFonts w:cs="Arial"/>
              </w:rPr>
              <w:t>$102</w:t>
            </w:r>
            <w:r>
              <w:rPr>
                <w:rFonts w:cs="Arial"/>
              </w:rPr>
              <w:t xml:space="preserve"> </w:t>
            </w:r>
            <w:r w:rsidRPr="003258E9">
              <w:rPr>
                <w:rFonts w:cs="Arial"/>
              </w:rPr>
              <w:t>million</w:t>
            </w:r>
            <w:r w:rsidRPr="007D5D1D" w:rsidDel="00456E99">
              <w:rPr>
                <w:rFonts w:eastAsia="Times New Roman" w:cs="Arial"/>
                <w:color w:val="000000"/>
                <w:lang w:eastAsia="en-AU"/>
              </w:rPr>
              <w:t xml:space="preserve"> </w:t>
            </w:r>
          </w:p>
        </w:tc>
      </w:tr>
      <w:tr w:rsidR="00B60C9F" w:rsidRPr="007D5D1D" w:rsidTr="00BC6FBC">
        <w:trPr>
          <w:trHeight w:val="271"/>
          <w:jc w:val="center"/>
        </w:trPr>
        <w:tc>
          <w:tcPr>
            <w:tcW w:w="3256" w:type="dxa"/>
            <w:tcBorders>
              <w:top w:val="nil"/>
              <w:left w:val="single" w:sz="4" w:space="0" w:color="auto"/>
              <w:bottom w:val="single" w:sz="4" w:space="0" w:color="auto"/>
              <w:right w:val="single" w:sz="4" w:space="0" w:color="auto"/>
            </w:tcBorders>
            <w:shd w:val="clear" w:color="000000" w:fill="D1D3D4"/>
            <w:noWrap/>
            <w:vAlign w:val="center"/>
            <w:hideMark/>
          </w:tcPr>
          <w:p w:rsidR="00B60C9F" w:rsidRPr="007D5D1D" w:rsidRDefault="00B60C9F" w:rsidP="000D5D04">
            <w:pPr>
              <w:spacing w:after="0" w:line="240" w:lineRule="auto"/>
              <w:rPr>
                <w:rFonts w:eastAsia="Times New Roman" w:cs="Arial"/>
                <w:color w:val="000000"/>
                <w:lang w:eastAsia="en-AU"/>
              </w:rPr>
            </w:pPr>
            <w:r w:rsidRPr="007D5D1D">
              <w:rPr>
                <w:rFonts w:eastAsia="Times New Roman" w:cs="Arial"/>
                <w:color w:val="000000"/>
                <w:lang w:eastAsia="en-AU"/>
              </w:rPr>
              <w:t>Cerebral Palsy</w:t>
            </w:r>
          </w:p>
        </w:tc>
        <w:tc>
          <w:tcPr>
            <w:tcW w:w="4685" w:type="dxa"/>
            <w:tcBorders>
              <w:top w:val="nil"/>
              <w:left w:val="nil"/>
              <w:bottom w:val="single" w:sz="4" w:space="0" w:color="auto"/>
              <w:right w:val="single" w:sz="4" w:space="0" w:color="auto"/>
            </w:tcBorders>
            <w:shd w:val="clear" w:color="auto" w:fill="auto"/>
            <w:noWrap/>
          </w:tcPr>
          <w:p w:rsidR="00B60C9F" w:rsidRPr="007D5D1D" w:rsidRDefault="00B60C9F" w:rsidP="000D5D04">
            <w:pPr>
              <w:spacing w:after="0" w:line="240" w:lineRule="auto"/>
              <w:jc w:val="center"/>
              <w:rPr>
                <w:rFonts w:eastAsia="Times New Roman" w:cs="Arial"/>
                <w:color w:val="000000"/>
                <w:lang w:eastAsia="en-AU"/>
              </w:rPr>
            </w:pPr>
            <w:r w:rsidRPr="00576E82">
              <w:rPr>
                <w:rFonts w:cs="Arial"/>
              </w:rPr>
              <w:t>$29</w:t>
            </w:r>
            <w:r>
              <w:rPr>
                <w:rFonts w:cs="Arial"/>
              </w:rPr>
              <w:t xml:space="preserve"> </w:t>
            </w:r>
            <w:r w:rsidRPr="003258E9">
              <w:rPr>
                <w:rFonts w:cs="Arial"/>
              </w:rPr>
              <w:t>million</w:t>
            </w:r>
            <w:r w:rsidRPr="007D5D1D" w:rsidDel="00456E99">
              <w:rPr>
                <w:rFonts w:eastAsia="Times New Roman" w:cs="Arial"/>
                <w:color w:val="000000"/>
                <w:lang w:eastAsia="en-AU"/>
              </w:rPr>
              <w:t xml:space="preserve"> </w:t>
            </w:r>
          </w:p>
        </w:tc>
      </w:tr>
      <w:tr w:rsidR="00B60C9F" w:rsidRPr="007D5D1D" w:rsidTr="00BC6FBC">
        <w:trPr>
          <w:trHeight w:val="271"/>
          <w:jc w:val="center"/>
        </w:trPr>
        <w:tc>
          <w:tcPr>
            <w:tcW w:w="3256" w:type="dxa"/>
            <w:tcBorders>
              <w:top w:val="nil"/>
              <w:left w:val="single" w:sz="4" w:space="0" w:color="auto"/>
              <w:bottom w:val="single" w:sz="4" w:space="0" w:color="auto"/>
              <w:right w:val="single" w:sz="4" w:space="0" w:color="auto"/>
            </w:tcBorders>
            <w:shd w:val="clear" w:color="000000" w:fill="D1D3D4"/>
            <w:noWrap/>
            <w:vAlign w:val="center"/>
            <w:hideMark/>
          </w:tcPr>
          <w:p w:rsidR="00B60C9F" w:rsidRPr="007D5D1D" w:rsidRDefault="00B60C9F" w:rsidP="000D5D04">
            <w:pPr>
              <w:spacing w:after="0" w:line="240" w:lineRule="auto"/>
              <w:rPr>
                <w:rFonts w:eastAsia="Times New Roman" w:cs="Arial"/>
                <w:color w:val="000000"/>
                <w:lang w:eastAsia="en-AU"/>
              </w:rPr>
            </w:pPr>
            <w:r w:rsidRPr="007D5D1D">
              <w:rPr>
                <w:rFonts w:eastAsia="Times New Roman" w:cs="Arial"/>
                <w:color w:val="000000"/>
                <w:lang w:eastAsia="en-AU"/>
              </w:rPr>
              <w:t>Developmental Delay</w:t>
            </w:r>
          </w:p>
        </w:tc>
        <w:tc>
          <w:tcPr>
            <w:tcW w:w="4685" w:type="dxa"/>
            <w:tcBorders>
              <w:top w:val="nil"/>
              <w:left w:val="nil"/>
              <w:bottom w:val="single" w:sz="4" w:space="0" w:color="auto"/>
              <w:right w:val="single" w:sz="4" w:space="0" w:color="auto"/>
            </w:tcBorders>
            <w:shd w:val="clear" w:color="auto" w:fill="auto"/>
            <w:noWrap/>
          </w:tcPr>
          <w:p w:rsidR="00B60C9F" w:rsidRPr="007D5D1D" w:rsidRDefault="00B60C9F" w:rsidP="000D5D04">
            <w:pPr>
              <w:spacing w:after="0" w:line="240" w:lineRule="auto"/>
              <w:jc w:val="center"/>
              <w:rPr>
                <w:rFonts w:eastAsia="Times New Roman" w:cs="Arial"/>
                <w:color w:val="000000"/>
                <w:lang w:eastAsia="en-AU"/>
              </w:rPr>
            </w:pPr>
            <w:r w:rsidRPr="00576E82">
              <w:rPr>
                <w:rFonts w:cs="Arial"/>
              </w:rPr>
              <w:t>$5</w:t>
            </w:r>
            <w:r>
              <w:rPr>
                <w:rFonts w:cs="Arial"/>
              </w:rPr>
              <w:t xml:space="preserve"> </w:t>
            </w:r>
            <w:r w:rsidRPr="003258E9">
              <w:rPr>
                <w:rFonts w:cs="Arial"/>
              </w:rPr>
              <w:t>million</w:t>
            </w:r>
            <w:r w:rsidRPr="007D5D1D" w:rsidDel="00456E99">
              <w:rPr>
                <w:rFonts w:eastAsia="Times New Roman" w:cs="Arial"/>
                <w:color w:val="000000"/>
                <w:lang w:eastAsia="en-AU"/>
              </w:rPr>
              <w:t xml:space="preserve"> </w:t>
            </w:r>
          </w:p>
        </w:tc>
      </w:tr>
      <w:tr w:rsidR="00B60C9F" w:rsidRPr="007D5D1D" w:rsidTr="00BC6FBC">
        <w:trPr>
          <w:trHeight w:val="271"/>
          <w:jc w:val="center"/>
        </w:trPr>
        <w:tc>
          <w:tcPr>
            <w:tcW w:w="3256" w:type="dxa"/>
            <w:tcBorders>
              <w:top w:val="nil"/>
              <w:left w:val="single" w:sz="4" w:space="0" w:color="auto"/>
              <w:bottom w:val="single" w:sz="4" w:space="0" w:color="auto"/>
              <w:right w:val="single" w:sz="4" w:space="0" w:color="auto"/>
            </w:tcBorders>
            <w:shd w:val="clear" w:color="000000" w:fill="D1D3D4"/>
            <w:noWrap/>
            <w:vAlign w:val="center"/>
            <w:hideMark/>
          </w:tcPr>
          <w:p w:rsidR="00B60C9F" w:rsidRPr="007D5D1D" w:rsidRDefault="00B60C9F" w:rsidP="000D5D04">
            <w:pPr>
              <w:spacing w:after="0" w:line="240" w:lineRule="auto"/>
              <w:rPr>
                <w:rFonts w:eastAsia="Times New Roman" w:cs="Arial"/>
                <w:color w:val="000000"/>
                <w:lang w:eastAsia="en-AU"/>
              </w:rPr>
            </w:pPr>
            <w:r w:rsidRPr="007D5D1D">
              <w:rPr>
                <w:rFonts w:eastAsia="Times New Roman" w:cs="Arial"/>
                <w:color w:val="000000"/>
                <w:lang w:eastAsia="en-AU"/>
              </w:rPr>
              <w:t>Down Syndrome</w:t>
            </w:r>
          </w:p>
        </w:tc>
        <w:tc>
          <w:tcPr>
            <w:tcW w:w="4685" w:type="dxa"/>
            <w:tcBorders>
              <w:top w:val="nil"/>
              <w:left w:val="nil"/>
              <w:bottom w:val="single" w:sz="4" w:space="0" w:color="auto"/>
              <w:right w:val="single" w:sz="4" w:space="0" w:color="auto"/>
            </w:tcBorders>
            <w:shd w:val="clear" w:color="auto" w:fill="auto"/>
            <w:noWrap/>
          </w:tcPr>
          <w:p w:rsidR="00B60C9F" w:rsidRPr="007D5D1D" w:rsidRDefault="00B60C9F" w:rsidP="000D5D04">
            <w:pPr>
              <w:spacing w:after="0" w:line="240" w:lineRule="auto"/>
              <w:jc w:val="center"/>
              <w:rPr>
                <w:rFonts w:eastAsia="Times New Roman" w:cs="Arial"/>
                <w:color w:val="000000"/>
                <w:lang w:eastAsia="en-AU"/>
              </w:rPr>
            </w:pPr>
            <w:r w:rsidRPr="00576E82">
              <w:rPr>
                <w:rFonts w:cs="Arial"/>
              </w:rPr>
              <w:t>$15</w:t>
            </w:r>
            <w:r>
              <w:rPr>
                <w:rFonts w:cs="Arial"/>
              </w:rPr>
              <w:t xml:space="preserve"> </w:t>
            </w:r>
            <w:r w:rsidRPr="003258E9">
              <w:rPr>
                <w:rFonts w:cs="Arial"/>
              </w:rPr>
              <w:t>million</w:t>
            </w:r>
            <w:r w:rsidRPr="007D5D1D" w:rsidDel="00456E99">
              <w:rPr>
                <w:rFonts w:eastAsia="Times New Roman" w:cs="Arial"/>
                <w:color w:val="000000"/>
                <w:lang w:eastAsia="en-AU"/>
              </w:rPr>
              <w:t xml:space="preserve"> </w:t>
            </w:r>
          </w:p>
        </w:tc>
      </w:tr>
      <w:tr w:rsidR="00B60C9F" w:rsidRPr="007D5D1D" w:rsidTr="00BC6FBC">
        <w:trPr>
          <w:trHeight w:val="271"/>
          <w:jc w:val="center"/>
        </w:trPr>
        <w:tc>
          <w:tcPr>
            <w:tcW w:w="3256" w:type="dxa"/>
            <w:tcBorders>
              <w:top w:val="nil"/>
              <w:left w:val="single" w:sz="4" w:space="0" w:color="auto"/>
              <w:bottom w:val="single" w:sz="4" w:space="0" w:color="auto"/>
              <w:right w:val="single" w:sz="4" w:space="0" w:color="auto"/>
            </w:tcBorders>
            <w:shd w:val="clear" w:color="000000" w:fill="D1D3D4"/>
            <w:noWrap/>
            <w:vAlign w:val="center"/>
            <w:hideMark/>
          </w:tcPr>
          <w:p w:rsidR="00B60C9F" w:rsidRPr="007D5D1D" w:rsidRDefault="00B60C9F" w:rsidP="000D5D04">
            <w:pPr>
              <w:spacing w:after="0" w:line="240" w:lineRule="auto"/>
              <w:rPr>
                <w:rFonts w:eastAsia="Times New Roman" w:cs="Arial"/>
                <w:color w:val="000000"/>
                <w:lang w:eastAsia="en-AU"/>
              </w:rPr>
            </w:pPr>
            <w:r w:rsidRPr="007D5D1D">
              <w:rPr>
                <w:rFonts w:eastAsia="Times New Roman" w:cs="Arial"/>
                <w:color w:val="000000"/>
                <w:lang w:eastAsia="en-AU"/>
              </w:rPr>
              <w:t>Global Developmental Delay</w:t>
            </w:r>
          </w:p>
        </w:tc>
        <w:tc>
          <w:tcPr>
            <w:tcW w:w="4685" w:type="dxa"/>
            <w:tcBorders>
              <w:top w:val="nil"/>
              <w:left w:val="nil"/>
              <w:bottom w:val="single" w:sz="4" w:space="0" w:color="auto"/>
              <w:right w:val="single" w:sz="4" w:space="0" w:color="auto"/>
            </w:tcBorders>
            <w:shd w:val="clear" w:color="auto" w:fill="auto"/>
            <w:noWrap/>
          </w:tcPr>
          <w:p w:rsidR="00B60C9F" w:rsidRPr="007D5D1D" w:rsidRDefault="00B60C9F" w:rsidP="000D5D04">
            <w:pPr>
              <w:spacing w:after="0" w:line="240" w:lineRule="auto"/>
              <w:jc w:val="center"/>
              <w:rPr>
                <w:rFonts w:eastAsia="Times New Roman" w:cs="Arial"/>
                <w:color w:val="000000"/>
                <w:lang w:eastAsia="en-AU"/>
              </w:rPr>
            </w:pPr>
            <w:r w:rsidRPr="00576E82">
              <w:rPr>
                <w:rFonts w:cs="Arial"/>
              </w:rPr>
              <w:t>$2</w:t>
            </w:r>
            <w:r>
              <w:rPr>
                <w:rFonts w:cs="Arial"/>
              </w:rPr>
              <w:t xml:space="preserve"> </w:t>
            </w:r>
            <w:r w:rsidRPr="003258E9">
              <w:rPr>
                <w:rFonts w:cs="Arial"/>
              </w:rPr>
              <w:t>million</w:t>
            </w:r>
            <w:r w:rsidRPr="007D5D1D" w:rsidDel="00456E99">
              <w:rPr>
                <w:rFonts w:eastAsia="Times New Roman" w:cs="Arial"/>
                <w:color w:val="000000"/>
                <w:lang w:eastAsia="en-AU"/>
              </w:rPr>
              <w:t xml:space="preserve"> </w:t>
            </w:r>
          </w:p>
        </w:tc>
      </w:tr>
      <w:tr w:rsidR="00B60C9F" w:rsidRPr="007D5D1D" w:rsidTr="00BC6FBC">
        <w:trPr>
          <w:trHeight w:val="271"/>
          <w:jc w:val="center"/>
        </w:trPr>
        <w:tc>
          <w:tcPr>
            <w:tcW w:w="3256" w:type="dxa"/>
            <w:tcBorders>
              <w:top w:val="nil"/>
              <w:left w:val="single" w:sz="4" w:space="0" w:color="auto"/>
              <w:bottom w:val="single" w:sz="4" w:space="0" w:color="auto"/>
              <w:right w:val="single" w:sz="4" w:space="0" w:color="auto"/>
            </w:tcBorders>
            <w:shd w:val="clear" w:color="000000" w:fill="D1D3D4"/>
            <w:noWrap/>
            <w:vAlign w:val="center"/>
            <w:hideMark/>
          </w:tcPr>
          <w:p w:rsidR="00B60C9F" w:rsidRPr="007D5D1D" w:rsidRDefault="00B60C9F" w:rsidP="000D5D04">
            <w:pPr>
              <w:spacing w:after="0" w:line="240" w:lineRule="auto"/>
              <w:rPr>
                <w:rFonts w:eastAsia="Times New Roman" w:cs="Arial"/>
                <w:color w:val="000000"/>
                <w:lang w:eastAsia="en-AU"/>
              </w:rPr>
            </w:pPr>
            <w:r w:rsidRPr="007D5D1D">
              <w:rPr>
                <w:rFonts w:eastAsia="Times New Roman" w:cs="Arial"/>
                <w:color w:val="000000"/>
                <w:lang w:eastAsia="en-AU"/>
              </w:rPr>
              <w:t>Hearing Impairment</w:t>
            </w:r>
          </w:p>
        </w:tc>
        <w:tc>
          <w:tcPr>
            <w:tcW w:w="4685" w:type="dxa"/>
            <w:tcBorders>
              <w:top w:val="nil"/>
              <w:left w:val="nil"/>
              <w:bottom w:val="single" w:sz="4" w:space="0" w:color="auto"/>
              <w:right w:val="single" w:sz="4" w:space="0" w:color="auto"/>
            </w:tcBorders>
            <w:shd w:val="clear" w:color="auto" w:fill="auto"/>
            <w:noWrap/>
          </w:tcPr>
          <w:p w:rsidR="00B60C9F" w:rsidRPr="007D5D1D" w:rsidRDefault="00B60C9F" w:rsidP="000D5D04">
            <w:pPr>
              <w:spacing w:after="0" w:line="240" w:lineRule="auto"/>
              <w:jc w:val="center"/>
              <w:rPr>
                <w:rFonts w:eastAsia="Times New Roman" w:cs="Arial"/>
                <w:color w:val="000000"/>
                <w:lang w:eastAsia="en-AU"/>
              </w:rPr>
            </w:pPr>
            <w:r w:rsidRPr="00576E82">
              <w:rPr>
                <w:rFonts w:cs="Arial"/>
              </w:rPr>
              <w:t>$6</w:t>
            </w:r>
            <w:r>
              <w:rPr>
                <w:rFonts w:cs="Arial"/>
              </w:rPr>
              <w:t xml:space="preserve"> </w:t>
            </w:r>
            <w:r w:rsidRPr="003258E9">
              <w:rPr>
                <w:rFonts w:cs="Arial"/>
              </w:rPr>
              <w:t>million</w:t>
            </w:r>
            <w:r w:rsidRPr="007D5D1D" w:rsidDel="00456E99">
              <w:rPr>
                <w:rFonts w:eastAsia="Times New Roman" w:cs="Arial"/>
                <w:color w:val="000000"/>
                <w:lang w:eastAsia="en-AU"/>
              </w:rPr>
              <w:t xml:space="preserve"> </w:t>
            </w:r>
          </w:p>
        </w:tc>
      </w:tr>
      <w:tr w:rsidR="00B60C9F" w:rsidRPr="007D5D1D" w:rsidTr="00BC6FBC">
        <w:trPr>
          <w:trHeight w:val="271"/>
          <w:jc w:val="center"/>
        </w:trPr>
        <w:tc>
          <w:tcPr>
            <w:tcW w:w="3256" w:type="dxa"/>
            <w:tcBorders>
              <w:top w:val="nil"/>
              <w:left w:val="single" w:sz="4" w:space="0" w:color="auto"/>
              <w:bottom w:val="single" w:sz="4" w:space="0" w:color="auto"/>
              <w:right w:val="single" w:sz="4" w:space="0" w:color="auto"/>
            </w:tcBorders>
            <w:shd w:val="clear" w:color="000000" w:fill="D1D3D4"/>
            <w:noWrap/>
            <w:vAlign w:val="center"/>
            <w:hideMark/>
          </w:tcPr>
          <w:p w:rsidR="00B60C9F" w:rsidRPr="007D5D1D" w:rsidRDefault="00B60C9F" w:rsidP="000D5D04">
            <w:pPr>
              <w:spacing w:after="0" w:line="240" w:lineRule="auto"/>
              <w:rPr>
                <w:rFonts w:eastAsia="Times New Roman" w:cs="Arial"/>
                <w:color w:val="000000"/>
                <w:lang w:eastAsia="en-AU"/>
              </w:rPr>
            </w:pPr>
            <w:r w:rsidRPr="007D5D1D">
              <w:rPr>
                <w:rFonts w:eastAsia="Times New Roman" w:cs="Arial"/>
                <w:color w:val="000000"/>
                <w:lang w:eastAsia="en-AU"/>
              </w:rPr>
              <w:t>Intellectual disability</w:t>
            </w:r>
          </w:p>
        </w:tc>
        <w:tc>
          <w:tcPr>
            <w:tcW w:w="4685" w:type="dxa"/>
            <w:tcBorders>
              <w:top w:val="nil"/>
              <w:left w:val="nil"/>
              <w:bottom w:val="single" w:sz="4" w:space="0" w:color="auto"/>
              <w:right w:val="single" w:sz="4" w:space="0" w:color="auto"/>
            </w:tcBorders>
            <w:shd w:val="clear" w:color="auto" w:fill="auto"/>
            <w:noWrap/>
          </w:tcPr>
          <w:p w:rsidR="00B60C9F" w:rsidRPr="007D5D1D" w:rsidRDefault="00B60C9F" w:rsidP="000D5D04">
            <w:pPr>
              <w:spacing w:after="0" w:line="240" w:lineRule="auto"/>
              <w:jc w:val="center"/>
              <w:rPr>
                <w:rFonts w:eastAsia="Times New Roman" w:cs="Arial"/>
                <w:color w:val="000000"/>
                <w:lang w:eastAsia="en-AU"/>
              </w:rPr>
            </w:pPr>
            <w:r w:rsidRPr="00576E82">
              <w:rPr>
                <w:rFonts w:cs="Arial"/>
              </w:rPr>
              <w:t>$154</w:t>
            </w:r>
            <w:r>
              <w:rPr>
                <w:rFonts w:cs="Arial"/>
              </w:rPr>
              <w:t xml:space="preserve"> </w:t>
            </w:r>
            <w:r w:rsidRPr="003258E9">
              <w:rPr>
                <w:rFonts w:cs="Arial"/>
              </w:rPr>
              <w:t>million</w:t>
            </w:r>
            <w:r w:rsidRPr="007D5D1D" w:rsidDel="00456E99">
              <w:rPr>
                <w:rFonts w:eastAsia="Times New Roman" w:cs="Arial"/>
                <w:color w:val="000000"/>
                <w:lang w:eastAsia="en-AU"/>
              </w:rPr>
              <w:t xml:space="preserve"> </w:t>
            </w:r>
          </w:p>
        </w:tc>
      </w:tr>
      <w:tr w:rsidR="00B60C9F" w:rsidRPr="007D5D1D" w:rsidTr="00BC6FBC">
        <w:trPr>
          <w:trHeight w:val="271"/>
          <w:jc w:val="center"/>
        </w:trPr>
        <w:tc>
          <w:tcPr>
            <w:tcW w:w="3256" w:type="dxa"/>
            <w:tcBorders>
              <w:top w:val="nil"/>
              <w:left w:val="single" w:sz="4" w:space="0" w:color="auto"/>
              <w:bottom w:val="single" w:sz="4" w:space="0" w:color="auto"/>
              <w:right w:val="single" w:sz="4" w:space="0" w:color="auto"/>
            </w:tcBorders>
            <w:shd w:val="clear" w:color="000000" w:fill="D1D3D4"/>
            <w:noWrap/>
            <w:vAlign w:val="center"/>
            <w:hideMark/>
          </w:tcPr>
          <w:p w:rsidR="00B60C9F" w:rsidRPr="007D5D1D" w:rsidRDefault="00B60C9F" w:rsidP="000D5D04">
            <w:pPr>
              <w:spacing w:after="0" w:line="240" w:lineRule="auto"/>
              <w:rPr>
                <w:rFonts w:eastAsia="Times New Roman" w:cs="Arial"/>
                <w:color w:val="000000"/>
                <w:lang w:eastAsia="en-AU"/>
              </w:rPr>
            </w:pPr>
            <w:r w:rsidRPr="007D5D1D">
              <w:rPr>
                <w:rFonts w:eastAsia="Times New Roman" w:cs="Arial"/>
                <w:color w:val="000000"/>
                <w:lang w:eastAsia="en-AU"/>
              </w:rPr>
              <w:t>Multiple Sclerosis</w:t>
            </w:r>
          </w:p>
        </w:tc>
        <w:tc>
          <w:tcPr>
            <w:tcW w:w="4685" w:type="dxa"/>
            <w:tcBorders>
              <w:top w:val="nil"/>
              <w:left w:val="nil"/>
              <w:bottom w:val="single" w:sz="4" w:space="0" w:color="auto"/>
              <w:right w:val="single" w:sz="4" w:space="0" w:color="auto"/>
            </w:tcBorders>
            <w:shd w:val="clear" w:color="auto" w:fill="auto"/>
            <w:noWrap/>
          </w:tcPr>
          <w:p w:rsidR="00B60C9F" w:rsidRPr="007D5D1D" w:rsidRDefault="00B60C9F" w:rsidP="000D5D04">
            <w:pPr>
              <w:spacing w:after="0" w:line="240" w:lineRule="auto"/>
              <w:jc w:val="center"/>
              <w:rPr>
                <w:rFonts w:eastAsia="Times New Roman" w:cs="Arial"/>
                <w:color w:val="000000"/>
                <w:lang w:eastAsia="en-AU"/>
              </w:rPr>
            </w:pPr>
            <w:r w:rsidRPr="00576E82">
              <w:rPr>
                <w:rFonts w:cs="Arial"/>
              </w:rPr>
              <w:t>$18</w:t>
            </w:r>
            <w:r>
              <w:rPr>
                <w:rFonts w:cs="Arial"/>
              </w:rPr>
              <w:t xml:space="preserve"> </w:t>
            </w:r>
            <w:r w:rsidRPr="003258E9">
              <w:rPr>
                <w:rFonts w:cs="Arial"/>
              </w:rPr>
              <w:t>million</w:t>
            </w:r>
            <w:r w:rsidRPr="007D5D1D" w:rsidDel="00456E99">
              <w:rPr>
                <w:rFonts w:eastAsia="Times New Roman" w:cs="Arial"/>
                <w:color w:val="000000"/>
                <w:lang w:eastAsia="en-AU"/>
              </w:rPr>
              <w:t xml:space="preserve"> </w:t>
            </w:r>
          </w:p>
        </w:tc>
      </w:tr>
      <w:tr w:rsidR="00B60C9F" w:rsidRPr="007D5D1D" w:rsidTr="00BC6FBC">
        <w:trPr>
          <w:trHeight w:val="271"/>
          <w:jc w:val="center"/>
        </w:trPr>
        <w:tc>
          <w:tcPr>
            <w:tcW w:w="3256" w:type="dxa"/>
            <w:tcBorders>
              <w:top w:val="nil"/>
              <w:left w:val="single" w:sz="4" w:space="0" w:color="auto"/>
              <w:bottom w:val="single" w:sz="4" w:space="0" w:color="auto"/>
              <w:right w:val="single" w:sz="4" w:space="0" w:color="auto"/>
            </w:tcBorders>
            <w:shd w:val="clear" w:color="000000" w:fill="D1D3D4"/>
            <w:noWrap/>
            <w:vAlign w:val="center"/>
            <w:hideMark/>
          </w:tcPr>
          <w:p w:rsidR="00B60C9F" w:rsidRPr="007D5D1D" w:rsidRDefault="00B60C9F" w:rsidP="000D5D04">
            <w:pPr>
              <w:spacing w:after="0" w:line="240" w:lineRule="auto"/>
              <w:rPr>
                <w:rFonts w:eastAsia="Times New Roman" w:cs="Arial"/>
                <w:color w:val="000000"/>
                <w:lang w:eastAsia="en-AU"/>
              </w:rPr>
            </w:pPr>
            <w:r w:rsidRPr="007D5D1D">
              <w:rPr>
                <w:rFonts w:eastAsia="Times New Roman" w:cs="Arial"/>
                <w:color w:val="000000"/>
                <w:lang w:eastAsia="en-AU"/>
              </w:rPr>
              <w:t>Other</w:t>
            </w:r>
          </w:p>
        </w:tc>
        <w:tc>
          <w:tcPr>
            <w:tcW w:w="4685" w:type="dxa"/>
            <w:tcBorders>
              <w:top w:val="nil"/>
              <w:left w:val="nil"/>
              <w:bottom w:val="single" w:sz="4" w:space="0" w:color="auto"/>
              <w:right w:val="single" w:sz="4" w:space="0" w:color="auto"/>
            </w:tcBorders>
            <w:shd w:val="clear" w:color="auto" w:fill="auto"/>
            <w:noWrap/>
          </w:tcPr>
          <w:p w:rsidR="00B60C9F" w:rsidRPr="007D5D1D" w:rsidRDefault="00B60C9F" w:rsidP="000D5D04">
            <w:pPr>
              <w:spacing w:after="0" w:line="240" w:lineRule="auto"/>
              <w:jc w:val="center"/>
              <w:rPr>
                <w:rFonts w:eastAsia="Times New Roman" w:cs="Arial"/>
                <w:color w:val="000000"/>
                <w:lang w:eastAsia="en-AU"/>
              </w:rPr>
            </w:pPr>
            <w:r w:rsidRPr="00576E82">
              <w:rPr>
                <w:rFonts w:cs="Arial"/>
              </w:rPr>
              <w:t>$7</w:t>
            </w:r>
            <w:r>
              <w:rPr>
                <w:rFonts w:cs="Arial"/>
              </w:rPr>
              <w:t xml:space="preserve"> </w:t>
            </w:r>
            <w:r w:rsidRPr="003258E9">
              <w:rPr>
                <w:rFonts w:cs="Arial"/>
              </w:rPr>
              <w:t>million</w:t>
            </w:r>
            <w:r w:rsidRPr="007D5D1D" w:rsidDel="00456E99">
              <w:rPr>
                <w:rFonts w:eastAsia="Times New Roman" w:cs="Arial"/>
                <w:color w:val="000000"/>
                <w:lang w:eastAsia="en-AU"/>
              </w:rPr>
              <w:t xml:space="preserve"> </w:t>
            </w:r>
          </w:p>
        </w:tc>
      </w:tr>
      <w:tr w:rsidR="00B60C9F" w:rsidRPr="007D5D1D" w:rsidTr="00BC6FBC">
        <w:trPr>
          <w:trHeight w:val="271"/>
          <w:jc w:val="center"/>
        </w:trPr>
        <w:tc>
          <w:tcPr>
            <w:tcW w:w="3256" w:type="dxa"/>
            <w:tcBorders>
              <w:top w:val="nil"/>
              <w:left w:val="single" w:sz="4" w:space="0" w:color="auto"/>
              <w:bottom w:val="single" w:sz="4" w:space="0" w:color="auto"/>
              <w:right w:val="single" w:sz="4" w:space="0" w:color="auto"/>
            </w:tcBorders>
            <w:shd w:val="clear" w:color="000000" w:fill="D1D3D4"/>
            <w:noWrap/>
            <w:vAlign w:val="center"/>
            <w:hideMark/>
          </w:tcPr>
          <w:p w:rsidR="00B60C9F" w:rsidRPr="007D5D1D" w:rsidRDefault="00B60C9F" w:rsidP="000D5D04">
            <w:pPr>
              <w:spacing w:after="0" w:line="240" w:lineRule="auto"/>
              <w:rPr>
                <w:rFonts w:eastAsia="Times New Roman" w:cs="Arial"/>
                <w:color w:val="000000"/>
                <w:lang w:eastAsia="en-AU"/>
              </w:rPr>
            </w:pPr>
            <w:r w:rsidRPr="007D5D1D">
              <w:rPr>
                <w:rFonts w:eastAsia="Times New Roman" w:cs="Arial"/>
                <w:color w:val="000000"/>
                <w:lang w:eastAsia="en-AU"/>
              </w:rPr>
              <w:t>Other Neurological</w:t>
            </w:r>
          </w:p>
        </w:tc>
        <w:tc>
          <w:tcPr>
            <w:tcW w:w="4685" w:type="dxa"/>
            <w:tcBorders>
              <w:top w:val="nil"/>
              <w:left w:val="nil"/>
              <w:bottom w:val="single" w:sz="4" w:space="0" w:color="auto"/>
              <w:right w:val="single" w:sz="4" w:space="0" w:color="auto"/>
            </w:tcBorders>
            <w:shd w:val="clear" w:color="auto" w:fill="auto"/>
            <w:noWrap/>
          </w:tcPr>
          <w:p w:rsidR="00B60C9F" w:rsidRPr="007D5D1D" w:rsidRDefault="00B60C9F" w:rsidP="000D5D04">
            <w:pPr>
              <w:spacing w:after="0" w:line="240" w:lineRule="auto"/>
              <w:jc w:val="center"/>
              <w:rPr>
                <w:rFonts w:eastAsia="Times New Roman" w:cs="Arial"/>
                <w:color w:val="000000"/>
                <w:lang w:eastAsia="en-AU"/>
              </w:rPr>
            </w:pPr>
            <w:r w:rsidRPr="00576E82">
              <w:rPr>
                <w:rFonts w:cs="Arial"/>
              </w:rPr>
              <w:t>$49</w:t>
            </w:r>
            <w:r>
              <w:rPr>
                <w:rFonts w:cs="Arial"/>
              </w:rPr>
              <w:t xml:space="preserve"> </w:t>
            </w:r>
            <w:r w:rsidRPr="003258E9">
              <w:rPr>
                <w:rFonts w:cs="Arial"/>
              </w:rPr>
              <w:t>million</w:t>
            </w:r>
            <w:r w:rsidRPr="007D5D1D" w:rsidDel="00456E99">
              <w:rPr>
                <w:rFonts w:eastAsia="Times New Roman" w:cs="Arial"/>
                <w:color w:val="000000"/>
                <w:lang w:eastAsia="en-AU"/>
              </w:rPr>
              <w:t xml:space="preserve"> </w:t>
            </w:r>
          </w:p>
        </w:tc>
      </w:tr>
      <w:tr w:rsidR="00B60C9F" w:rsidRPr="007D5D1D" w:rsidTr="00BC6FBC">
        <w:trPr>
          <w:trHeight w:val="271"/>
          <w:jc w:val="center"/>
        </w:trPr>
        <w:tc>
          <w:tcPr>
            <w:tcW w:w="3256" w:type="dxa"/>
            <w:tcBorders>
              <w:top w:val="nil"/>
              <w:left w:val="single" w:sz="4" w:space="0" w:color="auto"/>
              <w:bottom w:val="single" w:sz="4" w:space="0" w:color="auto"/>
              <w:right w:val="single" w:sz="4" w:space="0" w:color="auto"/>
            </w:tcBorders>
            <w:shd w:val="clear" w:color="000000" w:fill="D1D3D4"/>
            <w:noWrap/>
            <w:vAlign w:val="center"/>
            <w:hideMark/>
          </w:tcPr>
          <w:p w:rsidR="00B60C9F" w:rsidRPr="007D5D1D" w:rsidRDefault="00B60C9F" w:rsidP="000D5D04">
            <w:pPr>
              <w:spacing w:after="0" w:line="240" w:lineRule="auto"/>
              <w:rPr>
                <w:rFonts w:eastAsia="Times New Roman" w:cs="Arial"/>
                <w:color w:val="000000"/>
                <w:lang w:eastAsia="en-AU"/>
              </w:rPr>
            </w:pPr>
            <w:r w:rsidRPr="007D5D1D">
              <w:rPr>
                <w:rFonts w:eastAsia="Times New Roman" w:cs="Arial"/>
                <w:color w:val="000000"/>
                <w:lang w:eastAsia="en-AU"/>
              </w:rPr>
              <w:t>Other Physical</w:t>
            </w:r>
          </w:p>
        </w:tc>
        <w:tc>
          <w:tcPr>
            <w:tcW w:w="4685" w:type="dxa"/>
            <w:tcBorders>
              <w:top w:val="nil"/>
              <w:left w:val="nil"/>
              <w:bottom w:val="single" w:sz="4" w:space="0" w:color="auto"/>
              <w:right w:val="single" w:sz="4" w:space="0" w:color="auto"/>
            </w:tcBorders>
            <w:shd w:val="clear" w:color="auto" w:fill="auto"/>
            <w:noWrap/>
          </w:tcPr>
          <w:p w:rsidR="00B60C9F" w:rsidRPr="007D5D1D" w:rsidRDefault="00B60C9F" w:rsidP="000D5D04">
            <w:pPr>
              <w:spacing w:after="0" w:line="240" w:lineRule="auto"/>
              <w:jc w:val="center"/>
              <w:rPr>
                <w:rFonts w:eastAsia="Times New Roman" w:cs="Arial"/>
                <w:color w:val="000000"/>
                <w:lang w:eastAsia="en-AU"/>
              </w:rPr>
            </w:pPr>
            <w:r w:rsidRPr="00576E82">
              <w:rPr>
                <w:rFonts w:cs="Arial"/>
              </w:rPr>
              <w:t>$25</w:t>
            </w:r>
            <w:r>
              <w:rPr>
                <w:rFonts w:cs="Arial"/>
              </w:rPr>
              <w:t xml:space="preserve"> </w:t>
            </w:r>
            <w:r w:rsidRPr="003258E9">
              <w:rPr>
                <w:rFonts w:cs="Arial"/>
              </w:rPr>
              <w:t>million</w:t>
            </w:r>
            <w:r w:rsidRPr="007D5D1D" w:rsidDel="00456E99">
              <w:rPr>
                <w:rFonts w:eastAsia="Times New Roman" w:cs="Arial"/>
                <w:color w:val="000000"/>
                <w:lang w:eastAsia="en-AU"/>
              </w:rPr>
              <w:t xml:space="preserve"> </w:t>
            </w:r>
          </w:p>
        </w:tc>
      </w:tr>
      <w:tr w:rsidR="00B60C9F" w:rsidRPr="007D5D1D" w:rsidTr="00BC6FBC">
        <w:trPr>
          <w:trHeight w:val="271"/>
          <w:jc w:val="center"/>
        </w:trPr>
        <w:tc>
          <w:tcPr>
            <w:tcW w:w="3256" w:type="dxa"/>
            <w:tcBorders>
              <w:top w:val="nil"/>
              <w:left w:val="single" w:sz="4" w:space="0" w:color="auto"/>
              <w:bottom w:val="single" w:sz="4" w:space="0" w:color="auto"/>
              <w:right w:val="single" w:sz="4" w:space="0" w:color="auto"/>
            </w:tcBorders>
            <w:shd w:val="clear" w:color="000000" w:fill="D1D3D4"/>
            <w:noWrap/>
            <w:vAlign w:val="center"/>
            <w:hideMark/>
          </w:tcPr>
          <w:p w:rsidR="00B60C9F" w:rsidRPr="007D5D1D" w:rsidRDefault="00B60C9F" w:rsidP="000D5D04">
            <w:pPr>
              <w:spacing w:after="0" w:line="240" w:lineRule="auto"/>
              <w:rPr>
                <w:rFonts w:eastAsia="Times New Roman" w:cs="Arial"/>
                <w:color w:val="000000"/>
                <w:lang w:eastAsia="en-AU"/>
              </w:rPr>
            </w:pPr>
            <w:r w:rsidRPr="007D5D1D">
              <w:rPr>
                <w:rFonts w:eastAsia="Times New Roman" w:cs="Arial"/>
                <w:color w:val="000000"/>
                <w:lang w:eastAsia="en-AU"/>
              </w:rPr>
              <w:t>Other Sensory/Speech</w:t>
            </w:r>
          </w:p>
        </w:tc>
        <w:tc>
          <w:tcPr>
            <w:tcW w:w="4685" w:type="dxa"/>
            <w:tcBorders>
              <w:top w:val="nil"/>
              <w:left w:val="nil"/>
              <w:bottom w:val="single" w:sz="4" w:space="0" w:color="auto"/>
              <w:right w:val="single" w:sz="4" w:space="0" w:color="auto"/>
            </w:tcBorders>
            <w:shd w:val="clear" w:color="auto" w:fill="auto"/>
            <w:noWrap/>
          </w:tcPr>
          <w:p w:rsidR="00B60C9F" w:rsidRPr="007D5D1D" w:rsidRDefault="00B60C9F" w:rsidP="000D5D04">
            <w:pPr>
              <w:spacing w:after="0" w:line="240" w:lineRule="auto"/>
              <w:jc w:val="center"/>
              <w:rPr>
                <w:rFonts w:eastAsia="Times New Roman" w:cs="Arial"/>
                <w:color w:val="000000"/>
                <w:lang w:eastAsia="en-AU"/>
              </w:rPr>
            </w:pPr>
            <w:r w:rsidRPr="00576E82">
              <w:rPr>
                <w:rFonts w:cs="Arial"/>
              </w:rPr>
              <w:t>$1</w:t>
            </w:r>
            <w:r>
              <w:rPr>
                <w:rFonts w:cs="Arial"/>
              </w:rPr>
              <w:t xml:space="preserve"> </w:t>
            </w:r>
            <w:r w:rsidRPr="003258E9">
              <w:rPr>
                <w:rFonts w:cs="Arial"/>
              </w:rPr>
              <w:t>million</w:t>
            </w:r>
            <w:r w:rsidRPr="007D5D1D" w:rsidDel="00456E99">
              <w:rPr>
                <w:rFonts w:eastAsia="Times New Roman" w:cs="Arial"/>
                <w:color w:val="000000"/>
                <w:lang w:eastAsia="en-AU"/>
              </w:rPr>
              <w:t xml:space="preserve"> </w:t>
            </w:r>
          </w:p>
        </w:tc>
      </w:tr>
      <w:tr w:rsidR="00B60C9F" w:rsidRPr="007D5D1D" w:rsidTr="00BC6FBC">
        <w:trPr>
          <w:trHeight w:val="271"/>
          <w:jc w:val="center"/>
        </w:trPr>
        <w:tc>
          <w:tcPr>
            <w:tcW w:w="3256" w:type="dxa"/>
            <w:tcBorders>
              <w:top w:val="nil"/>
              <w:left w:val="single" w:sz="4" w:space="0" w:color="auto"/>
              <w:bottom w:val="single" w:sz="4" w:space="0" w:color="auto"/>
              <w:right w:val="single" w:sz="4" w:space="0" w:color="auto"/>
            </w:tcBorders>
            <w:shd w:val="clear" w:color="000000" w:fill="D1D3D4"/>
            <w:noWrap/>
            <w:vAlign w:val="center"/>
            <w:hideMark/>
          </w:tcPr>
          <w:p w:rsidR="00B60C9F" w:rsidRPr="007D5D1D" w:rsidRDefault="00B60C9F" w:rsidP="000D5D04">
            <w:pPr>
              <w:spacing w:after="0" w:line="240" w:lineRule="auto"/>
              <w:rPr>
                <w:rFonts w:eastAsia="Times New Roman" w:cs="Arial"/>
                <w:color w:val="000000"/>
                <w:lang w:eastAsia="en-AU"/>
              </w:rPr>
            </w:pPr>
            <w:r w:rsidRPr="007D5D1D">
              <w:rPr>
                <w:rFonts w:eastAsia="Times New Roman" w:cs="Arial"/>
                <w:color w:val="000000"/>
                <w:lang w:eastAsia="en-AU"/>
              </w:rPr>
              <w:t>Psychosocial Disability</w:t>
            </w:r>
          </w:p>
        </w:tc>
        <w:tc>
          <w:tcPr>
            <w:tcW w:w="4685" w:type="dxa"/>
            <w:tcBorders>
              <w:top w:val="nil"/>
              <w:left w:val="nil"/>
              <w:bottom w:val="single" w:sz="4" w:space="0" w:color="auto"/>
              <w:right w:val="single" w:sz="4" w:space="0" w:color="auto"/>
            </w:tcBorders>
            <w:shd w:val="clear" w:color="auto" w:fill="auto"/>
            <w:noWrap/>
          </w:tcPr>
          <w:p w:rsidR="00B60C9F" w:rsidRPr="007D5D1D" w:rsidRDefault="00B60C9F" w:rsidP="000D5D04">
            <w:pPr>
              <w:spacing w:after="0" w:line="240" w:lineRule="auto"/>
              <w:jc w:val="center"/>
              <w:rPr>
                <w:rFonts w:eastAsia="Times New Roman" w:cs="Arial"/>
                <w:color w:val="000000"/>
                <w:lang w:eastAsia="en-AU"/>
              </w:rPr>
            </w:pPr>
            <w:r w:rsidRPr="00576E82">
              <w:rPr>
                <w:rFonts w:cs="Arial"/>
              </w:rPr>
              <w:t>$166</w:t>
            </w:r>
            <w:r>
              <w:rPr>
                <w:rFonts w:cs="Arial"/>
              </w:rPr>
              <w:t xml:space="preserve"> </w:t>
            </w:r>
            <w:r w:rsidRPr="003258E9">
              <w:rPr>
                <w:rFonts w:cs="Arial"/>
              </w:rPr>
              <w:t>million</w:t>
            </w:r>
            <w:r w:rsidRPr="007D5D1D" w:rsidDel="00456E99">
              <w:rPr>
                <w:rFonts w:eastAsia="Times New Roman" w:cs="Arial"/>
                <w:color w:val="000000"/>
                <w:lang w:eastAsia="en-AU"/>
              </w:rPr>
              <w:t xml:space="preserve"> </w:t>
            </w:r>
          </w:p>
        </w:tc>
      </w:tr>
      <w:tr w:rsidR="00B60C9F" w:rsidRPr="007D5D1D" w:rsidTr="00BC6FBC">
        <w:trPr>
          <w:trHeight w:val="271"/>
          <w:jc w:val="center"/>
        </w:trPr>
        <w:tc>
          <w:tcPr>
            <w:tcW w:w="3256" w:type="dxa"/>
            <w:tcBorders>
              <w:top w:val="nil"/>
              <w:left w:val="single" w:sz="4" w:space="0" w:color="auto"/>
              <w:bottom w:val="single" w:sz="4" w:space="0" w:color="auto"/>
              <w:right w:val="single" w:sz="4" w:space="0" w:color="auto"/>
            </w:tcBorders>
            <w:shd w:val="clear" w:color="000000" w:fill="D1D3D4"/>
            <w:noWrap/>
            <w:vAlign w:val="center"/>
            <w:hideMark/>
          </w:tcPr>
          <w:p w:rsidR="00B60C9F" w:rsidRPr="007D5D1D" w:rsidRDefault="00B60C9F" w:rsidP="000D5D04">
            <w:pPr>
              <w:spacing w:after="0" w:line="240" w:lineRule="auto"/>
              <w:rPr>
                <w:rFonts w:eastAsia="Times New Roman" w:cs="Arial"/>
                <w:color w:val="000000"/>
                <w:lang w:eastAsia="en-AU"/>
              </w:rPr>
            </w:pPr>
            <w:r w:rsidRPr="007D5D1D">
              <w:rPr>
                <w:rFonts w:eastAsia="Times New Roman" w:cs="Arial"/>
                <w:color w:val="000000"/>
                <w:lang w:eastAsia="en-AU"/>
              </w:rPr>
              <w:t>Spinal Cord Injury</w:t>
            </w:r>
          </w:p>
        </w:tc>
        <w:tc>
          <w:tcPr>
            <w:tcW w:w="4685" w:type="dxa"/>
            <w:tcBorders>
              <w:top w:val="nil"/>
              <w:left w:val="nil"/>
              <w:bottom w:val="single" w:sz="4" w:space="0" w:color="auto"/>
              <w:right w:val="single" w:sz="4" w:space="0" w:color="auto"/>
            </w:tcBorders>
            <w:shd w:val="clear" w:color="auto" w:fill="auto"/>
            <w:noWrap/>
          </w:tcPr>
          <w:p w:rsidR="00B60C9F" w:rsidRPr="007D5D1D" w:rsidRDefault="00B60C9F" w:rsidP="000D5D04">
            <w:pPr>
              <w:spacing w:after="0" w:line="240" w:lineRule="auto"/>
              <w:jc w:val="center"/>
              <w:rPr>
                <w:rFonts w:eastAsia="Times New Roman" w:cs="Arial"/>
                <w:color w:val="000000"/>
                <w:lang w:eastAsia="en-AU"/>
              </w:rPr>
            </w:pPr>
            <w:r w:rsidRPr="00576E82">
              <w:rPr>
                <w:rFonts w:cs="Arial"/>
              </w:rPr>
              <w:t>$11</w:t>
            </w:r>
            <w:r>
              <w:rPr>
                <w:rFonts w:cs="Arial"/>
              </w:rPr>
              <w:t xml:space="preserve"> </w:t>
            </w:r>
            <w:r w:rsidRPr="003258E9">
              <w:rPr>
                <w:rFonts w:cs="Arial"/>
              </w:rPr>
              <w:t>million</w:t>
            </w:r>
            <w:r w:rsidRPr="007D5D1D" w:rsidDel="00456E99">
              <w:rPr>
                <w:rFonts w:eastAsia="Times New Roman" w:cs="Arial"/>
                <w:color w:val="000000"/>
                <w:lang w:eastAsia="en-AU"/>
              </w:rPr>
              <w:t xml:space="preserve"> </w:t>
            </w:r>
          </w:p>
        </w:tc>
      </w:tr>
      <w:tr w:rsidR="00B60C9F" w:rsidRPr="007D5D1D" w:rsidTr="00BC6FBC">
        <w:trPr>
          <w:trHeight w:val="271"/>
          <w:jc w:val="center"/>
        </w:trPr>
        <w:tc>
          <w:tcPr>
            <w:tcW w:w="3256" w:type="dxa"/>
            <w:tcBorders>
              <w:top w:val="nil"/>
              <w:left w:val="single" w:sz="4" w:space="0" w:color="auto"/>
              <w:bottom w:val="single" w:sz="4" w:space="0" w:color="auto"/>
              <w:right w:val="single" w:sz="4" w:space="0" w:color="auto"/>
            </w:tcBorders>
            <w:shd w:val="clear" w:color="000000" w:fill="D1D3D4"/>
            <w:noWrap/>
            <w:vAlign w:val="center"/>
            <w:hideMark/>
          </w:tcPr>
          <w:p w:rsidR="00B60C9F" w:rsidRPr="007D5D1D" w:rsidRDefault="00B60C9F" w:rsidP="000D5D04">
            <w:pPr>
              <w:spacing w:after="0" w:line="240" w:lineRule="auto"/>
              <w:rPr>
                <w:rFonts w:eastAsia="Times New Roman" w:cs="Arial"/>
                <w:color w:val="000000"/>
                <w:lang w:eastAsia="en-AU"/>
              </w:rPr>
            </w:pPr>
            <w:r w:rsidRPr="007D5D1D">
              <w:rPr>
                <w:rFonts w:eastAsia="Times New Roman" w:cs="Arial"/>
                <w:color w:val="000000"/>
                <w:lang w:eastAsia="en-AU"/>
              </w:rPr>
              <w:t>Stroke</w:t>
            </w:r>
          </w:p>
        </w:tc>
        <w:tc>
          <w:tcPr>
            <w:tcW w:w="4685" w:type="dxa"/>
            <w:tcBorders>
              <w:top w:val="nil"/>
              <w:left w:val="nil"/>
              <w:bottom w:val="single" w:sz="4" w:space="0" w:color="auto"/>
              <w:right w:val="single" w:sz="4" w:space="0" w:color="auto"/>
            </w:tcBorders>
            <w:shd w:val="clear" w:color="auto" w:fill="auto"/>
            <w:noWrap/>
          </w:tcPr>
          <w:p w:rsidR="00B60C9F" w:rsidRPr="007D5D1D" w:rsidRDefault="00B60C9F" w:rsidP="000D5D04">
            <w:pPr>
              <w:spacing w:after="0" w:line="240" w:lineRule="auto"/>
              <w:jc w:val="center"/>
              <w:rPr>
                <w:rFonts w:eastAsia="Times New Roman" w:cs="Arial"/>
                <w:color w:val="000000"/>
                <w:lang w:eastAsia="en-AU"/>
              </w:rPr>
            </w:pPr>
            <w:r w:rsidRPr="00576E82">
              <w:rPr>
                <w:rFonts w:cs="Arial"/>
              </w:rPr>
              <w:t>$19</w:t>
            </w:r>
            <w:r>
              <w:rPr>
                <w:rFonts w:cs="Arial"/>
              </w:rPr>
              <w:t xml:space="preserve"> </w:t>
            </w:r>
            <w:r w:rsidRPr="003258E9">
              <w:rPr>
                <w:rFonts w:cs="Arial"/>
              </w:rPr>
              <w:t>million</w:t>
            </w:r>
            <w:r w:rsidRPr="007D5D1D" w:rsidDel="00456E99">
              <w:rPr>
                <w:rFonts w:eastAsia="Times New Roman" w:cs="Arial"/>
                <w:color w:val="000000"/>
                <w:lang w:eastAsia="en-AU"/>
              </w:rPr>
              <w:t xml:space="preserve"> </w:t>
            </w:r>
          </w:p>
        </w:tc>
      </w:tr>
      <w:tr w:rsidR="00B60C9F" w:rsidRPr="007D5D1D" w:rsidTr="00BC6FBC">
        <w:trPr>
          <w:trHeight w:val="271"/>
          <w:jc w:val="center"/>
        </w:trPr>
        <w:tc>
          <w:tcPr>
            <w:tcW w:w="3256" w:type="dxa"/>
            <w:tcBorders>
              <w:top w:val="nil"/>
              <w:left w:val="single" w:sz="4" w:space="0" w:color="auto"/>
              <w:bottom w:val="single" w:sz="4" w:space="0" w:color="auto"/>
              <w:right w:val="single" w:sz="4" w:space="0" w:color="auto"/>
            </w:tcBorders>
            <w:shd w:val="clear" w:color="000000" w:fill="D1D3D4"/>
            <w:noWrap/>
            <w:vAlign w:val="center"/>
            <w:hideMark/>
          </w:tcPr>
          <w:p w:rsidR="00B60C9F" w:rsidRPr="007D5D1D" w:rsidRDefault="00B60C9F" w:rsidP="000D5D04">
            <w:pPr>
              <w:spacing w:after="0" w:line="240" w:lineRule="auto"/>
              <w:rPr>
                <w:rFonts w:eastAsia="Times New Roman" w:cs="Arial"/>
                <w:color w:val="000000"/>
                <w:lang w:eastAsia="en-AU"/>
              </w:rPr>
            </w:pPr>
            <w:r w:rsidRPr="007D5D1D">
              <w:rPr>
                <w:rFonts w:eastAsia="Times New Roman" w:cs="Arial"/>
                <w:color w:val="000000"/>
                <w:lang w:eastAsia="en-AU"/>
              </w:rPr>
              <w:t>Visual Impairment</w:t>
            </w:r>
          </w:p>
        </w:tc>
        <w:tc>
          <w:tcPr>
            <w:tcW w:w="4685" w:type="dxa"/>
            <w:tcBorders>
              <w:top w:val="nil"/>
              <w:left w:val="nil"/>
              <w:bottom w:val="single" w:sz="4" w:space="0" w:color="auto"/>
              <w:right w:val="single" w:sz="4" w:space="0" w:color="auto"/>
            </w:tcBorders>
            <w:shd w:val="clear" w:color="auto" w:fill="auto"/>
            <w:noWrap/>
          </w:tcPr>
          <w:p w:rsidR="00B60C9F" w:rsidRPr="007D5D1D" w:rsidRDefault="00B60C9F" w:rsidP="000D5D04">
            <w:pPr>
              <w:spacing w:after="0" w:line="240" w:lineRule="auto"/>
              <w:jc w:val="center"/>
              <w:rPr>
                <w:rFonts w:eastAsia="Times New Roman" w:cs="Arial"/>
                <w:color w:val="000000"/>
                <w:lang w:eastAsia="en-AU"/>
              </w:rPr>
            </w:pPr>
            <w:r w:rsidRPr="00576E82">
              <w:rPr>
                <w:rFonts w:cs="Arial"/>
              </w:rPr>
              <w:t>$7</w:t>
            </w:r>
            <w:r>
              <w:rPr>
                <w:rFonts w:cs="Arial"/>
              </w:rPr>
              <w:t xml:space="preserve"> </w:t>
            </w:r>
            <w:r w:rsidRPr="003258E9">
              <w:rPr>
                <w:rFonts w:cs="Arial"/>
              </w:rPr>
              <w:t>million</w:t>
            </w:r>
            <w:r w:rsidRPr="007D5D1D" w:rsidDel="00456E99">
              <w:rPr>
                <w:rFonts w:eastAsia="Times New Roman" w:cs="Arial"/>
                <w:color w:val="000000"/>
                <w:lang w:eastAsia="en-AU"/>
              </w:rPr>
              <w:t xml:space="preserve"> </w:t>
            </w:r>
          </w:p>
        </w:tc>
      </w:tr>
      <w:tr w:rsidR="00B60C9F" w:rsidRPr="007D5D1D" w:rsidTr="00BC6FBC">
        <w:trPr>
          <w:trHeight w:val="271"/>
          <w:jc w:val="center"/>
        </w:trPr>
        <w:tc>
          <w:tcPr>
            <w:tcW w:w="3256" w:type="dxa"/>
            <w:tcBorders>
              <w:top w:val="nil"/>
              <w:left w:val="single" w:sz="4" w:space="0" w:color="auto"/>
              <w:bottom w:val="single" w:sz="4" w:space="0" w:color="auto"/>
              <w:right w:val="single" w:sz="4" w:space="0" w:color="auto"/>
            </w:tcBorders>
            <w:shd w:val="clear" w:color="000000" w:fill="A7A9AC"/>
            <w:noWrap/>
            <w:vAlign w:val="center"/>
            <w:hideMark/>
          </w:tcPr>
          <w:p w:rsidR="00B60C9F" w:rsidRPr="007D5D1D" w:rsidRDefault="00B60C9F" w:rsidP="000D5D04">
            <w:pPr>
              <w:spacing w:after="0" w:line="240" w:lineRule="auto"/>
              <w:rPr>
                <w:rFonts w:eastAsia="Times New Roman" w:cs="Arial"/>
                <w:b/>
                <w:color w:val="000000"/>
                <w:lang w:eastAsia="en-AU"/>
              </w:rPr>
            </w:pPr>
            <w:r w:rsidRPr="007D5D1D">
              <w:rPr>
                <w:rFonts w:eastAsia="Times New Roman" w:cs="Arial"/>
                <w:b/>
                <w:color w:val="000000"/>
                <w:lang w:eastAsia="en-AU"/>
              </w:rPr>
              <w:t>Total</w:t>
            </w:r>
          </w:p>
        </w:tc>
        <w:tc>
          <w:tcPr>
            <w:tcW w:w="4685" w:type="dxa"/>
            <w:tcBorders>
              <w:top w:val="nil"/>
              <w:left w:val="nil"/>
              <w:bottom w:val="single" w:sz="4" w:space="0" w:color="auto"/>
              <w:right w:val="single" w:sz="4" w:space="0" w:color="auto"/>
            </w:tcBorders>
            <w:shd w:val="clear" w:color="000000" w:fill="A7A9AC"/>
            <w:noWrap/>
            <w:vAlign w:val="bottom"/>
            <w:hideMark/>
          </w:tcPr>
          <w:p w:rsidR="00B60C9F" w:rsidRPr="007D5D1D" w:rsidRDefault="00B60C9F" w:rsidP="000D5D04">
            <w:pPr>
              <w:spacing w:after="0" w:line="240" w:lineRule="auto"/>
              <w:jc w:val="center"/>
              <w:rPr>
                <w:rFonts w:eastAsia="Times New Roman" w:cs="Arial"/>
                <w:b/>
                <w:color w:val="000000"/>
                <w:lang w:eastAsia="en-AU"/>
              </w:rPr>
            </w:pPr>
            <w:r w:rsidRPr="007D5D1D">
              <w:rPr>
                <w:rFonts w:eastAsia="Times New Roman" w:cs="Arial"/>
                <w:b/>
                <w:color w:val="000000"/>
                <w:lang w:eastAsia="en-AU"/>
              </w:rPr>
              <w:t>$6</w:t>
            </w:r>
            <w:r>
              <w:rPr>
                <w:rFonts w:eastAsia="Times New Roman" w:cs="Arial"/>
                <w:b/>
                <w:color w:val="000000"/>
                <w:lang w:eastAsia="en-AU"/>
              </w:rPr>
              <w:t>67</w:t>
            </w:r>
            <w:r w:rsidRPr="007D5D1D">
              <w:rPr>
                <w:rFonts w:eastAsia="Times New Roman" w:cs="Arial"/>
                <w:b/>
                <w:color w:val="000000"/>
                <w:lang w:eastAsia="en-AU"/>
              </w:rPr>
              <w:t xml:space="preserve"> </w:t>
            </w:r>
            <w:r w:rsidRPr="00254C1C">
              <w:rPr>
                <w:rFonts w:eastAsia="Times New Roman" w:cs="Arial"/>
                <w:b/>
                <w:color w:val="000000"/>
                <w:lang w:eastAsia="en-AU"/>
              </w:rPr>
              <w:t>million</w:t>
            </w:r>
            <w:r w:rsidRPr="007D5D1D">
              <w:rPr>
                <w:rStyle w:val="FootnoteReference"/>
                <w:rFonts w:eastAsia="Times New Roman" w:cs="Arial"/>
                <w:color w:val="000000"/>
                <w:lang w:eastAsia="en-AU"/>
              </w:rPr>
              <w:t xml:space="preserve"> </w:t>
            </w:r>
            <w:r w:rsidRPr="007D5D1D">
              <w:rPr>
                <w:rStyle w:val="FootnoteReference"/>
                <w:rFonts w:eastAsia="Times New Roman" w:cs="Arial"/>
                <w:color w:val="000000"/>
                <w:lang w:eastAsia="en-AU"/>
              </w:rPr>
              <w:footnoteReference w:id="11"/>
            </w:r>
          </w:p>
        </w:tc>
      </w:tr>
    </w:tbl>
    <w:p w:rsidR="00B60C9F" w:rsidRDefault="00B60C9F" w:rsidP="00B60C9F">
      <w:pPr>
        <w:spacing w:after="0"/>
        <w:jc w:val="center"/>
        <w:rPr>
          <w:rFonts w:cs="Arial"/>
          <w:b/>
          <w:bCs/>
          <w:i/>
          <w:iCs/>
          <w:sz w:val="20"/>
          <w:szCs w:val="20"/>
        </w:rPr>
      </w:pPr>
    </w:p>
    <w:p w:rsidR="00B60C9F" w:rsidRPr="000E1950" w:rsidRDefault="00B60C9F" w:rsidP="00941A88">
      <w:pPr>
        <w:pStyle w:val="Heading4"/>
        <w:numPr>
          <w:ilvl w:val="0"/>
          <w:numId w:val="0"/>
        </w:numPr>
        <w:rPr>
          <w:rFonts w:cs="Arial"/>
          <w:bCs/>
          <w:i/>
          <w:iCs/>
          <w:sz w:val="20"/>
          <w:szCs w:val="20"/>
        </w:rPr>
      </w:pPr>
      <w:bookmarkStart w:id="43" w:name="_Toc88041458"/>
      <w:r w:rsidRPr="00941A88">
        <w:rPr>
          <w:rStyle w:val="Heading4Char"/>
          <w:b/>
        </w:rPr>
        <w:t>Table B.3: Total support coordination payments by age group for the year ending 30 September 2021</w:t>
      </w:r>
      <w:bookmarkEnd w:id="43"/>
    </w:p>
    <w:tbl>
      <w:tblPr>
        <w:tblW w:w="7360" w:type="dxa"/>
        <w:jc w:val="center"/>
        <w:tblLook w:val="04A0" w:firstRow="1" w:lastRow="0" w:firstColumn="1" w:lastColumn="0" w:noHBand="0" w:noVBand="1"/>
      </w:tblPr>
      <w:tblGrid>
        <w:gridCol w:w="2547"/>
        <w:gridCol w:w="4813"/>
      </w:tblGrid>
      <w:tr w:rsidR="00B60C9F" w:rsidRPr="007D5D1D" w:rsidTr="00BC6FBC">
        <w:trPr>
          <w:trHeight w:val="1"/>
          <w:tblHeader/>
          <w:jc w:val="center"/>
        </w:trPr>
        <w:tc>
          <w:tcPr>
            <w:tcW w:w="2547" w:type="dxa"/>
            <w:tcBorders>
              <w:top w:val="single" w:sz="4" w:space="0" w:color="auto"/>
              <w:left w:val="single" w:sz="4" w:space="0" w:color="auto"/>
              <w:bottom w:val="single" w:sz="4" w:space="0" w:color="auto"/>
              <w:right w:val="single" w:sz="4" w:space="0" w:color="auto"/>
            </w:tcBorders>
            <w:shd w:val="clear" w:color="000000" w:fill="6B2976"/>
            <w:noWrap/>
            <w:vAlign w:val="center"/>
            <w:hideMark/>
          </w:tcPr>
          <w:p w:rsidR="00B60C9F" w:rsidRPr="007D5D1D" w:rsidRDefault="00B60C9F" w:rsidP="000D5D04">
            <w:pPr>
              <w:spacing w:after="0" w:line="240" w:lineRule="auto"/>
              <w:jc w:val="center"/>
              <w:rPr>
                <w:rFonts w:eastAsia="Times New Roman" w:cs="Arial"/>
                <w:b/>
                <w:color w:val="FFFFFF"/>
                <w:lang w:eastAsia="en-AU"/>
              </w:rPr>
            </w:pPr>
            <w:r w:rsidRPr="007D5D1D">
              <w:rPr>
                <w:rFonts w:eastAsia="Times New Roman" w:cs="Arial"/>
                <w:b/>
                <w:color w:val="FFFFFF"/>
                <w:lang w:eastAsia="en-AU"/>
              </w:rPr>
              <w:t>Age Band</w:t>
            </w:r>
          </w:p>
        </w:tc>
        <w:tc>
          <w:tcPr>
            <w:tcW w:w="4813" w:type="dxa"/>
            <w:tcBorders>
              <w:top w:val="single" w:sz="4" w:space="0" w:color="auto"/>
              <w:left w:val="nil"/>
              <w:bottom w:val="single" w:sz="4" w:space="0" w:color="auto"/>
              <w:right w:val="single" w:sz="4" w:space="0" w:color="auto"/>
            </w:tcBorders>
            <w:shd w:val="clear" w:color="000000" w:fill="6B2976"/>
            <w:vAlign w:val="center"/>
            <w:hideMark/>
          </w:tcPr>
          <w:p w:rsidR="00B60C9F" w:rsidRPr="007D5D1D" w:rsidRDefault="00B60C9F" w:rsidP="000D5D04">
            <w:pPr>
              <w:spacing w:after="0" w:line="240" w:lineRule="auto"/>
              <w:jc w:val="center"/>
              <w:rPr>
                <w:rFonts w:eastAsia="Times New Roman" w:cs="Arial"/>
                <w:b/>
                <w:bCs/>
                <w:color w:val="FFFFFF"/>
                <w:lang w:eastAsia="en-AU"/>
              </w:rPr>
            </w:pPr>
            <w:r w:rsidRPr="007D5D1D">
              <w:rPr>
                <w:rFonts w:eastAsia="Times New Roman" w:cs="Arial"/>
                <w:b/>
                <w:bCs/>
                <w:color w:val="FFFFFF"/>
                <w:lang w:eastAsia="en-AU"/>
              </w:rPr>
              <w:t xml:space="preserve"> Total support coordination payments for the year ending 30 </w:t>
            </w:r>
            <w:r>
              <w:rPr>
                <w:rFonts w:eastAsia="Times New Roman" w:cs="Arial"/>
                <w:b/>
                <w:bCs/>
                <w:color w:val="FFFFFF"/>
                <w:lang w:eastAsia="en-AU"/>
              </w:rPr>
              <w:t>September</w:t>
            </w:r>
            <w:r w:rsidRPr="007D5D1D">
              <w:rPr>
                <w:rFonts w:eastAsia="Times New Roman" w:cs="Arial"/>
                <w:b/>
                <w:bCs/>
                <w:color w:val="FFFFFF"/>
                <w:lang w:eastAsia="en-AU"/>
              </w:rPr>
              <w:t xml:space="preserve"> 2021</w:t>
            </w:r>
            <w:r w:rsidRPr="007D5D1D" w:rsidDel="00AF6831">
              <w:rPr>
                <w:rFonts w:eastAsia="Times New Roman" w:cs="Arial"/>
                <w:b/>
                <w:bCs/>
                <w:color w:val="FFFFFF"/>
                <w:lang w:eastAsia="en-AU"/>
              </w:rPr>
              <w:t xml:space="preserve"> </w:t>
            </w:r>
          </w:p>
        </w:tc>
      </w:tr>
      <w:tr w:rsidR="00B60C9F" w:rsidRPr="007D5D1D" w:rsidTr="00BC6FBC">
        <w:trPr>
          <w:jc w:val="center"/>
        </w:trPr>
        <w:tc>
          <w:tcPr>
            <w:tcW w:w="2547" w:type="dxa"/>
            <w:tcBorders>
              <w:top w:val="nil"/>
              <w:left w:val="single" w:sz="4" w:space="0" w:color="auto"/>
              <w:bottom w:val="single" w:sz="4" w:space="0" w:color="auto"/>
              <w:right w:val="single" w:sz="4" w:space="0" w:color="auto"/>
            </w:tcBorders>
            <w:shd w:val="clear" w:color="000000" w:fill="D1D3D4"/>
            <w:noWrap/>
            <w:vAlign w:val="center"/>
            <w:hideMark/>
          </w:tcPr>
          <w:p w:rsidR="00B60C9F" w:rsidRPr="007D5D1D" w:rsidRDefault="00B60C9F" w:rsidP="000D5D04">
            <w:pPr>
              <w:spacing w:after="0" w:line="240" w:lineRule="auto"/>
              <w:jc w:val="center"/>
              <w:rPr>
                <w:rFonts w:eastAsia="Times New Roman" w:cs="Arial"/>
                <w:color w:val="000000"/>
                <w:lang w:eastAsia="en-AU"/>
              </w:rPr>
            </w:pPr>
            <w:r w:rsidRPr="007D5D1D">
              <w:rPr>
                <w:rFonts w:eastAsia="Times New Roman" w:cs="Arial"/>
                <w:color w:val="000000"/>
                <w:lang w:eastAsia="en-AU"/>
              </w:rPr>
              <w:t>0 to 6</w:t>
            </w:r>
          </w:p>
        </w:tc>
        <w:tc>
          <w:tcPr>
            <w:tcW w:w="4813" w:type="dxa"/>
            <w:tcBorders>
              <w:top w:val="nil"/>
              <w:left w:val="nil"/>
              <w:bottom w:val="single" w:sz="4" w:space="0" w:color="auto"/>
              <w:right w:val="single" w:sz="4" w:space="0" w:color="auto"/>
            </w:tcBorders>
            <w:shd w:val="clear" w:color="auto" w:fill="auto"/>
            <w:noWrap/>
          </w:tcPr>
          <w:p w:rsidR="00B60C9F" w:rsidRPr="007D5D1D" w:rsidRDefault="00B60C9F" w:rsidP="000D5D04">
            <w:pPr>
              <w:spacing w:after="0" w:line="240" w:lineRule="auto"/>
              <w:jc w:val="center"/>
              <w:rPr>
                <w:rFonts w:eastAsia="Times New Roman" w:cs="Arial"/>
                <w:color w:val="000000"/>
                <w:lang w:eastAsia="en-AU"/>
              </w:rPr>
            </w:pPr>
            <w:r w:rsidRPr="00576E82">
              <w:rPr>
                <w:rFonts w:cs="Arial"/>
              </w:rPr>
              <w:t>$13</w:t>
            </w:r>
            <w:r>
              <w:rPr>
                <w:rFonts w:cs="Arial"/>
              </w:rPr>
              <w:t xml:space="preserve"> million</w:t>
            </w:r>
          </w:p>
        </w:tc>
      </w:tr>
      <w:tr w:rsidR="00B60C9F" w:rsidRPr="007D5D1D" w:rsidTr="00BC6FBC">
        <w:trPr>
          <w:jc w:val="center"/>
        </w:trPr>
        <w:tc>
          <w:tcPr>
            <w:tcW w:w="2547" w:type="dxa"/>
            <w:tcBorders>
              <w:top w:val="nil"/>
              <w:left w:val="single" w:sz="4" w:space="0" w:color="auto"/>
              <w:bottom w:val="single" w:sz="4" w:space="0" w:color="auto"/>
              <w:right w:val="single" w:sz="4" w:space="0" w:color="auto"/>
            </w:tcBorders>
            <w:shd w:val="clear" w:color="000000" w:fill="D1D3D4"/>
            <w:noWrap/>
            <w:vAlign w:val="center"/>
            <w:hideMark/>
          </w:tcPr>
          <w:p w:rsidR="00B60C9F" w:rsidRPr="007D5D1D" w:rsidRDefault="00B60C9F" w:rsidP="000D5D04">
            <w:pPr>
              <w:spacing w:after="0" w:line="240" w:lineRule="auto"/>
              <w:jc w:val="center"/>
              <w:rPr>
                <w:rFonts w:eastAsia="Times New Roman" w:cs="Arial"/>
                <w:color w:val="000000"/>
                <w:lang w:eastAsia="en-AU"/>
              </w:rPr>
            </w:pPr>
            <w:r w:rsidRPr="007D5D1D">
              <w:rPr>
                <w:rFonts w:eastAsia="Times New Roman" w:cs="Arial"/>
                <w:color w:val="000000"/>
                <w:lang w:eastAsia="en-AU"/>
              </w:rPr>
              <w:t>7 to 14</w:t>
            </w:r>
          </w:p>
        </w:tc>
        <w:tc>
          <w:tcPr>
            <w:tcW w:w="4813" w:type="dxa"/>
            <w:tcBorders>
              <w:top w:val="nil"/>
              <w:left w:val="nil"/>
              <w:bottom w:val="single" w:sz="4" w:space="0" w:color="auto"/>
              <w:right w:val="single" w:sz="4" w:space="0" w:color="auto"/>
            </w:tcBorders>
            <w:shd w:val="clear" w:color="auto" w:fill="auto"/>
            <w:noWrap/>
          </w:tcPr>
          <w:p w:rsidR="00B60C9F" w:rsidRPr="007D5D1D" w:rsidRDefault="00B60C9F" w:rsidP="000D5D04">
            <w:pPr>
              <w:spacing w:after="0" w:line="240" w:lineRule="auto"/>
              <w:jc w:val="center"/>
              <w:rPr>
                <w:rFonts w:eastAsia="Times New Roman" w:cs="Arial"/>
                <w:color w:val="000000"/>
                <w:lang w:eastAsia="en-AU"/>
              </w:rPr>
            </w:pPr>
            <w:r w:rsidRPr="00576E82">
              <w:rPr>
                <w:rFonts w:cs="Arial"/>
              </w:rPr>
              <w:t>$56</w:t>
            </w:r>
            <w:r>
              <w:rPr>
                <w:rFonts w:cs="Arial"/>
              </w:rPr>
              <w:t xml:space="preserve"> million</w:t>
            </w:r>
            <w:r w:rsidRPr="007D5D1D" w:rsidDel="003524AE">
              <w:rPr>
                <w:rFonts w:eastAsia="Times New Roman" w:cs="Arial"/>
                <w:color w:val="000000"/>
                <w:lang w:eastAsia="en-AU"/>
              </w:rPr>
              <w:t xml:space="preserve"> </w:t>
            </w:r>
          </w:p>
        </w:tc>
      </w:tr>
      <w:tr w:rsidR="00B60C9F" w:rsidRPr="007D5D1D" w:rsidTr="00BC6FBC">
        <w:trPr>
          <w:jc w:val="center"/>
        </w:trPr>
        <w:tc>
          <w:tcPr>
            <w:tcW w:w="2547" w:type="dxa"/>
            <w:tcBorders>
              <w:top w:val="nil"/>
              <w:left w:val="single" w:sz="4" w:space="0" w:color="auto"/>
              <w:bottom w:val="single" w:sz="4" w:space="0" w:color="auto"/>
              <w:right w:val="single" w:sz="4" w:space="0" w:color="auto"/>
            </w:tcBorders>
            <w:shd w:val="clear" w:color="000000" w:fill="D1D3D4"/>
            <w:noWrap/>
            <w:vAlign w:val="center"/>
            <w:hideMark/>
          </w:tcPr>
          <w:p w:rsidR="00B60C9F" w:rsidRPr="007D5D1D" w:rsidRDefault="00B60C9F" w:rsidP="000D5D04">
            <w:pPr>
              <w:spacing w:after="0" w:line="240" w:lineRule="auto"/>
              <w:jc w:val="center"/>
              <w:rPr>
                <w:rFonts w:eastAsia="Times New Roman" w:cs="Arial"/>
                <w:color w:val="000000"/>
                <w:lang w:eastAsia="en-AU"/>
              </w:rPr>
            </w:pPr>
            <w:r w:rsidRPr="007D5D1D">
              <w:rPr>
                <w:rFonts w:eastAsia="Times New Roman" w:cs="Arial"/>
                <w:color w:val="000000"/>
                <w:lang w:eastAsia="en-AU"/>
              </w:rPr>
              <w:t>15 to 18</w:t>
            </w:r>
          </w:p>
        </w:tc>
        <w:tc>
          <w:tcPr>
            <w:tcW w:w="4813" w:type="dxa"/>
            <w:tcBorders>
              <w:top w:val="nil"/>
              <w:left w:val="nil"/>
              <w:bottom w:val="single" w:sz="4" w:space="0" w:color="auto"/>
              <w:right w:val="single" w:sz="4" w:space="0" w:color="auto"/>
            </w:tcBorders>
            <w:shd w:val="clear" w:color="auto" w:fill="auto"/>
            <w:noWrap/>
          </w:tcPr>
          <w:p w:rsidR="00B60C9F" w:rsidRPr="007D5D1D" w:rsidRDefault="00B60C9F" w:rsidP="000D5D04">
            <w:pPr>
              <w:spacing w:after="0" w:line="240" w:lineRule="auto"/>
              <w:jc w:val="center"/>
              <w:rPr>
                <w:rFonts w:eastAsia="Times New Roman" w:cs="Arial"/>
                <w:color w:val="000000"/>
                <w:lang w:eastAsia="en-AU"/>
              </w:rPr>
            </w:pPr>
            <w:r w:rsidRPr="00576E82">
              <w:rPr>
                <w:rFonts w:cs="Arial"/>
              </w:rPr>
              <w:t>$43</w:t>
            </w:r>
            <w:r>
              <w:rPr>
                <w:rFonts w:cs="Arial"/>
              </w:rPr>
              <w:t xml:space="preserve"> million</w:t>
            </w:r>
            <w:r w:rsidRPr="007D5D1D" w:rsidDel="003524AE">
              <w:rPr>
                <w:rFonts w:eastAsia="Times New Roman" w:cs="Arial"/>
                <w:color w:val="000000"/>
                <w:lang w:eastAsia="en-AU"/>
              </w:rPr>
              <w:t xml:space="preserve"> </w:t>
            </w:r>
          </w:p>
        </w:tc>
      </w:tr>
      <w:tr w:rsidR="00B60C9F" w:rsidRPr="007D5D1D" w:rsidTr="00BC6FBC">
        <w:trPr>
          <w:jc w:val="center"/>
        </w:trPr>
        <w:tc>
          <w:tcPr>
            <w:tcW w:w="2547" w:type="dxa"/>
            <w:tcBorders>
              <w:top w:val="nil"/>
              <w:left w:val="single" w:sz="4" w:space="0" w:color="auto"/>
              <w:bottom w:val="single" w:sz="4" w:space="0" w:color="auto"/>
              <w:right w:val="single" w:sz="4" w:space="0" w:color="auto"/>
            </w:tcBorders>
            <w:shd w:val="clear" w:color="000000" w:fill="D1D3D4"/>
            <w:noWrap/>
            <w:vAlign w:val="center"/>
            <w:hideMark/>
          </w:tcPr>
          <w:p w:rsidR="00B60C9F" w:rsidRPr="007D5D1D" w:rsidRDefault="00B60C9F" w:rsidP="000D5D04">
            <w:pPr>
              <w:spacing w:after="0" w:line="240" w:lineRule="auto"/>
              <w:jc w:val="center"/>
              <w:rPr>
                <w:rFonts w:eastAsia="Times New Roman" w:cs="Arial"/>
                <w:color w:val="000000"/>
                <w:lang w:eastAsia="en-AU"/>
              </w:rPr>
            </w:pPr>
            <w:r w:rsidRPr="007D5D1D">
              <w:rPr>
                <w:rFonts w:eastAsia="Times New Roman" w:cs="Arial"/>
                <w:color w:val="000000"/>
                <w:lang w:eastAsia="en-AU"/>
              </w:rPr>
              <w:t>19 to 24</w:t>
            </w:r>
          </w:p>
        </w:tc>
        <w:tc>
          <w:tcPr>
            <w:tcW w:w="4813" w:type="dxa"/>
            <w:tcBorders>
              <w:top w:val="nil"/>
              <w:left w:val="nil"/>
              <w:bottom w:val="single" w:sz="4" w:space="0" w:color="auto"/>
              <w:right w:val="single" w:sz="4" w:space="0" w:color="auto"/>
            </w:tcBorders>
            <w:shd w:val="clear" w:color="auto" w:fill="auto"/>
            <w:noWrap/>
          </w:tcPr>
          <w:p w:rsidR="00B60C9F" w:rsidRPr="007D5D1D" w:rsidRDefault="00B60C9F" w:rsidP="000D5D04">
            <w:pPr>
              <w:spacing w:after="0" w:line="240" w:lineRule="auto"/>
              <w:jc w:val="center"/>
              <w:rPr>
                <w:rFonts w:eastAsia="Times New Roman" w:cs="Arial"/>
                <w:color w:val="000000"/>
                <w:lang w:eastAsia="en-AU"/>
              </w:rPr>
            </w:pPr>
            <w:r w:rsidRPr="00576E82">
              <w:rPr>
                <w:rFonts w:cs="Arial"/>
              </w:rPr>
              <w:t>$62</w:t>
            </w:r>
            <w:r>
              <w:rPr>
                <w:rFonts w:cs="Arial"/>
              </w:rPr>
              <w:t xml:space="preserve"> million</w:t>
            </w:r>
            <w:r w:rsidRPr="007D5D1D" w:rsidDel="003524AE">
              <w:rPr>
                <w:rFonts w:eastAsia="Times New Roman" w:cs="Arial"/>
                <w:color w:val="000000"/>
                <w:lang w:eastAsia="en-AU"/>
              </w:rPr>
              <w:t xml:space="preserve"> </w:t>
            </w:r>
          </w:p>
        </w:tc>
      </w:tr>
      <w:tr w:rsidR="00B60C9F" w:rsidRPr="007D5D1D" w:rsidTr="00BC6FBC">
        <w:trPr>
          <w:jc w:val="center"/>
        </w:trPr>
        <w:tc>
          <w:tcPr>
            <w:tcW w:w="2547" w:type="dxa"/>
            <w:tcBorders>
              <w:top w:val="nil"/>
              <w:left w:val="single" w:sz="4" w:space="0" w:color="auto"/>
              <w:bottom w:val="single" w:sz="4" w:space="0" w:color="auto"/>
              <w:right w:val="single" w:sz="4" w:space="0" w:color="auto"/>
            </w:tcBorders>
            <w:shd w:val="clear" w:color="000000" w:fill="D1D3D4"/>
            <w:noWrap/>
            <w:vAlign w:val="center"/>
            <w:hideMark/>
          </w:tcPr>
          <w:p w:rsidR="00B60C9F" w:rsidRPr="007D5D1D" w:rsidRDefault="00B60C9F" w:rsidP="000D5D04">
            <w:pPr>
              <w:spacing w:after="0" w:line="240" w:lineRule="auto"/>
              <w:jc w:val="center"/>
              <w:rPr>
                <w:rFonts w:eastAsia="Times New Roman" w:cs="Arial"/>
                <w:color w:val="000000"/>
                <w:lang w:eastAsia="en-AU"/>
              </w:rPr>
            </w:pPr>
            <w:r w:rsidRPr="007D5D1D">
              <w:rPr>
                <w:rFonts w:eastAsia="Times New Roman" w:cs="Arial"/>
                <w:color w:val="000000"/>
                <w:lang w:eastAsia="en-AU"/>
              </w:rPr>
              <w:t>25 to 34</w:t>
            </w:r>
          </w:p>
        </w:tc>
        <w:tc>
          <w:tcPr>
            <w:tcW w:w="4813" w:type="dxa"/>
            <w:tcBorders>
              <w:top w:val="nil"/>
              <w:left w:val="nil"/>
              <w:bottom w:val="single" w:sz="4" w:space="0" w:color="auto"/>
              <w:right w:val="single" w:sz="4" w:space="0" w:color="auto"/>
            </w:tcBorders>
            <w:shd w:val="clear" w:color="auto" w:fill="auto"/>
            <w:noWrap/>
          </w:tcPr>
          <w:p w:rsidR="00B60C9F" w:rsidRPr="007D5D1D" w:rsidRDefault="00B60C9F" w:rsidP="000D5D04">
            <w:pPr>
              <w:spacing w:after="0" w:line="240" w:lineRule="auto"/>
              <w:jc w:val="center"/>
              <w:rPr>
                <w:rFonts w:eastAsia="Times New Roman" w:cs="Arial"/>
                <w:color w:val="000000"/>
                <w:lang w:eastAsia="en-AU"/>
              </w:rPr>
            </w:pPr>
            <w:r w:rsidRPr="00576E82">
              <w:rPr>
                <w:rFonts w:cs="Arial"/>
              </w:rPr>
              <w:t>$88</w:t>
            </w:r>
            <w:r>
              <w:rPr>
                <w:rFonts w:cs="Arial"/>
              </w:rPr>
              <w:t xml:space="preserve"> million</w:t>
            </w:r>
            <w:r w:rsidRPr="007D5D1D" w:rsidDel="003524AE">
              <w:rPr>
                <w:rFonts w:eastAsia="Times New Roman" w:cs="Arial"/>
                <w:color w:val="000000"/>
                <w:lang w:eastAsia="en-AU"/>
              </w:rPr>
              <w:t xml:space="preserve"> </w:t>
            </w:r>
          </w:p>
        </w:tc>
      </w:tr>
      <w:tr w:rsidR="00B60C9F" w:rsidRPr="007D5D1D" w:rsidTr="00BC6FBC">
        <w:trPr>
          <w:jc w:val="center"/>
        </w:trPr>
        <w:tc>
          <w:tcPr>
            <w:tcW w:w="2547" w:type="dxa"/>
            <w:tcBorders>
              <w:top w:val="nil"/>
              <w:left w:val="single" w:sz="4" w:space="0" w:color="auto"/>
              <w:bottom w:val="single" w:sz="4" w:space="0" w:color="auto"/>
              <w:right w:val="single" w:sz="4" w:space="0" w:color="auto"/>
            </w:tcBorders>
            <w:shd w:val="clear" w:color="000000" w:fill="D1D3D4"/>
            <w:noWrap/>
            <w:vAlign w:val="center"/>
            <w:hideMark/>
          </w:tcPr>
          <w:p w:rsidR="00B60C9F" w:rsidRPr="007D5D1D" w:rsidRDefault="00B60C9F" w:rsidP="000D5D04">
            <w:pPr>
              <w:spacing w:after="0" w:line="240" w:lineRule="auto"/>
              <w:jc w:val="center"/>
              <w:rPr>
                <w:rFonts w:eastAsia="Times New Roman" w:cs="Arial"/>
                <w:color w:val="000000"/>
                <w:lang w:eastAsia="en-AU"/>
              </w:rPr>
            </w:pPr>
            <w:r w:rsidRPr="007D5D1D">
              <w:rPr>
                <w:rFonts w:eastAsia="Times New Roman" w:cs="Arial"/>
                <w:color w:val="000000"/>
                <w:lang w:eastAsia="en-AU"/>
              </w:rPr>
              <w:t>35 to 44</w:t>
            </w:r>
          </w:p>
        </w:tc>
        <w:tc>
          <w:tcPr>
            <w:tcW w:w="4813" w:type="dxa"/>
            <w:tcBorders>
              <w:top w:val="nil"/>
              <w:left w:val="nil"/>
              <w:bottom w:val="single" w:sz="4" w:space="0" w:color="auto"/>
              <w:right w:val="single" w:sz="4" w:space="0" w:color="auto"/>
            </w:tcBorders>
            <w:shd w:val="clear" w:color="auto" w:fill="auto"/>
            <w:noWrap/>
          </w:tcPr>
          <w:p w:rsidR="00B60C9F" w:rsidRPr="007D5D1D" w:rsidRDefault="00B60C9F" w:rsidP="000D5D04">
            <w:pPr>
              <w:spacing w:after="0" w:line="240" w:lineRule="auto"/>
              <w:jc w:val="center"/>
              <w:rPr>
                <w:rFonts w:eastAsia="Times New Roman" w:cs="Arial"/>
                <w:color w:val="000000"/>
                <w:lang w:eastAsia="en-AU"/>
              </w:rPr>
            </w:pPr>
            <w:r w:rsidRPr="00576E82">
              <w:rPr>
                <w:rFonts w:cs="Arial"/>
              </w:rPr>
              <w:t>$98</w:t>
            </w:r>
            <w:r>
              <w:rPr>
                <w:rFonts w:cs="Arial"/>
              </w:rPr>
              <w:t xml:space="preserve"> million</w:t>
            </w:r>
            <w:r w:rsidRPr="007D5D1D" w:rsidDel="003524AE">
              <w:rPr>
                <w:rFonts w:eastAsia="Times New Roman" w:cs="Arial"/>
                <w:color w:val="000000"/>
                <w:lang w:eastAsia="en-AU"/>
              </w:rPr>
              <w:t xml:space="preserve"> </w:t>
            </w:r>
          </w:p>
        </w:tc>
      </w:tr>
      <w:tr w:rsidR="00B60C9F" w:rsidRPr="007D5D1D" w:rsidTr="00BC6FBC">
        <w:trPr>
          <w:jc w:val="center"/>
        </w:trPr>
        <w:tc>
          <w:tcPr>
            <w:tcW w:w="2547" w:type="dxa"/>
            <w:tcBorders>
              <w:top w:val="nil"/>
              <w:left w:val="single" w:sz="4" w:space="0" w:color="auto"/>
              <w:bottom w:val="single" w:sz="4" w:space="0" w:color="auto"/>
              <w:right w:val="single" w:sz="4" w:space="0" w:color="auto"/>
            </w:tcBorders>
            <w:shd w:val="clear" w:color="000000" w:fill="D1D3D4"/>
            <w:noWrap/>
            <w:vAlign w:val="center"/>
            <w:hideMark/>
          </w:tcPr>
          <w:p w:rsidR="00B60C9F" w:rsidRPr="007D5D1D" w:rsidRDefault="00B60C9F" w:rsidP="000D5D04">
            <w:pPr>
              <w:spacing w:after="0" w:line="240" w:lineRule="auto"/>
              <w:jc w:val="center"/>
              <w:rPr>
                <w:rFonts w:eastAsia="Times New Roman" w:cs="Arial"/>
                <w:color w:val="000000"/>
                <w:lang w:eastAsia="en-AU"/>
              </w:rPr>
            </w:pPr>
            <w:r w:rsidRPr="007D5D1D">
              <w:rPr>
                <w:rFonts w:eastAsia="Times New Roman" w:cs="Arial"/>
                <w:color w:val="000000"/>
                <w:lang w:eastAsia="en-AU"/>
              </w:rPr>
              <w:t>45 to 54</w:t>
            </w:r>
          </w:p>
        </w:tc>
        <w:tc>
          <w:tcPr>
            <w:tcW w:w="4813" w:type="dxa"/>
            <w:tcBorders>
              <w:top w:val="nil"/>
              <w:left w:val="nil"/>
              <w:bottom w:val="single" w:sz="4" w:space="0" w:color="auto"/>
              <w:right w:val="single" w:sz="4" w:space="0" w:color="auto"/>
            </w:tcBorders>
            <w:shd w:val="clear" w:color="auto" w:fill="auto"/>
            <w:noWrap/>
          </w:tcPr>
          <w:p w:rsidR="00B60C9F" w:rsidRPr="007D5D1D" w:rsidRDefault="00B60C9F" w:rsidP="000D5D04">
            <w:pPr>
              <w:spacing w:after="0" w:line="240" w:lineRule="auto"/>
              <w:jc w:val="center"/>
              <w:rPr>
                <w:rFonts w:eastAsia="Times New Roman" w:cs="Arial"/>
                <w:color w:val="000000"/>
                <w:lang w:eastAsia="en-AU"/>
              </w:rPr>
            </w:pPr>
            <w:r w:rsidRPr="00576E82">
              <w:rPr>
                <w:rFonts w:cs="Arial"/>
              </w:rPr>
              <w:t>$128</w:t>
            </w:r>
            <w:r>
              <w:rPr>
                <w:rFonts w:cs="Arial"/>
              </w:rPr>
              <w:t xml:space="preserve"> million</w:t>
            </w:r>
            <w:r w:rsidRPr="007D5D1D" w:rsidDel="003524AE">
              <w:rPr>
                <w:rFonts w:eastAsia="Times New Roman" w:cs="Arial"/>
                <w:color w:val="000000"/>
                <w:lang w:eastAsia="en-AU"/>
              </w:rPr>
              <w:t xml:space="preserve"> </w:t>
            </w:r>
          </w:p>
        </w:tc>
      </w:tr>
      <w:tr w:rsidR="00B60C9F" w:rsidRPr="007D5D1D" w:rsidTr="00BC6FBC">
        <w:trPr>
          <w:jc w:val="center"/>
        </w:trPr>
        <w:tc>
          <w:tcPr>
            <w:tcW w:w="2547" w:type="dxa"/>
            <w:tcBorders>
              <w:top w:val="nil"/>
              <w:left w:val="single" w:sz="4" w:space="0" w:color="auto"/>
              <w:bottom w:val="single" w:sz="4" w:space="0" w:color="auto"/>
              <w:right w:val="single" w:sz="4" w:space="0" w:color="auto"/>
            </w:tcBorders>
            <w:shd w:val="clear" w:color="000000" w:fill="D1D3D4"/>
            <w:noWrap/>
            <w:vAlign w:val="center"/>
            <w:hideMark/>
          </w:tcPr>
          <w:p w:rsidR="00B60C9F" w:rsidRPr="007D5D1D" w:rsidRDefault="00B60C9F" w:rsidP="000D5D04">
            <w:pPr>
              <w:spacing w:after="0" w:line="240" w:lineRule="auto"/>
              <w:jc w:val="center"/>
              <w:rPr>
                <w:rFonts w:eastAsia="Times New Roman" w:cs="Arial"/>
                <w:color w:val="000000"/>
                <w:lang w:eastAsia="en-AU"/>
              </w:rPr>
            </w:pPr>
            <w:r w:rsidRPr="007D5D1D">
              <w:rPr>
                <w:rFonts w:eastAsia="Times New Roman" w:cs="Arial"/>
                <w:color w:val="000000"/>
                <w:lang w:eastAsia="en-AU"/>
              </w:rPr>
              <w:t>55 to 64</w:t>
            </w:r>
          </w:p>
        </w:tc>
        <w:tc>
          <w:tcPr>
            <w:tcW w:w="4813" w:type="dxa"/>
            <w:tcBorders>
              <w:top w:val="nil"/>
              <w:left w:val="nil"/>
              <w:bottom w:val="single" w:sz="4" w:space="0" w:color="auto"/>
              <w:right w:val="single" w:sz="4" w:space="0" w:color="auto"/>
            </w:tcBorders>
            <w:shd w:val="clear" w:color="auto" w:fill="auto"/>
            <w:noWrap/>
          </w:tcPr>
          <w:p w:rsidR="00B60C9F" w:rsidRPr="007D5D1D" w:rsidRDefault="00B60C9F" w:rsidP="000D5D04">
            <w:pPr>
              <w:spacing w:after="0" w:line="240" w:lineRule="auto"/>
              <w:jc w:val="center"/>
              <w:rPr>
                <w:rFonts w:eastAsia="Times New Roman" w:cs="Arial"/>
                <w:color w:val="000000"/>
                <w:lang w:eastAsia="en-AU"/>
              </w:rPr>
            </w:pPr>
            <w:r w:rsidRPr="00576E82">
              <w:rPr>
                <w:rFonts w:cs="Arial"/>
              </w:rPr>
              <w:t>$144</w:t>
            </w:r>
            <w:r>
              <w:rPr>
                <w:rFonts w:cs="Arial"/>
              </w:rPr>
              <w:t xml:space="preserve"> million</w:t>
            </w:r>
            <w:r w:rsidRPr="007D5D1D" w:rsidDel="003524AE">
              <w:rPr>
                <w:rFonts w:eastAsia="Times New Roman" w:cs="Arial"/>
                <w:color w:val="000000"/>
                <w:lang w:eastAsia="en-AU"/>
              </w:rPr>
              <w:t xml:space="preserve"> </w:t>
            </w:r>
          </w:p>
        </w:tc>
      </w:tr>
      <w:tr w:rsidR="00B60C9F" w:rsidRPr="007D5D1D" w:rsidTr="00BC6FBC">
        <w:trPr>
          <w:jc w:val="center"/>
        </w:trPr>
        <w:tc>
          <w:tcPr>
            <w:tcW w:w="2547" w:type="dxa"/>
            <w:tcBorders>
              <w:top w:val="nil"/>
              <w:left w:val="single" w:sz="4" w:space="0" w:color="auto"/>
              <w:bottom w:val="single" w:sz="4" w:space="0" w:color="auto"/>
              <w:right w:val="single" w:sz="4" w:space="0" w:color="auto"/>
            </w:tcBorders>
            <w:shd w:val="clear" w:color="000000" w:fill="D1D3D4"/>
            <w:noWrap/>
            <w:vAlign w:val="center"/>
            <w:hideMark/>
          </w:tcPr>
          <w:p w:rsidR="00B60C9F" w:rsidRPr="007D5D1D" w:rsidRDefault="00B60C9F" w:rsidP="000D5D04">
            <w:pPr>
              <w:spacing w:after="0" w:line="240" w:lineRule="auto"/>
              <w:jc w:val="center"/>
              <w:rPr>
                <w:rFonts w:eastAsia="Times New Roman" w:cs="Arial"/>
                <w:color w:val="000000"/>
                <w:lang w:eastAsia="en-AU"/>
              </w:rPr>
            </w:pPr>
            <w:r w:rsidRPr="007D5D1D">
              <w:rPr>
                <w:rFonts w:eastAsia="Times New Roman" w:cs="Arial"/>
                <w:color w:val="000000"/>
                <w:lang w:eastAsia="en-AU"/>
              </w:rPr>
              <w:t>65+</w:t>
            </w:r>
          </w:p>
        </w:tc>
        <w:tc>
          <w:tcPr>
            <w:tcW w:w="4813" w:type="dxa"/>
            <w:tcBorders>
              <w:top w:val="nil"/>
              <w:left w:val="nil"/>
              <w:bottom w:val="single" w:sz="4" w:space="0" w:color="auto"/>
              <w:right w:val="single" w:sz="4" w:space="0" w:color="auto"/>
            </w:tcBorders>
            <w:shd w:val="clear" w:color="auto" w:fill="auto"/>
            <w:noWrap/>
          </w:tcPr>
          <w:p w:rsidR="00B60C9F" w:rsidRPr="007D5D1D" w:rsidRDefault="00B60C9F" w:rsidP="000D5D04">
            <w:pPr>
              <w:spacing w:after="0" w:line="240" w:lineRule="auto"/>
              <w:jc w:val="center"/>
              <w:rPr>
                <w:rFonts w:eastAsia="Times New Roman" w:cs="Arial"/>
                <w:color w:val="000000"/>
                <w:lang w:eastAsia="en-AU"/>
              </w:rPr>
            </w:pPr>
            <w:r w:rsidRPr="00576E82">
              <w:rPr>
                <w:rFonts w:cs="Arial"/>
              </w:rPr>
              <w:t>$36</w:t>
            </w:r>
            <w:r>
              <w:rPr>
                <w:rFonts w:cs="Arial"/>
              </w:rPr>
              <w:t xml:space="preserve"> million</w:t>
            </w:r>
            <w:r w:rsidRPr="007D5D1D" w:rsidDel="003524AE">
              <w:rPr>
                <w:rFonts w:eastAsia="Times New Roman" w:cs="Arial"/>
                <w:color w:val="000000"/>
                <w:lang w:eastAsia="en-AU"/>
              </w:rPr>
              <w:t xml:space="preserve"> </w:t>
            </w:r>
          </w:p>
        </w:tc>
      </w:tr>
      <w:tr w:rsidR="00B60C9F" w:rsidRPr="007D5D1D" w:rsidTr="00BC6FBC">
        <w:trPr>
          <w:jc w:val="center"/>
        </w:trPr>
        <w:tc>
          <w:tcPr>
            <w:tcW w:w="2547" w:type="dxa"/>
            <w:tcBorders>
              <w:top w:val="nil"/>
              <w:left w:val="single" w:sz="4" w:space="0" w:color="auto"/>
              <w:bottom w:val="single" w:sz="4" w:space="0" w:color="auto"/>
              <w:right w:val="single" w:sz="4" w:space="0" w:color="auto"/>
            </w:tcBorders>
            <w:shd w:val="clear" w:color="000000" w:fill="A7A9AC"/>
            <w:noWrap/>
            <w:vAlign w:val="center"/>
            <w:hideMark/>
          </w:tcPr>
          <w:p w:rsidR="00B60C9F" w:rsidRPr="007D5D1D" w:rsidRDefault="00B60C9F" w:rsidP="000D5D04">
            <w:pPr>
              <w:spacing w:after="0" w:line="240" w:lineRule="auto"/>
              <w:jc w:val="center"/>
              <w:rPr>
                <w:rFonts w:eastAsia="Times New Roman" w:cs="Arial"/>
                <w:b/>
                <w:bCs/>
                <w:color w:val="000000"/>
                <w:lang w:eastAsia="en-AU"/>
              </w:rPr>
            </w:pPr>
            <w:r w:rsidRPr="007D5D1D">
              <w:rPr>
                <w:rFonts w:eastAsia="Times New Roman" w:cs="Arial"/>
                <w:b/>
                <w:bCs/>
                <w:color w:val="000000"/>
                <w:lang w:eastAsia="en-AU"/>
              </w:rPr>
              <w:t>Total</w:t>
            </w:r>
          </w:p>
        </w:tc>
        <w:tc>
          <w:tcPr>
            <w:tcW w:w="4813" w:type="dxa"/>
            <w:tcBorders>
              <w:top w:val="nil"/>
              <w:left w:val="nil"/>
              <w:bottom w:val="single" w:sz="4" w:space="0" w:color="auto"/>
              <w:right w:val="single" w:sz="4" w:space="0" w:color="auto"/>
            </w:tcBorders>
            <w:shd w:val="clear" w:color="000000" w:fill="A7A9AC"/>
            <w:noWrap/>
            <w:vAlign w:val="center"/>
            <w:hideMark/>
          </w:tcPr>
          <w:p w:rsidR="00B60C9F" w:rsidRPr="007D5D1D" w:rsidRDefault="00B60C9F" w:rsidP="000D5D04">
            <w:pPr>
              <w:spacing w:after="0" w:line="240" w:lineRule="auto"/>
              <w:jc w:val="center"/>
              <w:rPr>
                <w:rFonts w:eastAsia="Times New Roman" w:cs="Arial"/>
                <w:b/>
                <w:color w:val="000000"/>
                <w:lang w:eastAsia="en-AU"/>
              </w:rPr>
            </w:pPr>
            <w:r w:rsidRPr="007D5D1D">
              <w:rPr>
                <w:rFonts w:eastAsia="Times New Roman" w:cs="Arial"/>
                <w:b/>
                <w:color w:val="000000"/>
                <w:lang w:eastAsia="en-AU"/>
              </w:rPr>
              <w:t>$6</w:t>
            </w:r>
            <w:r>
              <w:rPr>
                <w:rFonts w:eastAsia="Times New Roman" w:cs="Arial"/>
                <w:b/>
                <w:color w:val="000000"/>
                <w:lang w:eastAsia="en-AU"/>
              </w:rPr>
              <w:t>67</w:t>
            </w:r>
            <w:r w:rsidRPr="007D5D1D">
              <w:rPr>
                <w:rFonts w:eastAsia="Times New Roman" w:cs="Arial"/>
                <w:color w:val="000000"/>
                <w:lang w:eastAsia="en-AU"/>
              </w:rPr>
              <w:t xml:space="preserve"> </w:t>
            </w:r>
            <w:r w:rsidRPr="00254C1C">
              <w:rPr>
                <w:rFonts w:eastAsia="Times New Roman" w:cs="Arial"/>
                <w:b/>
                <w:color w:val="000000"/>
                <w:lang w:eastAsia="en-AU"/>
              </w:rPr>
              <w:t>million</w:t>
            </w:r>
            <w:r w:rsidRPr="007D5D1D">
              <w:rPr>
                <w:rStyle w:val="FootnoteReference"/>
                <w:rFonts w:eastAsia="Times New Roman" w:cs="Arial"/>
                <w:color w:val="000000"/>
                <w:lang w:eastAsia="en-AU"/>
              </w:rPr>
              <w:t xml:space="preserve"> </w:t>
            </w:r>
            <w:r w:rsidRPr="007D5D1D">
              <w:rPr>
                <w:rStyle w:val="FootnoteReference"/>
                <w:rFonts w:eastAsia="Times New Roman" w:cs="Arial"/>
                <w:color w:val="000000"/>
                <w:lang w:eastAsia="en-AU"/>
              </w:rPr>
              <w:footnoteReference w:id="12"/>
            </w:r>
          </w:p>
        </w:tc>
      </w:tr>
    </w:tbl>
    <w:p w:rsidR="00C764CA" w:rsidRDefault="00C764CA" w:rsidP="00B60C9F">
      <w:pPr>
        <w:pStyle w:val="Heading3"/>
        <w:spacing w:before="120"/>
      </w:pPr>
      <w:bookmarkStart w:id="44" w:name="_Toc88041459"/>
    </w:p>
    <w:p w:rsidR="00C764CA" w:rsidRDefault="00C764CA">
      <w:pPr>
        <w:spacing w:line="276" w:lineRule="auto"/>
        <w:rPr>
          <w:b/>
          <w:color w:val="6B2976"/>
          <w:sz w:val="30"/>
          <w:szCs w:val="30"/>
        </w:rPr>
      </w:pPr>
      <w:r>
        <w:br w:type="page"/>
      </w:r>
    </w:p>
    <w:p w:rsidR="00B60C9F" w:rsidRPr="0097732E" w:rsidRDefault="00B60C9F" w:rsidP="00B60C9F">
      <w:pPr>
        <w:pStyle w:val="Heading3"/>
        <w:spacing w:before="120"/>
      </w:pPr>
      <w:r>
        <w:lastRenderedPageBreak/>
        <w:t>Average payments</w:t>
      </w:r>
      <w:r w:rsidRPr="0097732E">
        <w:t xml:space="preserve"> for non-SIL participants</w:t>
      </w:r>
      <w:bookmarkEnd w:id="44"/>
    </w:p>
    <w:p w:rsidR="00B60C9F" w:rsidRDefault="00B60C9F" w:rsidP="00B60C9F">
      <w:r w:rsidRPr="009C6EB1">
        <w:t xml:space="preserve">Overall, </w:t>
      </w:r>
      <w:r>
        <w:t xml:space="preserve">the average payments for non-SIL </w:t>
      </w:r>
      <w:r w:rsidRPr="009C6EB1">
        <w:t xml:space="preserve">participants with support coordination </w:t>
      </w:r>
      <w:r>
        <w:t xml:space="preserve">funding increased by 27% annually in the 3 years to 30 September 2021.  </w:t>
      </w:r>
    </w:p>
    <w:p w:rsidR="00B60C9F" w:rsidRDefault="00B60C9F" w:rsidP="00B60C9F">
      <w:r>
        <w:t xml:space="preserve">Across different age groups, the increase in average payments for non-SIL participants with support coordination funding was greatest for those aged 55+ as well as for those aged 0 to 14 years. </w:t>
      </w:r>
    </w:p>
    <w:p w:rsidR="00B60C9F" w:rsidRPr="00DB16FA" w:rsidRDefault="00B60C9F" w:rsidP="00941A88">
      <w:pPr>
        <w:pStyle w:val="Heading4"/>
        <w:numPr>
          <w:ilvl w:val="0"/>
          <w:numId w:val="0"/>
        </w:numPr>
        <w:rPr>
          <w:rFonts w:eastAsiaTheme="minorHAnsi"/>
          <w:lang w:eastAsia="en-US"/>
        </w:rPr>
      </w:pPr>
      <w:bookmarkStart w:id="45" w:name="_Toc88041460"/>
      <w:r>
        <w:rPr>
          <w:rFonts w:eastAsiaTheme="minorHAnsi"/>
          <w:lang w:eastAsia="en-US"/>
        </w:rPr>
        <w:t xml:space="preserve">Table B.4 </w:t>
      </w:r>
      <w:r w:rsidRPr="00DB16FA">
        <w:rPr>
          <w:rFonts w:eastAsiaTheme="minorHAnsi"/>
          <w:lang w:eastAsia="en-US"/>
        </w:rPr>
        <w:t xml:space="preserve">Average payments </w:t>
      </w:r>
      <w:r>
        <w:rPr>
          <w:rFonts w:eastAsiaTheme="minorHAnsi"/>
          <w:lang w:eastAsia="en-US"/>
        </w:rPr>
        <w:t>for n</w:t>
      </w:r>
      <w:r w:rsidRPr="00DB16FA">
        <w:rPr>
          <w:rFonts w:eastAsiaTheme="minorHAnsi"/>
          <w:lang w:eastAsia="en-US"/>
        </w:rPr>
        <w:t>on-SIL participants with support coordination funding, by age group</w:t>
      </w:r>
      <w:bookmarkEnd w:id="45"/>
    </w:p>
    <w:tbl>
      <w:tblPr>
        <w:tblW w:w="7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2"/>
        <w:gridCol w:w="1983"/>
        <w:gridCol w:w="1983"/>
        <w:gridCol w:w="1983"/>
      </w:tblGrid>
      <w:tr w:rsidR="00B60C9F" w:rsidRPr="00DB16FA" w:rsidTr="000D5D04">
        <w:trPr>
          <w:trHeight w:val="503"/>
          <w:tblHeader/>
          <w:jc w:val="center"/>
        </w:trPr>
        <w:tc>
          <w:tcPr>
            <w:tcW w:w="1762" w:type="dxa"/>
            <w:shd w:val="clear" w:color="000000" w:fill="6B2976"/>
            <w:noWrap/>
            <w:vAlign w:val="center"/>
            <w:hideMark/>
          </w:tcPr>
          <w:p w:rsidR="00B60C9F" w:rsidRPr="00DB16FA" w:rsidRDefault="00B60C9F" w:rsidP="000D5D04">
            <w:pPr>
              <w:spacing w:after="0" w:line="240" w:lineRule="auto"/>
              <w:jc w:val="center"/>
              <w:rPr>
                <w:rFonts w:eastAsia="Times New Roman" w:cs="Arial"/>
                <w:b/>
                <w:color w:val="FFFFFF"/>
                <w:szCs w:val="22"/>
                <w:lang w:eastAsia="en-AU"/>
              </w:rPr>
            </w:pPr>
            <w:r w:rsidRPr="00DB16FA">
              <w:rPr>
                <w:rFonts w:eastAsia="Times New Roman" w:cs="Arial"/>
                <w:b/>
                <w:color w:val="FFFFFF"/>
                <w:szCs w:val="22"/>
                <w:lang w:eastAsia="en-AU"/>
              </w:rPr>
              <w:t>Age group</w:t>
            </w:r>
          </w:p>
        </w:tc>
        <w:tc>
          <w:tcPr>
            <w:tcW w:w="1983" w:type="dxa"/>
            <w:shd w:val="clear" w:color="000000" w:fill="6B2976"/>
            <w:vAlign w:val="center"/>
            <w:hideMark/>
          </w:tcPr>
          <w:p w:rsidR="00B60C9F" w:rsidRPr="00DB16FA" w:rsidRDefault="00B60C9F" w:rsidP="000D5D04">
            <w:pPr>
              <w:spacing w:after="0" w:line="240" w:lineRule="auto"/>
              <w:jc w:val="center"/>
              <w:rPr>
                <w:rFonts w:eastAsia="Times New Roman" w:cs="Arial"/>
                <w:b/>
                <w:color w:val="FFFFFF"/>
                <w:szCs w:val="22"/>
                <w:lang w:eastAsia="en-AU"/>
              </w:rPr>
            </w:pPr>
            <w:r w:rsidRPr="00DB16FA">
              <w:rPr>
                <w:rFonts w:eastAsia="Times New Roman" w:cs="Arial"/>
                <w:b/>
                <w:color w:val="FFFFFF"/>
                <w:szCs w:val="22"/>
                <w:lang w:eastAsia="en-AU"/>
              </w:rPr>
              <w:t>Oct-18 to Sep-19</w:t>
            </w:r>
          </w:p>
        </w:tc>
        <w:tc>
          <w:tcPr>
            <w:tcW w:w="1983" w:type="dxa"/>
            <w:shd w:val="clear" w:color="000000" w:fill="6B2976"/>
            <w:vAlign w:val="center"/>
            <w:hideMark/>
          </w:tcPr>
          <w:p w:rsidR="00B60C9F" w:rsidRPr="00DB16FA" w:rsidRDefault="00B60C9F" w:rsidP="000D5D04">
            <w:pPr>
              <w:spacing w:after="0" w:line="240" w:lineRule="auto"/>
              <w:jc w:val="center"/>
              <w:rPr>
                <w:rFonts w:eastAsia="Times New Roman" w:cs="Arial"/>
                <w:b/>
                <w:color w:val="FFFFFF"/>
                <w:szCs w:val="22"/>
                <w:lang w:eastAsia="en-AU"/>
              </w:rPr>
            </w:pPr>
            <w:r w:rsidRPr="00DB16FA">
              <w:rPr>
                <w:rFonts w:eastAsia="Times New Roman" w:cs="Arial"/>
                <w:b/>
                <w:color w:val="FFFFFF"/>
                <w:szCs w:val="22"/>
                <w:lang w:eastAsia="en-AU"/>
              </w:rPr>
              <w:t>Oct-19 to Sep-20</w:t>
            </w:r>
          </w:p>
        </w:tc>
        <w:tc>
          <w:tcPr>
            <w:tcW w:w="1983" w:type="dxa"/>
            <w:shd w:val="clear" w:color="000000" w:fill="6B2976"/>
            <w:vAlign w:val="center"/>
            <w:hideMark/>
          </w:tcPr>
          <w:p w:rsidR="00B60C9F" w:rsidRPr="00DB16FA" w:rsidRDefault="00B60C9F" w:rsidP="000D5D04">
            <w:pPr>
              <w:spacing w:after="0" w:line="240" w:lineRule="auto"/>
              <w:jc w:val="center"/>
              <w:rPr>
                <w:rFonts w:eastAsia="Times New Roman" w:cs="Arial"/>
                <w:b/>
                <w:color w:val="FFFFFF"/>
                <w:szCs w:val="22"/>
                <w:lang w:eastAsia="en-AU"/>
              </w:rPr>
            </w:pPr>
            <w:r w:rsidRPr="00DB16FA">
              <w:rPr>
                <w:rFonts w:eastAsia="Times New Roman" w:cs="Arial"/>
                <w:b/>
                <w:color w:val="FFFFFF"/>
                <w:szCs w:val="22"/>
                <w:lang w:eastAsia="en-AU"/>
              </w:rPr>
              <w:t>Oct-20 to Sep-21</w:t>
            </w:r>
          </w:p>
        </w:tc>
      </w:tr>
      <w:tr w:rsidR="00B60C9F" w:rsidRPr="00DB16FA" w:rsidTr="000D5D04">
        <w:trPr>
          <w:trHeight w:val="262"/>
          <w:jc w:val="center"/>
        </w:trPr>
        <w:tc>
          <w:tcPr>
            <w:tcW w:w="1762" w:type="dxa"/>
            <w:shd w:val="clear" w:color="auto" w:fill="BCBEC0"/>
            <w:noWrap/>
            <w:vAlign w:val="bottom"/>
            <w:hideMark/>
          </w:tcPr>
          <w:p w:rsidR="00B60C9F" w:rsidRPr="00DB16FA" w:rsidRDefault="00B60C9F" w:rsidP="000D5D04">
            <w:pPr>
              <w:spacing w:after="0" w:line="240" w:lineRule="auto"/>
              <w:jc w:val="center"/>
              <w:rPr>
                <w:rFonts w:eastAsia="Times New Roman" w:cs="Arial"/>
                <w:color w:val="000000"/>
                <w:szCs w:val="22"/>
                <w:lang w:eastAsia="en-AU"/>
              </w:rPr>
            </w:pPr>
            <w:r w:rsidRPr="00DB16FA">
              <w:rPr>
                <w:rFonts w:eastAsia="Times New Roman" w:cs="Arial"/>
                <w:color w:val="000000"/>
                <w:szCs w:val="22"/>
                <w:lang w:eastAsia="en-AU"/>
              </w:rPr>
              <w:t>0 to 6</w:t>
            </w:r>
          </w:p>
        </w:tc>
        <w:tc>
          <w:tcPr>
            <w:tcW w:w="1983" w:type="dxa"/>
            <w:shd w:val="clear" w:color="auto" w:fill="auto"/>
            <w:noWrap/>
            <w:hideMark/>
          </w:tcPr>
          <w:p w:rsidR="00B60C9F" w:rsidRPr="00DB16FA" w:rsidRDefault="00B60C9F" w:rsidP="000D5D04">
            <w:pPr>
              <w:spacing w:after="0" w:line="240" w:lineRule="auto"/>
              <w:jc w:val="center"/>
              <w:rPr>
                <w:rFonts w:eastAsia="Times New Roman" w:cs="Arial"/>
                <w:szCs w:val="22"/>
                <w:lang w:eastAsia="en-AU"/>
              </w:rPr>
            </w:pPr>
            <w:r>
              <w:rPr>
                <w:rFonts w:eastAsiaTheme="minorHAnsi" w:cs="Arial"/>
                <w:szCs w:val="22"/>
                <w:lang w:eastAsia="en-US"/>
              </w:rPr>
              <w:t>$</w:t>
            </w:r>
            <w:r w:rsidRPr="00DB16FA">
              <w:rPr>
                <w:rFonts w:eastAsiaTheme="minorHAnsi" w:cs="Arial"/>
                <w:szCs w:val="22"/>
                <w:lang w:eastAsia="en-US"/>
              </w:rPr>
              <w:t>20,446</w:t>
            </w:r>
          </w:p>
        </w:tc>
        <w:tc>
          <w:tcPr>
            <w:tcW w:w="1983" w:type="dxa"/>
            <w:shd w:val="clear" w:color="auto" w:fill="auto"/>
            <w:noWrap/>
            <w:hideMark/>
          </w:tcPr>
          <w:p w:rsidR="00B60C9F" w:rsidRPr="00DB16FA" w:rsidRDefault="00B60C9F" w:rsidP="000D5D04">
            <w:pPr>
              <w:spacing w:after="0" w:line="240" w:lineRule="auto"/>
              <w:jc w:val="center"/>
              <w:rPr>
                <w:rFonts w:eastAsia="Times New Roman" w:cs="Arial"/>
                <w:szCs w:val="22"/>
                <w:lang w:eastAsia="en-AU"/>
              </w:rPr>
            </w:pPr>
            <w:r>
              <w:rPr>
                <w:rFonts w:eastAsiaTheme="minorHAnsi" w:cs="Arial"/>
                <w:szCs w:val="22"/>
                <w:lang w:eastAsia="en-US"/>
              </w:rPr>
              <w:t>$</w:t>
            </w:r>
            <w:r w:rsidRPr="00DB16FA">
              <w:rPr>
                <w:rFonts w:eastAsiaTheme="minorHAnsi" w:cs="Arial"/>
                <w:szCs w:val="22"/>
                <w:lang w:eastAsia="en-US"/>
              </w:rPr>
              <w:t>29,075</w:t>
            </w:r>
          </w:p>
        </w:tc>
        <w:tc>
          <w:tcPr>
            <w:tcW w:w="1983" w:type="dxa"/>
            <w:shd w:val="clear" w:color="auto" w:fill="auto"/>
            <w:noWrap/>
            <w:hideMark/>
          </w:tcPr>
          <w:p w:rsidR="00B60C9F" w:rsidRPr="00DB16FA" w:rsidRDefault="00B60C9F" w:rsidP="000D5D04">
            <w:pPr>
              <w:spacing w:after="0" w:line="240" w:lineRule="auto"/>
              <w:jc w:val="center"/>
              <w:rPr>
                <w:rFonts w:eastAsia="Times New Roman" w:cs="Arial"/>
                <w:szCs w:val="22"/>
                <w:lang w:eastAsia="en-AU"/>
              </w:rPr>
            </w:pPr>
            <w:r>
              <w:rPr>
                <w:rFonts w:eastAsiaTheme="minorHAnsi" w:cs="Arial"/>
                <w:szCs w:val="22"/>
                <w:lang w:eastAsia="en-US"/>
              </w:rPr>
              <w:t>$</w:t>
            </w:r>
            <w:r w:rsidRPr="00DB16FA">
              <w:rPr>
                <w:rFonts w:eastAsiaTheme="minorHAnsi" w:cs="Arial"/>
                <w:szCs w:val="22"/>
                <w:lang w:eastAsia="en-US"/>
              </w:rPr>
              <w:t>32,339</w:t>
            </w:r>
          </w:p>
        </w:tc>
      </w:tr>
      <w:tr w:rsidR="00B60C9F" w:rsidRPr="00DB16FA" w:rsidTr="000D5D04">
        <w:trPr>
          <w:trHeight w:val="262"/>
          <w:jc w:val="center"/>
        </w:trPr>
        <w:tc>
          <w:tcPr>
            <w:tcW w:w="1762" w:type="dxa"/>
            <w:shd w:val="clear" w:color="auto" w:fill="BCBEC0"/>
            <w:noWrap/>
            <w:vAlign w:val="bottom"/>
            <w:hideMark/>
          </w:tcPr>
          <w:p w:rsidR="00B60C9F" w:rsidRPr="00DB16FA" w:rsidRDefault="00B60C9F" w:rsidP="000D5D04">
            <w:pPr>
              <w:spacing w:after="0" w:line="240" w:lineRule="auto"/>
              <w:jc w:val="center"/>
              <w:rPr>
                <w:rFonts w:eastAsia="Times New Roman" w:cs="Arial"/>
                <w:color w:val="000000"/>
                <w:szCs w:val="22"/>
                <w:lang w:eastAsia="en-AU"/>
              </w:rPr>
            </w:pPr>
            <w:r w:rsidRPr="00DB16FA">
              <w:rPr>
                <w:rFonts w:eastAsia="Times New Roman" w:cs="Arial"/>
                <w:color w:val="000000"/>
                <w:szCs w:val="22"/>
                <w:lang w:eastAsia="en-AU"/>
              </w:rPr>
              <w:t>7 to 14</w:t>
            </w:r>
          </w:p>
        </w:tc>
        <w:tc>
          <w:tcPr>
            <w:tcW w:w="1983" w:type="dxa"/>
            <w:shd w:val="clear" w:color="auto" w:fill="auto"/>
            <w:noWrap/>
            <w:hideMark/>
          </w:tcPr>
          <w:p w:rsidR="00B60C9F" w:rsidRPr="00DB16FA" w:rsidRDefault="00B60C9F" w:rsidP="000D5D04">
            <w:pPr>
              <w:spacing w:after="0" w:line="240" w:lineRule="auto"/>
              <w:jc w:val="center"/>
              <w:rPr>
                <w:rFonts w:eastAsia="Times New Roman" w:cs="Arial"/>
                <w:szCs w:val="22"/>
                <w:lang w:eastAsia="en-AU"/>
              </w:rPr>
            </w:pPr>
            <w:r>
              <w:rPr>
                <w:rFonts w:eastAsiaTheme="minorHAnsi" w:cs="Arial"/>
                <w:szCs w:val="22"/>
                <w:lang w:eastAsia="en-US"/>
              </w:rPr>
              <w:t>$</w:t>
            </w:r>
            <w:r w:rsidRPr="00DB16FA">
              <w:rPr>
                <w:rFonts w:eastAsiaTheme="minorHAnsi" w:cs="Arial"/>
                <w:szCs w:val="22"/>
                <w:lang w:eastAsia="en-US"/>
              </w:rPr>
              <w:t>30,648</w:t>
            </w:r>
          </w:p>
        </w:tc>
        <w:tc>
          <w:tcPr>
            <w:tcW w:w="1983" w:type="dxa"/>
            <w:shd w:val="clear" w:color="auto" w:fill="auto"/>
            <w:noWrap/>
            <w:hideMark/>
          </w:tcPr>
          <w:p w:rsidR="00B60C9F" w:rsidRPr="00DB16FA" w:rsidRDefault="00B60C9F" w:rsidP="000D5D04">
            <w:pPr>
              <w:spacing w:after="0" w:line="240" w:lineRule="auto"/>
              <w:jc w:val="center"/>
              <w:rPr>
                <w:rFonts w:eastAsia="Times New Roman" w:cs="Arial"/>
                <w:szCs w:val="22"/>
                <w:lang w:eastAsia="en-AU"/>
              </w:rPr>
            </w:pPr>
            <w:r>
              <w:rPr>
                <w:rFonts w:eastAsiaTheme="minorHAnsi" w:cs="Arial"/>
                <w:szCs w:val="22"/>
                <w:lang w:eastAsia="en-US"/>
              </w:rPr>
              <w:t>$</w:t>
            </w:r>
            <w:r w:rsidRPr="00DB16FA">
              <w:rPr>
                <w:rFonts w:eastAsiaTheme="minorHAnsi" w:cs="Arial"/>
                <w:szCs w:val="22"/>
                <w:lang w:eastAsia="en-US"/>
              </w:rPr>
              <w:t>40,511</w:t>
            </w:r>
          </w:p>
        </w:tc>
        <w:tc>
          <w:tcPr>
            <w:tcW w:w="1983" w:type="dxa"/>
            <w:shd w:val="clear" w:color="auto" w:fill="auto"/>
            <w:noWrap/>
            <w:hideMark/>
          </w:tcPr>
          <w:p w:rsidR="00B60C9F" w:rsidRPr="00DB16FA" w:rsidRDefault="00B60C9F" w:rsidP="000D5D04">
            <w:pPr>
              <w:spacing w:after="0" w:line="240" w:lineRule="auto"/>
              <w:jc w:val="center"/>
              <w:rPr>
                <w:rFonts w:eastAsia="Times New Roman" w:cs="Arial"/>
                <w:szCs w:val="22"/>
                <w:lang w:eastAsia="en-AU"/>
              </w:rPr>
            </w:pPr>
            <w:r>
              <w:rPr>
                <w:rFonts w:eastAsiaTheme="minorHAnsi" w:cs="Arial"/>
                <w:szCs w:val="22"/>
                <w:lang w:eastAsia="en-US"/>
              </w:rPr>
              <w:t>$</w:t>
            </w:r>
            <w:r w:rsidRPr="00DB16FA">
              <w:rPr>
                <w:rFonts w:eastAsiaTheme="minorHAnsi" w:cs="Arial"/>
                <w:szCs w:val="22"/>
                <w:lang w:eastAsia="en-US"/>
              </w:rPr>
              <w:t>45,021</w:t>
            </w:r>
          </w:p>
        </w:tc>
      </w:tr>
      <w:tr w:rsidR="00B60C9F" w:rsidRPr="00DB16FA" w:rsidTr="000D5D04">
        <w:trPr>
          <w:trHeight w:val="262"/>
          <w:jc w:val="center"/>
        </w:trPr>
        <w:tc>
          <w:tcPr>
            <w:tcW w:w="1762" w:type="dxa"/>
            <w:shd w:val="clear" w:color="auto" w:fill="BCBEC0"/>
            <w:noWrap/>
            <w:vAlign w:val="bottom"/>
            <w:hideMark/>
          </w:tcPr>
          <w:p w:rsidR="00B60C9F" w:rsidRPr="00DB16FA" w:rsidRDefault="00B60C9F" w:rsidP="000D5D04">
            <w:pPr>
              <w:spacing w:after="0" w:line="240" w:lineRule="auto"/>
              <w:jc w:val="center"/>
              <w:rPr>
                <w:rFonts w:eastAsia="Times New Roman" w:cs="Arial"/>
                <w:color w:val="000000"/>
                <w:szCs w:val="22"/>
                <w:lang w:eastAsia="en-AU"/>
              </w:rPr>
            </w:pPr>
            <w:r w:rsidRPr="00DB16FA">
              <w:rPr>
                <w:rFonts w:eastAsia="Times New Roman" w:cs="Arial"/>
                <w:color w:val="000000"/>
                <w:szCs w:val="22"/>
                <w:lang w:eastAsia="en-AU"/>
              </w:rPr>
              <w:t>15 to 18</w:t>
            </w:r>
          </w:p>
        </w:tc>
        <w:tc>
          <w:tcPr>
            <w:tcW w:w="1983" w:type="dxa"/>
            <w:shd w:val="clear" w:color="auto" w:fill="auto"/>
            <w:noWrap/>
            <w:hideMark/>
          </w:tcPr>
          <w:p w:rsidR="00B60C9F" w:rsidRPr="00DB16FA" w:rsidRDefault="00B60C9F" w:rsidP="000D5D04">
            <w:pPr>
              <w:spacing w:after="0" w:line="240" w:lineRule="auto"/>
              <w:jc w:val="center"/>
              <w:rPr>
                <w:rFonts w:eastAsia="Times New Roman" w:cs="Arial"/>
                <w:szCs w:val="22"/>
                <w:lang w:eastAsia="en-AU"/>
              </w:rPr>
            </w:pPr>
            <w:r>
              <w:rPr>
                <w:rFonts w:eastAsiaTheme="minorHAnsi" w:cs="Arial"/>
                <w:szCs w:val="22"/>
                <w:lang w:eastAsia="en-US"/>
              </w:rPr>
              <w:t>$</w:t>
            </w:r>
            <w:r w:rsidRPr="00DB16FA">
              <w:rPr>
                <w:rFonts w:eastAsiaTheme="minorHAnsi" w:cs="Arial"/>
                <w:szCs w:val="22"/>
                <w:lang w:eastAsia="en-US"/>
              </w:rPr>
              <w:t>44,439</w:t>
            </w:r>
          </w:p>
        </w:tc>
        <w:tc>
          <w:tcPr>
            <w:tcW w:w="1983" w:type="dxa"/>
            <w:shd w:val="clear" w:color="auto" w:fill="auto"/>
            <w:noWrap/>
            <w:hideMark/>
          </w:tcPr>
          <w:p w:rsidR="00B60C9F" w:rsidRPr="00DB16FA" w:rsidRDefault="00B60C9F" w:rsidP="000D5D04">
            <w:pPr>
              <w:spacing w:after="0" w:line="240" w:lineRule="auto"/>
              <w:jc w:val="center"/>
              <w:rPr>
                <w:rFonts w:eastAsia="Times New Roman" w:cs="Arial"/>
                <w:szCs w:val="22"/>
                <w:lang w:eastAsia="en-AU"/>
              </w:rPr>
            </w:pPr>
            <w:r>
              <w:rPr>
                <w:rFonts w:eastAsiaTheme="minorHAnsi" w:cs="Arial"/>
                <w:szCs w:val="22"/>
                <w:lang w:eastAsia="en-US"/>
              </w:rPr>
              <w:t>$</w:t>
            </w:r>
            <w:r w:rsidRPr="00DB16FA">
              <w:rPr>
                <w:rFonts w:eastAsiaTheme="minorHAnsi" w:cs="Arial"/>
                <w:szCs w:val="22"/>
                <w:lang w:eastAsia="en-US"/>
              </w:rPr>
              <w:t>57,701</w:t>
            </w:r>
          </w:p>
        </w:tc>
        <w:tc>
          <w:tcPr>
            <w:tcW w:w="1983" w:type="dxa"/>
            <w:shd w:val="clear" w:color="auto" w:fill="auto"/>
            <w:noWrap/>
            <w:hideMark/>
          </w:tcPr>
          <w:p w:rsidR="00B60C9F" w:rsidRPr="00DB16FA" w:rsidRDefault="00B60C9F" w:rsidP="000D5D04">
            <w:pPr>
              <w:spacing w:after="0" w:line="240" w:lineRule="auto"/>
              <w:jc w:val="center"/>
              <w:rPr>
                <w:rFonts w:eastAsia="Times New Roman" w:cs="Arial"/>
                <w:szCs w:val="22"/>
                <w:lang w:eastAsia="en-AU"/>
              </w:rPr>
            </w:pPr>
            <w:r>
              <w:rPr>
                <w:rFonts w:eastAsiaTheme="minorHAnsi" w:cs="Arial"/>
                <w:szCs w:val="22"/>
                <w:lang w:eastAsia="en-US"/>
              </w:rPr>
              <w:t>$</w:t>
            </w:r>
            <w:r w:rsidRPr="00DB16FA">
              <w:rPr>
                <w:rFonts w:eastAsiaTheme="minorHAnsi" w:cs="Arial"/>
                <w:szCs w:val="22"/>
                <w:lang w:eastAsia="en-US"/>
              </w:rPr>
              <w:t>65,474</w:t>
            </w:r>
          </w:p>
        </w:tc>
      </w:tr>
      <w:tr w:rsidR="00B60C9F" w:rsidRPr="00DB16FA" w:rsidTr="000D5D04">
        <w:trPr>
          <w:trHeight w:val="262"/>
          <w:jc w:val="center"/>
        </w:trPr>
        <w:tc>
          <w:tcPr>
            <w:tcW w:w="1762" w:type="dxa"/>
            <w:shd w:val="clear" w:color="auto" w:fill="BCBEC0"/>
            <w:noWrap/>
            <w:vAlign w:val="bottom"/>
            <w:hideMark/>
          </w:tcPr>
          <w:p w:rsidR="00B60C9F" w:rsidRPr="00DB16FA" w:rsidRDefault="00B60C9F" w:rsidP="000D5D04">
            <w:pPr>
              <w:spacing w:after="0" w:line="240" w:lineRule="auto"/>
              <w:jc w:val="center"/>
              <w:rPr>
                <w:rFonts w:eastAsia="Times New Roman" w:cs="Arial"/>
                <w:color w:val="000000"/>
                <w:szCs w:val="22"/>
                <w:lang w:eastAsia="en-AU"/>
              </w:rPr>
            </w:pPr>
            <w:r w:rsidRPr="00DB16FA">
              <w:rPr>
                <w:rFonts w:eastAsia="Times New Roman" w:cs="Arial"/>
                <w:color w:val="000000"/>
                <w:szCs w:val="22"/>
                <w:lang w:eastAsia="en-AU"/>
              </w:rPr>
              <w:t>19 to 24</w:t>
            </w:r>
          </w:p>
        </w:tc>
        <w:tc>
          <w:tcPr>
            <w:tcW w:w="1983" w:type="dxa"/>
            <w:shd w:val="clear" w:color="auto" w:fill="auto"/>
            <w:noWrap/>
            <w:hideMark/>
          </w:tcPr>
          <w:p w:rsidR="00B60C9F" w:rsidRPr="00DB16FA" w:rsidRDefault="00B60C9F" w:rsidP="000D5D04">
            <w:pPr>
              <w:spacing w:after="0" w:line="240" w:lineRule="auto"/>
              <w:jc w:val="center"/>
              <w:rPr>
                <w:rFonts w:eastAsia="Times New Roman" w:cs="Arial"/>
                <w:szCs w:val="22"/>
                <w:lang w:eastAsia="en-AU"/>
              </w:rPr>
            </w:pPr>
            <w:r>
              <w:rPr>
                <w:rFonts w:eastAsiaTheme="minorHAnsi" w:cs="Arial"/>
                <w:szCs w:val="22"/>
                <w:lang w:eastAsia="en-US"/>
              </w:rPr>
              <w:t>$</w:t>
            </w:r>
            <w:r w:rsidRPr="00DB16FA">
              <w:rPr>
                <w:rFonts w:eastAsiaTheme="minorHAnsi" w:cs="Arial"/>
                <w:szCs w:val="22"/>
                <w:lang w:eastAsia="en-US"/>
              </w:rPr>
              <w:t>55,255</w:t>
            </w:r>
          </w:p>
        </w:tc>
        <w:tc>
          <w:tcPr>
            <w:tcW w:w="1983" w:type="dxa"/>
            <w:shd w:val="clear" w:color="auto" w:fill="auto"/>
            <w:noWrap/>
            <w:hideMark/>
          </w:tcPr>
          <w:p w:rsidR="00B60C9F" w:rsidRPr="00DB16FA" w:rsidRDefault="00B60C9F" w:rsidP="000D5D04">
            <w:pPr>
              <w:spacing w:after="0" w:line="240" w:lineRule="auto"/>
              <w:jc w:val="center"/>
              <w:rPr>
                <w:rFonts w:eastAsia="Times New Roman" w:cs="Arial"/>
                <w:szCs w:val="22"/>
                <w:lang w:eastAsia="en-AU"/>
              </w:rPr>
            </w:pPr>
            <w:r>
              <w:rPr>
                <w:rFonts w:eastAsiaTheme="minorHAnsi" w:cs="Arial"/>
                <w:szCs w:val="22"/>
                <w:lang w:eastAsia="en-US"/>
              </w:rPr>
              <w:t>$</w:t>
            </w:r>
            <w:r w:rsidRPr="00DB16FA">
              <w:rPr>
                <w:rFonts w:eastAsiaTheme="minorHAnsi" w:cs="Arial"/>
                <w:szCs w:val="22"/>
                <w:lang w:eastAsia="en-US"/>
              </w:rPr>
              <w:t>64,215</w:t>
            </w:r>
          </w:p>
        </w:tc>
        <w:tc>
          <w:tcPr>
            <w:tcW w:w="1983" w:type="dxa"/>
            <w:shd w:val="clear" w:color="auto" w:fill="auto"/>
            <w:noWrap/>
            <w:hideMark/>
          </w:tcPr>
          <w:p w:rsidR="00B60C9F" w:rsidRPr="00DB16FA" w:rsidRDefault="00B60C9F" w:rsidP="000D5D04">
            <w:pPr>
              <w:spacing w:after="0" w:line="240" w:lineRule="auto"/>
              <w:jc w:val="center"/>
              <w:rPr>
                <w:rFonts w:eastAsia="Times New Roman" w:cs="Arial"/>
                <w:szCs w:val="22"/>
                <w:lang w:eastAsia="en-AU"/>
              </w:rPr>
            </w:pPr>
            <w:r>
              <w:rPr>
                <w:rFonts w:eastAsiaTheme="minorHAnsi" w:cs="Arial"/>
                <w:szCs w:val="22"/>
                <w:lang w:eastAsia="en-US"/>
              </w:rPr>
              <w:t>$</w:t>
            </w:r>
            <w:r w:rsidRPr="00DB16FA">
              <w:rPr>
                <w:rFonts w:eastAsiaTheme="minorHAnsi" w:cs="Arial"/>
                <w:szCs w:val="22"/>
                <w:lang w:eastAsia="en-US"/>
              </w:rPr>
              <w:t>74,223</w:t>
            </w:r>
          </w:p>
        </w:tc>
      </w:tr>
      <w:tr w:rsidR="00B60C9F" w:rsidRPr="00DB16FA" w:rsidTr="000D5D04">
        <w:trPr>
          <w:trHeight w:val="262"/>
          <w:jc w:val="center"/>
        </w:trPr>
        <w:tc>
          <w:tcPr>
            <w:tcW w:w="1762" w:type="dxa"/>
            <w:shd w:val="clear" w:color="auto" w:fill="BCBEC0"/>
            <w:noWrap/>
            <w:vAlign w:val="bottom"/>
            <w:hideMark/>
          </w:tcPr>
          <w:p w:rsidR="00B60C9F" w:rsidRPr="00DB16FA" w:rsidRDefault="00B60C9F" w:rsidP="000D5D04">
            <w:pPr>
              <w:spacing w:after="0" w:line="240" w:lineRule="auto"/>
              <w:jc w:val="center"/>
              <w:rPr>
                <w:rFonts w:eastAsia="Times New Roman" w:cs="Arial"/>
                <w:color w:val="000000"/>
                <w:szCs w:val="22"/>
                <w:lang w:eastAsia="en-AU"/>
              </w:rPr>
            </w:pPr>
            <w:r w:rsidRPr="00DB16FA">
              <w:rPr>
                <w:rFonts w:eastAsia="Times New Roman" w:cs="Arial"/>
                <w:color w:val="000000"/>
                <w:szCs w:val="22"/>
                <w:lang w:eastAsia="en-AU"/>
              </w:rPr>
              <w:t>25 to 34</w:t>
            </w:r>
          </w:p>
        </w:tc>
        <w:tc>
          <w:tcPr>
            <w:tcW w:w="1983" w:type="dxa"/>
            <w:shd w:val="clear" w:color="auto" w:fill="auto"/>
            <w:noWrap/>
            <w:hideMark/>
          </w:tcPr>
          <w:p w:rsidR="00B60C9F" w:rsidRPr="00DB16FA" w:rsidRDefault="00B60C9F" w:rsidP="000D5D04">
            <w:pPr>
              <w:spacing w:after="0" w:line="240" w:lineRule="auto"/>
              <w:jc w:val="center"/>
              <w:rPr>
                <w:rFonts w:eastAsia="Times New Roman" w:cs="Arial"/>
                <w:szCs w:val="22"/>
                <w:lang w:eastAsia="en-AU"/>
              </w:rPr>
            </w:pPr>
            <w:r>
              <w:rPr>
                <w:rFonts w:eastAsiaTheme="minorHAnsi" w:cs="Arial"/>
                <w:szCs w:val="22"/>
                <w:lang w:eastAsia="en-US"/>
              </w:rPr>
              <w:t>$</w:t>
            </w:r>
            <w:r w:rsidRPr="00DB16FA">
              <w:rPr>
                <w:rFonts w:eastAsiaTheme="minorHAnsi" w:cs="Arial"/>
                <w:szCs w:val="22"/>
                <w:lang w:eastAsia="en-US"/>
              </w:rPr>
              <w:t>57,949</w:t>
            </w:r>
          </w:p>
        </w:tc>
        <w:tc>
          <w:tcPr>
            <w:tcW w:w="1983" w:type="dxa"/>
            <w:shd w:val="clear" w:color="auto" w:fill="auto"/>
            <w:noWrap/>
            <w:hideMark/>
          </w:tcPr>
          <w:p w:rsidR="00B60C9F" w:rsidRPr="00DB16FA" w:rsidRDefault="00B60C9F" w:rsidP="000D5D04">
            <w:pPr>
              <w:spacing w:after="0" w:line="240" w:lineRule="auto"/>
              <w:jc w:val="center"/>
              <w:rPr>
                <w:rFonts w:eastAsia="Times New Roman" w:cs="Arial"/>
                <w:szCs w:val="22"/>
                <w:lang w:eastAsia="en-AU"/>
              </w:rPr>
            </w:pPr>
            <w:r>
              <w:rPr>
                <w:rFonts w:eastAsiaTheme="minorHAnsi" w:cs="Arial"/>
                <w:szCs w:val="22"/>
                <w:lang w:eastAsia="en-US"/>
              </w:rPr>
              <w:t>$</w:t>
            </w:r>
            <w:r w:rsidRPr="00DB16FA">
              <w:rPr>
                <w:rFonts w:eastAsiaTheme="minorHAnsi" w:cs="Arial"/>
                <w:szCs w:val="22"/>
                <w:lang w:eastAsia="en-US"/>
              </w:rPr>
              <w:t>66,397</w:t>
            </w:r>
          </w:p>
        </w:tc>
        <w:tc>
          <w:tcPr>
            <w:tcW w:w="1983" w:type="dxa"/>
            <w:shd w:val="clear" w:color="auto" w:fill="auto"/>
            <w:noWrap/>
            <w:hideMark/>
          </w:tcPr>
          <w:p w:rsidR="00B60C9F" w:rsidRPr="00DB16FA" w:rsidRDefault="00B60C9F" w:rsidP="000D5D04">
            <w:pPr>
              <w:spacing w:after="0" w:line="240" w:lineRule="auto"/>
              <w:jc w:val="center"/>
              <w:rPr>
                <w:rFonts w:eastAsia="Times New Roman" w:cs="Arial"/>
                <w:szCs w:val="22"/>
                <w:lang w:eastAsia="en-AU"/>
              </w:rPr>
            </w:pPr>
            <w:r>
              <w:rPr>
                <w:rFonts w:eastAsiaTheme="minorHAnsi" w:cs="Arial"/>
                <w:szCs w:val="22"/>
                <w:lang w:eastAsia="en-US"/>
              </w:rPr>
              <w:t>$</w:t>
            </w:r>
            <w:r w:rsidRPr="00DB16FA">
              <w:rPr>
                <w:rFonts w:eastAsiaTheme="minorHAnsi" w:cs="Arial"/>
                <w:szCs w:val="22"/>
                <w:lang w:eastAsia="en-US"/>
              </w:rPr>
              <w:t>74,113</w:t>
            </w:r>
          </w:p>
        </w:tc>
      </w:tr>
      <w:tr w:rsidR="00B60C9F" w:rsidRPr="00DB16FA" w:rsidTr="000D5D04">
        <w:trPr>
          <w:trHeight w:val="262"/>
          <w:jc w:val="center"/>
        </w:trPr>
        <w:tc>
          <w:tcPr>
            <w:tcW w:w="1762" w:type="dxa"/>
            <w:shd w:val="clear" w:color="auto" w:fill="BCBEC0"/>
            <w:noWrap/>
            <w:vAlign w:val="bottom"/>
            <w:hideMark/>
          </w:tcPr>
          <w:p w:rsidR="00B60C9F" w:rsidRPr="00DB16FA" w:rsidRDefault="00B60C9F" w:rsidP="000D5D04">
            <w:pPr>
              <w:spacing w:after="0" w:line="240" w:lineRule="auto"/>
              <w:jc w:val="center"/>
              <w:rPr>
                <w:rFonts w:eastAsia="Times New Roman" w:cs="Arial"/>
                <w:color w:val="000000"/>
                <w:szCs w:val="22"/>
                <w:lang w:eastAsia="en-AU"/>
              </w:rPr>
            </w:pPr>
            <w:r w:rsidRPr="00DB16FA">
              <w:rPr>
                <w:rFonts w:eastAsia="Times New Roman" w:cs="Arial"/>
                <w:color w:val="000000"/>
                <w:szCs w:val="22"/>
                <w:lang w:eastAsia="en-AU"/>
              </w:rPr>
              <w:t>35 to 44</w:t>
            </w:r>
          </w:p>
        </w:tc>
        <w:tc>
          <w:tcPr>
            <w:tcW w:w="1983" w:type="dxa"/>
            <w:shd w:val="clear" w:color="auto" w:fill="auto"/>
            <w:noWrap/>
            <w:hideMark/>
          </w:tcPr>
          <w:p w:rsidR="00B60C9F" w:rsidRPr="00DB16FA" w:rsidRDefault="00B60C9F" w:rsidP="000D5D04">
            <w:pPr>
              <w:spacing w:after="0" w:line="240" w:lineRule="auto"/>
              <w:jc w:val="center"/>
              <w:rPr>
                <w:rFonts w:eastAsia="Times New Roman" w:cs="Arial"/>
                <w:szCs w:val="22"/>
                <w:lang w:eastAsia="en-AU"/>
              </w:rPr>
            </w:pPr>
            <w:r>
              <w:rPr>
                <w:rFonts w:eastAsiaTheme="minorHAnsi" w:cs="Arial"/>
                <w:szCs w:val="22"/>
                <w:lang w:eastAsia="en-US"/>
              </w:rPr>
              <w:t>$</w:t>
            </w:r>
            <w:r w:rsidRPr="00DB16FA">
              <w:rPr>
                <w:rFonts w:eastAsiaTheme="minorHAnsi" w:cs="Arial"/>
                <w:szCs w:val="22"/>
                <w:lang w:eastAsia="en-US"/>
              </w:rPr>
              <w:t>49,014</w:t>
            </w:r>
          </w:p>
        </w:tc>
        <w:tc>
          <w:tcPr>
            <w:tcW w:w="1983" w:type="dxa"/>
            <w:shd w:val="clear" w:color="auto" w:fill="auto"/>
            <w:noWrap/>
            <w:hideMark/>
          </w:tcPr>
          <w:p w:rsidR="00B60C9F" w:rsidRPr="00DB16FA" w:rsidRDefault="00B60C9F" w:rsidP="000D5D04">
            <w:pPr>
              <w:spacing w:after="0" w:line="240" w:lineRule="auto"/>
              <w:jc w:val="center"/>
              <w:rPr>
                <w:rFonts w:eastAsia="Times New Roman" w:cs="Arial"/>
                <w:szCs w:val="22"/>
                <w:lang w:eastAsia="en-AU"/>
              </w:rPr>
            </w:pPr>
            <w:r>
              <w:rPr>
                <w:rFonts w:eastAsiaTheme="minorHAnsi" w:cs="Arial"/>
                <w:szCs w:val="22"/>
                <w:lang w:eastAsia="en-US"/>
              </w:rPr>
              <w:t>$</w:t>
            </w:r>
            <w:r w:rsidRPr="00DB16FA">
              <w:rPr>
                <w:rFonts w:eastAsiaTheme="minorHAnsi" w:cs="Arial"/>
                <w:szCs w:val="22"/>
                <w:lang w:eastAsia="en-US"/>
              </w:rPr>
              <w:t>59,941</w:t>
            </w:r>
          </w:p>
        </w:tc>
        <w:tc>
          <w:tcPr>
            <w:tcW w:w="1983" w:type="dxa"/>
            <w:shd w:val="clear" w:color="auto" w:fill="auto"/>
            <w:noWrap/>
            <w:hideMark/>
          </w:tcPr>
          <w:p w:rsidR="00B60C9F" w:rsidRPr="00DB16FA" w:rsidRDefault="00B60C9F" w:rsidP="000D5D04">
            <w:pPr>
              <w:spacing w:after="0" w:line="240" w:lineRule="auto"/>
              <w:jc w:val="center"/>
              <w:rPr>
                <w:rFonts w:eastAsia="Times New Roman" w:cs="Arial"/>
                <w:szCs w:val="22"/>
                <w:lang w:eastAsia="en-AU"/>
              </w:rPr>
            </w:pPr>
            <w:r>
              <w:rPr>
                <w:rFonts w:eastAsiaTheme="minorHAnsi" w:cs="Arial"/>
                <w:szCs w:val="22"/>
                <w:lang w:eastAsia="en-US"/>
              </w:rPr>
              <w:t>$</w:t>
            </w:r>
            <w:r w:rsidRPr="00DB16FA">
              <w:rPr>
                <w:rFonts w:eastAsiaTheme="minorHAnsi" w:cs="Arial"/>
                <w:szCs w:val="22"/>
                <w:lang w:eastAsia="en-US"/>
              </w:rPr>
              <w:t>69,238</w:t>
            </w:r>
          </w:p>
        </w:tc>
      </w:tr>
      <w:tr w:rsidR="00B60C9F" w:rsidRPr="00DB16FA" w:rsidTr="000D5D04">
        <w:trPr>
          <w:trHeight w:val="262"/>
          <w:jc w:val="center"/>
        </w:trPr>
        <w:tc>
          <w:tcPr>
            <w:tcW w:w="1762" w:type="dxa"/>
            <w:shd w:val="clear" w:color="auto" w:fill="BCBEC0"/>
            <w:noWrap/>
            <w:vAlign w:val="bottom"/>
            <w:hideMark/>
          </w:tcPr>
          <w:p w:rsidR="00B60C9F" w:rsidRPr="00DB16FA" w:rsidRDefault="00B60C9F" w:rsidP="000D5D04">
            <w:pPr>
              <w:spacing w:after="0" w:line="240" w:lineRule="auto"/>
              <w:jc w:val="center"/>
              <w:rPr>
                <w:rFonts w:eastAsia="Times New Roman" w:cs="Arial"/>
                <w:color w:val="000000"/>
                <w:szCs w:val="22"/>
                <w:lang w:eastAsia="en-AU"/>
              </w:rPr>
            </w:pPr>
            <w:r w:rsidRPr="00DB16FA">
              <w:rPr>
                <w:rFonts w:eastAsia="Times New Roman" w:cs="Arial"/>
                <w:color w:val="000000"/>
                <w:szCs w:val="22"/>
                <w:lang w:eastAsia="en-AU"/>
              </w:rPr>
              <w:t>45 to 54</w:t>
            </w:r>
          </w:p>
        </w:tc>
        <w:tc>
          <w:tcPr>
            <w:tcW w:w="1983" w:type="dxa"/>
            <w:shd w:val="clear" w:color="auto" w:fill="auto"/>
            <w:noWrap/>
            <w:hideMark/>
          </w:tcPr>
          <w:p w:rsidR="00B60C9F" w:rsidRPr="00DB16FA" w:rsidRDefault="00B60C9F" w:rsidP="000D5D04">
            <w:pPr>
              <w:spacing w:after="0" w:line="240" w:lineRule="auto"/>
              <w:jc w:val="center"/>
              <w:rPr>
                <w:rFonts w:eastAsia="Times New Roman" w:cs="Arial"/>
                <w:szCs w:val="22"/>
                <w:lang w:eastAsia="en-AU"/>
              </w:rPr>
            </w:pPr>
            <w:r>
              <w:rPr>
                <w:rFonts w:eastAsiaTheme="minorHAnsi" w:cs="Arial"/>
                <w:szCs w:val="22"/>
                <w:lang w:eastAsia="en-US"/>
              </w:rPr>
              <w:t>$</w:t>
            </w:r>
            <w:r w:rsidRPr="00DB16FA">
              <w:rPr>
                <w:rFonts w:eastAsiaTheme="minorHAnsi" w:cs="Arial"/>
                <w:szCs w:val="22"/>
                <w:lang w:eastAsia="en-US"/>
              </w:rPr>
              <w:t>47,318</w:t>
            </w:r>
          </w:p>
        </w:tc>
        <w:tc>
          <w:tcPr>
            <w:tcW w:w="1983" w:type="dxa"/>
            <w:shd w:val="clear" w:color="auto" w:fill="auto"/>
            <w:noWrap/>
            <w:hideMark/>
          </w:tcPr>
          <w:p w:rsidR="00B60C9F" w:rsidRPr="00DB16FA" w:rsidRDefault="00B60C9F" w:rsidP="000D5D04">
            <w:pPr>
              <w:spacing w:after="0" w:line="240" w:lineRule="auto"/>
              <w:jc w:val="center"/>
              <w:rPr>
                <w:rFonts w:eastAsia="Times New Roman" w:cs="Arial"/>
                <w:szCs w:val="22"/>
                <w:lang w:eastAsia="en-AU"/>
              </w:rPr>
            </w:pPr>
            <w:r>
              <w:rPr>
                <w:rFonts w:eastAsiaTheme="minorHAnsi" w:cs="Arial"/>
                <w:szCs w:val="22"/>
                <w:lang w:eastAsia="en-US"/>
              </w:rPr>
              <w:t>$</w:t>
            </w:r>
            <w:r w:rsidRPr="00DB16FA">
              <w:rPr>
                <w:rFonts w:eastAsiaTheme="minorHAnsi" w:cs="Arial"/>
                <w:szCs w:val="22"/>
                <w:lang w:eastAsia="en-US"/>
              </w:rPr>
              <w:t>61,465</w:t>
            </w:r>
          </w:p>
        </w:tc>
        <w:tc>
          <w:tcPr>
            <w:tcW w:w="1983" w:type="dxa"/>
            <w:shd w:val="clear" w:color="auto" w:fill="auto"/>
            <w:noWrap/>
            <w:hideMark/>
          </w:tcPr>
          <w:p w:rsidR="00B60C9F" w:rsidRPr="00DB16FA" w:rsidRDefault="00B60C9F" w:rsidP="000D5D04">
            <w:pPr>
              <w:spacing w:after="0" w:line="240" w:lineRule="auto"/>
              <w:jc w:val="center"/>
              <w:rPr>
                <w:rFonts w:eastAsia="Times New Roman" w:cs="Arial"/>
                <w:szCs w:val="22"/>
                <w:lang w:eastAsia="en-AU"/>
              </w:rPr>
            </w:pPr>
            <w:r>
              <w:rPr>
                <w:rFonts w:eastAsiaTheme="minorHAnsi" w:cs="Arial"/>
                <w:szCs w:val="22"/>
                <w:lang w:eastAsia="en-US"/>
              </w:rPr>
              <w:t>$</w:t>
            </w:r>
            <w:r w:rsidRPr="00DB16FA">
              <w:rPr>
                <w:rFonts w:eastAsiaTheme="minorHAnsi" w:cs="Arial"/>
                <w:szCs w:val="22"/>
                <w:lang w:eastAsia="en-US"/>
              </w:rPr>
              <w:t>71,341</w:t>
            </w:r>
          </w:p>
        </w:tc>
      </w:tr>
      <w:tr w:rsidR="00B60C9F" w:rsidRPr="00DB16FA" w:rsidTr="000D5D04">
        <w:trPr>
          <w:trHeight w:val="262"/>
          <w:jc w:val="center"/>
        </w:trPr>
        <w:tc>
          <w:tcPr>
            <w:tcW w:w="1762" w:type="dxa"/>
            <w:shd w:val="clear" w:color="auto" w:fill="BCBEC0"/>
            <w:noWrap/>
            <w:vAlign w:val="bottom"/>
            <w:hideMark/>
          </w:tcPr>
          <w:p w:rsidR="00B60C9F" w:rsidRPr="00DB16FA" w:rsidRDefault="00B60C9F" w:rsidP="000D5D04">
            <w:pPr>
              <w:spacing w:after="0" w:line="240" w:lineRule="auto"/>
              <w:jc w:val="center"/>
              <w:rPr>
                <w:rFonts w:eastAsia="Times New Roman" w:cs="Arial"/>
                <w:color w:val="000000"/>
                <w:szCs w:val="22"/>
                <w:lang w:eastAsia="en-AU"/>
              </w:rPr>
            </w:pPr>
            <w:r w:rsidRPr="00DB16FA">
              <w:rPr>
                <w:rFonts w:eastAsia="Times New Roman" w:cs="Arial"/>
                <w:color w:val="000000"/>
                <w:szCs w:val="22"/>
                <w:lang w:eastAsia="en-AU"/>
              </w:rPr>
              <w:t>55 to 64</w:t>
            </w:r>
          </w:p>
        </w:tc>
        <w:tc>
          <w:tcPr>
            <w:tcW w:w="1983" w:type="dxa"/>
            <w:shd w:val="clear" w:color="auto" w:fill="auto"/>
            <w:noWrap/>
            <w:hideMark/>
          </w:tcPr>
          <w:p w:rsidR="00B60C9F" w:rsidRPr="00DB16FA" w:rsidRDefault="00B60C9F" w:rsidP="000D5D04">
            <w:pPr>
              <w:spacing w:after="0" w:line="240" w:lineRule="auto"/>
              <w:jc w:val="center"/>
              <w:rPr>
                <w:rFonts w:eastAsia="Times New Roman" w:cs="Arial"/>
                <w:szCs w:val="22"/>
                <w:lang w:eastAsia="en-AU"/>
              </w:rPr>
            </w:pPr>
            <w:r>
              <w:rPr>
                <w:rFonts w:eastAsiaTheme="minorHAnsi" w:cs="Arial"/>
                <w:szCs w:val="22"/>
                <w:lang w:eastAsia="en-US"/>
              </w:rPr>
              <w:t>$</w:t>
            </w:r>
            <w:r w:rsidRPr="00DB16FA">
              <w:rPr>
                <w:rFonts w:eastAsiaTheme="minorHAnsi" w:cs="Arial"/>
                <w:szCs w:val="22"/>
                <w:lang w:eastAsia="en-US"/>
              </w:rPr>
              <w:t>49,540</w:t>
            </w:r>
          </w:p>
        </w:tc>
        <w:tc>
          <w:tcPr>
            <w:tcW w:w="1983" w:type="dxa"/>
            <w:shd w:val="clear" w:color="auto" w:fill="auto"/>
            <w:noWrap/>
            <w:hideMark/>
          </w:tcPr>
          <w:p w:rsidR="00B60C9F" w:rsidRPr="00DB16FA" w:rsidRDefault="00B60C9F" w:rsidP="000D5D04">
            <w:pPr>
              <w:spacing w:after="0" w:line="240" w:lineRule="auto"/>
              <w:jc w:val="center"/>
              <w:rPr>
                <w:rFonts w:eastAsia="Times New Roman" w:cs="Arial"/>
                <w:szCs w:val="22"/>
                <w:lang w:eastAsia="en-AU"/>
              </w:rPr>
            </w:pPr>
            <w:r>
              <w:rPr>
                <w:rFonts w:eastAsiaTheme="minorHAnsi" w:cs="Arial"/>
                <w:szCs w:val="22"/>
                <w:lang w:eastAsia="en-US"/>
              </w:rPr>
              <w:t>$</w:t>
            </w:r>
            <w:r w:rsidRPr="00DB16FA">
              <w:rPr>
                <w:rFonts w:eastAsiaTheme="minorHAnsi" w:cs="Arial"/>
                <w:szCs w:val="22"/>
                <w:lang w:eastAsia="en-US"/>
              </w:rPr>
              <w:t>66,775</w:t>
            </w:r>
          </w:p>
        </w:tc>
        <w:tc>
          <w:tcPr>
            <w:tcW w:w="1983" w:type="dxa"/>
            <w:shd w:val="clear" w:color="auto" w:fill="auto"/>
            <w:noWrap/>
            <w:hideMark/>
          </w:tcPr>
          <w:p w:rsidR="00B60C9F" w:rsidRPr="00DB16FA" w:rsidRDefault="00B60C9F" w:rsidP="000D5D04">
            <w:pPr>
              <w:spacing w:after="0" w:line="240" w:lineRule="auto"/>
              <w:jc w:val="center"/>
              <w:rPr>
                <w:rFonts w:eastAsia="Times New Roman" w:cs="Arial"/>
                <w:szCs w:val="22"/>
                <w:lang w:eastAsia="en-AU"/>
              </w:rPr>
            </w:pPr>
            <w:r>
              <w:rPr>
                <w:rFonts w:eastAsiaTheme="minorHAnsi" w:cs="Arial"/>
                <w:szCs w:val="22"/>
                <w:lang w:eastAsia="en-US"/>
              </w:rPr>
              <w:t>$</w:t>
            </w:r>
            <w:r w:rsidRPr="00DB16FA">
              <w:rPr>
                <w:rFonts w:eastAsiaTheme="minorHAnsi" w:cs="Arial"/>
                <w:szCs w:val="22"/>
                <w:lang w:eastAsia="en-US"/>
              </w:rPr>
              <w:t>79,266</w:t>
            </w:r>
          </w:p>
        </w:tc>
      </w:tr>
      <w:tr w:rsidR="00B60C9F" w:rsidRPr="00DB16FA" w:rsidTr="000D5D04">
        <w:trPr>
          <w:trHeight w:val="262"/>
          <w:jc w:val="center"/>
        </w:trPr>
        <w:tc>
          <w:tcPr>
            <w:tcW w:w="1762" w:type="dxa"/>
            <w:shd w:val="clear" w:color="auto" w:fill="BCBEC0"/>
            <w:noWrap/>
            <w:vAlign w:val="bottom"/>
            <w:hideMark/>
          </w:tcPr>
          <w:p w:rsidR="00B60C9F" w:rsidRPr="00DB16FA" w:rsidRDefault="00B60C9F" w:rsidP="000D5D04">
            <w:pPr>
              <w:spacing w:after="0" w:line="240" w:lineRule="auto"/>
              <w:jc w:val="center"/>
              <w:rPr>
                <w:rFonts w:eastAsia="Times New Roman" w:cs="Arial"/>
                <w:color w:val="000000"/>
                <w:szCs w:val="22"/>
                <w:lang w:eastAsia="en-AU"/>
              </w:rPr>
            </w:pPr>
            <w:r w:rsidRPr="00DB16FA">
              <w:rPr>
                <w:rFonts w:eastAsia="Times New Roman" w:cs="Arial"/>
                <w:color w:val="000000"/>
                <w:szCs w:val="22"/>
                <w:lang w:eastAsia="en-AU"/>
              </w:rPr>
              <w:t>65+</w:t>
            </w:r>
          </w:p>
        </w:tc>
        <w:tc>
          <w:tcPr>
            <w:tcW w:w="1983" w:type="dxa"/>
            <w:shd w:val="clear" w:color="auto" w:fill="auto"/>
            <w:noWrap/>
            <w:hideMark/>
          </w:tcPr>
          <w:p w:rsidR="00B60C9F" w:rsidRPr="00DB16FA" w:rsidRDefault="00B60C9F" w:rsidP="000D5D04">
            <w:pPr>
              <w:spacing w:after="0" w:line="240" w:lineRule="auto"/>
              <w:jc w:val="center"/>
              <w:rPr>
                <w:rFonts w:eastAsia="Times New Roman" w:cs="Arial"/>
                <w:szCs w:val="22"/>
                <w:lang w:eastAsia="en-AU"/>
              </w:rPr>
            </w:pPr>
            <w:r>
              <w:rPr>
                <w:rFonts w:eastAsiaTheme="minorHAnsi" w:cs="Arial"/>
                <w:szCs w:val="22"/>
                <w:lang w:eastAsia="en-US"/>
              </w:rPr>
              <w:t>$</w:t>
            </w:r>
            <w:r w:rsidRPr="00DB16FA">
              <w:rPr>
                <w:rFonts w:eastAsiaTheme="minorHAnsi" w:cs="Arial"/>
                <w:szCs w:val="22"/>
                <w:lang w:eastAsia="en-US"/>
              </w:rPr>
              <w:t>58,829</w:t>
            </w:r>
          </w:p>
        </w:tc>
        <w:tc>
          <w:tcPr>
            <w:tcW w:w="1983" w:type="dxa"/>
            <w:shd w:val="clear" w:color="auto" w:fill="auto"/>
            <w:noWrap/>
            <w:hideMark/>
          </w:tcPr>
          <w:p w:rsidR="00B60C9F" w:rsidRPr="00DB16FA" w:rsidRDefault="00B60C9F" w:rsidP="000D5D04">
            <w:pPr>
              <w:spacing w:after="0" w:line="240" w:lineRule="auto"/>
              <w:jc w:val="center"/>
              <w:rPr>
                <w:rFonts w:eastAsia="Times New Roman" w:cs="Arial"/>
                <w:szCs w:val="22"/>
                <w:lang w:eastAsia="en-AU"/>
              </w:rPr>
            </w:pPr>
            <w:r>
              <w:rPr>
                <w:rFonts w:eastAsiaTheme="minorHAnsi" w:cs="Arial"/>
                <w:szCs w:val="22"/>
                <w:lang w:eastAsia="en-US"/>
              </w:rPr>
              <w:t>$</w:t>
            </w:r>
            <w:r w:rsidRPr="00DB16FA">
              <w:rPr>
                <w:rFonts w:eastAsiaTheme="minorHAnsi" w:cs="Arial"/>
                <w:szCs w:val="22"/>
                <w:lang w:eastAsia="en-US"/>
              </w:rPr>
              <w:t>74,289</w:t>
            </w:r>
          </w:p>
        </w:tc>
        <w:tc>
          <w:tcPr>
            <w:tcW w:w="1983" w:type="dxa"/>
            <w:shd w:val="clear" w:color="auto" w:fill="auto"/>
            <w:noWrap/>
            <w:hideMark/>
          </w:tcPr>
          <w:p w:rsidR="00B60C9F" w:rsidRPr="00DB16FA" w:rsidRDefault="00B60C9F" w:rsidP="000D5D04">
            <w:pPr>
              <w:spacing w:after="0" w:line="240" w:lineRule="auto"/>
              <w:jc w:val="center"/>
              <w:rPr>
                <w:rFonts w:eastAsia="Times New Roman" w:cs="Arial"/>
                <w:szCs w:val="22"/>
                <w:lang w:eastAsia="en-AU"/>
              </w:rPr>
            </w:pPr>
            <w:r>
              <w:rPr>
                <w:rFonts w:eastAsiaTheme="minorHAnsi" w:cs="Arial"/>
                <w:szCs w:val="22"/>
                <w:lang w:eastAsia="en-US"/>
              </w:rPr>
              <w:t>$</w:t>
            </w:r>
            <w:r w:rsidRPr="00DB16FA">
              <w:rPr>
                <w:rFonts w:eastAsiaTheme="minorHAnsi" w:cs="Arial"/>
                <w:szCs w:val="22"/>
                <w:lang w:eastAsia="en-US"/>
              </w:rPr>
              <w:t>86,871</w:t>
            </w:r>
          </w:p>
        </w:tc>
      </w:tr>
      <w:tr w:rsidR="00B60C9F" w:rsidRPr="00DB16FA" w:rsidTr="000D5D04">
        <w:trPr>
          <w:trHeight w:val="269"/>
          <w:jc w:val="center"/>
        </w:trPr>
        <w:tc>
          <w:tcPr>
            <w:tcW w:w="1762" w:type="dxa"/>
            <w:shd w:val="clear" w:color="000000" w:fill="808285"/>
            <w:noWrap/>
            <w:vAlign w:val="bottom"/>
            <w:hideMark/>
          </w:tcPr>
          <w:p w:rsidR="00B60C9F" w:rsidRPr="00DB16FA" w:rsidRDefault="00B60C9F" w:rsidP="000D5D04">
            <w:pPr>
              <w:spacing w:after="0" w:line="240" w:lineRule="auto"/>
              <w:jc w:val="center"/>
              <w:rPr>
                <w:rFonts w:eastAsia="Times New Roman" w:cs="Arial"/>
                <w:b/>
                <w:bCs/>
                <w:color w:val="000000"/>
                <w:szCs w:val="22"/>
                <w:lang w:eastAsia="en-AU"/>
              </w:rPr>
            </w:pPr>
            <w:r w:rsidRPr="00DB16FA">
              <w:rPr>
                <w:rFonts w:eastAsia="Times New Roman" w:cs="Arial"/>
                <w:b/>
                <w:bCs/>
                <w:color w:val="000000"/>
                <w:szCs w:val="22"/>
                <w:lang w:eastAsia="en-AU"/>
              </w:rPr>
              <w:t>Total</w:t>
            </w:r>
          </w:p>
        </w:tc>
        <w:tc>
          <w:tcPr>
            <w:tcW w:w="1983" w:type="dxa"/>
            <w:shd w:val="clear" w:color="000000" w:fill="808285"/>
            <w:noWrap/>
            <w:hideMark/>
          </w:tcPr>
          <w:p w:rsidR="00B60C9F" w:rsidRPr="00DB16FA" w:rsidRDefault="00B60C9F" w:rsidP="000D5D04">
            <w:pPr>
              <w:spacing w:after="0" w:line="240" w:lineRule="auto"/>
              <w:jc w:val="center"/>
              <w:rPr>
                <w:rFonts w:eastAsia="Times New Roman" w:cs="Arial"/>
                <w:b/>
                <w:bCs/>
                <w:szCs w:val="22"/>
                <w:lang w:eastAsia="en-AU"/>
              </w:rPr>
            </w:pPr>
            <w:r>
              <w:rPr>
                <w:rFonts w:eastAsiaTheme="minorHAnsi" w:cs="Arial"/>
                <w:b/>
                <w:szCs w:val="22"/>
                <w:lang w:eastAsia="en-US"/>
              </w:rPr>
              <w:t>$</w:t>
            </w:r>
            <w:r w:rsidRPr="00DB16FA">
              <w:rPr>
                <w:rFonts w:eastAsiaTheme="minorHAnsi" w:cs="Arial"/>
                <w:b/>
                <w:szCs w:val="22"/>
                <w:lang w:eastAsia="en-US"/>
              </w:rPr>
              <w:t>46,808</w:t>
            </w:r>
          </w:p>
        </w:tc>
        <w:tc>
          <w:tcPr>
            <w:tcW w:w="1983" w:type="dxa"/>
            <w:shd w:val="clear" w:color="000000" w:fill="808285"/>
            <w:noWrap/>
            <w:hideMark/>
          </w:tcPr>
          <w:p w:rsidR="00B60C9F" w:rsidRPr="00DB16FA" w:rsidRDefault="00B60C9F" w:rsidP="000D5D04">
            <w:pPr>
              <w:spacing w:after="0" w:line="240" w:lineRule="auto"/>
              <w:jc w:val="center"/>
              <w:rPr>
                <w:rFonts w:eastAsia="Times New Roman" w:cs="Arial"/>
                <w:b/>
                <w:bCs/>
                <w:szCs w:val="22"/>
                <w:lang w:eastAsia="en-AU"/>
              </w:rPr>
            </w:pPr>
            <w:r>
              <w:rPr>
                <w:rFonts w:eastAsiaTheme="minorHAnsi" w:cs="Arial"/>
                <w:szCs w:val="22"/>
                <w:lang w:eastAsia="en-US"/>
              </w:rPr>
              <w:t>$</w:t>
            </w:r>
            <w:r w:rsidRPr="00DB16FA">
              <w:rPr>
                <w:rFonts w:eastAsiaTheme="minorHAnsi" w:cs="Arial"/>
                <w:b/>
                <w:szCs w:val="22"/>
                <w:lang w:eastAsia="en-US"/>
              </w:rPr>
              <w:t>59,374</w:t>
            </w:r>
          </w:p>
        </w:tc>
        <w:tc>
          <w:tcPr>
            <w:tcW w:w="1983" w:type="dxa"/>
            <w:shd w:val="clear" w:color="000000" w:fill="808285"/>
            <w:noWrap/>
            <w:hideMark/>
          </w:tcPr>
          <w:p w:rsidR="00B60C9F" w:rsidRPr="00DB16FA" w:rsidRDefault="00B60C9F" w:rsidP="000D5D04">
            <w:pPr>
              <w:spacing w:after="0" w:line="240" w:lineRule="auto"/>
              <w:jc w:val="center"/>
              <w:rPr>
                <w:rFonts w:eastAsia="Times New Roman" w:cs="Arial"/>
                <w:b/>
                <w:bCs/>
                <w:szCs w:val="22"/>
                <w:lang w:eastAsia="en-AU"/>
              </w:rPr>
            </w:pPr>
            <w:r>
              <w:rPr>
                <w:rFonts w:eastAsiaTheme="minorHAnsi" w:cs="Arial"/>
                <w:szCs w:val="22"/>
                <w:lang w:eastAsia="en-US"/>
              </w:rPr>
              <w:t>$</w:t>
            </w:r>
            <w:r w:rsidRPr="00DB16FA">
              <w:rPr>
                <w:rFonts w:eastAsiaTheme="minorHAnsi" w:cs="Arial"/>
                <w:b/>
                <w:szCs w:val="22"/>
                <w:lang w:eastAsia="en-US"/>
              </w:rPr>
              <w:t>68,410</w:t>
            </w:r>
          </w:p>
        </w:tc>
      </w:tr>
    </w:tbl>
    <w:p w:rsidR="00B60C9F" w:rsidRPr="00DB16FA" w:rsidRDefault="00B60C9F" w:rsidP="00B60C9F">
      <w:pPr>
        <w:spacing w:after="160" w:line="259" w:lineRule="auto"/>
        <w:rPr>
          <w:rFonts w:eastAsiaTheme="minorHAnsi" w:cs="Arial"/>
          <w:szCs w:val="22"/>
          <w:lang w:eastAsia="en-US"/>
        </w:rPr>
      </w:pPr>
    </w:p>
    <w:p w:rsidR="00B60C9F" w:rsidRPr="00941A88" w:rsidRDefault="00B60C9F" w:rsidP="00941A88">
      <w:pPr>
        <w:pStyle w:val="Heading4"/>
        <w:numPr>
          <w:ilvl w:val="0"/>
          <w:numId w:val="0"/>
        </w:numPr>
        <w:rPr>
          <w:rFonts w:eastAsiaTheme="minorHAnsi"/>
          <w:lang w:eastAsia="en-US"/>
        </w:rPr>
      </w:pPr>
      <w:bookmarkStart w:id="46" w:name="_Toc88041461"/>
      <w:r w:rsidRPr="00941A88">
        <w:rPr>
          <w:rFonts w:eastAsiaTheme="minorHAnsi"/>
          <w:lang w:eastAsia="en-US"/>
        </w:rPr>
        <w:t>Table B.5 Average annual increase in payments for non-SIL participants with support coordination funding, by age group</w:t>
      </w:r>
      <w:bookmarkEnd w:id="4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984"/>
        <w:gridCol w:w="1985"/>
        <w:gridCol w:w="1985"/>
        <w:gridCol w:w="1507"/>
      </w:tblGrid>
      <w:tr w:rsidR="00B60C9F" w:rsidRPr="00DB16FA" w:rsidTr="000D5D04">
        <w:trPr>
          <w:trHeight w:val="548"/>
          <w:tblHeader/>
          <w:jc w:val="center"/>
        </w:trPr>
        <w:tc>
          <w:tcPr>
            <w:tcW w:w="862" w:type="pct"/>
            <w:shd w:val="clear" w:color="000000" w:fill="6B2976"/>
            <w:noWrap/>
            <w:vAlign w:val="center"/>
            <w:hideMark/>
          </w:tcPr>
          <w:p w:rsidR="00B60C9F" w:rsidRPr="00DB16FA" w:rsidRDefault="00B60C9F" w:rsidP="000D5D04">
            <w:pPr>
              <w:spacing w:after="0" w:line="240" w:lineRule="auto"/>
              <w:jc w:val="center"/>
              <w:rPr>
                <w:rFonts w:eastAsia="Times New Roman" w:cs="Arial"/>
                <w:b/>
                <w:color w:val="FFFFFF"/>
                <w:szCs w:val="22"/>
                <w:lang w:eastAsia="en-AU"/>
              </w:rPr>
            </w:pPr>
            <w:r w:rsidRPr="00DB16FA">
              <w:rPr>
                <w:rFonts w:eastAsia="Times New Roman" w:cs="Arial"/>
                <w:b/>
                <w:color w:val="FFFFFF"/>
                <w:szCs w:val="22"/>
                <w:lang w:eastAsia="en-AU"/>
              </w:rPr>
              <w:t>Age group</w:t>
            </w:r>
          </w:p>
        </w:tc>
        <w:tc>
          <w:tcPr>
            <w:tcW w:w="1100" w:type="pct"/>
            <w:shd w:val="clear" w:color="000000" w:fill="6B2976"/>
            <w:vAlign w:val="center"/>
            <w:hideMark/>
          </w:tcPr>
          <w:p w:rsidR="00B60C9F" w:rsidRPr="00DB16FA" w:rsidRDefault="00B60C9F" w:rsidP="000D5D04">
            <w:pPr>
              <w:spacing w:after="0" w:line="240" w:lineRule="auto"/>
              <w:jc w:val="center"/>
              <w:rPr>
                <w:rFonts w:eastAsia="Times New Roman" w:cs="Arial"/>
                <w:b/>
                <w:color w:val="FFFFFF"/>
                <w:szCs w:val="22"/>
                <w:lang w:eastAsia="en-AU"/>
              </w:rPr>
            </w:pPr>
            <w:r w:rsidRPr="00DB16FA">
              <w:rPr>
                <w:rFonts w:eastAsia="Times New Roman" w:cs="Arial"/>
                <w:b/>
                <w:color w:val="FFFFFF"/>
                <w:szCs w:val="22"/>
                <w:lang w:eastAsia="en-AU"/>
              </w:rPr>
              <w:t>Oct-18 to Sep-19</w:t>
            </w:r>
          </w:p>
        </w:tc>
        <w:tc>
          <w:tcPr>
            <w:tcW w:w="1101" w:type="pct"/>
            <w:shd w:val="clear" w:color="000000" w:fill="6B2976"/>
            <w:vAlign w:val="center"/>
            <w:hideMark/>
          </w:tcPr>
          <w:p w:rsidR="00B60C9F" w:rsidRPr="00DB16FA" w:rsidRDefault="00B60C9F" w:rsidP="000D5D04">
            <w:pPr>
              <w:spacing w:after="0" w:line="240" w:lineRule="auto"/>
              <w:jc w:val="center"/>
              <w:rPr>
                <w:rFonts w:eastAsia="Times New Roman" w:cs="Arial"/>
                <w:b/>
                <w:color w:val="FFFFFF"/>
                <w:szCs w:val="22"/>
                <w:lang w:eastAsia="en-AU"/>
              </w:rPr>
            </w:pPr>
            <w:r w:rsidRPr="00DB16FA">
              <w:rPr>
                <w:rFonts w:eastAsia="Times New Roman" w:cs="Arial"/>
                <w:b/>
                <w:color w:val="FFFFFF"/>
                <w:szCs w:val="22"/>
                <w:lang w:eastAsia="en-AU"/>
              </w:rPr>
              <w:t>Oct-19 to Sep-20</w:t>
            </w:r>
          </w:p>
        </w:tc>
        <w:tc>
          <w:tcPr>
            <w:tcW w:w="1101" w:type="pct"/>
            <w:shd w:val="clear" w:color="000000" w:fill="6B2976"/>
            <w:vAlign w:val="center"/>
            <w:hideMark/>
          </w:tcPr>
          <w:p w:rsidR="00B60C9F" w:rsidRPr="00DB16FA" w:rsidRDefault="00B60C9F" w:rsidP="000D5D04">
            <w:pPr>
              <w:spacing w:after="0" w:line="240" w:lineRule="auto"/>
              <w:jc w:val="center"/>
              <w:rPr>
                <w:rFonts w:eastAsia="Times New Roman" w:cs="Arial"/>
                <w:b/>
                <w:color w:val="FFFFFF"/>
                <w:szCs w:val="22"/>
                <w:lang w:eastAsia="en-AU"/>
              </w:rPr>
            </w:pPr>
            <w:r w:rsidRPr="00DB16FA">
              <w:rPr>
                <w:rFonts w:eastAsia="Times New Roman" w:cs="Arial"/>
                <w:b/>
                <w:color w:val="FFFFFF"/>
                <w:szCs w:val="22"/>
                <w:lang w:eastAsia="en-AU"/>
              </w:rPr>
              <w:t>Oct-20 to Sep-21</w:t>
            </w:r>
          </w:p>
        </w:tc>
        <w:tc>
          <w:tcPr>
            <w:tcW w:w="836" w:type="pct"/>
            <w:shd w:val="clear" w:color="000000" w:fill="6B2976"/>
            <w:vAlign w:val="center"/>
            <w:hideMark/>
          </w:tcPr>
          <w:p w:rsidR="00B60C9F" w:rsidRPr="00DB16FA" w:rsidRDefault="00B60C9F" w:rsidP="000D5D04">
            <w:pPr>
              <w:spacing w:after="0" w:line="240" w:lineRule="auto"/>
              <w:jc w:val="center"/>
              <w:rPr>
                <w:rFonts w:eastAsia="Times New Roman" w:cs="Arial"/>
                <w:b/>
                <w:color w:val="FFFFFF"/>
                <w:szCs w:val="22"/>
                <w:lang w:eastAsia="en-AU"/>
              </w:rPr>
            </w:pPr>
            <w:r w:rsidRPr="00DB16FA">
              <w:rPr>
                <w:rFonts w:eastAsia="Times New Roman" w:cs="Arial"/>
                <w:b/>
                <w:color w:val="FFFFFF"/>
                <w:szCs w:val="22"/>
                <w:lang w:eastAsia="en-AU"/>
              </w:rPr>
              <w:t>Average annual increase</w:t>
            </w:r>
          </w:p>
        </w:tc>
      </w:tr>
      <w:tr w:rsidR="00B60C9F" w:rsidRPr="00DB16FA" w:rsidTr="000D5D04">
        <w:trPr>
          <w:trHeight w:val="285"/>
          <w:jc w:val="center"/>
        </w:trPr>
        <w:tc>
          <w:tcPr>
            <w:tcW w:w="862" w:type="pct"/>
            <w:shd w:val="clear" w:color="auto" w:fill="BCBEC0"/>
            <w:noWrap/>
            <w:vAlign w:val="bottom"/>
            <w:hideMark/>
          </w:tcPr>
          <w:p w:rsidR="00B60C9F" w:rsidRPr="00DB16FA" w:rsidRDefault="00B60C9F" w:rsidP="000D5D04">
            <w:pPr>
              <w:spacing w:after="0" w:line="240" w:lineRule="auto"/>
              <w:jc w:val="center"/>
              <w:rPr>
                <w:rFonts w:eastAsia="Times New Roman" w:cs="Arial"/>
                <w:color w:val="000000"/>
                <w:szCs w:val="22"/>
                <w:lang w:eastAsia="en-AU"/>
              </w:rPr>
            </w:pPr>
            <w:r w:rsidRPr="00DB16FA">
              <w:rPr>
                <w:rFonts w:eastAsia="Times New Roman" w:cs="Arial"/>
                <w:color w:val="000000"/>
                <w:szCs w:val="22"/>
                <w:lang w:eastAsia="en-AU"/>
              </w:rPr>
              <w:t>0 to 6</w:t>
            </w:r>
          </w:p>
        </w:tc>
        <w:tc>
          <w:tcPr>
            <w:tcW w:w="1100" w:type="pct"/>
            <w:shd w:val="clear" w:color="auto" w:fill="auto"/>
            <w:noWrap/>
            <w:hideMark/>
          </w:tcPr>
          <w:p w:rsidR="00B60C9F" w:rsidRPr="00DB16FA" w:rsidRDefault="00B60C9F" w:rsidP="000D5D04">
            <w:pPr>
              <w:spacing w:after="0" w:line="240" w:lineRule="auto"/>
              <w:jc w:val="center"/>
              <w:rPr>
                <w:rFonts w:eastAsia="Times New Roman" w:cs="Arial"/>
                <w:szCs w:val="22"/>
                <w:lang w:eastAsia="en-AU"/>
              </w:rPr>
            </w:pPr>
            <w:r w:rsidRPr="00DB16FA">
              <w:rPr>
                <w:rFonts w:eastAsiaTheme="minorHAnsi" w:cs="Arial"/>
                <w:szCs w:val="22"/>
                <w:lang w:eastAsia="en-US"/>
              </w:rPr>
              <w:t>36%</w:t>
            </w:r>
          </w:p>
        </w:tc>
        <w:tc>
          <w:tcPr>
            <w:tcW w:w="1101" w:type="pct"/>
            <w:shd w:val="clear" w:color="auto" w:fill="auto"/>
            <w:noWrap/>
            <w:hideMark/>
          </w:tcPr>
          <w:p w:rsidR="00B60C9F" w:rsidRPr="00DB16FA" w:rsidRDefault="00B60C9F" w:rsidP="000D5D04">
            <w:pPr>
              <w:spacing w:after="0" w:line="240" w:lineRule="auto"/>
              <w:jc w:val="center"/>
              <w:rPr>
                <w:rFonts w:eastAsia="Times New Roman" w:cs="Arial"/>
                <w:szCs w:val="22"/>
                <w:lang w:eastAsia="en-AU"/>
              </w:rPr>
            </w:pPr>
            <w:r w:rsidRPr="00DB16FA">
              <w:rPr>
                <w:rFonts w:eastAsiaTheme="minorHAnsi" w:cs="Arial"/>
                <w:szCs w:val="22"/>
                <w:lang w:eastAsia="en-US"/>
              </w:rPr>
              <w:t>42%</w:t>
            </w:r>
          </w:p>
        </w:tc>
        <w:tc>
          <w:tcPr>
            <w:tcW w:w="1101" w:type="pct"/>
            <w:shd w:val="clear" w:color="auto" w:fill="auto"/>
            <w:noWrap/>
            <w:hideMark/>
          </w:tcPr>
          <w:p w:rsidR="00B60C9F" w:rsidRPr="00DB16FA" w:rsidRDefault="00B60C9F" w:rsidP="000D5D04">
            <w:pPr>
              <w:spacing w:after="0" w:line="240" w:lineRule="auto"/>
              <w:jc w:val="center"/>
              <w:rPr>
                <w:rFonts w:eastAsia="Times New Roman" w:cs="Arial"/>
                <w:szCs w:val="22"/>
                <w:lang w:eastAsia="en-AU"/>
              </w:rPr>
            </w:pPr>
            <w:r w:rsidRPr="00DB16FA">
              <w:rPr>
                <w:rFonts w:eastAsiaTheme="minorHAnsi" w:cs="Arial"/>
                <w:szCs w:val="22"/>
                <w:lang w:eastAsia="en-US"/>
              </w:rPr>
              <w:t>11%</w:t>
            </w:r>
          </w:p>
        </w:tc>
        <w:tc>
          <w:tcPr>
            <w:tcW w:w="836" w:type="pct"/>
            <w:shd w:val="clear" w:color="auto" w:fill="auto"/>
            <w:noWrap/>
            <w:hideMark/>
          </w:tcPr>
          <w:p w:rsidR="00B60C9F" w:rsidRPr="00DB16FA" w:rsidRDefault="00B60C9F" w:rsidP="000D5D04">
            <w:pPr>
              <w:spacing w:after="0" w:line="240" w:lineRule="auto"/>
              <w:jc w:val="center"/>
              <w:rPr>
                <w:rFonts w:eastAsia="Times New Roman" w:cs="Arial"/>
                <w:szCs w:val="22"/>
                <w:lang w:eastAsia="en-AU"/>
              </w:rPr>
            </w:pPr>
            <w:r w:rsidRPr="00DB16FA">
              <w:rPr>
                <w:rFonts w:eastAsiaTheme="minorHAnsi" w:cs="Arial"/>
                <w:szCs w:val="22"/>
                <w:lang w:eastAsia="en-US"/>
              </w:rPr>
              <w:t>29%</w:t>
            </w:r>
          </w:p>
        </w:tc>
      </w:tr>
      <w:tr w:rsidR="00B60C9F" w:rsidRPr="00DB16FA" w:rsidTr="000D5D04">
        <w:trPr>
          <w:trHeight w:val="285"/>
          <w:jc w:val="center"/>
        </w:trPr>
        <w:tc>
          <w:tcPr>
            <w:tcW w:w="862" w:type="pct"/>
            <w:shd w:val="clear" w:color="auto" w:fill="BCBEC0"/>
            <w:noWrap/>
            <w:vAlign w:val="bottom"/>
            <w:hideMark/>
          </w:tcPr>
          <w:p w:rsidR="00B60C9F" w:rsidRPr="00DB16FA" w:rsidRDefault="00B60C9F" w:rsidP="000D5D04">
            <w:pPr>
              <w:spacing w:after="0" w:line="240" w:lineRule="auto"/>
              <w:jc w:val="center"/>
              <w:rPr>
                <w:rFonts w:eastAsia="Times New Roman" w:cs="Arial"/>
                <w:color w:val="000000"/>
                <w:szCs w:val="22"/>
                <w:lang w:eastAsia="en-AU"/>
              </w:rPr>
            </w:pPr>
            <w:r w:rsidRPr="00DB16FA">
              <w:rPr>
                <w:rFonts w:eastAsia="Times New Roman" w:cs="Arial"/>
                <w:color w:val="000000"/>
                <w:szCs w:val="22"/>
                <w:lang w:eastAsia="en-AU"/>
              </w:rPr>
              <w:t>7 to 14</w:t>
            </w:r>
          </w:p>
        </w:tc>
        <w:tc>
          <w:tcPr>
            <w:tcW w:w="1100" w:type="pct"/>
            <w:shd w:val="clear" w:color="auto" w:fill="auto"/>
            <w:noWrap/>
            <w:hideMark/>
          </w:tcPr>
          <w:p w:rsidR="00B60C9F" w:rsidRPr="00DB16FA" w:rsidRDefault="00B60C9F" w:rsidP="000D5D04">
            <w:pPr>
              <w:spacing w:after="0" w:line="240" w:lineRule="auto"/>
              <w:jc w:val="center"/>
              <w:rPr>
                <w:rFonts w:eastAsia="Times New Roman" w:cs="Arial"/>
                <w:szCs w:val="22"/>
                <w:lang w:eastAsia="en-AU"/>
              </w:rPr>
            </w:pPr>
            <w:r w:rsidRPr="00DB16FA">
              <w:rPr>
                <w:rFonts w:eastAsiaTheme="minorHAnsi" w:cs="Arial"/>
                <w:szCs w:val="22"/>
                <w:lang w:eastAsia="en-US"/>
              </w:rPr>
              <w:t>42%</w:t>
            </w:r>
          </w:p>
        </w:tc>
        <w:tc>
          <w:tcPr>
            <w:tcW w:w="1101" w:type="pct"/>
            <w:shd w:val="clear" w:color="auto" w:fill="auto"/>
            <w:noWrap/>
            <w:hideMark/>
          </w:tcPr>
          <w:p w:rsidR="00B60C9F" w:rsidRPr="00DB16FA" w:rsidRDefault="00B60C9F" w:rsidP="000D5D04">
            <w:pPr>
              <w:spacing w:after="0" w:line="240" w:lineRule="auto"/>
              <w:jc w:val="center"/>
              <w:rPr>
                <w:rFonts w:eastAsia="Times New Roman" w:cs="Arial"/>
                <w:szCs w:val="22"/>
                <w:lang w:eastAsia="en-AU"/>
              </w:rPr>
            </w:pPr>
            <w:r w:rsidRPr="00DB16FA">
              <w:rPr>
                <w:rFonts w:eastAsiaTheme="minorHAnsi" w:cs="Arial"/>
                <w:szCs w:val="22"/>
                <w:lang w:eastAsia="en-US"/>
              </w:rPr>
              <w:t>32%</w:t>
            </w:r>
          </w:p>
        </w:tc>
        <w:tc>
          <w:tcPr>
            <w:tcW w:w="1101" w:type="pct"/>
            <w:shd w:val="clear" w:color="auto" w:fill="auto"/>
            <w:noWrap/>
            <w:hideMark/>
          </w:tcPr>
          <w:p w:rsidR="00B60C9F" w:rsidRPr="00DB16FA" w:rsidRDefault="00B60C9F" w:rsidP="000D5D04">
            <w:pPr>
              <w:spacing w:after="0" w:line="240" w:lineRule="auto"/>
              <w:jc w:val="center"/>
              <w:rPr>
                <w:rFonts w:eastAsia="Times New Roman" w:cs="Arial"/>
                <w:szCs w:val="22"/>
                <w:lang w:eastAsia="en-AU"/>
              </w:rPr>
            </w:pPr>
            <w:r w:rsidRPr="00DB16FA">
              <w:rPr>
                <w:rFonts w:eastAsiaTheme="minorHAnsi" w:cs="Arial"/>
                <w:szCs w:val="22"/>
                <w:lang w:eastAsia="en-US"/>
              </w:rPr>
              <w:t>11%</w:t>
            </w:r>
          </w:p>
        </w:tc>
        <w:tc>
          <w:tcPr>
            <w:tcW w:w="836" w:type="pct"/>
            <w:shd w:val="clear" w:color="auto" w:fill="auto"/>
            <w:noWrap/>
            <w:hideMark/>
          </w:tcPr>
          <w:p w:rsidR="00B60C9F" w:rsidRPr="00DB16FA" w:rsidRDefault="00B60C9F" w:rsidP="000D5D04">
            <w:pPr>
              <w:spacing w:after="0" w:line="240" w:lineRule="auto"/>
              <w:jc w:val="center"/>
              <w:rPr>
                <w:rFonts w:eastAsia="Times New Roman" w:cs="Arial"/>
                <w:szCs w:val="22"/>
                <w:lang w:eastAsia="en-AU"/>
              </w:rPr>
            </w:pPr>
            <w:r w:rsidRPr="00DB16FA">
              <w:rPr>
                <w:rFonts w:eastAsiaTheme="minorHAnsi" w:cs="Arial"/>
                <w:szCs w:val="22"/>
                <w:lang w:eastAsia="en-US"/>
              </w:rPr>
              <w:t>28%</w:t>
            </w:r>
          </w:p>
        </w:tc>
      </w:tr>
      <w:tr w:rsidR="00B60C9F" w:rsidRPr="00DB16FA" w:rsidTr="000D5D04">
        <w:trPr>
          <w:trHeight w:val="285"/>
          <w:jc w:val="center"/>
        </w:trPr>
        <w:tc>
          <w:tcPr>
            <w:tcW w:w="862" w:type="pct"/>
            <w:shd w:val="clear" w:color="auto" w:fill="BCBEC0"/>
            <w:noWrap/>
            <w:vAlign w:val="bottom"/>
            <w:hideMark/>
          </w:tcPr>
          <w:p w:rsidR="00B60C9F" w:rsidRPr="00DB16FA" w:rsidRDefault="00B60C9F" w:rsidP="000D5D04">
            <w:pPr>
              <w:spacing w:after="0" w:line="240" w:lineRule="auto"/>
              <w:jc w:val="center"/>
              <w:rPr>
                <w:rFonts w:eastAsia="Times New Roman" w:cs="Arial"/>
                <w:color w:val="000000"/>
                <w:szCs w:val="22"/>
                <w:lang w:eastAsia="en-AU"/>
              </w:rPr>
            </w:pPr>
            <w:r w:rsidRPr="00DB16FA">
              <w:rPr>
                <w:rFonts w:eastAsia="Times New Roman" w:cs="Arial"/>
                <w:color w:val="000000"/>
                <w:szCs w:val="22"/>
                <w:lang w:eastAsia="en-AU"/>
              </w:rPr>
              <w:t>15 to 18</w:t>
            </w:r>
          </w:p>
        </w:tc>
        <w:tc>
          <w:tcPr>
            <w:tcW w:w="1100" w:type="pct"/>
            <w:shd w:val="clear" w:color="auto" w:fill="auto"/>
            <w:noWrap/>
            <w:hideMark/>
          </w:tcPr>
          <w:p w:rsidR="00B60C9F" w:rsidRPr="00DB16FA" w:rsidRDefault="00B60C9F" w:rsidP="000D5D04">
            <w:pPr>
              <w:spacing w:after="0" w:line="240" w:lineRule="auto"/>
              <w:jc w:val="center"/>
              <w:rPr>
                <w:rFonts w:eastAsia="Times New Roman" w:cs="Arial"/>
                <w:szCs w:val="22"/>
                <w:lang w:eastAsia="en-AU"/>
              </w:rPr>
            </w:pPr>
            <w:r w:rsidRPr="00DB16FA">
              <w:rPr>
                <w:rFonts w:eastAsiaTheme="minorHAnsi" w:cs="Arial"/>
                <w:szCs w:val="22"/>
                <w:lang w:eastAsia="en-US"/>
              </w:rPr>
              <w:t>34%</w:t>
            </w:r>
          </w:p>
        </w:tc>
        <w:tc>
          <w:tcPr>
            <w:tcW w:w="1101" w:type="pct"/>
            <w:shd w:val="clear" w:color="auto" w:fill="auto"/>
            <w:noWrap/>
            <w:hideMark/>
          </w:tcPr>
          <w:p w:rsidR="00B60C9F" w:rsidRPr="00DB16FA" w:rsidRDefault="00B60C9F" w:rsidP="000D5D04">
            <w:pPr>
              <w:spacing w:after="0" w:line="240" w:lineRule="auto"/>
              <w:jc w:val="center"/>
              <w:rPr>
                <w:rFonts w:eastAsia="Times New Roman" w:cs="Arial"/>
                <w:szCs w:val="22"/>
                <w:lang w:eastAsia="en-AU"/>
              </w:rPr>
            </w:pPr>
            <w:r w:rsidRPr="00DB16FA">
              <w:rPr>
                <w:rFonts w:eastAsiaTheme="minorHAnsi" w:cs="Arial"/>
                <w:szCs w:val="22"/>
                <w:lang w:eastAsia="en-US"/>
              </w:rPr>
              <w:t>30%</w:t>
            </w:r>
          </w:p>
        </w:tc>
        <w:tc>
          <w:tcPr>
            <w:tcW w:w="1101" w:type="pct"/>
            <w:shd w:val="clear" w:color="auto" w:fill="auto"/>
            <w:noWrap/>
            <w:hideMark/>
          </w:tcPr>
          <w:p w:rsidR="00B60C9F" w:rsidRPr="00DB16FA" w:rsidRDefault="00B60C9F" w:rsidP="000D5D04">
            <w:pPr>
              <w:spacing w:after="0" w:line="240" w:lineRule="auto"/>
              <w:jc w:val="center"/>
              <w:rPr>
                <w:rFonts w:eastAsia="Times New Roman" w:cs="Arial"/>
                <w:szCs w:val="22"/>
                <w:lang w:eastAsia="en-AU"/>
              </w:rPr>
            </w:pPr>
            <w:r w:rsidRPr="00DB16FA">
              <w:rPr>
                <w:rFonts w:eastAsiaTheme="minorHAnsi" w:cs="Arial"/>
                <w:szCs w:val="22"/>
                <w:lang w:eastAsia="en-US"/>
              </w:rPr>
              <w:t>13%</w:t>
            </w:r>
          </w:p>
        </w:tc>
        <w:tc>
          <w:tcPr>
            <w:tcW w:w="836" w:type="pct"/>
            <w:shd w:val="clear" w:color="auto" w:fill="auto"/>
            <w:noWrap/>
            <w:hideMark/>
          </w:tcPr>
          <w:p w:rsidR="00B60C9F" w:rsidRPr="00DB16FA" w:rsidRDefault="00B60C9F" w:rsidP="000D5D04">
            <w:pPr>
              <w:spacing w:after="0" w:line="240" w:lineRule="auto"/>
              <w:jc w:val="center"/>
              <w:rPr>
                <w:rFonts w:eastAsia="Times New Roman" w:cs="Arial"/>
                <w:szCs w:val="22"/>
                <w:lang w:eastAsia="en-AU"/>
              </w:rPr>
            </w:pPr>
            <w:r w:rsidRPr="00DB16FA">
              <w:rPr>
                <w:rFonts w:eastAsiaTheme="minorHAnsi" w:cs="Arial"/>
                <w:szCs w:val="22"/>
                <w:lang w:eastAsia="en-US"/>
              </w:rPr>
              <w:t>25%</w:t>
            </w:r>
          </w:p>
        </w:tc>
      </w:tr>
      <w:tr w:rsidR="00B60C9F" w:rsidRPr="00DB16FA" w:rsidTr="000D5D04">
        <w:trPr>
          <w:trHeight w:val="285"/>
          <w:jc w:val="center"/>
        </w:trPr>
        <w:tc>
          <w:tcPr>
            <w:tcW w:w="862" w:type="pct"/>
            <w:shd w:val="clear" w:color="auto" w:fill="BCBEC0"/>
            <w:noWrap/>
            <w:vAlign w:val="bottom"/>
            <w:hideMark/>
          </w:tcPr>
          <w:p w:rsidR="00B60C9F" w:rsidRPr="00DB16FA" w:rsidRDefault="00B60C9F" w:rsidP="000D5D04">
            <w:pPr>
              <w:spacing w:after="0" w:line="240" w:lineRule="auto"/>
              <w:jc w:val="center"/>
              <w:rPr>
                <w:rFonts w:eastAsia="Times New Roman" w:cs="Arial"/>
                <w:color w:val="000000"/>
                <w:szCs w:val="22"/>
                <w:lang w:eastAsia="en-AU"/>
              </w:rPr>
            </w:pPr>
            <w:r w:rsidRPr="00DB16FA">
              <w:rPr>
                <w:rFonts w:eastAsia="Times New Roman" w:cs="Arial"/>
                <w:color w:val="000000"/>
                <w:szCs w:val="22"/>
                <w:lang w:eastAsia="en-AU"/>
              </w:rPr>
              <w:t>19 to 24</w:t>
            </w:r>
          </w:p>
        </w:tc>
        <w:tc>
          <w:tcPr>
            <w:tcW w:w="1100" w:type="pct"/>
            <w:shd w:val="clear" w:color="auto" w:fill="auto"/>
            <w:noWrap/>
            <w:hideMark/>
          </w:tcPr>
          <w:p w:rsidR="00B60C9F" w:rsidRPr="00DB16FA" w:rsidRDefault="00B60C9F" w:rsidP="000D5D04">
            <w:pPr>
              <w:spacing w:after="0" w:line="240" w:lineRule="auto"/>
              <w:jc w:val="center"/>
              <w:rPr>
                <w:rFonts w:eastAsia="Times New Roman" w:cs="Arial"/>
                <w:szCs w:val="22"/>
                <w:lang w:eastAsia="en-AU"/>
              </w:rPr>
            </w:pPr>
            <w:r w:rsidRPr="00DB16FA">
              <w:rPr>
                <w:rFonts w:eastAsiaTheme="minorHAnsi" w:cs="Arial"/>
                <w:szCs w:val="22"/>
                <w:lang w:eastAsia="en-US"/>
              </w:rPr>
              <w:t>27%</w:t>
            </w:r>
          </w:p>
        </w:tc>
        <w:tc>
          <w:tcPr>
            <w:tcW w:w="1101" w:type="pct"/>
            <w:shd w:val="clear" w:color="auto" w:fill="auto"/>
            <w:noWrap/>
            <w:hideMark/>
          </w:tcPr>
          <w:p w:rsidR="00B60C9F" w:rsidRPr="00DB16FA" w:rsidRDefault="00B60C9F" w:rsidP="000D5D04">
            <w:pPr>
              <w:spacing w:after="0" w:line="240" w:lineRule="auto"/>
              <w:jc w:val="center"/>
              <w:rPr>
                <w:rFonts w:eastAsia="Times New Roman" w:cs="Arial"/>
                <w:szCs w:val="22"/>
                <w:lang w:eastAsia="en-AU"/>
              </w:rPr>
            </w:pPr>
            <w:r w:rsidRPr="00DB16FA">
              <w:rPr>
                <w:rFonts w:eastAsiaTheme="minorHAnsi" w:cs="Arial"/>
                <w:szCs w:val="22"/>
                <w:lang w:eastAsia="en-US"/>
              </w:rPr>
              <w:t>16%</w:t>
            </w:r>
          </w:p>
        </w:tc>
        <w:tc>
          <w:tcPr>
            <w:tcW w:w="1101" w:type="pct"/>
            <w:shd w:val="clear" w:color="auto" w:fill="auto"/>
            <w:noWrap/>
            <w:hideMark/>
          </w:tcPr>
          <w:p w:rsidR="00B60C9F" w:rsidRPr="00DB16FA" w:rsidRDefault="00B60C9F" w:rsidP="000D5D04">
            <w:pPr>
              <w:spacing w:after="0" w:line="240" w:lineRule="auto"/>
              <w:jc w:val="center"/>
              <w:rPr>
                <w:rFonts w:eastAsia="Times New Roman" w:cs="Arial"/>
                <w:szCs w:val="22"/>
                <w:lang w:eastAsia="en-AU"/>
              </w:rPr>
            </w:pPr>
            <w:r w:rsidRPr="00DB16FA">
              <w:rPr>
                <w:rFonts w:eastAsiaTheme="minorHAnsi" w:cs="Arial"/>
                <w:szCs w:val="22"/>
                <w:lang w:eastAsia="en-US"/>
              </w:rPr>
              <w:t>16%</w:t>
            </w:r>
          </w:p>
        </w:tc>
        <w:tc>
          <w:tcPr>
            <w:tcW w:w="836" w:type="pct"/>
            <w:shd w:val="clear" w:color="auto" w:fill="auto"/>
            <w:noWrap/>
            <w:hideMark/>
          </w:tcPr>
          <w:p w:rsidR="00B60C9F" w:rsidRPr="00DB16FA" w:rsidRDefault="00B60C9F" w:rsidP="000D5D04">
            <w:pPr>
              <w:spacing w:after="0" w:line="240" w:lineRule="auto"/>
              <w:jc w:val="center"/>
              <w:rPr>
                <w:rFonts w:eastAsia="Times New Roman" w:cs="Arial"/>
                <w:szCs w:val="22"/>
                <w:lang w:eastAsia="en-AU"/>
              </w:rPr>
            </w:pPr>
            <w:r w:rsidRPr="00DB16FA">
              <w:rPr>
                <w:rFonts w:eastAsiaTheme="minorHAnsi" w:cs="Arial"/>
                <w:szCs w:val="22"/>
                <w:lang w:eastAsia="en-US"/>
              </w:rPr>
              <w:t>19%</w:t>
            </w:r>
          </w:p>
        </w:tc>
      </w:tr>
      <w:tr w:rsidR="00B60C9F" w:rsidRPr="00DB16FA" w:rsidTr="000D5D04">
        <w:trPr>
          <w:trHeight w:val="285"/>
          <w:jc w:val="center"/>
        </w:trPr>
        <w:tc>
          <w:tcPr>
            <w:tcW w:w="862" w:type="pct"/>
            <w:shd w:val="clear" w:color="auto" w:fill="BCBEC0"/>
            <w:noWrap/>
            <w:vAlign w:val="bottom"/>
            <w:hideMark/>
          </w:tcPr>
          <w:p w:rsidR="00B60C9F" w:rsidRPr="00DB16FA" w:rsidRDefault="00B60C9F" w:rsidP="000D5D04">
            <w:pPr>
              <w:spacing w:after="0" w:line="240" w:lineRule="auto"/>
              <w:jc w:val="center"/>
              <w:rPr>
                <w:rFonts w:eastAsia="Times New Roman" w:cs="Arial"/>
                <w:color w:val="000000"/>
                <w:szCs w:val="22"/>
                <w:lang w:eastAsia="en-AU"/>
              </w:rPr>
            </w:pPr>
            <w:r w:rsidRPr="00DB16FA">
              <w:rPr>
                <w:rFonts w:eastAsia="Times New Roman" w:cs="Arial"/>
                <w:color w:val="000000"/>
                <w:szCs w:val="22"/>
                <w:lang w:eastAsia="en-AU"/>
              </w:rPr>
              <w:t>25 to 34</w:t>
            </w:r>
          </w:p>
        </w:tc>
        <w:tc>
          <w:tcPr>
            <w:tcW w:w="1100" w:type="pct"/>
            <w:shd w:val="clear" w:color="auto" w:fill="auto"/>
            <w:noWrap/>
            <w:hideMark/>
          </w:tcPr>
          <w:p w:rsidR="00B60C9F" w:rsidRPr="00DB16FA" w:rsidRDefault="00B60C9F" w:rsidP="000D5D04">
            <w:pPr>
              <w:spacing w:after="0" w:line="240" w:lineRule="auto"/>
              <w:jc w:val="center"/>
              <w:rPr>
                <w:rFonts w:eastAsia="Times New Roman" w:cs="Arial"/>
                <w:szCs w:val="22"/>
                <w:lang w:eastAsia="en-AU"/>
              </w:rPr>
            </w:pPr>
            <w:r w:rsidRPr="00DB16FA">
              <w:rPr>
                <w:rFonts w:eastAsiaTheme="minorHAnsi" w:cs="Arial"/>
                <w:szCs w:val="22"/>
                <w:lang w:eastAsia="en-US"/>
              </w:rPr>
              <w:t>26%</w:t>
            </w:r>
          </w:p>
        </w:tc>
        <w:tc>
          <w:tcPr>
            <w:tcW w:w="1101" w:type="pct"/>
            <w:shd w:val="clear" w:color="auto" w:fill="auto"/>
            <w:noWrap/>
            <w:hideMark/>
          </w:tcPr>
          <w:p w:rsidR="00B60C9F" w:rsidRPr="00DB16FA" w:rsidRDefault="00B60C9F" w:rsidP="000D5D04">
            <w:pPr>
              <w:spacing w:after="0" w:line="240" w:lineRule="auto"/>
              <w:jc w:val="center"/>
              <w:rPr>
                <w:rFonts w:eastAsia="Times New Roman" w:cs="Arial"/>
                <w:szCs w:val="22"/>
                <w:lang w:eastAsia="en-AU"/>
              </w:rPr>
            </w:pPr>
            <w:r w:rsidRPr="00DB16FA">
              <w:rPr>
                <w:rFonts w:eastAsiaTheme="minorHAnsi" w:cs="Arial"/>
                <w:szCs w:val="22"/>
                <w:lang w:eastAsia="en-US"/>
              </w:rPr>
              <w:t>15%</w:t>
            </w:r>
          </w:p>
        </w:tc>
        <w:tc>
          <w:tcPr>
            <w:tcW w:w="1101" w:type="pct"/>
            <w:shd w:val="clear" w:color="auto" w:fill="auto"/>
            <w:noWrap/>
            <w:hideMark/>
          </w:tcPr>
          <w:p w:rsidR="00B60C9F" w:rsidRPr="00DB16FA" w:rsidRDefault="00B60C9F" w:rsidP="000D5D04">
            <w:pPr>
              <w:spacing w:after="0" w:line="240" w:lineRule="auto"/>
              <w:jc w:val="center"/>
              <w:rPr>
                <w:rFonts w:eastAsia="Times New Roman" w:cs="Arial"/>
                <w:szCs w:val="22"/>
                <w:lang w:eastAsia="en-AU"/>
              </w:rPr>
            </w:pPr>
            <w:r w:rsidRPr="00DB16FA">
              <w:rPr>
                <w:rFonts w:eastAsiaTheme="minorHAnsi" w:cs="Arial"/>
                <w:szCs w:val="22"/>
                <w:lang w:eastAsia="en-US"/>
              </w:rPr>
              <w:t>12%</w:t>
            </w:r>
          </w:p>
        </w:tc>
        <w:tc>
          <w:tcPr>
            <w:tcW w:w="836" w:type="pct"/>
            <w:shd w:val="clear" w:color="auto" w:fill="auto"/>
            <w:noWrap/>
            <w:hideMark/>
          </w:tcPr>
          <w:p w:rsidR="00B60C9F" w:rsidRPr="00DB16FA" w:rsidRDefault="00B60C9F" w:rsidP="000D5D04">
            <w:pPr>
              <w:spacing w:after="0" w:line="240" w:lineRule="auto"/>
              <w:jc w:val="center"/>
              <w:rPr>
                <w:rFonts w:eastAsia="Times New Roman" w:cs="Arial"/>
                <w:szCs w:val="22"/>
                <w:lang w:eastAsia="en-AU"/>
              </w:rPr>
            </w:pPr>
            <w:r w:rsidRPr="00DB16FA">
              <w:rPr>
                <w:rFonts w:eastAsiaTheme="minorHAnsi" w:cs="Arial"/>
                <w:szCs w:val="22"/>
                <w:lang w:eastAsia="en-US"/>
              </w:rPr>
              <w:t>17%</w:t>
            </w:r>
          </w:p>
        </w:tc>
      </w:tr>
      <w:tr w:rsidR="00B60C9F" w:rsidRPr="00DB16FA" w:rsidTr="000D5D04">
        <w:trPr>
          <w:trHeight w:val="285"/>
          <w:jc w:val="center"/>
        </w:trPr>
        <w:tc>
          <w:tcPr>
            <w:tcW w:w="862" w:type="pct"/>
            <w:shd w:val="clear" w:color="auto" w:fill="BCBEC0"/>
            <w:noWrap/>
            <w:vAlign w:val="bottom"/>
            <w:hideMark/>
          </w:tcPr>
          <w:p w:rsidR="00B60C9F" w:rsidRPr="00DB16FA" w:rsidRDefault="00B60C9F" w:rsidP="000D5D04">
            <w:pPr>
              <w:spacing w:after="0" w:line="240" w:lineRule="auto"/>
              <w:jc w:val="center"/>
              <w:rPr>
                <w:rFonts w:eastAsia="Times New Roman" w:cs="Arial"/>
                <w:color w:val="000000"/>
                <w:szCs w:val="22"/>
                <w:lang w:eastAsia="en-AU"/>
              </w:rPr>
            </w:pPr>
            <w:r w:rsidRPr="00DB16FA">
              <w:rPr>
                <w:rFonts w:eastAsia="Times New Roman" w:cs="Arial"/>
                <w:color w:val="000000"/>
                <w:szCs w:val="22"/>
                <w:lang w:eastAsia="en-AU"/>
              </w:rPr>
              <w:t>35 to 44</w:t>
            </w:r>
          </w:p>
        </w:tc>
        <w:tc>
          <w:tcPr>
            <w:tcW w:w="1100" w:type="pct"/>
            <w:shd w:val="clear" w:color="auto" w:fill="auto"/>
            <w:noWrap/>
            <w:hideMark/>
          </w:tcPr>
          <w:p w:rsidR="00B60C9F" w:rsidRPr="00DB16FA" w:rsidRDefault="00B60C9F" w:rsidP="000D5D04">
            <w:pPr>
              <w:spacing w:after="0" w:line="240" w:lineRule="auto"/>
              <w:jc w:val="center"/>
              <w:rPr>
                <w:rFonts w:eastAsia="Times New Roman" w:cs="Arial"/>
                <w:szCs w:val="22"/>
                <w:lang w:eastAsia="en-AU"/>
              </w:rPr>
            </w:pPr>
            <w:r w:rsidRPr="00DB16FA">
              <w:rPr>
                <w:rFonts w:eastAsiaTheme="minorHAnsi" w:cs="Arial"/>
                <w:szCs w:val="22"/>
                <w:lang w:eastAsia="en-US"/>
              </w:rPr>
              <w:t>29%</w:t>
            </w:r>
          </w:p>
        </w:tc>
        <w:tc>
          <w:tcPr>
            <w:tcW w:w="1101" w:type="pct"/>
            <w:shd w:val="clear" w:color="auto" w:fill="auto"/>
            <w:noWrap/>
            <w:hideMark/>
          </w:tcPr>
          <w:p w:rsidR="00B60C9F" w:rsidRPr="00DB16FA" w:rsidRDefault="00B60C9F" w:rsidP="000D5D04">
            <w:pPr>
              <w:spacing w:after="0" w:line="240" w:lineRule="auto"/>
              <w:jc w:val="center"/>
              <w:rPr>
                <w:rFonts w:eastAsia="Times New Roman" w:cs="Arial"/>
                <w:szCs w:val="22"/>
                <w:lang w:eastAsia="en-AU"/>
              </w:rPr>
            </w:pPr>
            <w:r w:rsidRPr="00DB16FA">
              <w:rPr>
                <w:rFonts w:eastAsiaTheme="minorHAnsi" w:cs="Arial"/>
                <w:szCs w:val="22"/>
                <w:lang w:eastAsia="en-US"/>
              </w:rPr>
              <w:t>22%</w:t>
            </w:r>
          </w:p>
        </w:tc>
        <w:tc>
          <w:tcPr>
            <w:tcW w:w="1101" w:type="pct"/>
            <w:shd w:val="clear" w:color="auto" w:fill="auto"/>
            <w:noWrap/>
            <w:hideMark/>
          </w:tcPr>
          <w:p w:rsidR="00B60C9F" w:rsidRPr="00DB16FA" w:rsidRDefault="00B60C9F" w:rsidP="000D5D04">
            <w:pPr>
              <w:spacing w:after="0" w:line="240" w:lineRule="auto"/>
              <w:jc w:val="center"/>
              <w:rPr>
                <w:rFonts w:eastAsia="Times New Roman" w:cs="Arial"/>
                <w:szCs w:val="22"/>
                <w:lang w:eastAsia="en-AU"/>
              </w:rPr>
            </w:pPr>
            <w:r w:rsidRPr="00DB16FA">
              <w:rPr>
                <w:rFonts w:eastAsiaTheme="minorHAnsi" w:cs="Arial"/>
                <w:szCs w:val="22"/>
                <w:lang w:eastAsia="en-US"/>
              </w:rPr>
              <w:t>16%</w:t>
            </w:r>
          </w:p>
        </w:tc>
        <w:tc>
          <w:tcPr>
            <w:tcW w:w="836" w:type="pct"/>
            <w:shd w:val="clear" w:color="auto" w:fill="auto"/>
            <w:noWrap/>
            <w:hideMark/>
          </w:tcPr>
          <w:p w:rsidR="00B60C9F" w:rsidRPr="00DB16FA" w:rsidRDefault="00B60C9F" w:rsidP="000D5D04">
            <w:pPr>
              <w:spacing w:after="0" w:line="240" w:lineRule="auto"/>
              <w:jc w:val="center"/>
              <w:rPr>
                <w:rFonts w:eastAsia="Times New Roman" w:cs="Arial"/>
                <w:szCs w:val="22"/>
                <w:lang w:eastAsia="en-AU"/>
              </w:rPr>
            </w:pPr>
            <w:r w:rsidRPr="00DB16FA">
              <w:rPr>
                <w:rFonts w:eastAsiaTheme="minorHAnsi" w:cs="Arial"/>
                <w:szCs w:val="22"/>
                <w:lang w:eastAsia="en-US"/>
              </w:rPr>
              <w:t>22%</w:t>
            </w:r>
          </w:p>
        </w:tc>
      </w:tr>
      <w:tr w:rsidR="00B60C9F" w:rsidRPr="00DB16FA" w:rsidTr="000D5D04">
        <w:trPr>
          <w:trHeight w:val="285"/>
          <w:jc w:val="center"/>
        </w:trPr>
        <w:tc>
          <w:tcPr>
            <w:tcW w:w="862" w:type="pct"/>
            <w:shd w:val="clear" w:color="auto" w:fill="BCBEC0"/>
            <w:noWrap/>
            <w:vAlign w:val="bottom"/>
            <w:hideMark/>
          </w:tcPr>
          <w:p w:rsidR="00B60C9F" w:rsidRPr="00DB16FA" w:rsidRDefault="00B60C9F" w:rsidP="000D5D04">
            <w:pPr>
              <w:spacing w:after="0" w:line="240" w:lineRule="auto"/>
              <w:jc w:val="center"/>
              <w:rPr>
                <w:rFonts w:eastAsia="Times New Roman" w:cs="Arial"/>
                <w:color w:val="000000"/>
                <w:szCs w:val="22"/>
                <w:lang w:eastAsia="en-AU"/>
              </w:rPr>
            </w:pPr>
            <w:r w:rsidRPr="00DB16FA">
              <w:rPr>
                <w:rFonts w:eastAsia="Times New Roman" w:cs="Arial"/>
                <w:color w:val="000000"/>
                <w:szCs w:val="22"/>
                <w:lang w:eastAsia="en-AU"/>
              </w:rPr>
              <w:t>45 to 54</w:t>
            </w:r>
          </w:p>
        </w:tc>
        <w:tc>
          <w:tcPr>
            <w:tcW w:w="1100" w:type="pct"/>
            <w:shd w:val="clear" w:color="auto" w:fill="auto"/>
            <w:noWrap/>
            <w:hideMark/>
          </w:tcPr>
          <w:p w:rsidR="00B60C9F" w:rsidRPr="00DB16FA" w:rsidRDefault="00B60C9F" w:rsidP="000D5D04">
            <w:pPr>
              <w:spacing w:after="0" w:line="240" w:lineRule="auto"/>
              <w:jc w:val="center"/>
              <w:rPr>
                <w:rFonts w:eastAsia="Times New Roman" w:cs="Arial"/>
                <w:szCs w:val="22"/>
                <w:lang w:eastAsia="en-AU"/>
              </w:rPr>
            </w:pPr>
            <w:r w:rsidRPr="00DB16FA">
              <w:rPr>
                <w:rFonts w:eastAsiaTheme="minorHAnsi" w:cs="Arial"/>
                <w:szCs w:val="22"/>
                <w:lang w:eastAsia="en-US"/>
              </w:rPr>
              <w:t>34%</w:t>
            </w:r>
          </w:p>
        </w:tc>
        <w:tc>
          <w:tcPr>
            <w:tcW w:w="1101" w:type="pct"/>
            <w:shd w:val="clear" w:color="auto" w:fill="auto"/>
            <w:noWrap/>
            <w:hideMark/>
          </w:tcPr>
          <w:p w:rsidR="00B60C9F" w:rsidRPr="00DB16FA" w:rsidRDefault="00B60C9F" w:rsidP="000D5D04">
            <w:pPr>
              <w:spacing w:after="0" w:line="240" w:lineRule="auto"/>
              <w:jc w:val="center"/>
              <w:rPr>
                <w:rFonts w:eastAsia="Times New Roman" w:cs="Arial"/>
                <w:szCs w:val="22"/>
                <w:lang w:eastAsia="en-AU"/>
              </w:rPr>
            </w:pPr>
            <w:r w:rsidRPr="00DB16FA">
              <w:rPr>
                <w:rFonts w:eastAsiaTheme="minorHAnsi" w:cs="Arial"/>
                <w:szCs w:val="22"/>
                <w:lang w:eastAsia="en-US"/>
              </w:rPr>
              <w:t>30%</w:t>
            </w:r>
          </w:p>
        </w:tc>
        <w:tc>
          <w:tcPr>
            <w:tcW w:w="1101" w:type="pct"/>
            <w:shd w:val="clear" w:color="auto" w:fill="auto"/>
            <w:noWrap/>
            <w:hideMark/>
          </w:tcPr>
          <w:p w:rsidR="00B60C9F" w:rsidRPr="00DB16FA" w:rsidRDefault="00B60C9F" w:rsidP="000D5D04">
            <w:pPr>
              <w:spacing w:after="0" w:line="240" w:lineRule="auto"/>
              <w:jc w:val="center"/>
              <w:rPr>
                <w:rFonts w:eastAsia="Times New Roman" w:cs="Arial"/>
                <w:szCs w:val="22"/>
                <w:lang w:eastAsia="en-AU"/>
              </w:rPr>
            </w:pPr>
            <w:r w:rsidRPr="00DB16FA">
              <w:rPr>
                <w:rFonts w:eastAsiaTheme="minorHAnsi" w:cs="Arial"/>
                <w:szCs w:val="22"/>
                <w:lang w:eastAsia="en-US"/>
              </w:rPr>
              <w:t>16%</w:t>
            </w:r>
          </w:p>
        </w:tc>
        <w:tc>
          <w:tcPr>
            <w:tcW w:w="836" w:type="pct"/>
            <w:shd w:val="clear" w:color="auto" w:fill="auto"/>
            <w:noWrap/>
            <w:hideMark/>
          </w:tcPr>
          <w:p w:rsidR="00B60C9F" w:rsidRPr="00DB16FA" w:rsidRDefault="00B60C9F" w:rsidP="000D5D04">
            <w:pPr>
              <w:spacing w:after="0" w:line="240" w:lineRule="auto"/>
              <w:jc w:val="center"/>
              <w:rPr>
                <w:rFonts w:eastAsia="Times New Roman" w:cs="Arial"/>
                <w:szCs w:val="22"/>
                <w:lang w:eastAsia="en-AU"/>
              </w:rPr>
            </w:pPr>
            <w:r w:rsidRPr="00DB16FA">
              <w:rPr>
                <w:rFonts w:eastAsiaTheme="minorHAnsi" w:cs="Arial"/>
                <w:szCs w:val="22"/>
                <w:lang w:eastAsia="en-US"/>
              </w:rPr>
              <w:t>26%</w:t>
            </w:r>
          </w:p>
        </w:tc>
      </w:tr>
      <w:tr w:rsidR="00B60C9F" w:rsidRPr="00DB16FA" w:rsidTr="000D5D04">
        <w:trPr>
          <w:trHeight w:val="285"/>
          <w:jc w:val="center"/>
        </w:trPr>
        <w:tc>
          <w:tcPr>
            <w:tcW w:w="862" w:type="pct"/>
            <w:shd w:val="clear" w:color="auto" w:fill="BCBEC0"/>
            <w:noWrap/>
            <w:vAlign w:val="bottom"/>
            <w:hideMark/>
          </w:tcPr>
          <w:p w:rsidR="00B60C9F" w:rsidRPr="00DB16FA" w:rsidRDefault="00B60C9F" w:rsidP="000D5D04">
            <w:pPr>
              <w:spacing w:after="0" w:line="240" w:lineRule="auto"/>
              <w:jc w:val="center"/>
              <w:rPr>
                <w:rFonts w:eastAsia="Times New Roman" w:cs="Arial"/>
                <w:color w:val="000000"/>
                <w:szCs w:val="22"/>
                <w:lang w:eastAsia="en-AU"/>
              </w:rPr>
            </w:pPr>
            <w:r w:rsidRPr="00DB16FA">
              <w:rPr>
                <w:rFonts w:eastAsia="Times New Roman" w:cs="Arial"/>
                <w:color w:val="000000"/>
                <w:szCs w:val="22"/>
                <w:lang w:eastAsia="en-AU"/>
              </w:rPr>
              <w:t>55 to 64</w:t>
            </w:r>
          </w:p>
        </w:tc>
        <w:tc>
          <w:tcPr>
            <w:tcW w:w="1100" w:type="pct"/>
            <w:shd w:val="clear" w:color="auto" w:fill="auto"/>
            <w:noWrap/>
            <w:hideMark/>
          </w:tcPr>
          <w:p w:rsidR="00B60C9F" w:rsidRPr="00DB16FA" w:rsidRDefault="00B60C9F" w:rsidP="000D5D04">
            <w:pPr>
              <w:spacing w:after="0" w:line="240" w:lineRule="auto"/>
              <w:jc w:val="center"/>
              <w:rPr>
                <w:rFonts w:eastAsia="Times New Roman" w:cs="Arial"/>
                <w:szCs w:val="22"/>
                <w:lang w:eastAsia="en-AU"/>
              </w:rPr>
            </w:pPr>
            <w:r w:rsidRPr="00DB16FA">
              <w:rPr>
                <w:rFonts w:eastAsiaTheme="minorHAnsi" w:cs="Arial"/>
                <w:szCs w:val="22"/>
                <w:lang w:eastAsia="en-US"/>
              </w:rPr>
              <w:t>48%</w:t>
            </w:r>
          </w:p>
        </w:tc>
        <w:tc>
          <w:tcPr>
            <w:tcW w:w="1101" w:type="pct"/>
            <w:shd w:val="clear" w:color="auto" w:fill="auto"/>
            <w:noWrap/>
            <w:hideMark/>
          </w:tcPr>
          <w:p w:rsidR="00B60C9F" w:rsidRPr="00DB16FA" w:rsidRDefault="00B60C9F" w:rsidP="000D5D04">
            <w:pPr>
              <w:spacing w:after="0" w:line="240" w:lineRule="auto"/>
              <w:jc w:val="center"/>
              <w:rPr>
                <w:rFonts w:eastAsia="Times New Roman" w:cs="Arial"/>
                <w:szCs w:val="22"/>
                <w:lang w:eastAsia="en-AU"/>
              </w:rPr>
            </w:pPr>
            <w:r w:rsidRPr="00DB16FA">
              <w:rPr>
                <w:rFonts w:eastAsiaTheme="minorHAnsi" w:cs="Arial"/>
                <w:szCs w:val="22"/>
                <w:lang w:eastAsia="en-US"/>
              </w:rPr>
              <w:t>35%</w:t>
            </w:r>
          </w:p>
        </w:tc>
        <w:tc>
          <w:tcPr>
            <w:tcW w:w="1101" w:type="pct"/>
            <w:shd w:val="clear" w:color="auto" w:fill="auto"/>
            <w:noWrap/>
            <w:hideMark/>
          </w:tcPr>
          <w:p w:rsidR="00B60C9F" w:rsidRPr="00DB16FA" w:rsidRDefault="00B60C9F" w:rsidP="000D5D04">
            <w:pPr>
              <w:spacing w:after="0" w:line="240" w:lineRule="auto"/>
              <w:jc w:val="center"/>
              <w:rPr>
                <w:rFonts w:eastAsia="Times New Roman" w:cs="Arial"/>
                <w:szCs w:val="22"/>
                <w:lang w:eastAsia="en-AU"/>
              </w:rPr>
            </w:pPr>
            <w:r w:rsidRPr="00DB16FA">
              <w:rPr>
                <w:rFonts w:eastAsiaTheme="minorHAnsi" w:cs="Arial"/>
                <w:szCs w:val="22"/>
                <w:lang w:eastAsia="en-US"/>
              </w:rPr>
              <w:t>19%</w:t>
            </w:r>
          </w:p>
        </w:tc>
        <w:tc>
          <w:tcPr>
            <w:tcW w:w="836" w:type="pct"/>
            <w:shd w:val="clear" w:color="auto" w:fill="auto"/>
            <w:noWrap/>
            <w:hideMark/>
          </w:tcPr>
          <w:p w:rsidR="00B60C9F" w:rsidRPr="00DB16FA" w:rsidRDefault="00B60C9F" w:rsidP="000D5D04">
            <w:pPr>
              <w:spacing w:after="0" w:line="240" w:lineRule="auto"/>
              <w:jc w:val="center"/>
              <w:rPr>
                <w:rFonts w:eastAsia="Times New Roman" w:cs="Arial"/>
                <w:szCs w:val="22"/>
                <w:lang w:eastAsia="en-AU"/>
              </w:rPr>
            </w:pPr>
            <w:r w:rsidRPr="00DB16FA">
              <w:rPr>
                <w:rFonts w:eastAsiaTheme="minorHAnsi" w:cs="Arial"/>
                <w:szCs w:val="22"/>
                <w:lang w:eastAsia="en-US"/>
              </w:rPr>
              <w:t>33%</w:t>
            </w:r>
          </w:p>
        </w:tc>
      </w:tr>
      <w:tr w:rsidR="00B60C9F" w:rsidRPr="00DB16FA" w:rsidTr="000D5D04">
        <w:trPr>
          <w:trHeight w:val="285"/>
          <w:jc w:val="center"/>
        </w:trPr>
        <w:tc>
          <w:tcPr>
            <w:tcW w:w="862" w:type="pct"/>
            <w:shd w:val="clear" w:color="auto" w:fill="BCBEC0"/>
            <w:noWrap/>
            <w:vAlign w:val="bottom"/>
            <w:hideMark/>
          </w:tcPr>
          <w:p w:rsidR="00B60C9F" w:rsidRPr="00DB16FA" w:rsidRDefault="00B60C9F" w:rsidP="000D5D04">
            <w:pPr>
              <w:spacing w:after="0" w:line="240" w:lineRule="auto"/>
              <w:jc w:val="center"/>
              <w:rPr>
                <w:rFonts w:eastAsia="Times New Roman" w:cs="Arial"/>
                <w:color w:val="000000"/>
                <w:szCs w:val="22"/>
                <w:lang w:eastAsia="en-AU"/>
              </w:rPr>
            </w:pPr>
            <w:r w:rsidRPr="00DB16FA">
              <w:rPr>
                <w:rFonts w:eastAsia="Times New Roman" w:cs="Arial"/>
                <w:color w:val="000000"/>
                <w:szCs w:val="22"/>
                <w:lang w:eastAsia="en-AU"/>
              </w:rPr>
              <w:t>65+</w:t>
            </w:r>
          </w:p>
        </w:tc>
        <w:tc>
          <w:tcPr>
            <w:tcW w:w="1100" w:type="pct"/>
            <w:shd w:val="clear" w:color="auto" w:fill="auto"/>
            <w:noWrap/>
            <w:hideMark/>
          </w:tcPr>
          <w:p w:rsidR="00B60C9F" w:rsidRPr="00DB16FA" w:rsidRDefault="00B60C9F" w:rsidP="000D5D04">
            <w:pPr>
              <w:spacing w:after="0" w:line="240" w:lineRule="auto"/>
              <w:jc w:val="center"/>
              <w:rPr>
                <w:rFonts w:eastAsia="Times New Roman" w:cs="Arial"/>
                <w:szCs w:val="22"/>
                <w:lang w:eastAsia="en-AU"/>
              </w:rPr>
            </w:pPr>
            <w:r w:rsidRPr="00DB16FA">
              <w:rPr>
                <w:rFonts w:eastAsiaTheme="minorHAnsi" w:cs="Arial"/>
                <w:szCs w:val="22"/>
                <w:lang w:eastAsia="en-US"/>
              </w:rPr>
              <w:t>43%</w:t>
            </w:r>
          </w:p>
        </w:tc>
        <w:tc>
          <w:tcPr>
            <w:tcW w:w="1101" w:type="pct"/>
            <w:shd w:val="clear" w:color="auto" w:fill="auto"/>
            <w:noWrap/>
            <w:hideMark/>
          </w:tcPr>
          <w:p w:rsidR="00B60C9F" w:rsidRPr="00DB16FA" w:rsidRDefault="00B60C9F" w:rsidP="000D5D04">
            <w:pPr>
              <w:spacing w:after="0" w:line="240" w:lineRule="auto"/>
              <w:jc w:val="center"/>
              <w:rPr>
                <w:rFonts w:eastAsia="Times New Roman" w:cs="Arial"/>
                <w:szCs w:val="22"/>
                <w:lang w:eastAsia="en-AU"/>
              </w:rPr>
            </w:pPr>
            <w:r w:rsidRPr="00DB16FA">
              <w:rPr>
                <w:rFonts w:eastAsiaTheme="minorHAnsi" w:cs="Arial"/>
                <w:szCs w:val="22"/>
                <w:lang w:eastAsia="en-US"/>
              </w:rPr>
              <w:t>26%</w:t>
            </w:r>
          </w:p>
        </w:tc>
        <w:tc>
          <w:tcPr>
            <w:tcW w:w="1101" w:type="pct"/>
            <w:shd w:val="clear" w:color="auto" w:fill="auto"/>
            <w:noWrap/>
            <w:hideMark/>
          </w:tcPr>
          <w:p w:rsidR="00B60C9F" w:rsidRPr="00DB16FA" w:rsidRDefault="00B60C9F" w:rsidP="000D5D04">
            <w:pPr>
              <w:spacing w:after="0" w:line="240" w:lineRule="auto"/>
              <w:jc w:val="center"/>
              <w:rPr>
                <w:rFonts w:eastAsia="Times New Roman" w:cs="Arial"/>
                <w:szCs w:val="22"/>
                <w:lang w:eastAsia="en-AU"/>
              </w:rPr>
            </w:pPr>
            <w:r w:rsidRPr="00DB16FA">
              <w:rPr>
                <w:rFonts w:eastAsiaTheme="minorHAnsi" w:cs="Arial"/>
                <w:szCs w:val="22"/>
                <w:lang w:eastAsia="en-US"/>
              </w:rPr>
              <w:t>17%</w:t>
            </w:r>
          </w:p>
        </w:tc>
        <w:tc>
          <w:tcPr>
            <w:tcW w:w="836" w:type="pct"/>
            <w:shd w:val="clear" w:color="auto" w:fill="auto"/>
            <w:noWrap/>
            <w:hideMark/>
          </w:tcPr>
          <w:p w:rsidR="00B60C9F" w:rsidRPr="00DB16FA" w:rsidRDefault="00B60C9F" w:rsidP="000D5D04">
            <w:pPr>
              <w:spacing w:after="0" w:line="240" w:lineRule="auto"/>
              <w:jc w:val="center"/>
              <w:rPr>
                <w:rFonts w:eastAsia="Times New Roman" w:cs="Arial"/>
                <w:szCs w:val="22"/>
                <w:lang w:eastAsia="en-AU"/>
              </w:rPr>
            </w:pPr>
            <w:r w:rsidRPr="00DB16FA">
              <w:rPr>
                <w:rFonts w:eastAsiaTheme="minorHAnsi" w:cs="Arial"/>
                <w:szCs w:val="22"/>
                <w:lang w:eastAsia="en-US"/>
              </w:rPr>
              <w:t>28%</w:t>
            </w:r>
          </w:p>
        </w:tc>
      </w:tr>
      <w:tr w:rsidR="00B60C9F" w:rsidRPr="00DB16FA" w:rsidTr="000D5D04">
        <w:trPr>
          <w:trHeight w:val="293"/>
          <w:jc w:val="center"/>
        </w:trPr>
        <w:tc>
          <w:tcPr>
            <w:tcW w:w="862" w:type="pct"/>
            <w:shd w:val="clear" w:color="000000" w:fill="808285"/>
            <w:noWrap/>
            <w:vAlign w:val="bottom"/>
            <w:hideMark/>
          </w:tcPr>
          <w:p w:rsidR="00B60C9F" w:rsidRPr="00DB16FA" w:rsidRDefault="00B60C9F" w:rsidP="000D5D04">
            <w:pPr>
              <w:spacing w:after="0" w:line="240" w:lineRule="auto"/>
              <w:jc w:val="center"/>
              <w:rPr>
                <w:rFonts w:eastAsia="Times New Roman" w:cs="Arial"/>
                <w:b/>
                <w:bCs/>
                <w:color w:val="000000"/>
                <w:szCs w:val="22"/>
                <w:lang w:eastAsia="en-AU"/>
              </w:rPr>
            </w:pPr>
            <w:r w:rsidRPr="00DB16FA">
              <w:rPr>
                <w:rFonts w:eastAsia="Times New Roman" w:cs="Arial"/>
                <w:b/>
                <w:bCs/>
                <w:color w:val="000000"/>
                <w:szCs w:val="22"/>
                <w:lang w:eastAsia="en-AU"/>
              </w:rPr>
              <w:t>Total</w:t>
            </w:r>
          </w:p>
        </w:tc>
        <w:tc>
          <w:tcPr>
            <w:tcW w:w="1100" w:type="pct"/>
            <w:shd w:val="clear" w:color="000000" w:fill="808285"/>
            <w:noWrap/>
            <w:hideMark/>
          </w:tcPr>
          <w:p w:rsidR="00B60C9F" w:rsidRPr="00DB16FA" w:rsidRDefault="00B60C9F" w:rsidP="000D5D04">
            <w:pPr>
              <w:spacing w:after="0" w:line="240" w:lineRule="auto"/>
              <w:jc w:val="center"/>
              <w:rPr>
                <w:rFonts w:eastAsia="Times New Roman" w:cs="Arial"/>
                <w:b/>
                <w:bCs/>
                <w:szCs w:val="22"/>
                <w:lang w:eastAsia="en-AU"/>
              </w:rPr>
            </w:pPr>
            <w:r w:rsidRPr="00DB16FA">
              <w:rPr>
                <w:rFonts w:eastAsiaTheme="minorHAnsi" w:cs="Arial"/>
                <w:b/>
                <w:szCs w:val="22"/>
                <w:lang w:eastAsia="en-US"/>
              </w:rPr>
              <w:t>39%</w:t>
            </w:r>
          </w:p>
        </w:tc>
        <w:tc>
          <w:tcPr>
            <w:tcW w:w="1101" w:type="pct"/>
            <w:shd w:val="clear" w:color="000000" w:fill="808285"/>
            <w:noWrap/>
            <w:hideMark/>
          </w:tcPr>
          <w:p w:rsidR="00B60C9F" w:rsidRPr="00DB16FA" w:rsidRDefault="00B60C9F" w:rsidP="000D5D04">
            <w:pPr>
              <w:spacing w:after="0" w:line="240" w:lineRule="auto"/>
              <w:jc w:val="center"/>
              <w:rPr>
                <w:rFonts w:eastAsia="Times New Roman" w:cs="Arial"/>
                <w:b/>
                <w:bCs/>
                <w:szCs w:val="22"/>
                <w:lang w:eastAsia="en-AU"/>
              </w:rPr>
            </w:pPr>
            <w:r w:rsidRPr="00DB16FA">
              <w:rPr>
                <w:rFonts w:eastAsiaTheme="minorHAnsi" w:cs="Arial"/>
                <w:b/>
                <w:szCs w:val="22"/>
                <w:lang w:eastAsia="en-US"/>
              </w:rPr>
              <w:t>27%</w:t>
            </w:r>
          </w:p>
        </w:tc>
        <w:tc>
          <w:tcPr>
            <w:tcW w:w="1101" w:type="pct"/>
            <w:shd w:val="clear" w:color="000000" w:fill="808285"/>
            <w:noWrap/>
            <w:hideMark/>
          </w:tcPr>
          <w:p w:rsidR="00B60C9F" w:rsidRPr="00DB16FA" w:rsidRDefault="00B60C9F" w:rsidP="000D5D04">
            <w:pPr>
              <w:spacing w:after="0" w:line="240" w:lineRule="auto"/>
              <w:jc w:val="center"/>
              <w:rPr>
                <w:rFonts w:eastAsia="Times New Roman" w:cs="Arial"/>
                <w:b/>
                <w:bCs/>
                <w:szCs w:val="22"/>
                <w:lang w:eastAsia="en-AU"/>
              </w:rPr>
            </w:pPr>
            <w:r w:rsidRPr="00DB16FA">
              <w:rPr>
                <w:rFonts w:eastAsiaTheme="minorHAnsi" w:cs="Arial"/>
                <w:b/>
                <w:szCs w:val="22"/>
                <w:lang w:eastAsia="en-US"/>
              </w:rPr>
              <w:t>15%</w:t>
            </w:r>
          </w:p>
        </w:tc>
        <w:tc>
          <w:tcPr>
            <w:tcW w:w="836" w:type="pct"/>
            <w:shd w:val="clear" w:color="000000" w:fill="808285"/>
            <w:noWrap/>
            <w:hideMark/>
          </w:tcPr>
          <w:p w:rsidR="00B60C9F" w:rsidRPr="00DB16FA" w:rsidRDefault="00B60C9F" w:rsidP="000D5D04">
            <w:pPr>
              <w:spacing w:after="0" w:line="240" w:lineRule="auto"/>
              <w:jc w:val="center"/>
              <w:rPr>
                <w:rFonts w:eastAsia="Times New Roman" w:cs="Arial"/>
                <w:b/>
                <w:bCs/>
                <w:szCs w:val="22"/>
                <w:lang w:eastAsia="en-AU"/>
              </w:rPr>
            </w:pPr>
            <w:r w:rsidRPr="00DB16FA">
              <w:rPr>
                <w:rFonts w:eastAsiaTheme="minorHAnsi" w:cs="Arial"/>
                <w:b/>
                <w:szCs w:val="22"/>
                <w:lang w:eastAsia="en-US"/>
              </w:rPr>
              <w:t>27%</w:t>
            </w:r>
          </w:p>
        </w:tc>
      </w:tr>
    </w:tbl>
    <w:p w:rsidR="007C7FF4" w:rsidRDefault="00C764CA" w:rsidP="00B60C9F">
      <w:pPr>
        <w:jc w:val="both"/>
        <w:rPr>
          <w:rFonts w:cs="Arial"/>
        </w:rPr>
      </w:pPr>
      <w:r>
        <w:rPr>
          <w:rFonts w:cs="Arial"/>
        </w:rPr>
        <w:br/>
      </w:r>
      <w:r w:rsidR="00B60C9F">
        <w:rPr>
          <w:rFonts w:cs="Arial"/>
        </w:rPr>
        <w:t xml:space="preserve">The average payments for non-SIL </w:t>
      </w:r>
      <w:r w:rsidR="00B60C9F" w:rsidRPr="009C6EB1">
        <w:rPr>
          <w:rFonts w:cs="Arial"/>
        </w:rPr>
        <w:t>participants</w:t>
      </w:r>
      <w:r w:rsidR="00B60C9F">
        <w:rPr>
          <w:rFonts w:cs="Arial"/>
        </w:rPr>
        <w:t xml:space="preserve"> with a psychosocial disability, intellectual disability and autism, which account for 63% of total payments for support coordination, have increased by 36% (psychosocial disability), 25% (autism) and 22% (intellectual disability) annually in the 3 years to 30 September 2021.</w:t>
      </w:r>
      <w:r w:rsidR="007C7FF4">
        <w:rPr>
          <w:rFonts w:cs="Arial"/>
        </w:rPr>
        <w:br w:type="page"/>
      </w:r>
    </w:p>
    <w:p w:rsidR="00B60C9F" w:rsidRPr="00941A88" w:rsidRDefault="00B60C9F" w:rsidP="00941A88">
      <w:pPr>
        <w:pStyle w:val="Heading4"/>
        <w:numPr>
          <w:ilvl w:val="0"/>
          <w:numId w:val="0"/>
        </w:numPr>
        <w:rPr>
          <w:rFonts w:eastAsiaTheme="minorHAnsi"/>
          <w:lang w:eastAsia="en-US"/>
        </w:rPr>
      </w:pPr>
      <w:bookmarkStart w:id="47" w:name="_Toc88041462"/>
      <w:r w:rsidRPr="00941A88">
        <w:rPr>
          <w:rFonts w:eastAsiaTheme="minorHAnsi"/>
          <w:lang w:eastAsia="en-US"/>
        </w:rPr>
        <w:lastRenderedPageBreak/>
        <w:t>Table B.6: Average payments for non-SIL participants with support coordination funding, by disability type</w:t>
      </w:r>
      <w:bookmarkEnd w:id="47"/>
    </w:p>
    <w:tbl>
      <w:tblPr>
        <w:tblW w:w="8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2"/>
        <w:gridCol w:w="1701"/>
        <w:gridCol w:w="1700"/>
        <w:gridCol w:w="1701"/>
      </w:tblGrid>
      <w:tr w:rsidR="00B60C9F" w:rsidRPr="006A2EF3" w:rsidTr="000D5D04">
        <w:trPr>
          <w:trHeight w:val="544"/>
          <w:tblHeader/>
          <w:jc w:val="center"/>
        </w:trPr>
        <w:tc>
          <w:tcPr>
            <w:tcW w:w="3042" w:type="dxa"/>
            <w:shd w:val="clear" w:color="000000" w:fill="6B2976"/>
            <w:noWrap/>
            <w:vAlign w:val="center"/>
            <w:hideMark/>
          </w:tcPr>
          <w:p w:rsidR="00B60C9F" w:rsidRPr="006A2EF3" w:rsidRDefault="00B60C9F" w:rsidP="000D5D04">
            <w:pPr>
              <w:spacing w:after="0" w:line="240" w:lineRule="auto"/>
              <w:jc w:val="center"/>
              <w:rPr>
                <w:rFonts w:eastAsia="Times New Roman" w:cs="Arial"/>
                <w:b/>
                <w:color w:val="FFFFFF"/>
                <w:szCs w:val="22"/>
                <w:lang w:eastAsia="en-AU"/>
              </w:rPr>
            </w:pPr>
            <w:r w:rsidRPr="006A2EF3">
              <w:rPr>
                <w:rFonts w:eastAsia="Times New Roman" w:cs="Arial"/>
                <w:b/>
                <w:color w:val="FFFFFF"/>
                <w:szCs w:val="22"/>
                <w:lang w:eastAsia="en-AU"/>
              </w:rPr>
              <w:t>Disability type</w:t>
            </w:r>
          </w:p>
        </w:tc>
        <w:tc>
          <w:tcPr>
            <w:tcW w:w="1701" w:type="dxa"/>
            <w:shd w:val="clear" w:color="000000" w:fill="6B2976"/>
            <w:vAlign w:val="center"/>
            <w:hideMark/>
          </w:tcPr>
          <w:p w:rsidR="00B60C9F" w:rsidRPr="006A2EF3" w:rsidRDefault="00B60C9F" w:rsidP="000D5D04">
            <w:pPr>
              <w:spacing w:after="0" w:line="240" w:lineRule="auto"/>
              <w:jc w:val="center"/>
              <w:rPr>
                <w:rFonts w:eastAsia="Times New Roman" w:cs="Arial"/>
                <w:b/>
                <w:color w:val="FFFFFF"/>
                <w:szCs w:val="22"/>
                <w:lang w:eastAsia="en-AU"/>
              </w:rPr>
            </w:pPr>
            <w:r w:rsidRPr="006A2EF3">
              <w:rPr>
                <w:rFonts w:eastAsia="Times New Roman" w:cs="Arial"/>
                <w:b/>
                <w:color w:val="FFFFFF"/>
                <w:szCs w:val="22"/>
                <w:lang w:eastAsia="en-AU"/>
              </w:rPr>
              <w:t xml:space="preserve">Oct-18 to </w:t>
            </w:r>
          </w:p>
          <w:p w:rsidR="00B60C9F" w:rsidRPr="006A2EF3" w:rsidRDefault="00B60C9F" w:rsidP="000D5D04">
            <w:pPr>
              <w:spacing w:after="0" w:line="240" w:lineRule="auto"/>
              <w:jc w:val="center"/>
              <w:rPr>
                <w:rFonts w:eastAsia="Times New Roman" w:cs="Arial"/>
                <w:b/>
                <w:color w:val="FFFFFF"/>
                <w:szCs w:val="22"/>
                <w:lang w:eastAsia="en-AU"/>
              </w:rPr>
            </w:pPr>
            <w:r w:rsidRPr="006A2EF3">
              <w:rPr>
                <w:rFonts w:eastAsia="Times New Roman" w:cs="Arial"/>
                <w:b/>
                <w:color w:val="FFFFFF"/>
                <w:szCs w:val="22"/>
                <w:lang w:eastAsia="en-AU"/>
              </w:rPr>
              <w:t>Sep-19</w:t>
            </w:r>
          </w:p>
        </w:tc>
        <w:tc>
          <w:tcPr>
            <w:tcW w:w="1700" w:type="dxa"/>
            <w:shd w:val="clear" w:color="000000" w:fill="6B2976"/>
            <w:vAlign w:val="center"/>
            <w:hideMark/>
          </w:tcPr>
          <w:p w:rsidR="00B60C9F" w:rsidRPr="006A2EF3" w:rsidRDefault="00B60C9F" w:rsidP="000D5D04">
            <w:pPr>
              <w:spacing w:after="0" w:line="240" w:lineRule="auto"/>
              <w:jc w:val="center"/>
              <w:rPr>
                <w:rFonts w:eastAsia="Times New Roman" w:cs="Arial"/>
                <w:b/>
                <w:color w:val="FFFFFF"/>
                <w:szCs w:val="22"/>
                <w:lang w:eastAsia="en-AU"/>
              </w:rPr>
            </w:pPr>
            <w:r w:rsidRPr="006A2EF3">
              <w:rPr>
                <w:rFonts w:eastAsia="Times New Roman" w:cs="Arial"/>
                <w:b/>
                <w:color w:val="FFFFFF"/>
                <w:szCs w:val="22"/>
                <w:lang w:eastAsia="en-AU"/>
              </w:rPr>
              <w:t xml:space="preserve">Oct-19 to </w:t>
            </w:r>
          </w:p>
          <w:p w:rsidR="00B60C9F" w:rsidRPr="006A2EF3" w:rsidRDefault="00B60C9F" w:rsidP="000D5D04">
            <w:pPr>
              <w:spacing w:after="0" w:line="240" w:lineRule="auto"/>
              <w:jc w:val="center"/>
              <w:rPr>
                <w:rFonts w:eastAsia="Times New Roman" w:cs="Arial"/>
                <w:b/>
                <w:color w:val="FFFFFF"/>
                <w:szCs w:val="22"/>
                <w:lang w:eastAsia="en-AU"/>
              </w:rPr>
            </w:pPr>
            <w:r w:rsidRPr="006A2EF3">
              <w:rPr>
                <w:rFonts w:eastAsia="Times New Roman" w:cs="Arial"/>
                <w:b/>
                <w:color w:val="FFFFFF"/>
                <w:szCs w:val="22"/>
                <w:lang w:eastAsia="en-AU"/>
              </w:rPr>
              <w:t>Sep-20</w:t>
            </w:r>
          </w:p>
        </w:tc>
        <w:tc>
          <w:tcPr>
            <w:tcW w:w="1701" w:type="dxa"/>
            <w:shd w:val="clear" w:color="000000" w:fill="6B2976"/>
            <w:vAlign w:val="center"/>
            <w:hideMark/>
          </w:tcPr>
          <w:p w:rsidR="00B60C9F" w:rsidRPr="006A2EF3" w:rsidRDefault="00B60C9F" w:rsidP="000D5D04">
            <w:pPr>
              <w:spacing w:after="0" w:line="240" w:lineRule="auto"/>
              <w:jc w:val="center"/>
              <w:rPr>
                <w:rFonts w:eastAsia="Times New Roman" w:cs="Arial"/>
                <w:b/>
                <w:color w:val="FFFFFF"/>
                <w:szCs w:val="22"/>
                <w:lang w:eastAsia="en-AU"/>
              </w:rPr>
            </w:pPr>
            <w:r w:rsidRPr="006A2EF3">
              <w:rPr>
                <w:rFonts w:eastAsia="Times New Roman" w:cs="Arial"/>
                <w:b/>
                <w:color w:val="FFFFFF"/>
                <w:szCs w:val="22"/>
                <w:lang w:eastAsia="en-AU"/>
              </w:rPr>
              <w:t xml:space="preserve">Oct-20 to </w:t>
            </w:r>
          </w:p>
          <w:p w:rsidR="00B60C9F" w:rsidRPr="006A2EF3" w:rsidRDefault="00B60C9F" w:rsidP="000D5D04">
            <w:pPr>
              <w:spacing w:after="0" w:line="240" w:lineRule="auto"/>
              <w:jc w:val="center"/>
              <w:rPr>
                <w:rFonts w:eastAsia="Times New Roman" w:cs="Arial"/>
                <w:b/>
                <w:color w:val="FFFFFF"/>
                <w:szCs w:val="22"/>
                <w:lang w:eastAsia="en-AU"/>
              </w:rPr>
            </w:pPr>
            <w:r w:rsidRPr="006A2EF3">
              <w:rPr>
                <w:rFonts w:eastAsia="Times New Roman" w:cs="Arial"/>
                <w:b/>
                <w:color w:val="FFFFFF"/>
                <w:szCs w:val="22"/>
                <w:lang w:eastAsia="en-AU"/>
              </w:rPr>
              <w:t>Sep-21</w:t>
            </w:r>
          </w:p>
        </w:tc>
      </w:tr>
      <w:tr w:rsidR="00B60C9F" w:rsidRPr="006A2EF3" w:rsidTr="000D5D04">
        <w:trPr>
          <w:trHeight w:val="282"/>
          <w:jc w:val="center"/>
        </w:trPr>
        <w:tc>
          <w:tcPr>
            <w:tcW w:w="3042" w:type="dxa"/>
            <w:shd w:val="clear" w:color="auto" w:fill="BCBEC0"/>
            <w:noWrap/>
            <w:hideMark/>
          </w:tcPr>
          <w:p w:rsidR="00B60C9F" w:rsidRPr="006A2EF3" w:rsidRDefault="00B60C9F" w:rsidP="000D5D04">
            <w:pPr>
              <w:spacing w:after="0" w:line="240" w:lineRule="auto"/>
              <w:rPr>
                <w:rFonts w:eastAsia="Times New Roman" w:cs="Arial"/>
                <w:color w:val="000000"/>
                <w:szCs w:val="22"/>
                <w:lang w:eastAsia="en-AU"/>
              </w:rPr>
            </w:pPr>
            <w:r w:rsidRPr="006A2EF3">
              <w:rPr>
                <w:rFonts w:eastAsiaTheme="minorHAnsi" w:cs="Arial"/>
                <w:szCs w:val="22"/>
                <w:lang w:eastAsia="en-US"/>
              </w:rPr>
              <w:t>ABI</w:t>
            </w:r>
          </w:p>
        </w:tc>
        <w:tc>
          <w:tcPr>
            <w:tcW w:w="1701" w:type="dxa"/>
            <w:shd w:val="clear" w:color="auto" w:fill="auto"/>
            <w:noWrap/>
            <w:hideMark/>
          </w:tcPr>
          <w:p w:rsidR="00B60C9F" w:rsidRPr="006A2EF3" w:rsidRDefault="00B60C9F" w:rsidP="000D5D04">
            <w:pPr>
              <w:spacing w:after="0" w:line="240" w:lineRule="auto"/>
              <w:jc w:val="center"/>
              <w:rPr>
                <w:rFonts w:eastAsia="Times New Roman" w:cs="Arial"/>
                <w:szCs w:val="22"/>
                <w:lang w:eastAsia="en-AU"/>
              </w:rPr>
            </w:pPr>
            <w:r>
              <w:rPr>
                <w:rFonts w:eastAsiaTheme="minorHAnsi" w:cs="Arial"/>
                <w:szCs w:val="22"/>
                <w:lang w:eastAsia="en-US"/>
              </w:rPr>
              <w:t>$</w:t>
            </w:r>
            <w:r w:rsidRPr="006A2EF3">
              <w:rPr>
                <w:rFonts w:eastAsiaTheme="minorHAnsi" w:cs="Arial"/>
                <w:szCs w:val="22"/>
                <w:lang w:eastAsia="en-US"/>
              </w:rPr>
              <w:t>60,933</w:t>
            </w:r>
          </w:p>
        </w:tc>
        <w:tc>
          <w:tcPr>
            <w:tcW w:w="1700" w:type="dxa"/>
            <w:shd w:val="clear" w:color="auto" w:fill="auto"/>
            <w:noWrap/>
            <w:hideMark/>
          </w:tcPr>
          <w:p w:rsidR="00B60C9F" w:rsidRPr="006A2EF3" w:rsidRDefault="00B60C9F" w:rsidP="000D5D04">
            <w:pPr>
              <w:spacing w:after="0" w:line="240" w:lineRule="auto"/>
              <w:jc w:val="center"/>
              <w:rPr>
                <w:rFonts w:eastAsia="Times New Roman" w:cs="Arial"/>
                <w:szCs w:val="22"/>
                <w:lang w:eastAsia="en-AU"/>
              </w:rPr>
            </w:pPr>
            <w:r>
              <w:rPr>
                <w:rFonts w:eastAsiaTheme="minorHAnsi" w:cs="Arial"/>
                <w:szCs w:val="22"/>
                <w:lang w:eastAsia="en-US"/>
              </w:rPr>
              <w:t>$</w:t>
            </w:r>
            <w:r w:rsidRPr="006A2EF3">
              <w:rPr>
                <w:rFonts w:eastAsiaTheme="minorHAnsi" w:cs="Arial"/>
                <w:szCs w:val="22"/>
                <w:lang w:eastAsia="en-US"/>
              </w:rPr>
              <w:t>80,397</w:t>
            </w:r>
          </w:p>
        </w:tc>
        <w:tc>
          <w:tcPr>
            <w:tcW w:w="1701" w:type="dxa"/>
            <w:shd w:val="clear" w:color="auto" w:fill="auto"/>
            <w:noWrap/>
            <w:hideMark/>
          </w:tcPr>
          <w:p w:rsidR="00B60C9F" w:rsidRPr="006A2EF3" w:rsidRDefault="00B60C9F" w:rsidP="000D5D04">
            <w:pPr>
              <w:spacing w:after="0" w:line="240" w:lineRule="auto"/>
              <w:jc w:val="center"/>
              <w:rPr>
                <w:rFonts w:eastAsia="Times New Roman" w:cs="Arial"/>
                <w:szCs w:val="22"/>
                <w:lang w:eastAsia="en-AU"/>
              </w:rPr>
            </w:pPr>
            <w:r>
              <w:rPr>
                <w:rFonts w:eastAsiaTheme="minorHAnsi" w:cs="Arial"/>
                <w:szCs w:val="22"/>
                <w:lang w:eastAsia="en-US"/>
              </w:rPr>
              <w:t>$</w:t>
            </w:r>
            <w:r w:rsidRPr="006A2EF3">
              <w:rPr>
                <w:rFonts w:eastAsiaTheme="minorHAnsi" w:cs="Arial"/>
                <w:szCs w:val="22"/>
                <w:lang w:eastAsia="en-US"/>
              </w:rPr>
              <w:t>95,438</w:t>
            </w:r>
          </w:p>
        </w:tc>
      </w:tr>
      <w:tr w:rsidR="00B60C9F" w:rsidRPr="006A2EF3" w:rsidTr="000D5D04">
        <w:trPr>
          <w:trHeight w:val="282"/>
          <w:jc w:val="center"/>
        </w:trPr>
        <w:tc>
          <w:tcPr>
            <w:tcW w:w="3042" w:type="dxa"/>
            <w:shd w:val="clear" w:color="auto" w:fill="BCBEC0"/>
            <w:noWrap/>
            <w:hideMark/>
          </w:tcPr>
          <w:p w:rsidR="00B60C9F" w:rsidRPr="006A2EF3" w:rsidRDefault="00B60C9F" w:rsidP="000D5D04">
            <w:pPr>
              <w:spacing w:after="0" w:line="240" w:lineRule="auto"/>
              <w:rPr>
                <w:rFonts w:eastAsia="Times New Roman" w:cs="Arial"/>
                <w:color w:val="000000"/>
                <w:szCs w:val="22"/>
                <w:lang w:eastAsia="en-AU"/>
              </w:rPr>
            </w:pPr>
            <w:r w:rsidRPr="006A2EF3">
              <w:rPr>
                <w:rFonts w:eastAsiaTheme="minorHAnsi" w:cs="Arial"/>
                <w:szCs w:val="22"/>
                <w:lang w:eastAsia="en-US"/>
              </w:rPr>
              <w:t>Autism</w:t>
            </w:r>
          </w:p>
        </w:tc>
        <w:tc>
          <w:tcPr>
            <w:tcW w:w="1701" w:type="dxa"/>
            <w:shd w:val="clear" w:color="auto" w:fill="auto"/>
            <w:noWrap/>
            <w:hideMark/>
          </w:tcPr>
          <w:p w:rsidR="00B60C9F" w:rsidRPr="006A2EF3" w:rsidRDefault="00B60C9F" w:rsidP="000D5D04">
            <w:pPr>
              <w:spacing w:after="0" w:line="240" w:lineRule="auto"/>
              <w:jc w:val="center"/>
              <w:rPr>
                <w:rFonts w:eastAsia="Times New Roman" w:cs="Arial"/>
                <w:szCs w:val="22"/>
                <w:lang w:eastAsia="en-AU"/>
              </w:rPr>
            </w:pPr>
            <w:r>
              <w:rPr>
                <w:rFonts w:eastAsiaTheme="minorHAnsi" w:cs="Arial"/>
                <w:szCs w:val="22"/>
                <w:lang w:eastAsia="en-US"/>
              </w:rPr>
              <w:t>$</w:t>
            </w:r>
            <w:r w:rsidRPr="006A2EF3">
              <w:rPr>
                <w:rFonts w:eastAsiaTheme="minorHAnsi" w:cs="Arial"/>
                <w:szCs w:val="22"/>
                <w:lang w:eastAsia="en-US"/>
              </w:rPr>
              <w:t>37,847</w:t>
            </w:r>
          </w:p>
        </w:tc>
        <w:tc>
          <w:tcPr>
            <w:tcW w:w="1700" w:type="dxa"/>
            <w:shd w:val="clear" w:color="auto" w:fill="auto"/>
            <w:noWrap/>
            <w:hideMark/>
          </w:tcPr>
          <w:p w:rsidR="00B60C9F" w:rsidRPr="006A2EF3" w:rsidRDefault="00B60C9F" w:rsidP="000D5D04">
            <w:pPr>
              <w:spacing w:after="0" w:line="240" w:lineRule="auto"/>
              <w:jc w:val="center"/>
              <w:rPr>
                <w:rFonts w:eastAsia="Times New Roman" w:cs="Arial"/>
                <w:szCs w:val="22"/>
                <w:lang w:eastAsia="en-AU"/>
              </w:rPr>
            </w:pPr>
            <w:r>
              <w:rPr>
                <w:rFonts w:eastAsiaTheme="minorHAnsi" w:cs="Arial"/>
                <w:szCs w:val="22"/>
                <w:lang w:eastAsia="en-US"/>
              </w:rPr>
              <w:t>$</w:t>
            </w:r>
            <w:r w:rsidRPr="006A2EF3">
              <w:rPr>
                <w:rFonts w:eastAsiaTheme="minorHAnsi" w:cs="Arial"/>
                <w:szCs w:val="22"/>
                <w:lang w:eastAsia="en-US"/>
              </w:rPr>
              <w:t>46,981</w:t>
            </w:r>
          </w:p>
        </w:tc>
        <w:tc>
          <w:tcPr>
            <w:tcW w:w="1701" w:type="dxa"/>
            <w:shd w:val="clear" w:color="auto" w:fill="auto"/>
            <w:noWrap/>
            <w:hideMark/>
          </w:tcPr>
          <w:p w:rsidR="00B60C9F" w:rsidRPr="006A2EF3" w:rsidRDefault="00B60C9F" w:rsidP="000D5D04">
            <w:pPr>
              <w:spacing w:after="0" w:line="240" w:lineRule="auto"/>
              <w:jc w:val="center"/>
              <w:rPr>
                <w:rFonts w:eastAsia="Times New Roman" w:cs="Arial"/>
                <w:szCs w:val="22"/>
                <w:lang w:eastAsia="en-AU"/>
              </w:rPr>
            </w:pPr>
            <w:r>
              <w:rPr>
                <w:rFonts w:eastAsiaTheme="minorHAnsi" w:cs="Arial"/>
                <w:szCs w:val="22"/>
                <w:lang w:eastAsia="en-US"/>
              </w:rPr>
              <w:t>$</w:t>
            </w:r>
            <w:r w:rsidRPr="006A2EF3">
              <w:rPr>
                <w:rFonts w:eastAsiaTheme="minorHAnsi" w:cs="Arial"/>
                <w:szCs w:val="22"/>
                <w:lang w:eastAsia="en-US"/>
              </w:rPr>
              <w:t>53,154</w:t>
            </w:r>
          </w:p>
        </w:tc>
      </w:tr>
      <w:tr w:rsidR="00B60C9F" w:rsidRPr="006A2EF3" w:rsidTr="000D5D04">
        <w:trPr>
          <w:trHeight w:val="282"/>
          <w:jc w:val="center"/>
        </w:trPr>
        <w:tc>
          <w:tcPr>
            <w:tcW w:w="3042" w:type="dxa"/>
            <w:shd w:val="clear" w:color="auto" w:fill="BCBEC0"/>
            <w:noWrap/>
          </w:tcPr>
          <w:p w:rsidR="00B60C9F" w:rsidRPr="006A2EF3" w:rsidRDefault="00B60C9F" w:rsidP="000D5D04">
            <w:pPr>
              <w:spacing w:after="0" w:line="240" w:lineRule="auto"/>
              <w:rPr>
                <w:rFonts w:eastAsia="Times New Roman" w:cs="Arial"/>
                <w:color w:val="000000"/>
                <w:szCs w:val="22"/>
                <w:lang w:eastAsia="en-AU"/>
              </w:rPr>
            </w:pPr>
            <w:r w:rsidRPr="006A2EF3">
              <w:rPr>
                <w:rFonts w:eastAsiaTheme="minorHAnsi" w:cs="Arial"/>
                <w:szCs w:val="22"/>
                <w:lang w:eastAsia="en-US"/>
              </w:rPr>
              <w:t>Cerebral Palsy</w:t>
            </w:r>
          </w:p>
        </w:tc>
        <w:tc>
          <w:tcPr>
            <w:tcW w:w="1701" w:type="dxa"/>
            <w:shd w:val="clear" w:color="auto" w:fill="auto"/>
            <w:noWrap/>
          </w:tcPr>
          <w:p w:rsidR="00B60C9F" w:rsidRPr="006A2EF3" w:rsidRDefault="00B60C9F" w:rsidP="000D5D04">
            <w:pPr>
              <w:spacing w:after="0" w:line="240" w:lineRule="auto"/>
              <w:jc w:val="center"/>
              <w:rPr>
                <w:rFonts w:eastAsia="Times New Roman" w:cs="Arial"/>
                <w:szCs w:val="22"/>
                <w:lang w:eastAsia="en-AU"/>
              </w:rPr>
            </w:pPr>
            <w:r>
              <w:rPr>
                <w:rFonts w:eastAsiaTheme="minorHAnsi" w:cs="Arial"/>
                <w:szCs w:val="22"/>
                <w:lang w:eastAsia="en-US"/>
              </w:rPr>
              <w:t>$</w:t>
            </w:r>
            <w:r w:rsidRPr="006A2EF3">
              <w:rPr>
                <w:rFonts w:eastAsiaTheme="minorHAnsi" w:cs="Arial"/>
                <w:szCs w:val="22"/>
                <w:lang w:eastAsia="en-US"/>
              </w:rPr>
              <w:t>97,771</w:t>
            </w:r>
          </w:p>
        </w:tc>
        <w:tc>
          <w:tcPr>
            <w:tcW w:w="1700" w:type="dxa"/>
            <w:shd w:val="clear" w:color="auto" w:fill="auto"/>
            <w:noWrap/>
          </w:tcPr>
          <w:p w:rsidR="00B60C9F" w:rsidRPr="006A2EF3" w:rsidRDefault="00B60C9F" w:rsidP="000D5D04">
            <w:pPr>
              <w:spacing w:after="0" w:line="240" w:lineRule="auto"/>
              <w:jc w:val="center"/>
              <w:rPr>
                <w:rFonts w:eastAsia="Times New Roman" w:cs="Arial"/>
                <w:szCs w:val="22"/>
                <w:lang w:eastAsia="en-AU"/>
              </w:rPr>
            </w:pPr>
            <w:r>
              <w:rPr>
                <w:rFonts w:eastAsiaTheme="minorHAnsi" w:cs="Arial"/>
                <w:szCs w:val="22"/>
                <w:lang w:eastAsia="en-US"/>
              </w:rPr>
              <w:t>$</w:t>
            </w:r>
            <w:r w:rsidRPr="006A2EF3">
              <w:rPr>
                <w:rFonts w:eastAsiaTheme="minorHAnsi" w:cs="Arial"/>
                <w:szCs w:val="22"/>
                <w:lang w:eastAsia="en-US"/>
              </w:rPr>
              <w:t>122,337</w:t>
            </w:r>
          </w:p>
        </w:tc>
        <w:tc>
          <w:tcPr>
            <w:tcW w:w="1701" w:type="dxa"/>
            <w:shd w:val="clear" w:color="auto" w:fill="auto"/>
            <w:noWrap/>
          </w:tcPr>
          <w:p w:rsidR="00B60C9F" w:rsidRPr="006A2EF3" w:rsidRDefault="00B60C9F" w:rsidP="000D5D04">
            <w:pPr>
              <w:spacing w:after="0" w:line="240" w:lineRule="auto"/>
              <w:jc w:val="center"/>
              <w:rPr>
                <w:rFonts w:eastAsia="Times New Roman" w:cs="Arial"/>
                <w:szCs w:val="22"/>
                <w:lang w:eastAsia="en-AU"/>
              </w:rPr>
            </w:pPr>
            <w:r>
              <w:rPr>
                <w:rFonts w:eastAsiaTheme="minorHAnsi" w:cs="Arial"/>
                <w:szCs w:val="22"/>
                <w:lang w:eastAsia="en-US"/>
              </w:rPr>
              <w:t>$</w:t>
            </w:r>
            <w:r w:rsidRPr="006A2EF3">
              <w:rPr>
                <w:rFonts w:eastAsiaTheme="minorHAnsi" w:cs="Arial"/>
                <w:szCs w:val="22"/>
                <w:lang w:eastAsia="en-US"/>
              </w:rPr>
              <w:t>137,895</w:t>
            </w:r>
          </w:p>
        </w:tc>
      </w:tr>
      <w:tr w:rsidR="00B60C9F" w:rsidRPr="006A2EF3" w:rsidTr="000D5D04">
        <w:trPr>
          <w:trHeight w:val="282"/>
          <w:jc w:val="center"/>
        </w:trPr>
        <w:tc>
          <w:tcPr>
            <w:tcW w:w="3042" w:type="dxa"/>
            <w:shd w:val="clear" w:color="auto" w:fill="BCBEC0"/>
            <w:noWrap/>
          </w:tcPr>
          <w:p w:rsidR="00B60C9F" w:rsidRPr="006A2EF3" w:rsidRDefault="00B60C9F" w:rsidP="000D5D04">
            <w:pPr>
              <w:spacing w:after="0" w:line="240" w:lineRule="auto"/>
              <w:rPr>
                <w:rFonts w:eastAsia="Times New Roman" w:cs="Arial"/>
                <w:color w:val="000000"/>
                <w:szCs w:val="22"/>
                <w:lang w:eastAsia="en-AU"/>
              </w:rPr>
            </w:pPr>
            <w:r w:rsidRPr="006A2EF3">
              <w:rPr>
                <w:rFonts w:eastAsiaTheme="minorHAnsi" w:cs="Arial"/>
                <w:szCs w:val="22"/>
                <w:lang w:eastAsia="en-US"/>
              </w:rPr>
              <w:t>Developmental Delay</w:t>
            </w:r>
          </w:p>
        </w:tc>
        <w:tc>
          <w:tcPr>
            <w:tcW w:w="1701" w:type="dxa"/>
            <w:shd w:val="clear" w:color="auto" w:fill="auto"/>
            <w:noWrap/>
          </w:tcPr>
          <w:p w:rsidR="00B60C9F" w:rsidRPr="006A2EF3" w:rsidRDefault="00B60C9F" w:rsidP="000D5D04">
            <w:pPr>
              <w:spacing w:after="0" w:line="240" w:lineRule="auto"/>
              <w:jc w:val="center"/>
              <w:rPr>
                <w:rFonts w:eastAsia="Times New Roman" w:cs="Arial"/>
                <w:szCs w:val="22"/>
                <w:lang w:eastAsia="en-AU"/>
              </w:rPr>
            </w:pPr>
            <w:r>
              <w:rPr>
                <w:rFonts w:eastAsiaTheme="minorHAnsi" w:cs="Arial"/>
                <w:szCs w:val="22"/>
                <w:lang w:eastAsia="en-US"/>
              </w:rPr>
              <w:t>$</w:t>
            </w:r>
            <w:r w:rsidRPr="006A2EF3">
              <w:rPr>
                <w:rFonts w:eastAsiaTheme="minorHAnsi" w:cs="Arial"/>
                <w:szCs w:val="22"/>
                <w:lang w:eastAsia="en-US"/>
              </w:rPr>
              <w:t>11,535</w:t>
            </w:r>
          </w:p>
        </w:tc>
        <w:tc>
          <w:tcPr>
            <w:tcW w:w="1700" w:type="dxa"/>
            <w:shd w:val="clear" w:color="auto" w:fill="auto"/>
            <w:noWrap/>
          </w:tcPr>
          <w:p w:rsidR="00B60C9F" w:rsidRPr="006A2EF3" w:rsidRDefault="00B60C9F" w:rsidP="000D5D04">
            <w:pPr>
              <w:spacing w:after="0" w:line="240" w:lineRule="auto"/>
              <w:jc w:val="center"/>
              <w:rPr>
                <w:rFonts w:eastAsia="Times New Roman" w:cs="Arial"/>
                <w:szCs w:val="22"/>
                <w:lang w:eastAsia="en-AU"/>
              </w:rPr>
            </w:pPr>
            <w:r>
              <w:rPr>
                <w:rFonts w:eastAsiaTheme="minorHAnsi" w:cs="Arial"/>
                <w:szCs w:val="22"/>
                <w:lang w:eastAsia="en-US"/>
              </w:rPr>
              <w:t>$</w:t>
            </w:r>
            <w:r w:rsidRPr="006A2EF3">
              <w:rPr>
                <w:rFonts w:eastAsiaTheme="minorHAnsi" w:cs="Arial"/>
                <w:szCs w:val="22"/>
                <w:lang w:eastAsia="en-US"/>
              </w:rPr>
              <w:t>14,481</w:t>
            </w:r>
          </w:p>
        </w:tc>
        <w:tc>
          <w:tcPr>
            <w:tcW w:w="1701" w:type="dxa"/>
            <w:shd w:val="clear" w:color="auto" w:fill="auto"/>
            <w:noWrap/>
          </w:tcPr>
          <w:p w:rsidR="00B60C9F" w:rsidRPr="006A2EF3" w:rsidRDefault="00B60C9F" w:rsidP="000D5D04">
            <w:pPr>
              <w:spacing w:after="0" w:line="240" w:lineRule="auto"/>
              <w:jc w:val="center"/>
              <w:rPr>
                <w:rFonts w:eastAsia="Times New Roman" w:cs="Arial"/>
                <w:szCs w:val="22"/>
                <w:lang w:eastAsia="en-AU"/>
              </w:rPr>
            </w:pPr>
            <w:r>
              <w:rPr>
                <w:rFonts w:eastAsiaTheme="minorHAnsi" w:cs="Arial"/>
                <w:szCs w:val="22"/>
                <w:lang w:eastAsia="en-US"/>
              </w:rPr>
              <w:t>$</w:t>
            </w:r>
            <w:r w:rsidRPr="006A2EF3">
              <w:rPr>
                <w:rFonts w:eastAsiaTheme="minorHAnsi" w:cs="Arial"/>
                <w:szCs w:val="22"/>
                <w:lang w:eastAsia="en-US"/>
              </w:rPr>
              <w:t>18,329</w:t>
            </w:r>
          </w:p>
        </w:tc>
      </w:tr>
      <w:tr w:rsidR="00B60C9F" w:rsidRPr="006A2EF3" w:rsidTr="000D5D04">
        <w:trPr>
          <w:trHeight w:val="282"/>
          <w:jc w:val="center"/>
        </w:trPr>
        <w:tc>
          <w:tcPr>
            <w:tcW w:w="3042" w:type="dxa"/>
            <w:shd w:val="clear" w:color="auto" w:fill="BCBEC0"/>
            <w:noWrap/>
          </w:tcPr>
          <w:p w:rsidR="00B60C9F" w:rsidRPr="006A2EF3" w:rsidRDefault="00B60C9F" w:rsidP="000D5D04">
            <w:pPr>
              <w:spacing w:after="0" w:line="240" w:lineRule="auto"/>
              <w:rPr>
                <w:rFonts w:eastAsia="Times New Roman" w:cs="Arial"/>
                <w:color w:val="000000"/>
                <w:szCs w:val="22"/>
                <w:lang w:eastAsia="en-AU"/>
              </w:rPr>
            </w:pPr>
            <w:r w:rsidRPr="006A2EF3">
              <w:rPr>
                <w:rFonts w:eastAsiaTheme="minorHAnsi" w:cs="Arial"/>
                <w:szCs w:val="22"/>
                <w:lang w:eastAsia="en-US"/>
              </w:rPr>
              <w:t>Down Syndrome</w:t>
            </w:r>
          </w:p>
        </w:tc>
        <w:tc>
          <w:tcPr>
            <w:tcW w:w="1701" w:type="dxa"/>
            <w:shd w:val="clear" w:color="auto" w:fill="auto"/>
            <w:noWrap/>
          </w:tcPr>
          <w:p w:rsidR="00B60C9F" w:rsidRPr="006A2EF3" w:rsidRDefault="00B60C9F" w:rsidP="000D5D04">
            <w:pPr>
              <w:spacing w:after="0" w:line="240" w:lineRule="auto"/>
              <w:jc w:val="center"/>
              <w:rPr>
                <w:rFonts w:eastAsia="Times New Roman" w:cs="Arial"/>
                <w:szCs w:val="22"/>
                <w:lang w:eastAsia="en-AU"/>
              </w:rPr>
            </w:pPr>
            <w:r>
              <w:rPr>
                <w:rFonts w:eastAsiaTheme="minorHAnsi" w:cs="Arial"/>
                <w:szCs w:val="22"/>
                <w:lang w:eastAsia="en-US"/>
              </w:rPr>
              <w:t>$</w:t>
            </w:r>
            <w:r w:rsidRPr="006A2EF3">
              <w:rPr>
                <w:rFonts w:eastAsiaTheme="minorHAnsi" w:cs="Arial"/>
                <w:szCs w:val="22"/>
                <w:lang w:eastAsia="en-US"/>
              </w:rPr>
              <w:t>62,469</w:t>
            </w:r>
          </w:p>
        </w:tc>
        <w:tc>
          <w:tcPr>
            <w:tcW w:w="1700" w:type="dxa"/>
            <w:shd w:val="clear" w:color="auto" w:fill="auto"/>
            <w:noWrap/>
          </w:tcPr>
          <w:p w:rsidR="00B60C9F" w:rsidRPr="006A2EF3" w:rsidRDefault="00B60C9F" w:rsidP="000D5D04">
            <w:pPr>
              <w:spacing w:after="0" w:line="240" w:lineRule="auto"/>
              <w:jc w:val="center"/>
              <w:rPr>
                <w:rFonts w:eastAsia="Times New Roman" w:cs="Arial"/>
                <w:szCs w:val="22"/>
                <w:lang w:eastAsia="en-AU"/>
              </w:rPr>
            </w:pPr>
            <w:r>
              <w:rPr>
                <w:rFonts w:eastAsiaTheme="minorHAnsi" w:cs="Arial"/>
                <w:szCs w:val="22"/>
                <w:lang w:eastAsia="en-US"/>
              </w:rPr>
              <w:t>$</w:t>
            </w:r>
            <w:r w:rsidRPr="006A2EF3">
              <w:rPr>
                <w:rFonts w:eastAsiaTheme="minorHAnsi" w:cs="Arial"/>
                <w:szCs w:val="22"/>
                <w:lang w:eastAsia="en-US"/>
              </w:rPr>
              <w:t>75,669</w:t>
            </w:r>
          </w:p>
        </w:tc>
        <w:tc>
          <w:tcPr>
            <w:tcW w:w="1701" w:type="dxa"/>
            <w:shd w:val="clear" w:color="auto" w:fill="auto"/>
            <w:noWrap/>
          </w:tcPr>
          <w:p w:rsidR="00B60C9F" w:rsidRPr="006A2EF3" w:rsidRDefault="00B60C9F" w:rsidP="000D5D04">
            <w:pPr>
              <w:spacing w:after="0" w:line="240" w:lineRule="auto"/>
              <w:jc w:val="center"/>
              <w:rPr>
                <w:rFonts w:eastAsia="Times New Roman" w:cs="Arial"/>
                <w:szCs w:val="22"/>
                <w:lang w:eastAsia="en-AU"/>
              </w:rPr>
            </w:pPr>
            <w:r>
              <w:rPr>
                <w:rFonts w:eastAsiaTheme="minorHAnsi" w:cs="Arial"/>
                <w:szCs w:val="22"/>
                <w:lang w:eastAsia="en-US"/>
              </w:rPr>
              <w:t>$</w:t>
            </w:r>
            <w:r w:rsidRPr="006A2EF3">
              <w:rPr>
                <w:rFonts w:eastAsiaTheme="minorHAnsi" w:cs="Arial"/>
                <w:szCs w:val="22"/>
                <w:lang w:eastAsia="en-US"/>
              </w:rPr>
              <w:t>89,492</w:t>
            </w:r>
          </w:p>
        </w:tc>
      </w:tr>
      <w:tr w:rsidR="00B60C9F" w:rsidRPr="006A2EF3" w:rsidTr="000D5D04">
        <w:trPr>
          <w:trHeight w:val="282"/>
          <w:jc w:val="center"/>
        </w:trPr>
        <w:tc>
          <w:tcPr>
            <w:tcW w:w="3042" w:type="dxa"/>
            <w:shd w:val="clear" w:color="auto" w:fill="BCBEC0"/>
            <w:noWrap/>
          </w:tcPr>
          <w:p w:rsidR="00B60C9F" w:rsidRPr="006A2EF3" w:rsidRDefault="00B60C9F" w:rsidP="000D5D04">
            <w:pPr>
              <w:spacing w:after="0" w:line="240" w:lineRule="auto"/>
              <w:rPr>
                <w:rFonts w:eastAsia="Times New Roman" w:cs="Arial"/>
                <w:color w:val="000000"/>
                <w:szCs w:val="22"/>
                <w:lang w:eastAsia="en-AU"/>
              </w:rPr>
            </w:pPr>
            <w:r w:rsidRPr="006A2EF3">
              <w:rPr>
                <w:rFonts w:eastAsiaTheme="minorHAnsi" w:cs="Arial"/>
                <w:szCs w:val="22"/>
                <w:lang w:eastAsia="en-US"/>
              </w:rPr>
              <w:t>Global Developmental Delay</w:t>
            </w:r>
          </w:p>
        </w:tc>
        <w:tc>
          <w:tcPr>
            <w:tcW w:w="1701" w:type="dxa"/>
            <w:shd w:val="clear" w:color="auto" w:fill="auto"/>
            <w:noWrap/>
          </w:tcPr>
          <w:p w:rsidR="00B60C9F" w:rsidRPr="006A2EF3" w:rsidRDefault="00B60C9F" w:rsidP="000D5D04">
            <w:pPr>
              <w:spacing w:after="0" w:line="240" w:lineRule="auto"/>
              <w:jc w:val="center"/>
              <w:rPr>
                <w:rFonts w:eastAsia="Times New Roman" w:cs="Arial"/>
                <w:szCs w:val="22"/>
                <w:lang w:eastAsia="en-AU"/>
              </w:rPr>
            </w:pPr>
            <w:r>
              <w:rPr>
                <w:rFonts w:eastAsiaTheme="minorHAnsi" w:cs="Arial"/>
                <w:szCs w:val="22"/>
                <w:lang w:eastAsia="en-US"/>
              </w:rPr>
              <w:t>$</w:t>
            </w:r>
            <w:r w:rsidRPr="006A2EF3">
              <w:rPr>
                <w:rFonts w:eastAsiaTheme="minorHAnsi" w:cs="Arial"/>
                <w:szCs w:val="22"/>
                <w:lang w:eastAsia="en-US"/>
              </w:rPr>
              <w:t>15,935</w:t>
            </w:r>
          </w:p>
        </w:tc>
        <w:tc>
          <w:tcPr>
            <w:tcW w:w="1700" w:type="dxa"/>
            <w:shd w:val="clear" w:color="auto" w:fill="auto"/>
            <w:noWrap/>
          </w:tcPr>
          <w:p w:rsidR="00B60C9F" w:rsidRPr="006A2EF3" w:rsidRDefault="00B60C9F" w:rsidP="000D5D04">
            <w:pPr>
              <w:spacing w:after="0" w:line="240" w:lineRule="auto"/>
              <w:jc w:val="center"/>
              <w:rPr>
                <w:rFonts w:eastAsia="Times New Roman" w:cs="Arial"/>
                <w:szCs w:val="22"/>
                <w:lang w:eastAsia="en-AU"/>
              </w:rPr>
            </w:pPr>
            <w:r>
              <w:rPr>
                <w:rFonts w:eastAsiaTheme="minorHAnsi" w:cs="Arial"/>
                <w:szCs w:val="22"/>
                <w:lang w:eastAsia="en-US"/>
              </w:rPr>
              <w:t>$</w:t>
            </w:r>
            <w:r w:rsidRPr="006A2EF3">
              <w:rPr>
                <w:rFonts w:eastAsiaTheme="minorHAnsi" w:cs="Arial"/>
                <w:szCs w:val="22"/>
                <w:lang w:eastAsia="en-US"/>
              </w:rPr>
              <w:t>21,937</w:t>
            </w:r>
          </w:p>
        </w:tc>
        <w:tc>
          <w:tcPr>
            <w:tcW w:w="1701" w:type="dxa"/>
            <w:shd w:val="clear" w:color="auto" w:fill="auto"/>
            <w:noWrap/>
          </w:tcPr>
          <w:p w:rsidR="00B60C9F" w:rsidRPr="006A2EF3" w:rsidRDefault="00B60C9F" w:rsidP="000D5D04">
            <w:pPr>
              <w:spacing w:after="0" w:line="240" w:lineRule="auto"/>
              <w:jc w:val="center"/>
              <w:rPr>
                <w:rFonts w:eastAsia="Times New Roman" w:cs="Arial"/>
                <w:szCs w:val="22"/>
                <w:lang w:eastAsia="en-AU"/>
              </w:rPr>
            </w:pPr>
            <w:r>
              <w:rPr>
                <w:rFonts w:eastAsiaTheme="minorHAnsi" w:cs="Arial"/>
                <w:szCs w:val="22"/>
                <w:lang w:eastAsia="en-US"/>
              </w:rPr>
              <w:t>$</w:t>
            </w:r>
            <w:r w:rsidRPr="006A2EF3">
              <w:rPr>
                <w:rFonts w:eastAsiaTheme="minorHAnsi" w:cs="Arial"/>
                <w:szCs w:val="22"/>
                <w:lang w:eastAsia="en-US"/>
              </w:rPr>
              <w:t>24,377</w:t>
            </w:r>
          </w:p>
        </w:tc>
      </w:tr>
      <w:tr w:rsidR="00B60C9F" w:rsidRPr="006A2EF3" w:rsidTr="000D5D04">
        <w:trPr>
          <w:trHeight w:val="282"/>
          <w:jc w:val="center"/>
        </w:trPr>
        <w:tc>
          <w:tcPr>
            <w:tcW w:w="3042" w:type="dxa"/>
            <w:shd w:val="clear" w:color="auto" w:fill="BCBEC0"/>
            <w:noWrap/>
          </w:tcPr>
          <w:p w:rsidR="00B60C9F" w:rsidRPr="006A2EF3" w:rsidRDefault="00B60C9F" w:rsidP="000D5D04">
            <w:pPr>
              <w:spacing w:after="0" w:line="240" w:lineRule="auto"/>
              <w:rPr>
                <w:rFonts w:eastAsia="Times New Roman" w:cs="Arial"/>
                <w:color w:val="000000"/>
                <w:szCs w:val="22"/>
                <w:lang w:eastAsia="en-AU"/>
              </w:rPr>
            </w:pPr>
            <w:r w:rsidRPr="006A2EF3">
              <w:rPr>
                <w:rFonts w:eastAsiaTheme="minorHAnsi" w:cs="Arial"/>
                <w:szCs w:val="22"/>
                <w:lang w:eastAsia="en-US"/>
              </w:rPr>
              <w:t>Hearing Impairment</w:t>
            </w:r>
          </w:p>
        </w:tc>
        <w:tc>
          <w:tcPr>
            <w:tcW w:w="1701" w:type="dxa"/>
            <w:shd w:val="clear" w:color="auto" w:fill="auto"/>
            <w:noWrap/>
          </w:tcPr>
          <w:p w:rsidR="00B60C9F" w:rsidRPr="006A2EF3" w:rsidRDefault="00B60C9F" w:rsidP="000D5D04">
            <w:pPr>
              <w:spacing w:after="0" w:line="240" w:lineRule="auto"/>
              <w:jc w:val="center"/>
              <w:rPr>
                <w:rFonts w:eastAsia="Times New Roman" w:cs="Arial"/>
                <w:szCs w:val="22"/>
                <w:lang w:eastAsia="en-AU"/>
              </w:rPr>
            </w:pPr>
            <w:r>
              <w:rPr>
                <w:rFonts w:eastAsiaTheme="minorHAnsi" w:cs="Arial"/>
                <w:szCs w:val="22"/>
                <w:lang w:eastAsia="en-US"/>
              </w:rPr>
              <w:t>$</w:t>
            </w:r>
            <w:r w:rsidRPr="006A2EF3">
              <w:rPr>
                <w:rFonts w:eastAsiaTheme="minorHAnsi" w:cs="Arial"/>
                <w:szCs w:val="22"/>
                <w:lang w:eastAsia="en-US"/>
              </w:rPr>
              <w:t>13,433</w:t>
            </w:r>
          </w:p>
        </w:tc>
        <w:tc>
          <w:tcPr>
            <w:tcW w:w="1700" w:type="dxa"/>
            <w:shd w:val="clear" w:color="auto" w:fill="auto"/>
            <w:noWrap/>
          </w:tcPr>
          <w:p w:rsidR="00B60C9F" w:rsidRPr="006A2EF3" w:rsidRDefault="00B60C9F" w:rsidP="000D5D04">
            <w:pPr>
              <w:spacing w:after="0" w:line="240" w:lineRule="auto"/>
              <w:jc w:val="center"/>
              <w:rPr>
                <w:rFonts w:eastAsia="Times New Roman" w:cs="Arial"/>
                <w:szCs w:val="22"/>
                <w:lang w:eastAsia="en-AU"/>
              </w:rPr>
            </w:pPr>
            <w:r>
              <w:rPr>
                <w:rFonts w:eastAsiaTheme="minorHAnsi" w:cs="Arial"/>
                <w:szCs w:val="22"/>
                <w:lang w:eastAsia="en-US"/>
              </w:rPr>
              <w:t>$</w:t>
            </w:r>
            <w:r w:rsidRPr="006A2EF3">
              <w:rPr>
                <w:rFonts w:eastAsiaTheme="minorHAnsi" w:cs="Arial"/>
                <w:szCs w:val="22"/>
                <w:lang w:eastAsia="en-US"/>
              </w:rPr>
              <w:t>17,612</w:t>
            </w:r>
          </w:p>
        </w:tc>
        <w:tc>
          <w:tcPr>
            <w:tcW w:w="1701" w:type="dxa"/>
            <w:shd w:val="clear" w:color="auto" w:fill="auto"/>
            <w:noWrap/>
          </w:tcPr>
          <w:p w:rsidR="00B60C9F" w:rsidRPr="006A2EF3" w:rsidRDefault="00B60C9F" w:rsidP="000D5D04">
            <w:pPr>
              <w:spacing w:after="0" w:line="240" w:lineRule="auto"/>
              <w:jc w:val="center"/>
              <w:rPr>
                <w:rFonts w:eastAsia="Times New Roman" w:cs="Arial"/>
                <w:szCs w:val="22"/>
                <w:lang w:eastAsia="en-AU"/>
              </w:rPr>
            </w:pPr>
            <w:r>
              <w:rPr>
                <w:rFonts w:eastAsiaTheme="minorHAnsi" w:cs="Arial"/>
                <w:szCs w:val="22"/>
                <w:lang w:eastAsia="en-US"/>
              </w:rPr>
              <w:t>$</w:t>
            </w:r>
            <w:r w:rsidRPr="006A2EF3">
              <w:rPr>
                <w:rFonts w:eastAsiaTheme="minorHAnsi" w:cs="Arial"/>
                <w:szCs w:val="22"/>
                <w:lang w:eastAsia="en-US"/>
              </w:rPr>
              <w:t>21,197</w:t>
            </w:r>
          </w:p>
        </w:tc>
      </w:tr>
      <w:tr w:rsidR="00B60C9F" w:rsidRPr="006A2EF3" w:rsidTr="000D5D04">
        <w:trPr>
          <w:trHeight w:val="282"/>
          <w:jc w:val="center"/>
        </w:trPr>
        <w:tc>
          <w:tcPr>
            <w:tcW w:w="3042" w:type="dxa"/>
            <w:shd w:val="clear" w:color="auto" w:fill="BCBEC0"/>
            <w:noWrap/>
          </w:tcPr>
          <w:p w:rsidR="00B60C9F" w:rsidRPr="006A2EF3" w:rsidRDefault="00B60C9F" w:rsidP="000D5D04">
            <w:pPr>
              <w:spacing w:after="0" w:line="240" w:lineRule="auto"/>
              <w:rPr>
                <w:rFonts w:eastAsia="Times New Roman" w:cs="Arial"/>
                <w:color w:val="000000"/>
                <w:szCs w:val="22"/>
                <w:lang w:eastAsia="en-AU"/>
              </w:rPr>
            </w:pPr>
            <w:r w:rsidRPr="006A2EF3">
              <w:rPr>
                <w:rFonts w:eastAsiaTheme="minorHAnsi" w:cs="Arial"/>
                <w:szCs w:val="22"/>
                <w:lang w:eastAsia="en-US"/>
              </w:rPr>
              <w:t>Intellectual disability</w:t>
            </w:r>
          </w:p>
        </w:tc>
        <w:tc>
          <w:tcPr>
            <w:tcW w:w="1701" w:type="dxa"/>
            <w:shd w:val="clear" w:color="auto" w:fill="auto"/>
            <w:noWrap/>
          </w:tcPr>
          <w:p w:rsidR="00B60C9F" w:rsidRPr="006A2EF3" w:rsidRDefault="00B60C9F" w:rsidP="000D5D04">
            <w:pPr>
              <w:spacing w:after="0" w:line="240" w:lineRule="auto"/>
              <w:jc w:val="center"/>
              <w:rPr>
                <w:rFonts w:eastAsia="Times New Roman" w:cs="Arial"/>
                <w:szCs w:val="22"/>
                <w:lang w:eastAsia="en-AU"/>
              </w:rPr>
            </w:pPr>
            <w:r>
              <w:rPr>
                <w:rFonts w:eastAsiaTheme="minorHAnsi" w:cs="Arial"/>
                <w:szCs w:val="22"/>
                <w:lang w:eastAsia="en-US"/>
              </w:rPr>
              <w:t>$</w:t>
            </w:r>
            <w:r w:rsidRPr="006A2EF3">
              <w:rPr>
                <w:rFonts w:eastAsiaTheme="minorHAnsi" w:cs="Arial"/>
                <w:szCs w:val="22"/>
                <w:lang w:eastAsia="en-US"/>
              </w:rPr>
              <w:t>47,289</w:t>
            </w:r>
          </w:p>
        </w:tc>
        <w:tc>
          <w:tcPr>
            <w:tcW w:w="1700" w:type="dxa"/>
            <w:shd w:val="clear" w:color="auto" w:fill="auto"/>
            <w:noWrap/>
          </w:tcPr>
          <w:p w:rsidR="00B60C9F" w:rsidRPr="006A2EF3" w:rsidRDefault="00B60C9F" w:rsidP="000D5D04">
            <w:pPr>
              <w:spacing w:after="0" w:line="240" w:lineRule="auto"/>
              <w:jc w:val="center"/>
              <w:rPr>
                <w:rFonts w:eastAsia="Times New Roman" w:cs="Arial"/>
                <w:szCs w:val="22"/>
                <w:lang w:eastAsia="en-AU"/>
              </w:rPr>
            </w:pPr>
            <w:r>
              <w:rPr>
                <w:rFonts w:eastAsiaTheme="minorHAnsi" w:cs="Arial"/>
                <w:szCs w:val="22"/>
                <w:lang w:eastAsia="en-US"/>
              </w:rPr>
              <w:t>$</w:t>
            </w:r>
            <w:r w:rsidRPr="006A2EF3">
              <w:rPr>
                <w:rFonts w:eastAsiaTheme="minorHAnsi" w:cs="Arial"/>
                <w:szCs w:val="22"/>
                <w:lang w:eastAsia="en-US"/>
              </w:rPr>
              <w:t>57,533</w:t>
            </w:r>
          </w:p>
        </w:tc>
        <w:tc>
          <w:tcPr>
            <w:tcW w:w="1701" w:type="dxa"/>
            <w:shd w:val="clear" w:color="auto" w:fill="auto"/>
            <w:noWrap/>
          </w:tcPr>
          <w:p w:rsidR="00B60C9F" w:rsidRPr="006A2EF3" w:rsidRDefault="00B60C9F" w:rsidP="000D5D04">
            <w:pPr>
              <w:spacing w:after="0" w:line="240" w:lineRule="auto"/>
              <w:jc w:val="center"/>
              <w:rPr>
                <w:rFonts w:eastAsia="Times New Roman" w:cs="Arial"/>
                <w:szCs w:val="22"/>
                <w:lang w:eastAsia="en-AU"/>
              </w:rPr>
            </w:pPr>
            <w:r>
              <w:rPr>
                <w:rFonts w:eastAsiaTheme="minorHAnsi" w:cs="Arial"/>
                <w:szCs w:val="22"/>
                <w:lang w:eastAsia="en-US"/>
              </w:rPr>
              <w:t>$</w:t>
            </w:r>
            <w:r w:rsidRPr="006A2EF3">
              <w:rPr>
                <w:rFonts w:eastAsiaTheme="minorHAnsi" w:cs="Arial"/>
                <w:szCs w:val="22"/>
                <w:lang w:eastAsia="en-US"/>
              </w:rPr>
              <w:t>67,112</w:t>
            </w:r>
          </w:p>
        </w:tc>
      </w:tr>
      <w:tr w:rsidR="00B60C9F" w:rsidRPr="006A2EF3" w:rsidTr="000D5D04">
        <w:trPr>
          <w:trHeight w:val="282"/>
          <w:jc w:val="center"/>
        </w:trPr>
        <w:tc>
          <w:tcPr>
            <w:tcW w:w="3042" w:type="dxa"/>
            <w:shd w:val="clear" w:color="auto" w:fill="BCBEC0"/>
            <w:noWrap/>
          </w:tcPr>
          <w:p w:rsidR="00B60C9F" w:rsidRPr="006A2EF3" w:rsidRDefault="00B60C9F" w:rsidP="000D5D04">
            <w:pPr>
              <w:spacing w:after="0" w:line="240" w:lineRule="auto"/>
              <w:rPr>
                <w:rFonts w:eastAsia="Times New Roman" w:cs="Arial"/>
                <w:color w:val="000000"/>
                <w:szCs w:val="22"/>
                <w:lang w:eastAsia="en-AU"/>
              </w:rPr>
            </w:pPr>
            <w:r w:rsidRPr="006A2EF3">
              <w:rPr>
                <w:rFonts w:eastAsiaTheme="minorHAnsi" w:cs="Arial"/>
                <w:szCs w:val="22"/>
                <w:lang w:eastAsia="en-US"/>
              </w:rPr>
              <w:t>Multiple Sclerosis</w:t>
            </w:r>
          </w:p>
        </w:tc>
        <w:tc>
          <w:tcPr>
            <w:tcW w:w="1701" w:type="dxa"/>
            <w:shd w:val="clear" w:color="auto" w:fill="auto"/>
            <w:noWrap/>
          </w:tcPr>
          <w:p w:rsidR="00B60C9F" w:rsidRPr="006A2EF3" w:rsidRDefault="00B60C9F" w:rsidP="000D5D04">
            <w:pPr>
              <w:spacing w:after="0" w:line="240" w:lineRule="auto"/>
              <w:jc w:val="center"/>
              <w:rPr>
                <w:rFonts w:eastAsia="Times New Roman" w:cs="Arial"/>
                <w:szCs w:val="22"/>
                <w:lang w:eastAsia="en-AU"/>
              </w:rPr>
            </w:pPr>
            <w:r>
              <w:rPr>
                <w:rFonts w:eastAsiaTheme="minorHAnsi" w:cs="Arial"/>
                <w:szCs w:val="22"/>
                <w:lang w:eastAsia="en-US"/>
              </w:rPr>
              <w:t>$</w:t>
            </w:r>
            <w:r w:rsidRPr="006A2EF3">
              <w:rPr>
                <w:rFonts w:eastAsiaTheme="minorHAnsi" w:cs="Arial"/>
                <w:szCs w:val="22"/>
                <w:lang w:eastAsia="en-US"/>
              </w:rPr>
              <w:t>66,897</w:t>
            </w:r>
          </w:p>
        </w:tc>
        <w:tc>
          <w:tcPr>
            <w:tcW w:w="1700" w:type="dxa"/>
            <w:shd w:val="clear" w:color="auto" w:fill="auto"/>
            <w:noWrap/>
          </w:tcPr>
          <w:p w:rsidR="00B60C9F" w:rsidRPr="006A2EF3" w:rsidRDefault="00B60C9F" w:rsidP="000D5D04">
            <w:pPr>
              <w:spacing w:after="0" w:line="240" w:lineRule="auto"/>
              <w:jc w:val="center"/>
              <w:rPr>
                <w:rFonts w:eastAsia="Times New Roman" w:cs="Arial"/>
                <w:szCs w:val="22"/>
                <w:lang w:eastAsia="en-AU"/>
              </w:rPr>
            </w:pPr>
            <w:r>
              <w:rPr>
                <w:rFonts w:eastAsiaTheme="minorHAnsi" w:cs="Arial"/>
                <w:szCs w:val="22"/>
                <w:lang w:eastAsia="en-US"/>
              </w:rPr>
              <w:t>$</w:t>
            </w:r>
            <w:r w:rsidRPr="006A2EF3">
              <w:rPr>
                <w:rFonts w:eastAsiaTheme="minorHAnsi" w:cs="Arial"/>
                <w:szCs w:val="22"/>
                <w:lang w:eastAsia="en-US"/>
              </w:rPr>
              <w:t>83,947</w:t>
            </w:r>
          </w:p>
        </w:tc>
        <w:tc>
          <w:tcPr>
            <w:tcW w:w="1701" w:type="dxa"/>
            <w:shd w:val="clear" w:color="auto" w:fill="auto"/>
            <w:noWrap/>
          </w:tcPr>
          <w:p w:rsidR="00B60C9F" w:rsidRPr="006A2EF3" w:rsidRDefault="00B60C9F" w:rsidP="000D5D04">
            <w:pPr>
              <w:spacing w:after="0" w:line="240" w:lineRule="auto"/>
              <w:jc w:val="center"/>
              <w:rPr>
                <w:rFonts w:eastAsia="Times New Roman" w:cs="Arial"/>
                <w:szCs w:val="22"/>
                <w:lang w:eastAsia="en-AU"/>
              </w:rPr>
            </w:pPr>
            <w:r>
              <w:rPr>
                <w:rFonts w:eastAsiaTheme="minorHAnsi" w:cs="Arial"/>
                <w:szCs w:val="22"/>
                <w:lang w:eastAsia="en-US"/>
              </w:rPr>
              <w:t>$</w:t>
            </w:r>
            <w:r w:rsidRPr="006A2EF3">
              <w:rPr>
                <w:rFonts w:eastAsiaTheme="minorHAnsi" w:cs="Arial"/>
                <w:szCs w:val="22"/>
                <w:lang w:eastAsia="en-US"/>
              </w:rPr>
              <w:t>92,401</w:t>
            </w:r>
          </w:p>
        </w:tc>
      </w:tr>
      <w:tr w:rsidR="00B60C9F" w:rsidRPr="006A2EF3" w:rsidTr="000D5D04">
        <w:trPr>
          <w:trHeight w:val="282"/>
          <w:jc w:val="center"/>
        </w:trPr>
        <w:tc>
          <w:tcPr>
            <w:tcW w:w="3042" w:type="dxa"/>
            <w:shd w:val="clear" w:color="auto" w:fill="BCBEC0"/>
            <w:noWrap/>
          </w:tcPr>
          <w:p w:rsidR="00B60C9F" w:rsidRPr="006A2EF3" w:rsidRDefault="00B60C9F" w:rsidP="000D5D04">
            <w:pPr>
              <w:spacing w:after="0" w:line="240" w:lineRule="auto"/>
              <w:rPr>
                <w:rFonts w:eastAsia="Times New Roman" w:cs="Arial"/>
                <w:color w:val="000000"/>
                <w:szCs w:val="22"/>
                <w:lang w:eastAsia="en-AU"/>
              </w:rPr>
            </w:pPr>
            <w:r w:rsidRPr="006A2EF3">
              <w:rPr>
                <w:rFonts w:eastAsiaTheme="minorHAnsi" w:cs="Arial"/>
                <w:szCs w:val="22"/>
                <w:lang w:eastAsia="en-US"/>
              </w:rPr>
              <w:t>Other</w:t>
            </w:r>
          </w:p>
        </w:tc>
        <w:tc>
          <w:tcPr>
            <w:tcW w:w="1701" w:type="dxa"/>
            <w:shd w:val="clear" w:color="auto" w:fill="auto"/>
            <w:noWrap/>
          </w:tcPr>
          <w:p w:rsidR="00B60C9F" w:rsidRPr="006A2EF3" w:rsidRDefault="00B60C9F" w:rsidP="000D5D04">
            <w:pPr>
              <w:spacing w:after="0" w:line="240" w:lineRule="auto"/>
              <w:jc w:val="center"/>
              <w:rPr>
                <w:rFonts w:eastAsia="Times New Roman" w:cs="Arial"/>
                <w:szCs w:val="22"/>
                <w:lang w:eastAsia="en-AU"/>
              </w:rPr>
            </w:pPr>
            <w:r>
              <w:rPr>
                <w:rFonts w:eastAsiaTheme="minorHAnsi" w:cs="Arial"/>
                <w:szCs w:val="22"/>
                <w:lang w:eastAsia="en-US"/>
              </w:rPr>
              <w:t>$</w:t>
            </w:r>
            <w:r w:rsidRPr="006A2EF3">
              <w:rPr>
                <w:rFonts w:eastAsiaTheme="minorHAnsi" w:cs="Arial"/>
                <w:szCs w:val="22"/>
                <w:lang w:eastAsia="en-US"/>
              </w:rPr>
              <w:t>61,378</w:t>
            </w:r>
          </w:p>
        </w:tc>
        <w:tc>
          <w:tcPr>
            <w:tcW w:w="1700" w:type="dxa"/>
            <w:shd w:val="clear" w:color="auto" w:fill="auto"/>
            <w:noWrap/>
          </w:tcPr>
          <w:p w:rsidR="00B60C9F" w:rsidRPr="006A2EF3" w:rsidRDefault="00B60C9F" w:rsidP="000D5D04">
            <w:pPr>
              <w:spacing w:after="0" w:line="240" w:lineRule="auto"/>
              <w:jc w:val="center"/>
              <w:rPr>
                <w:rFonts w:eastAsia="Times New Roman" w:cs="Arial"/>
                <w:szCs w:val="22"/>
                <w:lang w:eastAsia="en-AU"/>
              </w:rPr>
            </w:pPr>
            <w:r>
              <w:rPr>
                <w:rFonts w:eastAsiaTheme="minorHAnsi" w:cs="Arial"/>
                <w:szCs w:val="22"/>
                <w:lang w:eastAsia="en-US"/>
              </w:rPr>
              <w:t>$</w:t>
            </w:r>
            <w:r w:rsidRPr="006A2EF3">
              <w:rPr>
                <w:rFonts w:eastAsiaTheme="minorHAnsi" w:cs="Arial"/>
                <w:szCs w:val="22"/>
                <w:lang w:eastAsia="en-US"/>
              </w:rPr>
              <w:t>59,494</w:t>
            </w:r>
          </w:p>
        </w:tc>
        <w:tc>
          <w:tcPr>
            <w:tcW w:w="1701" w:type="dxa"/>
            <w:shd w:val="clear" w:color="auto" w:fill="auto"/>
            <w:noWrap/>
          </w:tcPr>
          <w:p w:rsidR="00B60C9F" w:rsidRPr="006A2EF3" w:rsidRDefault="00B60C9F" w:rsidP="000D5D04">
            <w:pPr>
              <w:spacing w:after="0" w:line="240" w:lineRule="auto"/>
              <w:jc w:val="center"/>
              <w:rPr>
                <w:rFonts w:eastAsia="Times New Roman" w:cs="Arial"/>
                <w:szCs w:val="22"/>
                <w:lang w:eastAsia="en-AU"/>
              </w:rPr>
            </w:pPr>
            <w:r>
              <w:rPr>
                <w:rFonts w:eastAsiaTheme="minorHAnsi" w:cs="Arial"/>
                <w:szCs w:val="22"/>
                <w:lang w:eastAsia="en-US"/>
              </w:rPr>
              <w:t>$</w:t>
            </w:r>
            <w:r w:rsidRPr="006A2EF3">
              <w:rPr>
                <w:rFonts w:eastAsiaTheme="minorHAnsi" w:cs="Arial"/>
                <w:szCs w:val="22"/>
                <w:lang w:eastAsia="en-US"/>
              </w:rPr>
              <w:t>79,564</w:t>
            </w:r>
          </w:p>
        </w:tc>
      </w:tr>
      <w:tr w:rsidR="00B60C9F" w:rsidRPr="006A2EF3" w:rsidTr="000D5D04">
        <w:trPr>
          <w:trHeight w:val="282"/>
          <w:jc w:val="center"/>
        </w:trPr>
        <w:tc>
          <w:tcPr>
            <w:tcW w:w="3042" w:type="dxa"/>
            <w:shd w:val="clear" w:color="auto" w:fill="BCBEC0"/>
            <w:noWrap/>
            <w:hideMark/>
          </w:tcPr>
          <w:p w:rsidR="00B60C9F" w:rsidRPr="006A2EF3" w:rsidRDefault="00B60C9F" w:rsidP="000D5D04">
            <w:pPr>
              <w:spacing w:after="0" w:line="240" w:lineRule="auto"/>
              <w:rPr>
                <w:rFonts w:eastAsia="Times New Roman" w:cs="Arial"/>
                <w:color w:val="000000"/>
                <w:szCs w:val="22"/>
                <w:lang w:eastAsia="en-AU"/>
              </w:rPr>
            </w:pPr>
            <w:r w:rsidRPr="006A2EF3">
              <w:rPr>
                <w:rFonts w:eastAsiaTheme="minorHAnsi" w:cs="Arial"/>
                <w:szCs w:val="22"/>
                <w:lang w:eastAsia="en-US"/>
              </w:rPr>
              <w:t>Other Neurological</w:t>
            </w:r>
          </w:p>
        </w:tc>
        <w:tc>
          <w:tcPr>
            <w:tcW w:w="1701" w:type="dxa"/>
            <w:shd w:val="clear" w:color="auto" w:fill="auto"/>
            <w:noWrap/>
            <w:hideMark/>
          </w:tcPr>
          <w:p w:rsidR="00B60C9F" w:rsidRPr="006A2EF3" w:rsidRDefault="00B60C9F" w:rsidP="000D5D04">
            <w:pPr>
              <w:spacing w:after="0" w:line="240" w:lineRule="auto"/>
              <w:jc w:val="center"/>
              <w:rPr>
                <w:rFonts w:eastAsia="Times New Roman" w:cs="Arial"/>
                <w:szCs w:val="22"/>
                <w:lang w:eastAsia="en-AU"/>
              </w:rPr>
            </w:pPr>
            <w:r>
              <w:rPr>
                <w:rFonts w:eastAsiaTheme="minorHAnsi" w:cs="Arial"/>
                <w:szCs w:val="22"/>
                <w:lang w:eastAsia="en-US"/>
              </w:rPr>
              <w:t>$</w:t>
            </w:r>
            <w:r w:rsidRPr="006A2EF3">
              <w:rPr>
                <w:rFonts w:eastAsiaTheme="minorHAnsi" w:cs="Arial"/>
                <w:szCs w:val="22"/>
                <w:lang w:eastAsia="en-US"/>
              </w:rPr>
              <w:t>67,305</w:t>
            </w:r>
          </w:p>
        </w:tc>
        <w:tc>
          <w:tcPr>
            <w:tcW w:w="1700" w:type="dxa"/>
            <w:shd w:val="clear" w:color="auto" w:fill="auto"/>
            <w:noWrap/>
            <w:hideMark/>
          </w:tcPr>
          <w:p w:rsidR="00B60C9F" w:rsidRPr="006A2EF3" w:rsidRDefault="00B60C9F" w:rsidP="000D5D04">
            <w:pPr>
              <w:spacing w:after="0" w:line="240" w:lineRule="auto"/>
              <w:jc w:val="center"/>
              <w:rPr>
                <w:rFonts w:eastAsia="Times New Roman" w:cs="Arial"/>
                <w:szCs w:val="22"/>
                <w:lang w:eastAsia="en-AU"/>
              </w:rPr>
            </w:pPr>
            <w:r>
              <w:rPr>
                <w:rFonts w:eastAsiaTheme="minorHAnsi" w:cs="Arial"/>
                <w:szCs w:val="22"/>
                <w:lang w:eastAsia="en-US"/>
              </w:rPr>
              <w:t>$</w:t>
            </w:r>
            <w:r w:rsidRPr="006A2EF3">
              <w:rPr>
                <w:rFonts w:eastAsiaTheme="minorHAnsi" w:cs="Arial"/>
                <w:szCs w:val="22"/>
                <w:lang w:eastAsia="en-US"/>
              </w:rPr>
              <w:t>90,999</w:t>
            </w:r>
          </w:p>
        </w:tc>
        <w:tc>
          <w:tcPr>
            <w:tcW w:w="1701" w:type="dxa"/>
            <w:shd w:val="clear" w:color="auto" w:fill="auto"/>
            <w:noWrap/>
            <w:hideMark/>
          </w:tcPr>
          <w:p w:rsidR="00B60C9F" w:rsidRPr="006A2EF3" w:rsidRDefault="00B60C9F" w:rsidP="000D5D04">
            <w:pPr>
              <w:spacing w:after="0" w:line="240" w:lineRule="auto"/>
              <w:jc w:val="center"/>
              <w:rPr>
                <w:rFonts w:eastAsia="Times New Roman" w:cs="Arial"/>
                <w:szCs w:val="22"/>
                <w:lang w:eastAsia="en-AU"/>
              </w:rPr>
            </w:pPr>
            <w:r>
              <w:rPr>
                <w:rFonts w:eastAsiaTheme="minorHAnsi" w:cs="Arial"/>
                <w:szCs w:val="22"/>
                <w:lang w:eastAsia="en-US"/>
              </w:rPr>
              <w:t>$</w:t>
            </w:r>
            <w:r w:rsidRPr="006A2EF3">
              <w:rPr>
                <w:rFonts w:eastAsiaTheme="minorHAnsi" w:cs="Arial"/>
                <w:szCs w:val="22"/>
                <w:lang w:eastAsia="en-US"/>
              </w:rPr>
              <w:t>109,673</w:t>
            </w:r>
          </w:p>
        </w:tc>
      </w:tr>
      <w:tr w:rsidR="00B60C9F" w:rsidRPr="006A2EF3" w:rsidTr="000D5D04">
        <w:trPr>
          <w:trHeight w:val="282"/>
          <w:jc w:val="center"/>
        </w:trPr>
        <w:tc>
          <w:tcPr>
            <w:tcW w:w="3042" w:type="dxa"/>
            <w:shd w:val="clear" w:color="auto" w:fill="BCBEC0"/>
            <w:noWrap/>
            <w:hideMark/>
          </w:tcPr>
          <w:p w:rsidR="00B60C9F" w:rsidRPr="006A2EF3" w:rsidRDefault="00B60C9F" w:rsidP="000D5D04">
            <w:pPr>
              <w:spacing w:after="0" w:line="240" w:lineRule="auto"/>
              <w:rPr>
                <w:rFonts w:eastAsia="Times New Roman" w:cs="Arial"/>
                <w:color w:val="000000"/>
                <w:szCs w:val="22"/>
                <w:lang w:eastAsia="en-AU"/>
              </w:rPr>
            </w:pPr>
            <w:r w:rsidRPr="006A2EF3">
              <w:rPr>
                <w:rFonts w:eastAsiaTheme="minorHAnsi" w:cs="Arial"/>
                <w:szCs w:val="22"/>
                <w:lang w:eastAsia="en-US"/>
              </w:rPr>
              <w:t>Other Physical</w:t>
            </w:r>
          </w:p>
        </w:tc>
        <w:tc>
          <w:tcPr>
            <w:tcW w:w="1701" w:type="dxa"/>
            <w:shd w:val="clear" w:color="auto" w:fill="auto"/>
            <w:noWrap/>
            <w:hideMark/>
          </w:tcPr>
          <w:p w:rsidR="00B60C9F" w:rsidRPr="006A2EF3" w:rsidRDefault="00B60C9F" w:rsidP="000D5D04">
            <w:pPr>
              <w:spacing w:after="0" w:line="240" w:lineRule="auto"/>
              <w:jc w:val="center"/>
              <w:rPr>
                <w:rFonts w:eastAsia="Times New Roman" w:cs="Arial"/>
                <w:szCs w:val="22"/>
                <w:lang w:eastAsia="en-AU"/>
              </w:rPr>
            </w:pPr>
            <w:r>
              <w:rPr>
                <w:rFonts w:eastAsiaTheme="minorHAnsi" w:cs="Arial"/>
                <w:szCs w:val="22"/>
                <w:lang w:eastAsia="en-US"/>
              </w:rPr>
              <w:t>$</w:t>
            </w:r>
            <w:r w:rsidRPr="006A2EF3">
              <w:rPr>
                <w:rFonts w:eastAsiaTheme="minorHAnsi" w:cs="Arial"/>
                <w:szCs w:val="22"/>
                <w:lang w:eastAsia="en-US"/>
              </w:rPr>
              <w:t>49,882</w:t>
            </w:r>
          </w:p>
        </w:tc>
        <w:tc>
          <w:tcPr>
            <w:tcW w:w="1700" w:type="dxa"/>
            <w:shd w:val="clear" w:color="auto" w:fill="auto"/>
            <w:noWrap/>
            <w:hideMark/>
          </w:tcPr>
          <w:p w:rsidR="00B60C9F" w:rsidRPr="006A2EF3" w:rsidRDefault="00B60C9F" w:rsidP="000D5D04">
            <w:pPr>
              <w:spacing w:after="0" w:line="240" w:lineRule="auto"/>
              <w:jc w:val="center"/>
              <w:rPr>
                <w:rFonts w:eastAsia="Times New Roman" w:cs="Arial"/>
                <w:szCs w:val="22"/>
                <w:lang w:eastAsia="en-AU"/>
              </w:rPr>
            </w:pPr>
            <w:r>
              <w:rPr>
                <w:rFonts w:eastAsiaTheme="minorHAnsi" w:cs="Arial"/>
                <w:szCs w:val="22"/>
                <w:lang w:eastAsia="en-US"/>
              </w:rPr>
              <w:t>$</w:t>
            </w:r>
            <w:r w:rsidRPr="006A2EF3">
              <w:rPr>
                <w:rFonts w:eastAsiaTheme="minorHAnsi" w:cs="Arial"/>
                <w:szCs w:val="22"/>
                <w:lang w:eastAsia="en-US"/>
              </w:rPr>
              <w:t>69,596</w:t>
            </w:r>
          </w:p>
        </w:tc>
        <w:tc>
          <w:tcPr>
            <w:tcW w:w="1701" w:type="dxa"/>
            <w:shd w:val="clear" w:color="auto" w:fill="auto"/>
            <w:noWrap/>
            <w:hideMark/>
          </w:tcPr>
          <w:p w:rsidR="00B60C9F" w:rsidRPr="006A2EF3" w:rsidRDefault="00B60C9F" w:rsidP="000D5D04">
            <w:pPr>
              <w:spacing w:after="0" w:line="240" w:lineRule="auto"/>
              <w:jc w:val="center"/>
              <w:rPr>
                <w:rFonts w:eastAsia="Times New Roman" w:cs="Arial"/>
                <w:szCs w:val="22"/>
                <w:lang w:eastAsia="en-AU"/>
              </w:rPr>
            </w:pPr>
            <w:r>
              <w:rPr>
                <w:rFonts w:eastAsiaTheme="minorHAnsi" w:cs="Arial"/>
                <w:szCs w:val="22"/>
                <w:lang w:eastAsia="en-US"/>
              </w:rPr>
              <w:t>$</w:t>
            </w:r>
            <w:r w:rsidRPr="006A2EF3">
              <w:rPr>
                <w:rFonts w:eastAsiaTheme="minorHAnsi" w:cs="Arial"/>
                <w:szCs w:val="22"/>
                <w:lang w:eastAsia="en-US"/>
              </w:rPr>
              <w:t>79,010</w:t>
            </w:r>
          </w:p>
        </w:tc>
      </w:tr>
      <w:tr w:rsidR="00B60C9F" w:rsidRPr="006A2EF3" w:rsidTr="000D5D04">
        <w:trPr>
          <w:trHeight w:val="282"/>
          <w:jc w:val="center"/>
        </w:trPr>
        <w:tc>
          <w:tcPr>
            <w:tcW w:w="3042" w:type="dxa"/>
            <w:shd w:val="clear" w:color="auto" w:fill="BCBEC0"/>
            <w:noWrap/>
            <w:hideMark/>
          </w:tcPr>
          <w:p w:rsidR="00B60C9F" w:rsidRPr="006A2EF3" w:rsidRDefault="00B60C9F" w:rsidP="000D5D04">
            <w:pPr>
              <w:spacing w:after="0" w:line="240" w:lineRule="auto"/>
              <w:rPr>
                <w:rFonts w:eastAsia="Times New Roman" w:cs="Arial"/>
                <w:color w:val="000000"/>
                <w:szCs w:val="22"/>
                <w:lang w:eastAsia="en-AU"/>
              </w:rPr>
            </w:pPr>
            <w:r w:rsidRPr="006A2EF3">
              <w:rPr>
                <w:rFonts w:eastAsiaTheme="minorHAnsi" w:cs="Arial"/>
                <w:szCs w:val="22"/>
                <w:lang w:eastAsia="en-US"/>
              </w:rPr>
              <w:t>Other Sensory/Speech</w:t>
            </w:r>
          </w:p>
        </w:tc>
        <w:tc>
          <w:tcPr>
            <w:tcW w:w="1701" w:type="dxa"/>
            <w:shd w:val="clear" w:color="auto" w:fill="auto"/>
            <w:noWrap/>
            <w:hideMark/>
          </w:tcPr>
          <w:p w:rsidR="00B60C9F" w:rsidRPr="006A2EF3" w:rsidRDefault="00B60C9F" w:rsidP="000D5D04">
            <w:pPr>
              <w:spacing w:after="0" w:line="240" w:lineRule="auto"/>
              <w:jc w:val="center"/>
              <w:rPr>
                <w:rFonts w:eastAsia="Times New Roman" w:cs="Arial"/>
                <w:szCs w:val="22"/>
                <w:lang w:eastAsia="en-AU"/>
              </w:rPr>
            </w:pPr>
            <w:r>
              <w:rPr>
                <w:rFonts w:eastAsiaTheme="minorHAnsi" w:cs="Arial"/>
                <w:szCs w:val="22"/>
                <w:lang w:eastAsia="en-US"/>
              </w:rPr>
              <w:t>$</w:t>
            </w:r>
            <w:r w:rsidRPr="006A2EF3">
              <w:rPr>
                <w:rFonts w:eastAsiaTheme="minorHAnsi" w:cs="Arial"/>
                <w:szCs w:val="22"/>
                <w:lang w:eastAsia="en-US"/>
              </w:rPr>
              <w:t>9,625</w:t>
            </w:r>
          </w:p>
        </w:tc>
        <w:tc>
          <w:tcPr>
            <w:tcW w:w="1700" w:type="dxa"/>
            <w:shd w:val="clear" w:color="auto" w:fill="auto"/>
            <w:noWrap/>
            <w:hideMark/>
          </w:tcPr>
          <w:p w:rsidR="00B60C9F" w:rsidRPr="006A2EF3" w:rsidRDefault="00B60C9F" w:rsidP="000D5D04">
            <w:pPr>
              <w:spacing w:after="0" w:line="240" w:lineRule="auto"/>
              <w:jc w:val="center"/>
              <w:rPr>
                <w:rFonts w:eastAsia="Times New Roman" w:cs="Arial"/>
                <w:szCs w:val="22"/>
                <w:lang w:eastAsia="en-AU"/>
              </w:rPr>
            </w:pPr>
            <w:r>
              <w:rPr>
                <w:rFonts w:eastAsiaTheme="minorHAnsi" w:cs="Arial"/>
                <w:szCs w:val="22"/>
                <w:lang w:eastAsia="en-US"/>
              </w:rPr>
              <w:t>$</w:t>
            </w:r>
            <w:r w:rsidRPr="006A2EF3">
              <w:rPr>
                <w:rFonts w:eastAsiaTheme="minorHAnsi" w:cs="Arial"/>
                <w:szCs w:val="22"/>
                <w:lang w:eastAsia="en-US"/>
              </w:rPr>
              <w:t>13,862</w:t>
            </w:r>
          </w:p>
        </w:tc>
        <w:tc>
          <w:tcPr>
            <w:tcW w:w="1701" w:type="dxa"/>
            <w:shd w:val="clear" w:color="auto" w:fill="auto"/>
            <w:noWrap/>
            <w:hideMark/>
          </w:tcPr>
          <w:p w:rsidR="00B60C9F" w:rsidRPr="006A2EF3" w:rsidRDefault="00B60C9F" w:rsidP="000D5D04">
            <w:pPr>
              <w:spacing w:after="0" w:line="240" w:lineRule="auto"/>
              <w:jc w:val="center"/>
              <w:rPr>
                <w:rFonts w:eastAsia="Times New Roman" w:cs="Arial"/>
                <w:szCs w:val="22"/>
                <w:lang w:eastAsia="en-AU"/>
              </w:rPr>
            </w:pPr>
            <w:r>
              <w:rPr>
                <w:rFonts w:eastAsiaTheme="minorHAnsi" w:cs="Arial"/>
                <w:szCs w:val="22"/>
                <w:lang w:eastAsia="en-US"/>
              </w:rPr>
              <w:t>$</w:t>
            </w:r>
            <w:r w:rsidRPr="006A2EF3">
              <w:rPr>
                <w:rFonts w:eastAsiaTheme="minorHAnsi" w:cs="Arial"/>
                <w:szCs w:val="22"/>
                <w:lang w:eastAsia="en-US"/>
              </w:rPr>
              <w:t>17,120</w:t>
            </w:r>
          </w:p>
        </w:tc>
      </w:tr>
      <w:tr w:rsidR="00B60C9F" w:rsidRPr="006A2EF3" w:rsidTr="000D5D04">
        <w:trPr>
          <w:trHeight w:val="282"/>
          <w:jc w:val="center"/>
        </w:trPr>
        <w:tc>
          <w:tcPr>
            <w:tcW w:w="3042" w:type="dxa"/>
            <w:shd w:val="clear" w:color="auto" w:fill="BCBEC0"/>
            <w:noWrap/>
            <w:hideMark/>
          </w:tcPr>
          <w:p w:rsidR="00B60C9F" w:rsidRPr="006A2EF3" w:rsidRDefault="00B60C9F" w:rsidP="000D5D04">
            <w:pPr>
              <w:spacing w:after="0" w:line="240" w:lineRule="auto"/>
              <w:rPr>
                <w:rFonts w:eastAsia="Times New Roman" w:cs="Arial"/>
                <w:color w:val="000000"/>
                <w:szCs w:val="22"/>
                <w:lang w:eastAsia="en-AU"/>
              </w:rPr>
            </w:pPr>
            <w:r w:rsidRPr="006A2EF3">
              <w:rPr>
                <w:rFonts w:eastAsiaTheme="minorHAnsi" w:cs="Arial"/>
                <w:szCs w:val="22"/>
                <w:lang w:eastAsia="en-US"/>
              </w:rPr>
              <w:t>Psychosocial Disability</w:t>
            </w:r>
          </w:p>
        </w:tc>
        <w:tc>
          <w:tcPr>
            <w:tcW w:w="1701" w:type="dxa"/>
            <w:shd w:val="clear" w:color="auto" w:fill="auto"/>
            <w:noWrap/>
            <w:hideMark/>
          </w:tcPr>
          <w:p w:rsidR="00B60C9F" w:rsidRPr="006A2EF3" w:rsidRDefault="00B60C9F" w:rsidP="000D5D04">
            <w:pPr>
              <w:spacing w:after="0" w:line="240" w:lineRule="auto"/>
              <w:jc w:val="center"/>
              <w:rPr>
                <w:rFonts w:eastAsia="Times New Roman" w:cs="Arial"/>
                <w:szCs w:val="22"/>
                <w:lang w:eastAsia="en-AU"/>
              </w:rPr>
            </w:pPr>
            <w:r>
              <w:rPr>
                <w:rFonts w:eastAsiaTheme="minorHAnsi" w:cs="Arial"/>
                <w:szCs w:val="22"/>
                <w:lang w:eastAsia="en-US"/>
              </w:rPr>
              <w:t>$</w:t>
            </w:r>
            <w:r w:rsidRPr="006A2EF3">
              <w:rPr>
                <w:rFonts w:eastAsiaTheme="minorHAnsi" w:cs="Arial"/>
                <w:szCs w:val="22"/>
                <w:lang w:eastAsia="en-US"/>
              </w:rPr>
              <w:t>25,451</w:t>
            </w:r>
          </w:p>
        </w:tc>
        <w:tc>
          <w:tcPr>
            <w:tcW w:w="1700" w:type="dxa"/>
            <w:shd w:val="clear" w:color="auto" w:fill="auto"/>
            <w:noWrap/>
            <w:hideMark/>
          </w:tcPr>
          <w:p w:rsidR="00B60C9F" w:rsidRPr="006A2EF3" w:rsidRDefault="00B60C9F" w:rsidP="000D5D04">
            <w:pPr>
              <w:spacing w:after="0" w:line="240" w:lineRule="auto"/>
              <w:jc w:val="center"/>
              <w:rPr>
                <w:rFonts w:eastAsia="Times New Roman" w:cs="Arial"/>
                <w:szCs w:val="22"/>
                <w:lang w:eastAsia="en-AU"/>
              </w:rPr>
            </w:pPr>
            <w:r>
              <w:rPr>
                <w:rFonts w:eastAsiaTheme="minorHAnsi" w:cs="Arial"/>
                <w:szCs w:val="22"/>
                <w:lang w:eastAsia="en-US"/>
              </w:rPr>
              <w:t>$</w:t>
            </w:r>
            <w:r w:rsidRPr="006A2EF3">
              <w:rPr>
                <w:rFonts w:eastAsiaTheme="minorHAnsi" w:cs="Arial"/>
                <w:szCs w:val="22"/>
                <w:lang w:eastAsia="en-US"/>
              </w:rPr>
              <w:t>36,604</w:t>
            </w:r>
          </w:p>
        </w:tc>
        <w:tc>
          <w:tcPr>
            <w:tcW w:w="1701" w:type="dxa"/>
            <w:shd w:val="clear" w:color="auto" w:fill="auto"/>
            <w:noWrap/>
            <w:hideMark/>
          </w:tcPr>
          <w:p w:rsidR="00B60C9F" w:rsidRPr="006A2EF3" w:rsidRDefault="00B60C9F" w:rsidP="000D5D04">
            <w:pPr>
              <w:spacing w:after="0" w:line="240" w:lineRule="auto"/>
              <w:jc w:val="center"/>
              <w:rPr>
                <w:rFonts w:eastAsia="Times New Roman" w:cs="Arial"/>
                <w:szCs w:val="22"/>
                <w:lang w:eastAsia="en-AU"/>
              </w:rPr>
            </w:pPr>
            <w:r>
              <w:rPr>
                <w:rFonts w:eastAsiaTheme="minorHAnsi" w:cs="Arial"/>
                <w:szCs w:val="22"/>
                <w:lang w:eastAsia="en-US"/>
              </w:rPr>
              <w:t>$</w:t>
            </w:r>
            <w:r w:rsidRPr="006A2EF3">
              <w:rPr>
                <w:rFonts w:eastAsiaTheme="minorHAnsi" w:cs="Arial"/>
                <w:szCs w:val="22"/>
                <w:lang w:eastAsia="en-US"/>
              </w:rPr>
              <w:t>46,846</w:t>
            </w:r>
          </w:p>
        </w:tc>
      </w:tr>
      <w:tr w:rsidR="00B60C9F" w:rsidRPr="006A2EF3" w:rsidTr="000D5D04">
        <w:trPr>
          <w:trHeight w:val="282"/>
          <w:jc w:val="center"/>
        </w:trPr>
        <w:tc>
          <w:tcPr>
            <w:tcW w:w="3042" w:type="dxa"/>
            <w:shd w:val="clear" w:color="auto" w:fill="BCBEC0"/>
            <w:noWrap/>
            <w:hideMark/>
          </w:tcPr>
          <w:p w:rsidR="00B60C9F" w:rsidRPr="006A2EF3" w:rsidRDefault="00B60C9F" w:rsidP="000D5D04">
            <w:pPr>
              <w:spacing w:after="0" w:line="240" w:lineRule="auto"/>
              <w:rPr>
                <w:rFonts w:eastAsia="Times New Roman" w:cs="Arial"/>
                <w:color w:val="000000"/>
                <w:szCs w:val="22"/>
                <w:lang w:eastAsia="en-AU"/>
              </w:rPr>
            </w:pPr>
            <w:r w:rsidRPr="006A2EF3">
              <w:rPr>
                <w:rFonts w:eastAsiaTheme="minorHAnsi" w:cs="Arial"/>
                <w:szCs w:val="22"/>
                <w:lang w:eastAsia="en-US"/>
              </w:rPr>
              <w:t>Spinal Cord Injury</w:t>
            </w:r>
          </w:p>
        </w:tc>
        <w:tc>
          <w:tcPr>
            <w:tcW w:w="1701" w:type="dxa"/>
            <w:shd w:val="clear" w:color="auto" w:fill="auto"/>
            <w:noWrap/>
            <w:hideMark/>
          </w:tcPr>
          <w:p w:rsidR="00B60C9F" w:rsidRPr="006A2EF3" w:rsidRDefault="00B60C9F" w:rsidP="000D5D04">
            <w:pPr>
              <w:spacing w:after="0" w:line="240" w:lineRule="auto"/>
              <w:jc w:val="center"/>
              <w:rPr>
                <w:rFonts w:eastAsia="Times New Roman" w:cs="Arial"/>
                <w:szCs w:val="22"/>
                <w:lang w:eastAsia="en-AU"/>
              </w:rPr>
            </w:pPr>
            <w:r>
              <w:rPr>
                <w:rFonts w:eastAsiaTheme="minorHAnsi" w:cs="Arial"/>
                <w:szCs w:val="22"/>
                <w:lang w:eastAsia="en-US"/>
              </w:rPr>
              <w:t>$</w:t>
            </w:r>
            <w:r w:rsidRPr="006A2EF3">
              <w:rPr>
                <w:rFonts w:eastAsiaTheme="minorHAnsi" w:cs="Arial"/>
                <w:szCs w:val="22"/>
                <w:lang w:eastAsia="en-US"/>
              </w:rPr>
              <w:t>106,533</w:t>
            </w:r>
          </w:p>
        </w:tc>
        <w:tc>
          <w:tcPr>
            <w:tcW w:w="1700" w:type="dxa"/>
            <w:shd w:val="clear" w:color="auto" w:fill="auto"/>
            <w:noWrap/>
            <w:hideMark/>
          </w:tcPr>
          <w:p w:rsidR="00B60C9F" w:rsidRPr="006A2EF3" w:rsidRDefault="00B60C9F" w:rsidP="000D5D04">
            <w:pPr>
              <w:spacing w:after="0" w:line="240" w:lineRule="auto"/>
              <w:jc w:val="center"/>
              <w:rPr>
                <w:rFonts w:eastAsia="Times New Roman" w:cs="Arial"/>
                <w:szCs w:val="22"/>
                <w:lang w:eastAsia="en-AU"/>
              </w:rPr>
            </w:pPr>
            <w:r>
              <w:rPr>
                <w:rFonts w:eastAsiaTheme="minorHAnsi" w:cs="Arial"/>
                <w:szCs w:val="22"/>
                <w:lang w:eastAsia="en-US"/>
              </w:rPr>
              <w:t>$</w:t>
            </w:r>
            <w:r w:rsidRPr="006A2EF3">
              <w:rPr>
                <w:rFonts w:eastAsiaTheme="minorHAnsi" w:cs="Arial"/>
                <w:szCs w:val="22"/>
                <w:lang w:eastAsia="en-US"/>
              </w:rPr>
              <w:t>145,479</w:t>
            </w:r>
          </w:p>
        </w:tc>
        <w:tc>
          <w:tcPr>
            <w:tcW w:w="1701" w:type="dxa"/>
            <w:shd w:val="clear" w:color="auto" w:fill="auto"/>
            <w:noWrap/>
            <w:hideMark/>
          </w:tcPr>
          <w:p w:rsidR="00B60C9F" w:rsidRPr="006A2EF3" w:rsidRDefault="00B60C9F" w:rsidP="000D5D04">
            <w:pPr>
              <w:spacing w:after="0" w:line="240" w:lineRule="auto"/>
              <w:jc w:val="center"/>
              <w:rPr>
                <w:rFonts w:eastAsia="Times New Roman" w:cs="Arial"/>
                <w:szCs w:val="22"/>
                <w:lang w:eastAsia="en-AU"/>
              </w:rPr>
            </w:pPr>
            <w:r>
              <w:rPr>
                <w:rFonts w:eastAsiaTheme="minorHAnsi" w:cs="Arial"/>
                <w:szCs w:val="22"/>
                <w:lang w:eastAsia="en-US"/>
              </w:rPr>
              <w:t>$</w:t>
            </w:r>
            <w:r w:rsidRPr="006A2EF3">
              <w:rPr>
                <w:rFonts w:eastAsiaTheme="minorHAnsi" w:cs="Arial"/>
                <w:szCs w:val="22"/>
                <w:lang w:eastAsia="en-US"/>
              </w:rPr>
              <w:t>162,281</w:t>
            </w:r>
          </w:p>
        </w:tc>
      </w:tr>
      <w:tr w:rsidR="00B60C9F" w:rsidRPr="006A2EF3" w:rsidTr="000D5D04">
        <w:trPr>
          <w:trHeight w:val="282"/>
          <w:jc w:val="center"/>
        </w:trPr>
        <w:tc>
          <w:tcPr>
            <w:tcW w:w="3042" w:type="dxa"/>
            <w:shd w:val="clear" w:color="auto" w:fill="BCBEC0"/>
            <w:noWrap/>
            <w:hideMark/>
          </w:tcPr>
          <w:p w:rsidR="00B60C9F" w:rsidRPr="006A2EF3" w:rsidRDefault="00B60C9F" w:rsidP="000D5D04">
            <w:pPr>
              <w:spacing w:after="0" w:line="240" w:lineRule="auto"/>
              <w:rPr>
                <w:rFonts w:eastAsia="Times New Roman" w:cs="Arial"/>
                <w:color w:val="000000"/>
                <w:szCs w:val="22"/>
                <w:lang w:eastAsia="en-AU"/>
              </w:rPr>
            </w:pPr>
            <w:r w:rsidRPr="006A2EF3">
              <w:rPr>
                <w:rFonts w:eastAsiaTheme="minorHAnsi" w:cs="Arial"/>
                <w:szCs w:val="22"/>
                <w:lang w:eastAsia="en-US"/>
              </w:rPr>
              <w:t>Stroke</w:t>
            </w:r>
          </w:p>
        </w:tc>
        <w:tc>
          <w:tcPr>
            <w:tcW w:w="1701" w:type="dxa"/>
            <w:shd w:val="clear" w:color="auto" w:fill="auto"/>
            <w:noWrap/>
            <w:hideMark/>
          </w:tcPr>
          <w:p w:rsidR="00B60C9F" w:rsidRPr="006A2EF3" w:rsidRDefault="00B60C9F" w:rsidP="000D5D04">
            <w:pPr>
              <w:spacing w:after="0" w:line="240" w:lineRule="auto"/>
              <w:jc w:val="center"/>
              <w:rPr>
                <w:rFonts w:eastAsia="Times New Roman" w:cs="Arial"/>
                <w:szCs w:val="22"/>
                <w:lang w:eastAsia="en-AU"/>
              </w:rPr>
            </w:pPr>
            <w:r>
              <w:rPr>
                <w:rFonts w:eastAsiaTheme="minorHAnsi" w:cs="Arial"/>
                <w:szCs w:val="22"/>
                <w:lang w:eastAsia="en-US"/>
              </w:rPr>
              <w:t>$</w:t>
            </w:r>
            <w:r w:rsidRPr="006A2EF3">
              <w:rPr>
                <w:rFonts w:eastAsiaTheme="minorHAnsi" w:cs="Arial"/>
                <w:szCs w:val="22"/>
                <w:lang w:eastAsia="en-US"/>
              </w:rPr>
              <w:t>63,483</w:t>
            </w:r>
          </w:p>
        </w:tc>
        <w:tc>
          <w:tcPr>
            <w:tcW w:w="1700" w:type="dxa"/>
            <w:shd w:val="clear" w:color="auto" w:fill="auto"/>
            <w:noWrap/>
            <w:hideMark/>
          </w:tcPr>
          <w:p w:rsidR="00B60C9F" w:rsidRPr="006A2EF3" w:rsidRDefault="00B60C9F" w:rsidP="000D5D04">
            <w:pPr>
              <w:spacing w:after="0" w:line="240" w:lineRule="auto"/>
              <w:jc w:val="center"/>
              <w:rPr>
                <w:rFonts w:eastAsia="Times New Roman" w:cs="Arial"/>
                <w:szCs w:val="22"/>
                <w:lang w:eastAsia="en-AU"/>
              </w:rPr>
            </w:pPr>
            <w:r>
              <w:rPr>
                <w:rFonts w:eastAsiaTheme="minorHAnsi" w:cs="Arial"/>
                <w:szCs w:val="22"/>
                <w:lang w:eastAsia="en-US"/>
              </w:rPr>
              <w:t>$</w:t>
            </w:r>
            <w:r w:rsidRPr="006A2EF3">
              <w:rPr>
                <w:rFonts w:eastAsiaTheme="minorHAnsi" w:cs="Arial"/>
                <w:szCs w:val="22"/>
                <w:lang w:eastAsia="en-US"/>
              </w:rPr>
              <w:t>86,811</w:t>
            </w:r>
          </w:p>
        </w:tc>
        <w:tc>
          <w:tcPr>
            <w:tcW w:w="1701" w:type="dxa"/>
            <w:shd w:val="clear" w:color="auto" w:fill="auto"/>
            <w:noWrap/>
            <w:hideMark/>
          </w:tcPr>
          <w:p w:rsidR="00B60C9F" w:rsidRPr="006A2EF3" w:rsidRDefault="00B60C9F" w:rsidP="000D5D04">
            <w:pPr>
              <w:spacing w:after="0" w:line="240" w:lineRule="auto"/>
              <w:jc w:val="center"/>
              <w:rPr>
                <w:rFonts w:eastAsia="Times New Roman" w:cs="Arial"/>
                <w:szCs w:val="22"/>
                <w:lang w:eastAsia="en-AU"/>
              </w:rPr>
            </w:pPr>
            <w:r>
              <w:rPr>
                <w:rFonts w:eastAsiaTheme="minorHAnsi" w:cs="Arial"/>
                <w:szCs w:val="22"/>
                <w:lang w:eastAsia="en-US"/>
              </w:rPr>
              <w:t>$</w:t>
            </w:r>
            <w:r w:rsidRPr="006A2EF3">
              <w:rPr>
                <w:rFonts w:eastAsiaTheme="minorHAnsi" w:cs="Arial"/>
                <w:szCs w:val="22"/>
                <w:lang w:eastAsia="en-US"/>
              </w:rPr>
              <w:t>104,825</w:t>
            </w:r>
          </w:p>
        </w:tc>
      </w:tr>
      <w:tr w:rsidR="00B60C9F" w:rsidRPr="006A2EF3" w:rsidTr="000D5D04">
        <w:trPr>
          <w:trHeight w:val="282"/>
          <w:jc w:val="center"/>
        </w:trPr>
        <w:tc>
          <w:tcPr>
            <w:tcW w:w="3042" w:type="dxa"/>
            <w:shd w:val="clear" w:color="auto" w:fill="BCBEC0"/>
            <w:noWrap/>
            <w:hideMark/>
          </w:tcPr>
          <w:p w:rsidR="00B60C9F" w:rsidRPr="006A2EF3" w:rsidRDefault="00B60C9F" w:rsidP="000D5D04">
            <w:pPr>
              <w:spacing w:after="0" w:line="240" w:lineRule="auto"/>
              <w:rPr>
                <w:rFonts w:eastAsia="Times New Roman" w:cs="Arial"/>
                <w:color w:val="000000"/>
                <w:szCs w:val="22"/>
                <w:lang w:eastAsia="en-AU"/>
              </w:rPr>
            </w:pPr>
            <w:r w:rsidRPr="006A2EF3">
              <w:rPr>
                <w:rFonts w:eastAsiaTheme="minorHAnsi" w:cs="Arial"/>
                <w:szCs w:val="22"/>
                <w:lang w:eastAsia="en-US"/>
              </w:rPr>
              <w:t>Visual Impairment</w:t>
            </w:r>
          </w:p>
        </w:tc>
        <w:tc>
          <w:tcPr>
            <w:tcW w:w="1701" w:type="dxa"/>
            <w:shd w:val="clear" w:color="auto" w:fill="auto"/>
            <w:noWrap/>
            <w:hideMark/>
          </w:tcPr>
          <w:p w:rsidR="00B60C9F" w:rsidRPr="006A2EF3" w:rsidRDefault="00B60C9F" w:rsidP="000D5D04">
            <w:pPr>
              <w:spacing w:after="0" w:line="240" w:lineRule="auto"/>
              <w:jc w:val="center"/>
              <w:rPr>
                <w:rFonts w:eastAsia="Times New Roman" w:cs="Arial"/>
                <w:szCs w:val="22"/>
                <w:lang w:eastAsia="en-AU"/>
              </w:rPr>
            </w:pPr>
            <w:r>
              <w:rPr>
                <w:rFonts w:eastAsiaTheme="minorHAnsi" w:cs="Arial"/>
                <w:szCs w:val="22"/>
                <w:lang w:eastAsia="en-US"/>
              </w:rPr>
              <w:t>$</w:t>
            </w:r>
            <w:r w:rsidRPr="006A2EF3">
              <w:rPr>
                <w:rFonts w:eastAsiaTheme="minorHAnsi" w:cs="Arial"/>
                <w:szCs w:val="22"/>
                <w:lang w:eastAsia="en-US"/>
              </w:rPr>
              <w:t>28,853</w:t>
            </w:r>
          </w:p>
        </w:tc>
        <w:tc>
          <w:tcPr>
            <w:tcW w:w="1700" w:type="dxa"/>
            <w:shd w:val="clear" w:color="auto" w:fill="auto"/>
            <w:noWrap/>
            <w:hideMark/>
          </w:tcPr>
          <w:p w:rsidR="00B60C9F" w:rsidRPr="006A2EF3" w:rsidRDefault="00B60C9F" w:rsidP="000D5D04">
            <w:pPr>
              <w:spacing w:after="0" w:line="240" w:lineRule="auto"/>
              <w:jc w:val="center"/>
              <w:rPr>
                <w:rFonts w:eastAsia="Times New Roman" w:cs="Arial"/>
                <w:szCs w:val="22"/>
                <w:lang w:eastAsia="en-AU"/>
              </w:rPr>
            </w:pPr>
            <w:r>
              <w:rPr>
                <w:rFonts w:eastAsiaTheme="minorHAnsi" w:cs="Arial"/>
                <w:szCs w:val="22"/>
                <w:lang w:eastAsia="en-US"/>
              </w:rPr>
              <w:t>$</w:t>
            </w:r>
            <w:r w:rsidRPr="006A2EF3">
              <w:rPr>
                <w:rFonts w:eastAsiaTheme="minorHAnsi" w:cs="Arial"/>
                <w:szCs w:val="22"/>
                <w:lang w:eastAsia="en-US"/>
              </w:rPr>
              <w:t>37,913</w:t>
            </w:r>
          </w:p>
        </w:tc>
        <w:tc>
          <w:tcPr>
            <w:tcW w:w="1701" w:type="dxa"/>
            <w:shd w:val="clear" w:color="auto" w:fill="auto"/>
            <w:noWrap/>
            <w:hideMark/>
          </w:tcPr>
          <w:p w:rsidR="00B60C9F" w:rsidRPr="006A2EF3" w:rsidRDefault="00B60C9F" w:rsidP="000D5D04">
            <w:pPr>
              <w:spacing w:after="0" w:line="240" w:lineRule="auto"/>
              <w:jc w:val="center"/>
              <w:rPr>
                <w:rFonts w:eastAsia="Times New Roman" w:cs="Arial"/>
                <w:szCs w:val="22"/>
                <w:lang w:eastAsia="en-AU"/>
              </w:rPr>
            </w:pPr>
            <w:r>
              <w:rPr>
                <w:rFonts w:eastAsiaTheme="minorHAnsi" w:cs="Arial"/>
                <w:szCs w:val="22"/>
                <w:lang w:eastAsia="en-US"/>
              </w:rPr>
              <w:t>$</w:t>
            </w:r>
            <w:r w:rsidRPr="006A2EF3">
              <w:rPr>
                <w:rFonts w:eastAsiaTheme="minorHAnsi" w:cs="Arial"/>
                <w:szCs w:val="22"/>
                <w:lang w:eastAsia="en-US"/>
              </w:rPr>
              <w:t>45,850</w:t>
            </w:r>
          </w:p>
        </w:tc>
      </w:tr>
      <w:tr w:rsidR="00B60C9F" w:rsidRPr="006A2EF3" w:rsidTr="000D5D04">
        <w:trPr>
          <w:trHeight w:val="290"/>
          <w:jc w:val="center"/>
        </w:trPr>
        <w:tc>
          <w:tcPr>
            <w:tcW w:w="3042" w:type="dxa"/>
            <w:shd w:val="clear" w:color="000000" w:fill="808285"/>
            <w:noWrap/>
            <w:vAlign w:val="bottom"/>
            <w:hideMark/>
          </w:tcPr>
          <w:p w:rsidR="00B60C9F" w:rsidRPr="006A2EF3" w:rsidRDefault="00B60C9F" w:rsidP="000D5D04">
            <w:pPr>
              <w:spacing w:after="0" w:line="240" w:lineRule="auto"/>
              <w:jc w:val="center"/>
              <w:rPr>
                <w:rFonts w:eastAsia="Times New Roman" w:cs="Arial"/>
                <w:b/>
                <w:bCs/>
                <w:color w:val="000000"/>
                <w:szCs w:val="22"/>
                <w:lang w:eastAsia="en-AU"/>
              </w:rPr>
            </w:pPr>
            <w:r w:rsidRPr="006A2EF3">
              <w:rPr>
                <w:rFonts w:eastAsia="Times New Roman" w:cs="Arial"/>
                <w:b/>
                <w:bCs/>
                <w:color w:val="000000"/>
                <w:szCs w:val="22"/>
                <w:lang w:eastAsia="en-AU"/>
              </w:rPr>
              <w:t>Total</w:t>
            </w:r>
          </w:p>
        </w:tc>
        <w:tc>
          <w:tcPr>
            <w:tcW w:w="1701" w:type="dxa"/>
            <w:shd w:val="clear" w:color="000000" w:fill="808285"/>
            <w:noWrap/>
            <w:hideMark/>
          </w:tcPr>
          <w:p w:rsidR="00B60C9F" w:rsidRPr="006A2EF3" w:rsidRDefault="00B60C9F" w:rsidP="000D5D04">
            <w:pPr>
              <w:spacing w:after="0" w:line="240" w:lineRule="auto"/>
              <w:jc w:val="center"/>
              <w:rPr>
                <w:rFonts w:eastAsia="Times New Roman" w:cs="Arial"/>
                <w:b/>
                <w:bCs/>
                <w:szCs w:val="22"/>
                <w:lang w:eastAsia="en-AU"/>
              </w:rPr>
            </w:pPr>
            <w:r w:rsidRPr="008429F9">
              <w:rPr>
                <w:rFonts w:eastAsiaTheme="minorHAnsi" w:cs="Arial"/>
                <w:b/>
                <w:szCs w:val="22"/>
                <w:lang w:eastAsia="en-US"/>
              </w:rPr>
              <w:t>$</w:t>
            </w:r>
            <w:r w:rsidRPr="006A2EF3">
              <w:rPr>
                <w:rFonts w:eastAsiaTheme="minorHAnsi" w:cs="Arial"/>
                <w:b/>
                <w:szCs w:val="22"/>
                <w:lang w:eastAsia="en-US"/>
              </w:rPr>
              <w:t>46,808</w:t>
            </w:r>
          </w:p>
        </w:tc>
        <w:tc>
          <w:tcPr>
            <w:tcW w:w="1700" w:type="dxa"/>
            <w:shd w:val="clear" w:color="000000" w:fill="808285"/>
            <w:noWrap/>
            <w:hideMark/>
          </w:tcPr>
          <w:p w:rsidR="00B60C9F" w:rsidRPr="006A2EF3" w:rsidRDefault="00B60C9F" w:rsidP="000D5D04">
            <w:pPr>
              <w:spacing w:after="0" w:line="240" w:lineRule="auto"/>
              <w:jc w:val="center"/>
              <w:rPr>
                <w:rFonts w:eastAsia="Times New Roman" w:cs="Arial"/>
                <w:b/>
                <w:bCs/>
                <w:szCs w:val="22"/>
                <w:lang w:eastAsia="en-AU"/>
              </w:rPr>
            </w:pPr>
            <w:r w:rsidRPr="008429F9">
              <w:rPr>
                <w:rFonts w:eastAsiaTheme="minorHAnsi" w:cs="Arial"/>
                <w:b/>
                <w:szCs w:val="22"/>
                <w:lang w:eastAsia="en-US"/>
              </w:rPr>
              <w:t>$</w:t>
            </w:r>
            <w:r w:rsidRPr="006A2EF3">
              <w:rPr>
                <w:rFonts w:eastAsiaTheme="minorHAnsi" w:cs="Arial"/>
                <w:b/>
                <w:szCs w:val="22"/>
                <w:lang w:eastAsia="en-US"/>
              </w:rPr>
              <w:t>59,374</w:t>
            </w:r>
          </w:p>
        </w:tc>
        <w:tc>
          <w:tcPr>
            <w:tcW w:w="1701" w:type="dxa"/>
            <w:shd w:val="clear" w:color="000000" w:fill="808285"/>
            <w:noWrap/>
            <w:hideMark/>
          </w:tcPr>
          <w:p w:rsidR="00B60C9F" w:rsidRPr="006A2EF3" w:rsidRDefault="00B60C9F" w:rsidP="000D5D04">
            <w:pPr>
              <w:spacing w:after="0" w:line="240" w:lineRule="auto"/>
              <w:jc w:val="center"/>
              <w:rPr>
                <w:rFonts w:eastAsia="Times New Roman" w:cs="Arial"/>
                <w:b/>
                <w:bCs/>
                <w:szCs w:val="22"/>
                <w:lang w:eastAsia="en-AU"/>
              </w:rPr>
            </w:pPr>
            <w:r w:rsidRPr="008429F9">
              <w:rPr>
                <w:rFonts w:eastAsiaTheme="minorHAnsi" w:cs="Arial"/>
                <w:b/>
                <w:szCs w:val="22"/>
                <w:lang w:eastAsia="en-US"/>
              </w:rPr>
              <w:t>$</w:t>
            </w:r>
            <w:r w:rsidRPr="006A2EF3">
              <w:rPr>
                <w:rFonts w:eastAsiaTheme="minorHAnsi" w:cs="Arial"/>
                <w:b/>
                <w:szCs w:val="22"/>
                <w:lang w:eastAsia="en-US"/>
              </w:rPr>
              <w:t>68,410</w:t>
            </w:r>
          </w:p>
        </w:tc>
      </w:tr>
    </w:tbl>
    <w:p w:rsidR="00B60C9F" w:rsidRDefault="00B60C9F" w:rsidP="00B60C9F">
      <w:pPr>
        <w:spacing w:after="0" w:line="259" w:lineRule="auto"/>
        <w:rPr>
          <w:rFonts w:eastAsiaTheme="minorHAnsi" w:cs="Arial"/>
          <w:b/>
          <w:bCs/>
          <w:i/>
          <w:iCs/>
          <w:sz w:val="20"/>
          <w:szCs w:val="20"/>
          <w:lang w:eastAsia="en-US"/>
        </w:rPr>
      </w:pPr>
    </w:p>
    <w:p w:rsidR="00B60C9F" w:rsidRPr="00941A88" w:rsidRDefault="00B60C9F" w:rsidP="00941A88">
      <w:pPr>
        <w:pStyle w:val="Heading4"/>
        <w:numPr>
          <w:ilvl w:val="0"/>
          <w:numId w:val="0"/>
        </w:numPr>
        <w:rPr>
          <w:rFonts w:eastAsiaTheme="minorHAnsi"/>
          <w:lang w:eastAsia="en-US"/>
        </w:rPr>
      </w:pPr>
      <w:bookmarkStart w:id="48" w:name="_Toc88041463"/>
      <w:r w:rsidRPr="00941A88">
        <w:rPr>
          <w:rFonts w:eastAsiaTheme="minorHAnsi"/>
          <w:lang w:eastAsia="en-US"/>
        </w:rPr>
        <w:t>Table B.7: Average annual increase in payments for non-SIL participants with support coordination funding, by disability type</w:t>
      </w:r>
      <w:bookmarkEnd w:id="4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1423"/>
        <w:gridCol w:w="1423"/>
        <w:gridCol w:w="1279"/>
        <w:gridCol w:w="1886"/>
      </w:tblGrid>
      <w:tr w:rsidR="00B60C9F" w:rsidRPr="006A2EF3" w:rsidTr="007C7FF4">
        <w:trPr>
          <w:trHeight w:val="548"/>
          <w:tblHeader/>
          <w:jc w:val="center"/>
        </w:trPr>
        <w:tc>
          <w:tcPr>
            <w:tcW w:w="1607" w:type="pct"/>
            <w:shd w:val="clear" w:color="000000" w:fill="6B2976"/>
            <w:noWrap/>
            <w:vAlign w:val="center"/>
            <w:hideMark/>
          </w:tcPr>
          <w:p w:rsidR="00B60C9F" w:rsidRPr="006A2EF3" w:rsidRDefault="00B60C9F" w:rsidP="000D5D04">
            <w:pPr>
              <w:spacing w:after="0" w:line="240" w:lineRule="auto"/>
              <w:jc w:val="center"/>
              <w:rPr>
                <w:rFonts w:eastAsia="Times New Roman" w:cs="Arial"/>
                <w:b/>
                <w:color w:val="FFFFFF"/>
                <w:szCs w:val="22"/>
                <w:lang w:eastAsia="en-AU"/>
              </w:rPr>
            </w:pPr>
            <w:r w:rsidRPr="006A2EF3">
              <w:rPr>
                <w:rFonts w:eastAsia="Times New Roman" w:cs="Arial"/>
                <w:b/>
                <w:color w:val="FFFFFF"/>
                <w:szCs w:val="22"/>
                <w:lang w:eastAsia="en-AU"/>
              </w:rPr>
              <w:t>Disability type</w:t>
            </w:r>
          </w:p>
        </w:tc>
        <w:tc>
          <w:tcPr>
            <w:tcW w:w="804" w:type="pct"/>
            <w:shd w:val="clear" w:color="000000" w:fill="6B2976"/>
            <w:vAlign w:val="center"/>
            <w:hideMark/>
          </w:tcPr>
          <w:p w:rsidR="00B60C9F" w:rsidRPr="006A2EF3" w:rsidRDefault="00B60C9F" w:rsidP="000D5D04">
            <w:pPr>
              <w:spacing w:after="0" w:line="240" w:lineRule="auto"/>
              <w:jc w:val="center"/>
              <w:rPr>
                <w:rFonts w:eastAsia="Times New Roman" w:cs="Arial"/>
                <w:b/>
                <w:color w:val="FFFFFF"/>
                <w:szCs w:val="22"/>
                <w:lang w:eastAsia="en-AU"/>
              </w:rPr>
            </w:pPr>
            <w:r w:rsidRPr="006A2EF3">
              <w:rPr>
                <w:rFonts w:eastAsia="Times New Roman" w:cs="Arial"/>
                <w:b/>
                <w:color w:val="FFFFFF"/>
                <w:szCs w:val="22"/>
                <w:lang w:eastAsia="en-AU"/>
              </w:rPr>
              <w:t xml:space="preserve">Oct-18 to </w:t>
            </w:r>
          </w:p>
          <w:p w:rsidR="00B60C9F" w:rsidRPr="006A2EF3" w:rsidRDefault="00B60C9F" w:rsidP="000D5D04">
            <w:pPr>
              <w:spacing w:after="0" w:line="240" w:lineRule="auto"/>
              <w:jc w:val="center"/>
              <w:rPr>
                <w:rFonts w:eastAsia="Times New Roman" w:cs="Arial"/>
                <w:b/>
                <w:color w:val="FFFFFF"/>
                <w:szCs w:val="22"/>
                <w:lang w:eastAsia="en-AU"/>
              </w:rPr>
            </w:pPr>
            <w:r w:rsidRPr="006A2EF3">
              <w:rPr>
                <w:rFonts w:eastAsia="Times New Roman" w:cs="Arial"/>
                <w:b/>
                <w:color w:val="FFFFFF"/>
                <w:szCs w:val="22"/>
                <w:lang w:eastAsia="en-AU"/>
              </w:rPr>
              <w:t>Sep-19</w:t>
            </w:r>
          </w:p>
        </w:tc>
        <w:tc>
          <w:tcPr>
            <w:tcW w:w="804" w:type="pct"/>
            <w:shd w:val="clear" w:color="000000" w:fill="6B2976"/>
            <w:vAlign w:val="center"/>
            <w:hideMark/>
          </w:tcPr>
          <w:p w:rsidR="00B60C9F" w:rsidRPr="006A2EF3" w:rsidRDefault="00B60C9F" w:rsidP="000D5D04">
            <w:pPr>
              <w:spacing w:after="0" w:line="240" w:lineRule="auto"/>
              <w:jc w:val="center"/>
              <w:rPr>
                <w:rFonts w:eastAsia="Times New Roman" w:cs="Arial"/>
                <w:b/>
                <w:color w:val="FFFFFF"/>
                <w:szCs w:val="22"/>
                <w:lang w:eastAsia="en-AU"/>
              </w:rPr>
            </w:pPr>
            <w:r w:rsidRPr="006A2EF3">
              <w:rPr>
                <w:rFonts w:eastAsia="Times New Roman" w:cs="Arial"/>
                <w:b/>
                <w:color w:val="FFFFFF"/>
                <w:szCs w:val="22"/>
                <w:lang w:eastAsia="en-AU"/>
              </w:rPr>
              <w:t xml:space="preserve">Oct-19 to </w:t>
            </w:r>
          </w:p>
          <w:p w:rsidR="00B60C9F" w:rsidRPr="006A2EF3" w:rsidRDefault="00B60C9F" w:rsidP="000D5D04">
            <w:pPr>
              <w:spacing w:after="0" w:line="240" w:lineRule="auto"/>
              <w:jc w:val="center"/>
              <w:rPr>
                <w:rFonts w:eastAsia="Times New Roman" w:cs="Arial"/>
                <w:b/>
                <w:color w:val="FFFFFF"/>
                <w:szCs w:val="22"/>
                <w:lang w:eastAsia="en-AU"/>
              </w:rPr>
            </w:pPr>
            <w:r w:rsidRPr="006A2EF3">
              <w:rPr>
                <w:rFonts w:eastAsia="Times New Roman" w:cs="Arial"/>
                <w:b/>
                <w:color w:val="FFFFFF"/>
                <w:szCs w:val="22"/>
                <w:lang w:eastAsia="en-AU"/>
              </w:rPr>
              <w:t>Sep-20</w:t>
            </w:r>
          </w:p>
        </w:tc>
        <w:tc>
          <w:tcPr>
            <w:tcW w:w="724" w:type="pct"/>
            <w:shd w:val="clear" w:color="000000" w:fill="6B2976"/>
            <w:vAlign w:val="center"/>
            <w:hideMark/>
          </w:tcPr>
          <w:p w:rsidR="00B60C9F" w:rsidRPr="006A2EF3" w:rsidRDefault="00B60C9F" w:rsidP="000D5D04">
            <w:pPr>
              <w:spacing w:after="0" w:line="240" w:lineRule="auto"/>
              <w:jc w:val="center"/>
              <w:rPr>
                <w:rFonts w:eastAsia="Times New Roman" w:cs="Arial"/>
                <w:b/>
                <w:color w:val="FFFFFF"/>
                <w:szCs w:val="22"/>
                <w:lang w:eastAsia="en-AU"/>
              </w:rPr>
            </w:pPr>
            <w:r w:rsidRPr="006A2EF3">
              <w:rPr>
                <w:rFonts w:eastAsia="Times New Roman" w:cs="Arial"/>
                <w:b/>
                <w:color w:val="FFFFFF"/>
                <w:szCs w:val="22"/>
                <w:lang w:eastAsia="en-AU"/>
              </w:rPr>
              <w:t xml:space="preserve">Oct-20 to </w:t>
            </w:r>
          </w:p>
          <w:p w:rsidR="00B60C9F" w:rsidRPr="006A2EF3" w:rsidRDefault="00B60C9F" w:rsidP="000D5D04">
            <w:pPr>
              <w:spacing w:after="0" w:line="240" w:lineRule="auto"/>
              <w:jc w:val="center"/>
              <w:rPr>
                <w:rFonts w:eastAsia="Times New Roman" w:cs="Arial"/>
                <w:b/>
                <w:color w:val="FFFFFF"/>
                <w:szCs w:val="22"/>
                <w:lang w:eastAsia="en-AU"/>
              </w:rPr>
            </w:pPr>
            <w:r w:rsidRPr="006A2EF3">
              <w:rPr>
                <w:rFonts w:eastAsia="Times New Roman" w:cs="Arial"/>
                <w:b/>
                <w:color w:val="FFFFFF"/>
                <w:szCs w:val="22"/>
                <w:lang w:eastAsia="en-AU"/>
              </w:rPr>
              <w:t>Sep-21</w:t>
            </w:r>
          </w:p>
        </w:tc>
        <w:tc>
          <w:tcPr>
            <w:tcW w:w="1061" w:type="pct"/>
            <w:shd w:val="clear" w:color="000000" w:fill="6B2976"/>
            <w:vAlign w:val="center"/>
            <w:hideMark/>
          </w:tcPr>
          <w:p w:rsidR="00B60C9F" w:rsidRPr="006A2EF3" w:rsidRDefault="00B60C9F" w:rsidP="000D5D04">
            <w:pPr>
              <w:spacing w:after="0" w:line="240" w:lineRule="auto"/>
              <w:jc w:val="center"/>
              <w:rPr>
                <w:rFonts w:eastAsia="Times New Roman" w:cs="Arial"/>
                <w:b/>
                <w:color w:val="FFFFFF"/>
                <w:szCs w:val="22"/>
                <w:lang w:eastAsia="en-AU"/>
              </w:rPr>
            </w:pPr>
            <w:r w:rsidRPr="006A2EF3">
              <w:rPr>
                <w:rFonts w:eastAsia="Times New Roman" w:cs="Arial"/>
                <w:b/>
                <w:color w:val="FFFFFF"/>
                <w:szCs w:val="22"/>
                <w:lang w:eastAsia="en-AU"/>
              </w:rPr>
              <w:t>Average annual increase</w:t>
            </w:r>
          </w:p>
        </w:tc>
      </w:tr>
      <w:tr w:rsidR="00B60C9F" w:rsidRPr="006A2EF3" w:rsidTr="007C7FF4">
        <w:trPr>
          <w:trHeight w:val="285"/>
          <w:jc w:val="center"/>
        </w:trPr>
        <w:tc>
          <w:tcPr>
            <w:tcW w:w="1607" w:type="pct"/>
            <w:shd w:val="clear" w:color="auto" w:fill="BCBEC0"/>
            <w:noWrap/>
            <w:hideMark/>
          </w:tcPr>
          <w:p w:rsidR="00B60C9F" w:rsidRPr="006A2EF3" w:rsidRDefault="00B60C9F" w:rsidP="000D5D04">
            <w:pPr>
              <w:spacing w:after="0" w:line="240" w:lineRule="auto"/>
              <w:rPr>
                <w:rFonts w:eastAsia="Times New Roman" w:cs="Arial"/>
                <w:color w:val="000000"/>
                <w:szCs w:val="22"/>
                <w:lang w:eastAsia="en-AU"/>
              </w:rPr>
            </w:pPr>
            <w:r w:rsidRPr="006A2EF3">
              <w:rPr>
                <w:rFonts w:eastAsiaTheme="minorHAnsi" w:cs="Arial"/>
                <w:szCs w:val="22"/>
                <w:lang w:eastAsia="en-US"/>
              </w:rPr>
              <w:t>ABI</w:t>
            </w:r>
          </w:p>
        </w:tc>
        <w:tc>
          <w:tcPr>
            <w:tcW w:w="804" w:type="pct"/>
            <w:shd w:val="clear" w:color="auto" w:fill="auto"/>
            <w:noWrap/>
            <w:hideMark/>
          </w:tcPr>
          <w:p w:rsidR="00B60C9F" w:rsidRPr="006A2EF3" w:rsidRDefault="00B60C9F" w:rsidP="000D5D04">
            <w:pPr>
              <w:spacing w:after="0" w:line="240" w:lineRule="auto"/>
              <w:jc w:val="center"/>
              <w:rPr>
                <w:rFonts w:eastAsia="Times New Roman" w:cs="Arial"/>
                <w:szCs w:val="22"/>
                <w:lang w:eastAsia="en-AU"/>
              </w:rPr>
            </w:pPr>
            <w:r w:rsidRPr="006A2EF3">
              <w:rPr>
                <w:rFonts w:eastAsiaTheme="minorHAnsi" w:cs="Arial"/>
                <w:szCs w:val="22"/>
                <w:lang w:eastAsia="en-US"/>
              </w:rPr>
              <w:t>39%</w:t>
            </w:r>
          </w:p>
        </w:tc>
        <w:tc>
          <w:tcPr>
            <w:tcW w:w="804" w:type="pct"/>
            <w:shd w:val="clear" w:color="auto" w:fill="auto"/>
            <w:noWrap/>
            <w:hideMark/>
          </w:tcPr>
          <w:p w:rsidR="00B60C9F" w:rsidRPr="006A2EF3" w:rsidRDefault="00B60C9F" w:rsidP="000D5D04">
            <w:pPr>
              <w:spacing w:after="0" w:line="240" w:lineRule="auto"/>
              <w:jc w:val="center"/>
              <w:rPr>
                <w:rFonts w:eastAsia="Times New Roman" w:cs="Arial"/>
                <w:szCs w:val="22"/>
                <w:lang w:eastAsia="en-AU"/>
              </w:rPr>
            </w:pPr>
            <w:r w:rsidRPr="006A2EF3">
              <w:rPr>
                <w:rFonts w:eastAsiaTheme="minorHAnsi" w:cs="Arial"/>
                <w:szCs w:val="22"/>
                <w:lang w:eastAsia="en-US"/>
              </w:rPr>
              <w:t>32%</w:t>
            </w:r>
          </w:p>
        </w:tc>
        <w:tc>
          <w:tcPr>
            <w:tcW w:w="724" w:type="pct"/>
            <w:shd w:val="clear" w:color="auto" w:fill="auto"/>
            <w:noWrap/>
            <w:hideMark/>
          </w:tcPr>
          <w:p w:rsidR="00B60C9F" w:rsidRPr="006A2EF3" w:rsidRDefault="00B60C9F" w:rsidP="000D5D04">
            <w:pPr>
              <w:spacing w:after="0" w:line="240" w:lineRule="auto"/>
              <w:jc w:val="center"/>
              <w:rPr>
                <w:rFonts w:eastAsia="Times New Roman" w:cs="Arial"/>
                <w:szCs w:val="22"/>
                <w:lang w:eastAsia="en-AU"/>
              </w:rPr>
            </w:pPr>
            <w:r w:rsidRPr="006A2EF3">
              <w:rPr>
                <w:rFonts w:eastAsiaTheme="minorHAnsi" w:cs="Arial"/>
                <w:szCs w:val="22"/>
                <w:lang w:eastAsia="en-US"/>
              </w:rPr>
              <w:t>19%</w:t>
            </w:r>
          </w:p>
        </w:tc>
        <w:tc>
          <w:tcPr>
            <w:tcW w:w="1061" w:type="pct"/>
            <w:shd w:val="clear" w:color="auto" w:fill="auto"/>
            <w:noWrap/>
            <w:hideMark/>
          </w:tcPr>
          <w:p w:rsidR="00B60C9F" w:rsidRPr="006A2EF3" w:rsidRDefault="00B60C9F" w:rsidP="000D5D04">
            <w:pPr>
              <w:spacing w:after="0" w:line="240" w:lineRule="auto"/>
              <w:jc w:val="center"/>
              <w:rPr>
                <w:rFonts w:eastAsia="Times New Roman" w:cs="Arial"/>
                <w:szCs w:val="22"/>
                <w:lang w:eastAsia="en-AU"/>
              </w:rPr>
            </w:pPr>
            <w:r w:rsidRPr="006A2EF3">
              <w:rPr>
                <w:rFonts w:eastAsiaTheme="minorHAnsi" w:cs="Arial"/>
                <w:szCs w:val="22"/>
                <w:lang w:eastAsia="en-US"/>
              </w:rPr>
              <w:t>30%</w:t>
            </w:r>
          </w:p>
        </w:tc>
      </w:tr>
      <w:tr w:rsidR="00B60C9F" w:rsidRPr="006A2EF3" w:rsidTr="007C7FF4">
        <w:trPr>
          <w:trHeight w:val="285"/>
          <w:jc w:val="center"/>
        </w:trPr>
        <w:tc>
          <w:tcPr>
            <w:tcW w:w="1607" w:type="pct"/>
            <w:shd w:val="clear" w:color="auto" w:fill="BCBEC0"/>
            <w:noWrap/>
            <w:hideMark/>
          </w:tcPr>
          <w:p w:rsidR="00B60C9F" w:rsidRPr="006A2EF3" w:rsidRDefault="00B60C9F" w:rsidP="000D5D04">
            <w:pPr>
              <w:spacing w:after="0" w:line="240" w:lineRule="auto"/>
              <w:rPr>
                <w:rFonts w:eastAsia="Times New Roman" w:cs="Arial"/>
                <w:color w:val="000000"/>
                <w:szCs w:val="22"/>
                <w:lang w:eastAsia="en-AU"/>
              </w:rPr>
            </w:pPr>
            <w:r w:rsidRPr="006A2EF3">
              <w:rPr>
                <w:rFonts w:eastAsiaTheme="minorHAnsi" w:cs="Arial"/>
                <w:szCs w:val="22"/>
                <w:lang w:eastAsia="en-US"/>
              </w:rPr>
              <w:t>Autism</w:t>
            </w:r>
          </w:p>
        </w:tc>
        <w:tc>
          <w:tcPr>
            <w:tcW w:w="804" w:type="pct"/>
            <w:shd w:val="clear" w:color="auto" w:fill="auto"/>
            <w:noWrap/>
            <w:hideMark/>
          </w:tcPr>
          <w:p w:rsidR="00B60C9F" w:rsidRPr="006A2EF3" w:rsidRDefault="00B60C9F" w:rsidP="000D5D04">
            <w:pPr>
              <w:spacing w:after="0" w:line="240" w:lineRule="auto"/>
              <w:jc w:val="center"/>
              <w:rPr>
                <w:rFonts w:eastAsia="Times New Roman" w:cs="Arial"/>
                <w:szCs w:val="22"/>
                <w:lang w:eastAsia="en-AU"/>
              </w:rPr>
            </w:pPr>
            <w:r w:rsidRPr="006A2EF3">
              <w:rPr>
                <w:rFonts w:eastAsiaTheme="minorHAnsi" w:cs="Arial"/>
                <w:szCs w:val="22"/>
                <w:lang w:eastAsia="en-US"/>
              </w:rPr>
              <w:t>40%</w:t>
            </w:r>
          </w:p>
        </w:tc>
        <w:tc>
          <w:tcPr>
            <w:tcW w:w="804" w:type="pct"/>
            <w:shd w:val="clear" w:color="auto" w:fill="auto"/>
            <w:noWrap/>
            <w:hideMark/>
          </w:tcPr>
          <w:p w:rsidR="00B60C9F" w:rsidRPr="006A2EF3" w:rsidRDefault="00B60C9F" w:rsidP="000D5D04">
            <w:pPr>
              <w:spacing w:after="0" w:line="240" w:lineRule="auto"/>
              <w:jc w:val="center"/>
              <w:rPr>
                <w:rFonts w:eastAsia="Times New Roman" w:cs="Arial"/>
                <w:szCs w:val="22"/>
                <w:lang w:eastAsia="en-AU"/>
              </w:rPr>
            </w:pPr>
            <w:r w:rsidRPr="006A2EF3">
              <w:rPr>
                <w:rFonts w:eastAsiaTheme="minorHAnsi" w:cs="Arial"/>
                <w:szCs w:val="22"/>
                <w:lang w:eastAsia="en-US"/>
              </w:rPr>
              <w:t>24%</w:t>
            </w:r>
          </w:p>
        </w:tc>
        <w:tc>
          <w:tcPr>
            <w:tcW w:w="724" w:type="pct"/>
            <w:shd w:val="clear" w:color="auto" w:fill="auto"/>
            <w:noWrap/>
            <w:hideMark/>
          </w:tcPr>
          <w:p w:rsidR="00B60C9F" w:rsidRPr="006A2EF3" w:rsidRDefault="00B60C9F" w:rsidP="000D5D04">
            <w:pPr>
              <w:spacing w:after="0" w:line="240" w:lineRule="auto"/>
              <w:jc w:val="center"/>
              <w:rPr>
                <w:rFonts w:eastAsia="Times New Roman" w:cs="Arial"/>
                <w:szCs w:val="22"/>
                <w:lang w:eastAsia="en-AU"/>
              </w:rPr>
            </w:pPr>
            <w:r w:rsidRPr="006A2EF3">
              <w:rPr>
                <w:rFonts w:eastAsiaTheme="minorHAnsi" w:cs="Arial"/>
                <w:szCs w:val="22"/>
                <w:lang w:eastAsia="en-US"/>
              </w:rPr>
              <w:t>13%</w:t>
            </w:r>
          </w:p>
        </w:tc>
        <w:tc>
          <w:tcPr>
            <w:tcW w:w="1061" w:type="pct"/>
            <w:shd w:val="clear" w:color="auto" w:fill="auto"/>
            <w:noWrap/>
            <w:hideMark/>
          </w:tcPr>
          <w:p w:rsidR="00B60C9F" w:rsidRPr="006A2EF3" w:rsidRDefault="00B60C9F" w:rsidP="000D5D04">
            <w:pPr>
              <w:spacing w:after="0" w:line="240" w:lineRule="auto"/>
              <w:jc w:val="center"/>
              <w:rPr>
                <w:rFonts w:eastAsia="Times New Roman" w:cs="Arial"/>
                <w:szCs w:val="22"/>
                <w:lang w:eastAsia="en-AU"/>
              </w:rPr>
            </w:pPr>
            <w:r w:rsidRPr="006A2EF3">
              <w:rPr>
                <w:rFonts w:eastAsiaTheme="minorHAnsi" w:cs="Arial"/>
                <w:szCs w:val="22"/>
                <w:lang w:eastAsia="en-US"/>
              </w:rPr>
              <w:t>25%</w:t>
            </w:r>
          </w:p>
        </w:tc>
      </w:tr>
      <w:tr w:rsidR="00B60C9F" w:rsidRPr="006A2EF3" w:rsidTr="007C7FF4">
        <w:trPr>
          <w:trHeight w:val="285"/>
          <w:jc w:val="center"/>
        </w:trPr>
        <w:tc>
          <w:tcPr>
            <w:tcW w:w="1607" w:type="pct"/>
            <w:shd w:val="clear" w:color="auto" w:fill="BCBEC0"/>
            <w:noWrap/>
          </w:tcPr>
          <w:p w:rsidR="00B60C9F" w:rsidRPr="006A2EF3" w:rsidRDefault="00B60C9F" w:rsidP="000D5D04">
            <w:pPr>
              <w:spacing w:after="0" w:line="240" w:lineRule="auto"/>
              <w:rPr>
                <w:rFonts w:eastAsia="Times New Roman" w:cs="Arial"/>
                <w:color w:val="000000"/>
                <w:szCs w:val="22"/>
                <w:lang w:eastAsia="en-AU"/>
              </w:rPr>
            </w:pPr>
            <w:r w:rsidRPr="006A2EF3">
              <w:rPr>
                <w:rFonts w:eastAsiaTheme="minorHAnsi" w:cs="Arial"/>
                <w:szCs w:val="22"/>
                <w:lang w:eastAsia="en-US"/>
              </w:rPr>
              <w:t>Cerebral Palsy</w:t>
            </w:r>
          </w:p>
        </w:tc>
        <w:tc>
          <w:tcPr>
            <w:tcW w:w="804" w:type="pct"/>
            <w:shd w:val="clear" w:color="auto" w:fill="auto"/>
            <w:noWrap/>
          </w:tcPr>
          <w:p w:rsidR="00B60C9F" w:rsidRPr="006A2EF3" w:rsidRDefault="00B60C9F" w:rsidP="000D5D04">
            <w:pPr>
              <w:spacing w:after="0" w:line="240" w:lineRule="auto"/>
              <w:jc w:val="center"/>
              <w:rPr>
                <w:rFonts w:eastAsia="Times New Roman" w:cs="Arial"/>
                <w:szCs w:val="22"/>
                <w:lang w:eastAsia="en-AU"/>
              </w:rPr>
            </w:pPr>
            <w:r w:rsidRPr="006A2EF3">
              <w:rPr>
                <w:rFonts w:eastAsiaTheme="minorHAnsi" w:cs="Arial"/>
                <w:szCs w:val="22"/>
                <w:lang w:eastAsia="en-US"/>
              </w:rPr>
              <w:t>38%</w:t>
            </w:r>
          </w:p>
        </w:tc>
        <w:tc>
          <w:tcPr>
            <w:tcW w:w="804" w:type="pct"/>
            <w:shd w:val="clear" w:color="auto" w:fill="auto"/>
            <w:noWrap/>
          </w:tcPr>
          <w:p w:rsidR="00B60C9F" w:rsidRPr="006A2EF3" w:rsidRDefault="00B60C9F" w:rsidP="000D5D04">
            <w:pPr>
              <w:spacing w:after="0" w:line="240" w:lineRule="auto"/>
              <w:jc w:val="center"/>
              <w:rPr>
                <w:rFonts w:eastAsia="Times New Roman" w:cs="Arial"/>
                <w:szCs w:val="22"/>
                <w:lang w:eastAsia="en-AU"/>
              </w:rPr>
            </w:pPr>
            <w:r w:rsidRPr="006A2EF3">
              <w:rPr>
                <w:rFonts w:eastAsiaTheme="minorHAnsi" w:cs="Arial"/>
                <w:szCs w:val="22"/>
                <w:lang w:eastAsia="en-US"/>
              </w:rPr>
              <w:t>25%</w:t>
            </w:r>
          </w:p>
        </w:tc>
        <w:tc>
          <w:tcPr>
            <w:tcW w:w="724" w:type="pct"/>
            <w:shd w:val="clear" w:color="auto" w:fill="auto"/>
            <w:noWrap/>
          </w:tcPr>
          <w:p w:rsidR="00B60C9F" w:rsidRPr="006A2EF3" w:rsidRDefault="00B60C9F" w:rsidP="000D5D04">
            <w:pPr>
              <w:spacing w:after="0" w:line="240" w:lineRule="auto"/>
              <w:jc w:val="center"/>
              <w:rPr>
                <w:rFonts w:eastAsia="Times New Roman" w:cs="Arial"/>
                <w:szCs w:val="22"/>
                <w:lang w:eastAsia="en-AU"/>
              </w:rPr>
            </w:pPr>
            <w:r w:rsidRPr="006A2EF3">
              <w:rPr>
                <w:rFonts w:eastAsiaTheme="minorHAnsi" w:cs="Arial"/>
                <w:szCs w:val="22"/>
                <w:lang w:eastAsia="en-US"/>
              </w:rPr>
              <w:t>13%</w:t>
            </w:r>
          </w:p>
        </w:tc>
        <w:tc>
          <w:tcPr>
            <w:tcW w:w="1061" w:type="pct"/>
            <w:shd w:val="clear" w:color="auto" w:fill="auto"/>
            <w:noWrap/>
          </w:tcPr>
          <w:p w:rsidR="00B60C9F" w:rsidRPr="006A2EF3" w:rsidRDefault="00B60C9F" w:rsidP="000D5D04">
            <w:pPr>
              <w:spacing w:after="0" w:line="240" w:lineRule="auto"/>
              <w:jc w:val="center"/>
              <w:rPr>
                <w:rFonts w:eastAsia="Times New Roman" w:cs="Arial"/>
                <w:szCs w:val="22"/>
                <w:lang w:eastAsia="en-AU"/>
              </w:rPr>
            </w:pPr>
            <w:r w:rsidRPr="006A2EF3">
              <w:rPr>
                <w:rFonts w:eastAsiaTheme="minorHAnsi" w:cs="Arial"/>
                <w:szCs w:val="22"/>
                <w:lang w:eastAsia="en-US"/>
              </w:rPr>
              <w:t>25%</w:t>
            </w:r>
          </w:p>
        </w:tc>
      </w:tr>
      <w:tr w:rsidR="00B60C9F" w:rsidRPr="006A2EF3" w:rsidTr="007C7FF4">
        <w:trPr>
          <w:trHeight w:val="285"/>
          <w:jc w:val="center"/>
        </w:trPr>
        <w:tc>
          <w:tcPr>
            <w:tcW w:w="1607" w:type="pct"/>
            <w:shd w:val="clear" w:color="auto" w:fill="BCBEC0"/>
            <w:noWrap/>
          </w:tcPr>
          <w:p w:rsidR="00B60C9F" w:rsidRPr="006A2EF3" w:rsidRDefault="00B60C9F" w:rsidP="000D5D04">
            <w:pPr>
              <w:spacing w:after="0" w:line="240" w:lineRule="auto"/>
              <w:rPr>
                <w:rFonts w:eastAsia="Times New Roman" w:cs="Arial"/>
                <w:color w:val="000000"/>
                <w:szCs w:val="22"/>
                <w:lang w:eastAsia="en-AU"/>
              </w:rPr>
            </w:pPr>
            <w:r w:rsidRPr="006A2EF3">
              <w:rPr>
                <w:rFonts w:eastAsiaTheme="minorHAnsi" w:cs="Arial"/>
                <w:szCs w:val="22"/>
                <w:lang w:eastAsia="en-US"/>
              </w:rPr>
              <w:t>Developmental Delay</w:t>
            </w:r>
          </w:p>
        </w:tc>
        <w:tc>
          <w:tcPr>
            <w:tcW w:w="804" w:type="pct"/>
            <w:shd w:val="clear" w:color="auto" w:fill="auto"/>
            <w:noWrap/>
          </w:tcPr>
          <w:p w:rsidR="00B60C9F" w:rsidRPr="006A2EF3" w:rsidRDefault="00B60C9F" w:rsidP="000D5D04">
            <w:pPr>
              <w:spacing w:after="0" w:line="240" w:lineRule="auto"/>
              <w:jc w:val="center"/>
              <w:rPr>
                <w:rFonts w:eastAsia="Times New Roman" w:cs="Arial"/>
                <w:szCs w:val="22"/>
                <w:lang w:eastAsia="en-AU"/>
              </w:rPr>
            </w:pPr>
            <w:r w:rsidRPr="006A2EF3">
              <w:rPr>
                <w:rFonts w:eastAsiaTheme="minorHAnsi" w:cs="Arial"/>
                <w:szCs w:val="22"/>
                <w:lang w:eastAsia="en-US"/>
              </w:rPr>
              <w:t>28%</w:t>
            </w:r>
          </w:p>
        </w:tc>
        <w:tc>
          <w:tcPr>
            <w:tcW w:w="804" w:type="pct"/>
            <w:shd w:val="clear" w:color="auto" w:fill="auto"/>
            <w:noWrap/>
          </w:tcPr>
          <w:p w:rsidR="00B60C9F" w:rsidRPr="006A2EF3" w:rsidRDefault="00B60C9F" w:rsidP="000D5D04">
            <w:pPr>
              <w:spacing w:after="0" w:line="240" w:lineRule="auto"/>
              <w:jc w:val="center"/>
              <w:rPr>
                <w:rFonts w:eastAsia="Times New Roman" w:cs="Arial"/>
                <w:szCs w:val="22"/>
                <w:lang w:eastAsia="en-AU"/>
              </w:rPr>
            </w:pPr>
            <w:r w:rsidRPr="006A2EF3">
              <w:rPr>
                <w:rFonts w:eastAsiaTheme="minorHAnsi" w:cs="Arial"/>
                <w:szCs w:val="22"/>
                <w:lang w:eastAsia="en-US"/>
              </w:rPr>
              <w:t>26%</w:t>
            </w:r>
          </w:p>
        </w:tc>
        <w:tc>
          <w:tcPr>
            <w:tcW w:w="724" w:type="pct"/>
            <w:shd w:val="clear" w:color="auto" w:fill="auto"/>
            <w:noWrap/>
          </w:tcPr>
          <w:p w:rsidR="00B60C9F" w:rsidRPr="006A2EF3" w:rsidRDefault="00B60C9F" w:rsidP="000D5D04">
            <w:pPr>
              <w:spacing w:after="0" w:line="240" w:lineRule="auto"/>
              <w:jc w:val="center"/>
              <w:rPr>
                <w:rFonts w:eastAsia="Times New Roman" w:cs="Arial"/>
                <w:szCs w:val="22"/>
                <w:lang w:eastAsia="en-AU"/>
              </w:rPr>
            </w:pPr>
            <w:r w:rsidRPr="006A2EF3">
              <w:rPr>
                <w:rFonts w:eastAsiaTheme="minorHAnsi" w:cs="Arial"/>
                <w:szCs w:val="22"/>
                <w:lang w:eastAsia="en-US"/>
              </w:rPr>
              <w:t>27%</w:t>
            </w:r>
          </w:p>
        </w:tc>
        <w:tc>
          <w:tcPr>
            <w:tcW w:w="1061" w:type="pct"/>
            <w:shd w:val="clear" w:color="auto" w:fill="auto"/>
            <w:noWrap/>
          </w:tcPr>
          <w:p w:rsidR="00B60C9F" w:rsidRPr="006A2EF3" w:rsidRDefault="00B60C9F" w:rsidP="000D5D04">
            <w:pPr>
              <w:spacing w:after="0" w:line="240" w:lineRule="auto"/>
              <w:jc w:val="center"/>
              <w:rPr>
                <w:rFonts w:eastAsia="Times New Roman" w:cs="Arial"/>
                <w:szCs w:val="22"/>
                <w:lang w:eastAsia="en-AU"/>
              </w:rPr>
            </w:pPr>
            <w:r w:rsidRPr="006A2EF3">
              <w:rPr>
                <w:rFonts w:eastAsiaTheme="minorHAnsi" w:cs="Arial"/>
                <w:szCs w:val="22"/>
                <w:lang w:eastAsia="en-US"/>
              </w:rPr>
              <w:t>27%</w:t>
            </w:r>
          </w:p>
        </w:tc>
      </w:tr>
      <w:tr w:rsidR="00B60C9F" w:rsidRPr="006A2EF3" w:rsidTr="007C7FF4">
        <w:trPr>
          <w:trHeight w:val="285"/>
          <w:jc w:val="center"/>
        </w:trPr>
        <w:tc>
          <w:tcPr>
            <w:tcW w:w="1607" w:type="pct"/>
            <w:shd w:val="clear" w:color="auto" w:fill="BCBEC0"/>
            <w:noWrap/>
          </w:tcPr>
          <w:p w:rsidR="00B60C9F" w:rsidRPr="006A2EF3" w:rsidRDefault="00B60C9F" w:rsidP="000D5D04">
            <w:pPr>
              <w:spacing w:after="0" w:line="240" w:lineRule="auto"/>
              <w:rPr>
                <w:rFonts w:eastAsia="Times New Roman" w:cs="Arial"/>
                <w:color w:val="000000"/>
                <w:szCs w:val="22"/>
                <w:lang w:eastAsia="en-AU"/>
              </w:rPr>
            </w:pPr>
            <w:r w:rsidRPr="006A2EF3">
              <w:rPr>
                <w:rFonts w:eastAsiaTheme="minorHAnsi" w:cs="Arial"/>
                <w:szCs w:val="22"/>
                <w:lang w:eastAsia="en-US"/>
              </w:rPr>
              <w:t>Down Syndrome</w:t>
            </w:r>
          </w:p>
        </w:tc>
        <w:tc>
          <w:tcPr>
            <w:tcW w:w="804" w:type="pct"/>
            <w:shd w:val="clear" w:color="auto" w:fill="auto"/>
            <w:noWrap/>
          </w:tcPr>
          <w:p w:rsidR="00B60C9F" w:rsidRPr="006A2EF3" w:rsidRDefault="00B60C9F" w:rsidP="000D5D04">
            <w:pPr>
              <w:spacing w:after="0" w:line="240" w:lineRule="auto"/>
              <w:jc w:val="center"/>
              <w:rPr>
                <w:rFonts w:eastAsia="Times New Roman" w:cs="Arial"/>
                <w:szCs w:val="22"/>
                <w:lang w:eastAsia="en-AU"/>
              </w:rPr>
            </w:pPr>
            <w:r w:rsidRPr="006A2EF3">
              <w:rPr>
                <w:rFonts w:eastAsiaTheme="minorHAnsi" w:cs="Arial"/>
                <w:szCs w:val="22"/>
                <w:lang w:eastAsia="en-US"/>
              </w:rPr>
              <w:t>63%</w:t>
            </w:r>
          </w:p>
        </w:tc>
        <w:tc>
          <w:tcPr>
            <w:tcW w:w="804" w:type="pct"/>
            <w:shd w:val="clear" w:color="auto" w:fill="auto"/>
            <w:noWrap/>
          </w:tcPr>
          <w:p w:rsidR="00B60C9F" w:rsidRPr="006A2EF3" w:rsidRDefault="00B60C9F" w:rsidP="000D5D04">
            <w:pPr>
              <w:spacing w:after="0" w:line="240" w:lineRule="auto"/>
              <w:jc w:val="center"/>
              <w:rPr>
                <w:rFonts w:eastAsia="Times New Roman" w:cs="Arial"/>
                <w:szCs w:val="22"/>
                <w:lang w:eastAsia="en-AU"/>
              </w:rPr>
            </w:pPr>
            <w:r w:rsidRPr="006A2EF3">
              <w:rPr>
                <w:rFonts w:eastAsiaTheme="minorHAnsi" w:cs="Arial"/>
                <w:szCs w:val="22"/>
                <w:lang w:eastAsia="en-US"/>
              </w:rPr>
              <w:t>21%</w:t>
            </w:r>
          </w:p>
        </w:tc>
        <w:tc>
          <w:tcPr>
            <w:tcW w:w="724" w:type="pct"/>
            <w:shd w:val="clear" w:color="auto" w:fill="auto"/>
            <w:noWrap/>
          </w:tcPr>
          <w:p w:rsidR="00B60C9F" w:rsidRPr="006A2EF3" w:rsidRDefault="00B60C9F" w:rsidP="000D5D04">
            <w:pPr>
              <w:spacing w:after="0" w:line="240" w:lineRule="auto"/>
              <w:jc w:val="center"/>
              <w:rPr>
                <w:rFonts w:eastAsia="Times New Roman" w:cs="Arial"/>
                <w:szCs w:val="22"/>
                <w:lang w:eastAsia="en-AU"/>
              </w:rPr>
            </w:pPr>
            <w:r w:rsidRPr="006A2EF3">
              <w:rPr>
                <w:rFonts w:eastAsiaTheme="minorHAnsi" w:cs="Arial"/>
                <w:szCs w:val="22"/>
                <w:lang w:eastAsia="en-US"/>
              </w:rPr>
              <w:t>18%</w:t>
            </w:r>
          </w:p>
        </w:tc>
        <w:tc>
          <w:tcPr>
            <w:tcW w:w="1061" w:type="pct"/>
            <w:shd w:val="clear" w:color="auto" w:fill="auto"/>
            <w:noWrap/>
          </w:tcPr>
          <w:p w:rsidR="00B60C9F" w:rsidRPr="006A2EF3" w:rsidRDefault="00B60C9F" w:rsidP="000D5D04">
            <w:pPr>
              <w:spacing w:after="0" w:line="240" w:lineRule="auto"/>
              <w:jc w:val="center"/>
              <w:rPr>
                <w:rFonts w:eastAsia="Times New Roman" w:cs="Arial"/>
                <w:szCs w:val="22"/>
                <w:lang w:eastAsia="en-AU"/>
              </w:rPr>
            </w:pPr>
            <w:r w:rsidRPr="006A2EF3">
              <w:rPr>
                <w:rFonts w:eastAsiaTheme="minorHAnsi" w:cs="Arial"/>
                <w:szCs w:val="22"/>
                <w:lang w:eastAsia="en-US"/>
              </w:rPr>
              <w:t>33%</w:t>
            </w:r>
          </w:p>
        </w:tc>
      </w:tr>
      <w:tr w:rsidR="00B60C9F" w:rsidRPr="006A2EF3" w:rsidTr="007C7FF4">
        <w:trPr>
          <w:trHeight w:val="285"/>
          <w:jc w:val="center"/>
        </w:trPr>
        <w:tc>
          <w:tcPr>
            <w:tcW w:w="1607" w:type="pct"/>
            <w:shd w:val="clear" w:color="auto" w:fill="BCBEC0"/>
            <w:noWrap/>
          </w:tcPr>
          <w:p w:rsidR="00B60C9F" w:rsidRPr="006A2EF3" w:rsidRDefault="00B60C9F" w:rsidP="000D5D04">
            <w:pPr>
              <w:spacing w:after="0" w:line="240" w:lineRule="auto"/>
              <w:rPr>
                <w:rFonts w:eastAsia="Times New Roman" w:cs="Arial"/>
                <w:color w:val="000000"/>
                <w:szCs w:val="22"/>
                <w:lang w:eastAsia="en-AU"/>
              </w:rPr>
            </w:pPr>
            <w:r w:rsidRPr="006A2EF3">
              <w:rPr>
                <w:rFonts w:eastAsiaTheme="minorHAnsi" w:cs="Arial"/>
                <w:szCs w:val="22"/>
                <w:lang w:eastAsia="en-US"/>
              </w:rPr>
              <w:t>Global Developmental Delay</w:t>
            </w:r>
          </w:p>
        </w:tc>
        <w:tc>
          <w:tcPr>
            <w:tcW w:w="804" w:type="pct"/>
            <w:shd w:val="clear" w:color="auto" w:fill="auto"/>
            <w:noWrap/>
          </w:tcPr>
          <w:p w:rsidR="00B60C9F" w:rsidRPr="006A2EF3" w:rsidRDefault="00B60C9F" w:rsidP="000D5D04">
            <w:pPr>
              <w:spacing w:after="0" w:line="240" w:lineRule="auto"/>
              <w:jc w:val="center"/>
              <w:rPr>
                <w:rFonts w:eastAsia="Times New Roman" w:cs="Arial"/>
                <w:szCs w:val="22"/>
                <w:lang w:eastAsia="en-AU"/>
              </w:rPr>
            </w:pPr>
            <w:r w:rsidRPr="006A2EF3">
              <w:rPr>
                <w:rFonts w:eastAsiaTheme="minorHAnsi" w:cs="Arial"/>
                <w:szCs w:val="22"/>
                <w:lang w:eastAsia="en-US"/>
              </w:rPr>
              <w:t>18%</w:t>
            </w:r>
          </w:p>
        </w:tc>
        <w:tc>
          <w:tcPr>
            <w:tcW w:w="804" w:type="pct"/>
            <w:shd w:val="clear" w:color="auto" w:fill="auto"/>
            <w:noWrap/>
          </w:tcPr>
          <w:p w:rsidR="00B60C9F" w:rsidRPr="006A2EF3" w:rsidRDefault="00B60C9F" w:rsidP="000D5D04">
            <w:pPr>
              <w:spacing w:after="0" w:line="240" w:lineRule="auto"/>
              <w:jc w:val="center"/>
              <w:rPr>
                <w:rFonts w:eastAsia="Times New Roman" w:cs="Arial"/>
                <w:szCs w:val="22"/>
                <w:lang w:eastAsia="en-AU"/>
              </w:rPr>
            </w:pPr>
            <w:r w:rsidRPr="006A2EF3">
              <w:rPr>
                <w:rFonts w:eastAsiaTheme="minorHAnsi" w:cs="Arial"/>
                <w:szCs w:val="22"/>
                <w:lang w:eastAsia="en-US"/>
              </w:rPr>
              <w:t>38%</w:t>
            </w:r>
          </w:p>
        </w:tc>
        <w:tc>
          <w:tcPr>
            <w:tcW w:w="724" w:type="pct"/>
            <w:shd w:val="clear" w:color="auto" w:fill="auto"/>
            <w:noWrap/>
          </w:tcPr>
          <w:p w:rsidR="00B60C9F" w:rsidRPr="006A2EF3" w:rsidRDefault="00B60C9F" w:rsidP="000D5D04">
            <w:pPr>
              <w:spacing w:after="0" w:line="240" w:lineRule="auto"/>
              <w:jc w:val="center"/>
              <w:rPr>
                <w:rFonts w:eastAsia="Times New Roman" w:cs="Arial"/>
                <w:szCs w:val="22"/>
                <w:lang w:eastAsia="en-AU"/>
              </w:rPr>
            </w:pPr>
            <w:r w:rsidRPr="006A2EF3">
              <w:rPr>
                <w:rFonts w:eastAsiaTheme="minorHAnsi" w:cs="Arial"/>
                <w:szCs w:val="22"/>
                <w:lang w:eastAsia="en-US"/>
              </w:rPr>
              <w:t>11%</w:t>
            </w:r>
          </w:p>
        </w:tc>
        <w:tc>
          <w:tcPr>
            <w:tcW w:w="1061" w:type="pct"/>
            <w:shd w:val="clear" w:color="auto" w:fill="auto"/>
            <w:noWrap/>
          </w:tcPr>
          <w:p w:rsidR="00B60C9F" w:rsidRPr="006A2EF3" w:rsidRDefault="00B60C9F" w:rsidP="000D5D04">
            <w:pPr>
              <w:spacing w:after="0" w:line="240" w:lineRule="auto"/>
              <w:jc w:val="center"/>
              <w:rPr>
                <w:rFonts w:eastAsia="Times New Roman" w:cs="Arial"/>
                <w:szCs w:val="22"/>
                <w:lang w:eastAsia="en-AU"/>
              </w:rPr>
            </w:pPr>
            <w:r w:rsidRPr="006A2EF3">
              <w:rPr>
                <w:rFonts w:eastAsiaTheme="minorHAnsi" w:cs="Arial"/>
                <w:szCs w:val="22"/>
                <w:lang w:eastAsia="en-US"/>
              </w:rPr>
              <w:t>22%</w:t>
            </w:r>
          </w:p>
        </w:tc>
      </w:tr>
      <w:tr w:rsidR="00B60C9F" w:rsidRPr="006A2EF3" w:rsidTr="007C7FF4">
        <w:trPr>
          <w:trHeight w:val="285"/>
          <w:jc w:val="center"/>
        </w:trPr>
        <w:tc>
          <w:tcPr>
            <w:tcW w:w="1607" w:type="pct"/>
            <w:shd w:val="clear" w:color="auto" w:fill="BCBEC0"/>
            <w:noWrap/>
          </w:tcPr>
          <w:p w:rsidR="00B60C9F" w:rsidRPr="006A2EF3" w:rsidRDefault="00B60C9F" w:rsidP="000D5D04">
            <w:pPr>
              <w:spacing w:after="0" w:line="240" w:lineRule="auto"/>
              <w:rPr>
                <w:rFonts w:eastAsia="Times New Roman" w:cs="Arial"/>
                <w:color w:val="000000"/>
                <w:szCs w:val="22"/>
                <w:lang w:eastAsia="en-AU"/>
              </w:rPr>
            </w:pPr>
            <w:r w:rsidRPr="006A2EF3">
              <w:rPr>
                <w:rFonts w:eastAsiaTheme="minorHAnsi" w:cs="Arial"/>
                <w:szCs w:val="22"/>
                <w:lang w:eastAsia="en-US"/>
              </w:rPr>
              <w:t>Hearing Impairment</w:t>
            </w:r>
          </w:p>
        </w:tc>
        <w:tc>
          <w:tcPr>
            <w:tcW w:w="804" w:type="pct"/>
            <w:shd w:val="clear" w:color="auto" w:fill="auto"/>
            <w:noWrap/>
          </w:tcPr>
          <w:p w:rsidR="00B60C9F" w:rsidRPr="006A2EF3" w:rsidRDefault="00B60C9F" w:rsidP="000D5D04">
            <w:pPr>
              <w:spacing w:after="0" w:line="240" w:lineRule="auto"/>
              <w:jc w:val="center"/>
              <w:rPr>
                <w:rFonts w:eastAsia="Times New Roman" w:cs="Arial"/>
                <w:szCs w:val="22"/>
                <w:lang w:eastAsia="en-AU"/>
              </w:rPr>
            </w:pPr>
            <w:r w:rsidRPr="006A2EF3">
              <w:rPr>
                <w:rFonts w:eastAsiaTheme="minorHAnsi" w:cs="Arial"/>
                <w:szCs w:val="22"/>
                <w:lang w:eastAsia="en-US"/>
              </w:rPr>
              <w:t>64%</w:t>
            </w:r>
          </w:p>
        </w:tc>
        <w:tc>
          <w:tcPr>
            <w:tcW w:w="804" w:type="pct"/>
            <w:shd w:val="clear" w:color="auto" w:fill="auto"/>
            <w:noWrap/>
          </w:tcPr>
          <w:p w:rsidR="00B60C9F" w:rsidRPr="006A2EF3" w:rsidRDefault="00B60C9F" w:rsidP="000D5D04">
            <w:pPr>
              <w:spacing w:after="0" w:line="240" w:lineRule="auto"/>
              <w:jc w:val="center"/>
              <w:rPr>
                <w:rFonts w:eastAsia="Times New Roman" w:cs="Arial"/>
                <w:szCs w:val="22"/>
                <w:lang w:eastAsia="en-AU"/>
              </w:rPr>
            </w:pPr>
            <w:r w:rsidRPr="006A2EF3">
              <w:rPr>
                <w:rFonts w:eastAsiaTheme="minorHAnsi" w:cs="Arial"/>
                <w:szCs w:val="22"/>
                <w:lang w:eastAsia="en-US"/>
              </w:rPr>
              <w:t>31%</w:t>
            </w:r>
          </w:p>
        </w:tc>
        <w:tc>
          <w:tcPr>
            <w:tcW w:w="724" w:type="pct"/>
            <w:shd w:val="clear" w:color="auto" w:fill="auto"/>
            <w:noWrap/>
          </w:tcPr>
          <w:p w:rsidR="00B60C9F" w:rsidRPr="006A2EF3" w:rsidRDefault="00B60C9F" w:rsidP="000D5D04">
            <w:pPr>
              <w:spacing w:after="0" w:line="240" w:lineRule="auto"/>
              <w:jc w:val="center"/>
              <w:rPr>
                <w:rFonts w:eastAsia="Times New Roman" w:cs="Arial"/>
                <w:szCs w:val="22"/>
                <w:lang w:eastAsia="en-AU"/>
              </w:rPr>
            </w:pPr>
            <w:r w:rsidRPr="006A2EF3">
              <w:rPr>
                <w:rFonts w:eastAsiaTheme="minorHAnsi" w:cs="Arial"/>
                <w:szCs w:val="22"/>
                <w:lang w:eastAsia="en-US"/>
              </w:rPr>
              <w:t>20%</w:t>
            </w:r>
          </w:p>
        </w:tc>
        <w:tc>
          <w:tcPr>
            <w:tcW w:w="1061" w:type="pct"/>
            <w:shd w:val="clear" w:color="auto" w:fill="auto"/>
            <w:noWrap/>
          </w:tcPr>
          <w:p w:rsidR="00B60C9F" w:rsidRPr="006A2EF3" w:rsidRDefault="00B60C9F" w:rsidP="000D5D04">
            <w:pPr>
              <w:spacing w:after="0" w:line="240" w:lineRule="auto"/>
              <w:jc w:val="center"/>
              <w:rPr>
                <w:rFonts w:eastAsia="Times New Roman" w:cs="Arial"/>
                <w:szCs w:val="22"/>
                <w:lang w:eastAsia="en-AU"/>
              </w:rPr>
            </w:pPr>
            <w:r w:rsidRPr="006A2EF3">
              <w:rPr>
                <w:rFonts w:eastAsiaTheme="minorHAnsi" w:cs="Arial"/>
                <w:szCs w:val="22"/>
                <w:lang w:eastAsia="en-US"/>
              </w:rPr>
              <w:t>37%</w:t>
            </w:r>
          </w:p>
        </w:tc>
      </w:tr>
      <w:tr w:rsidR="00B60C9F" w:rsidRPr="006A2EF3" w:rsidTr="007C7FF4">
        <w:trPr>
          <w:trHeight w:val="285"/>
          <w:jc w:val="center"/>
        </w:trPr>
        <w:tc>
          <w:tcPr>
            <w:tcW w:w="1607" w:type="pct"/>
            <w:shd w:val="clear" w:color="auto" w:fill="BCBEC0"/>
            <w:noWrap/>
          </w:tcPr>
          <w:p w:rsidR="00B60C9F" w:rsidRPr="006A2EF3" w:rsidRDefault="00B60C9F" w:rsidP="000D5D04">
            <w:pPr>
              <w:spacing w:after="0" w:line="240" w:lineRule="auto"/>
              <w:rPr>
                <w:rFonts w:eastAsia="Times New Roman" w:cs="Arial"/>
                <w:color w:val="000000"/>
                <w:szCs w:val="22"/>
                <w:lang w:eastAsia="en-AU"/>
              </w:rPr>
            </w:pPr>
            <w:r w:rsidRPr="006A2EF3">
              <w:rPr>
                <w:rFonts w:eastAsiaTheme="minorHAnsi" w:cs="Arial"/>
                <w:szCs w:val="22"/>
                <w:lang w:eastAsia="en-US"/>
              </w:rPr>
              <w:t>Intellectual disability</w:t>
            </w:r>
          </w:p>
        </w:tc>
        <w:tc>
          <w:tcPr>
            <w:tcW w:w="804" w:type="pct"/>
            <w:shd w:val="clear" w:color="auto" w:fill="auto"/>
            <w:noWrap/>
          </w:tcPr>
          <w:p w:rsidR="00B60C9F" w:rsidRPr="006A2EF3" w:rsidRDefault="00B60C9F" w:rsidP="000D5D04">
            <w:pPr>
              <w:spacing w:after="0" w:line="240" w:lineRule="auto"/>
              <w:jc w:val="center"/>
              <w:rPr>
                <w:rFonts w:eastAsia="Times New Roman" w:cs="Arial"/>
                <w:szCs w:val="22"/>
                <w:lang w:eastAsia="en-AU"/>
              </w:rPr>
            </w:pPr>
            <w:r w:rsidRPr="006A2EF3">
              <w:rPr>
                <w:rFonts w:eastAsiaTheme="minorHAnsi" w:cs="Arial"/>
                <w:szCs w:val="22"/>
                <w:lang w:eastAsia="en-US"/>
              </w:rPr>
              <w:t>28%</w:t>
            </w:r>
          </w:p>
        </w:tc>
        <w:tc>
          <w:tcPr>
            <w:tcW w:w="804" w:type="pct"/>
            <w:shd w:val="clear" w:color="auto" w:fill="auto"/>
            <w:noWrap/>
          </w:tcPr>
          <w:p w:rsidR="00B60C9F" w:rsidRPr="006A2EF3" w:rsidRDefault="00B60C9F" w:rsidP="000D5D04">
            <w:pPr>
              <w:spacing w:after="0" w:line="240" w:lineRule="auto"/>
              <w:jc w:val="center"/>
              <w:rPr>
                <w:rFonts w:eastAsia="Times New Roman" w:cs="Arial"/>
                <w:szCs w:val="22"/>
                <w:lang w:eastAsia="en-AU"/>
              </w:rPr>
            </w:pPr>
            <w:r w:rsidRPr="006A2EF3">
              <w:rPr>
                <w:rFonts w:eastAsiaTheme="minorHAnsi" w:cs="Arial"/>
                <w:szCs w:val="22"/>
                <w:lang w:eastAsia="en-US"/>
              </w:rPr>
              <w:t>22%</w:t>
            </w:r>
          </w:p>
        </w:tc>
        <w:tc>
          <w:tcPr>
            <w:tcW w:w="724" w:type="pct"/>
            <w:shd w:val="clear" w:color="auto" w:fill="auto"/>
            <w:noWrap/>
          </w:tcPr>
          <w:p w:rsidR="00B60C9F" w:rsidRPr="006A2EF3" w:rsidRDefault="00B60C9F" w:rsidP="000D5D04">
            <w:pPr>
              <w:spacing w:after="0" w:line="240" w:lineRule="auto"/>
              <w:jc w:val="center"/>
              <w:rPr>
                <w:rFonts w:eastAsia="Times New Roman" w:cs="Arial"/>
                <w:szCs w:val="22"/>
                <w:lang w:eastAsia="en-AU"/>
              </w:rPr>
            </w:pPr>
            <w:r w:rsidRPr="006A2EF3">
              <w:rPr>
                <w:rFonts w:eastAsiaTheme="minorHAnsi" w:cs="Arial"/>
                <w:szCs w:val="22"/>
                <w:lang w:eastAsia="en-US"/>
              </w:rPr>
              <w:t>17%</w:t>
            </w:r>
          </w:p>
        </w:tc>
        <w:tc>
          <w:tcPr>
            <w:tcW w:w="1061" w:type="pct"/>
            <w:shd w:val="clear" w:color="auto" w:fill="auto"/>
            <w:noWrap/>
          </w:tcPr>
          <w:p w:rsidR="00B60C9F" w:rsidRPr="006A2EF3" w:rsidRDefault="00B60C9F" w:rsidP="000D5D04">
            <w:pPr>
              <w:spacing w:after="0" w:line="240" w:lineRule="auto"/>
              <w:jc w:val="center"/>
              <w:rPr>
                <w:rFonts w:eastAsia="Times New Roman" w:cs="Arial"/>
                <w:szCs w:val="22"/>
                <w:lang w:eastAsia="en-AU"/>
              </w:rPr>
            </w:pPr>
            <w:r w:rsidRPr="006A2EF3">
              <w:rPr>
                <w:rFonts w:eastAsiaTheme="minorHAnsi" w:cs="Arial"/>
                <w:szCs w:val="22"/>
                <w:lang w:eastAsia="en-US"/>
              </w:rPr>
              <w:t>22%</w:t>
            </w:r>
          </w:p>
        </w:tc>
      </w:tr>
      <w:tr w:rsidR="00B60C9F" w:rsidRPr="006A2EF3" w:rsidTr="007C7FF4">
        <w:trPr>
          <w:trHeight w:val="285"/>
          <w:jc w:val="center"/>
        </w:trPr>
        <w:tc>
          <w:tcPr>
            <w:tcW w:w="1607" w:type="pct"/>
            <w:shd w:val="clear" w:color="auto" w:fill="BCBEC0"/>
            <w:noWrap/>
          </w:tcPr>
          <w:p w:rsidR="00B60C9F" w:rsidRPr="006A2EF3" w:rsidRDefault="00B60C9F" w:rsidP="000D5D04">
            <w:pPr>
              <w:spacing w:after="0" w:line="240" w:lineRule="auto"/>
              <w:rPr>
                <w:rFonts w:eastAsia="Times New Roman" w:cs="Arial"/>
                <w:color w:val="000000"/>
                <w:szCs w:val="22"/>
                <w:lang w:eastAsia="en-AU"/>
              </w:rPr>
            </w:pPr>
            <w:r w:rsidRPr="006A2EF3">
              <w:rPr>
                <w:rFonts w:eastAsiaTheme="minorHAnsi" w:cs="Arial"/>
                <w:szCs w:val="22"/>
                <w:lang w:eastAsia="en-US"/>
              </w:rPr>
              <w:t>Multiple Sclerosis</w:t>
            </w:r>
          </w:p>
        </w:tc>
        <w:tc>
          <w:tcPr>
            <w:tcW w:w="804" w:type="pct"/>
            <w:shd w:val="clear" w:color="auto" w:fill="auto"/>
            <w:noWrap/>
          </w:tcPr>
          <w:p w:rsidR="00B60C9F" w:rsidRPr="006A2EF3" w:rsidRDefault="00B60C9F" w:rsidP="000D5D04">
            <w:pPr>
              <w:spacing w:after="0" w:line="240" w:lineRule="auto"/>
              <w:jc w:val="center"/>
              <w:rPr>
                <w:rFonts w:eastAsia="Times New Roman" w:cs="Arial"/>
                <w:szCs w:val="22"/>
                <w:lang w:eastAsia="en-AU"/>
              </w:rPr>
            </w:pPr>
            <w:r w:rsidRPr="006A2EF3">
              <w:rPr>
                <w:rFonts w:eastAsiaTheme="minorHAnsi" w:cs="Arial"/>
                <w:szCs w:val="22"/>
                <w:lang w:eastAsia="en-US"/>
              </w:rPr>
              <w:t>35%</w:t>
            </w:r>
          </w:p>
        </w:tc>
        <w:tc>
          <w:tcPr>
            <w:tcW w:w="804" w:type="pct"/>
            <w:shd w:val="clear" w:color="auto" w:fill="auto"/>
            <w:noWrap/>
          </w:tcPr>
          <w:p w:rsidR="00B60C9F" w:rsidRPr="006A2EF3" w:rsidRDefault="00B60C9F" w:rsidP="000D5D04">
            <w:pPr>
              <w:spacing w:after="0" w:line="240" w:lineRule="auto"/>
              <w:jc w:val="center"/>
              <w:rPr>
                <w:rFonts w:eastAsia="Times New Roman" w:cs="Arial"/>
                <w:szCs w:val="22"/>
                <w:lang w:eastAsia="en-AU"/>
              </w:rPr>
            </w:pPr>
            <w:r w:rsidRPr="006A2EF3">
              <w:rPr>
                <w:rFonts w:eastAsiaTheme="minorHAnsi" w:cs="Arial"/>
                <w:szCs w:val="22"/>
                <w:lang w:eastAsia="en-US"/>
              </w:rPr>
              <w:t>25%</w:t>
            </w:r>
          </w:p>
        </w:tc>
        <w:tc>
          <w:tcPr>
            <w:tcW w:w="724" w:type="pct"/>
            <w:shd w:val="clear" w:color="auto" w:fill="auto"/>
            <w:noWrap/>
          </w:tcPr>
          <w:p w:rsidR="00B60C9F" w:rsidRPr="006A2EF3" w:rsidRDefault="00B60C9F" w:rsidP="000D5D04">
            <w:pPr>
              <w:spacing w:after="0" w:line="240" w:lineRule="auto"/>
              <w:jc w:val="center"/>
              <w:rPr>
                <w:rFonts w:eastAsia="Times New Roman" w:cs="Arial"/>
                <w:szCs w:val="22"/>
                <w:lang w:eastAsia="en-AU"/>
              </w:rPr>
            </w:pPr>
            <w:r w:rsidRPr="006A2EF3">
              <w:rPr>
                <w:rFonts w:eastAsiaTheme="minorHAnsi" w:cs="Arial"/>
                <w:szCs w:val="22"/>
                <w:lang w:eastAsia="en-US"/>
              </w:rPr>
              <w:t>10%</w:t>
            </w:r>
          </w:p>
        </w:tc>
        <w:tc>
          <w:tcPr>
            <w:tcW w:w="1061" w:type="pct"/>
            <w:shd w:val="clear" w:color="auto" w:fill="auto"/>
            <w:noWrap/>
          </w:tcPr>
          <w:p w:rsidR="00B60C9F" w:rsidRPr="006A2EF3" w:rsidRDefault="00B60C9F" w:rsidP="000D5D04">
            <w:pPr>
              <w:spacing w:after="0" w:line="240" w:lineRule="auto"/>
              <w:jc w:val="center"/>
              <w:rPr>
                <w:rFonts w:eastAsia="Times New Roman" w:cs="Arial"/>
                <w:szCs w:val="22"/>
                <w:lang w:eastAsia="en-AU"/>
              </w:rPr>
            </w:pPr>
            <w:r w:rsidRPr="006A2EF3">
              <w:rPr>
                <w:rFonts w:eastAsiaTheme="minorHAnsi" w:cs="Arial"/>
                <w:szCs w:val="22"/>
                <w:lang w:eastAsia="en-US"/>
              </w:rPr>
              <w:t>23%</w:t>
            </w:r>
          </w:p>
        </w:tc>
      </w:tr>
      <w:tr w:rsidR="00B60C9F" w:rsidRPr="006A2EF3" w:rsidTr="007C7FF4">
        <w:trPr>
          <w:trHeight w:val="285"/>
          <w:jc w:val="center"/>
        </w:trPr>
        <w:tc>
          <w:tcPr>
            <w:tcW w:w="1607" w:type="pct"/>
            <w:shd w:val="clear" w:color="auto" w:fill="BCBEC0"/>
            <w:noWrap/>
          </w:tcPr>
          <w:p w:rsidR="00B60C9F" w:rsidRPr="006A2EF3" w:rsidRDefault="00B60C9F" w:rsidP="000D5D04">
            <w:pPr>
              <w:spacing w:after="0" w:line="240" w:lineRule="auto"/>
              <w:rPr>
                <w:rFonts w:eastAsia="Times New Roman" w:cs="Arial"/>
                <w:color w:val="000000"/>
                <w:szCs w:val="22"/>
                <w:lang w:eastAsia="en-AU"/>
              </w:rPr>
            </w:pPr>
            <w:r w:rsidRPr="006A2EF3">
              <w:rPr>
                <w:rFonts w:eastAsiaTheme="minorHAnsi" w:cs="Arial"/>
                <w:szCs w:val="22"/>
                <w:lang w:eastAsia="en-US"/>
              </w:rPr>
              <w:t>Other</w:t>
            </w:r>
          </w:p>
        </w:tc>
        <w:tc>
          <w:tcPr>
            <w:tcW w:w="804" w:type="pct"/>
            <w:shd w:val="clear" w:color="auto" w:fill="auto"/>
            <w:noWrap/>
          </w:tcPr>
          <w:p w:rsidR="00B60C9F" w:rsidRPr="006A2EF3" w:rsidRDefault="00B60C9F" w:rsidP="000D5D04">
            <w:pPr>
              <w:spacing w:after="0" w:line="240" w:lineRule="auto"/>
              <w:jc w:val="center"/>
              <w:rPr>
                <w:rFonts w:eastAsia="Times New Roman" w:cs="Arial"/>
                <w:szCs w:val="22"/>
                <w:lang w:eastAsia="en-AU"/>
              </w:rPr>
            </w:pPr>
            <w:r w:rsidRPr="006A2EF3">
              <w:rPr>
                <w:rFonts w:eastAsiaTheme="minorHAnsi" w:cs="Arial"/>
                <w:szCs w:val="22"/>
                <w:lang w:eastAsia="en-US"/>
              </w:rPr>
              <w:t>65%</w:t>
            </w:r>
          </w:p>
        </w:tc>
        <w:tc>
          <w:tcPr>
            <w:tcW w:w="804" w:type="pct"/>
            <w:shd w:val="clear" w:color="auto" w:fill="auto"/>
            <w:noWrap/>
          </w:tcPr>
          <w:p w:rsidR="00B60C9F" w:rsidRPr="006A2EF3" w:rsidRDefault="00B60C9F" w:rsidP="000D5D04">
            <w:pPr>
              <w:spacing w:after="0" w:line="240" w:lineRule="auto"/>
              <w:jc w:val="center"/>
              <w:rPr>
                <w:rFonts w:eastAsia="Times New Roman" w:cs="Arial"/>
                <w:szCs w:val="22"/>
                <w:lang w:eastAsia="en-AU"/>
              </w:rPr>
            </w:pPr>
            <w:r w:rsidRPr="006A2EF3">
              <w:rPr>
                <w:rFonts w:eastAsiaTheme="minorHAnsi" w:cs="Arial"/>
                <w:szCs w:val="22"/>
                <w:lang w:eastAsia="en-US"/>
              </w:rPr>
              <w:t>-3%</w:t>
            </w:r>
          </w:p>
        </w:tc>
        <w:tc>
          <w:tcPr>
            <w:tcW w:w="724" w:type="pct"/>
            <w:shd w:val="clear" w:color="auto" w:fill="auto"/>
            <w:noWrap/>
          </w:tcPr>
          <w:p w:rsidR="00B60C9F" w:rsidRPr="006A2EF3" w:rsidRDefault="00B60C9F" w:rsidP="000D5D04">
            <w:pPr>
              <w:spacing w:after="0" w:line="240" w:lineRule="auto"/>
              <w:jc w:val="center"/>
              <w:rPr>
                <w:rFonts w:eastAsia="Times New Roman" w:cs="Arial"/>
                <w:szCs w:val="22"/>
                <w:lang w:eastAsia="en-AU"/>
              </w:rPr>
            </w:pPr>
            <w:r w:rsidRPr="006A2EF3">
              <w:rPr>
                <w:rFonts w:eastAsiaTheme="minorHAnsi" w:cs="Arial"/>
                <w:szCs w:val="22"/>
                <w:lang w:eastAsia="en-US"/>
              </w:rPr>
              <w:t>34%</w:t>
            </w:r>
          </w:p>
        </w:tc>
        <w:tc>
          <w:tcPr>
            <w:tcW w:w="1061" w:type="pct"/>
            <w:shd w:val="clear" w:color="auto" w:fill="auto"/>
            <w:noWrap/>
          </w:tcPr>
          <w:p w:rsidR="00B60C9F" w:rsidRPr="006A2EF3" w:rsidRDefault="00B60C9F" w:rsidP="000D5D04">
            <w:pPr>
              <w:spacing w:after="0" w:line="240" w:lineRule="auto"/>
              <w:jc w:val="center"/>
              <w:rPr>
                <w:rFonts w:eastAsia="Times New Roman" w:cs="Arial"/>
                <w:szCs w:val="22"/>
                <w:lang w:eastAsia="en-AU"/>
              </w:rPr>
            </w:pPr>
            <w:r w:rsidRPr="006A2EF3">
              <w:rPr>
                <w:rFonts w:eastAsiaTheme="minorHAnsi" w:cs="Arial"/>
                <w:szCs w:val="22"/>
                <w:lang w:eastAsia="en-US"/>
              </w:rPr>
              <w:t>29%</w:t>
            </w:r>
          </w:p>
        </w:tc>
      </w:tr>
      <w:tr w:rsidR="00B60C9F" w:rsidRPr="006A2EF3" w:rsidTr="007C7FF4">
        <w:trPr>
          <w:trHeight w:val="285"/>
          <w:jc w:val="center"/>
        </w:trPr>
        <w:tc>
          <w:tcPr>
            <w:tcW w:w="1607" w:type="pct"/>
            <w:shd w:val="clear" w:color="auto" w:fill="BCBEC0"/>
            <w:noWrap/>
            <w:hideMark/>
          </w:tcPr>
          <w:p w:rsidR="00B60C9F" w:rsidRPr="006A2EF3" w:rsidRDefault="00B60C9F" w:rsidP="000D5D04">
            <w:pPr>
              <w:spacing w:after="0" w:line="240" w:lineRule="auto"/>
              <w:rPr>
                <w:rFonts w:eastAsia="Times New Roman" w:cs="Arial"/>
                <w:color w:val="000000"/>
                <w:szCs w:val="22"/>
                <w:lang w:eastAsia="en-AU"/>
              </w:rPr>
            </w:pPr>
            <w:r w:rsidRPr="006A2EF3">
              <w:rPr>
                <w:rFonts w:eastAsiaTheme="minorHAnsi" w:cs="Arial"/>
                <w:szCs w:val="22"/>
                <w:lang w:eastAsia="en-US"/>
              </w:rPr>
              <w:t>Other Neurological</w:t>
            </w:r>
          </w:p>
        </w:tc>
        <w:tc>
          <w:tcPr>
            <w:tcW w:w="804" w:type="pct"/>
            <w:shd w:val="clear" w:color="auto" w:fill="auto"/>
            <w:noWrap/>
            <w:hideMark/>
          </w:tcPr>
          <w:p w:rsidR="00B60C9F" w:rsidRPr="006A2EF3" w:rsidRDefault="00B60C9F" w:rsidP="000D5D04">
            <w:pPr>
              <w:spacing w:after="0" w:line="240" w:lineRule="auto"/>
              <w:jc w:val="center"/>
              <w:rPr>
                <w:rFonts w:eastAsia="Times New Roman" w:cs="Arial"/>
                <w:szCs w:val="22"/>
                <w:lang w:eastAsia="en-AU"/>
              </w:rPr>
            </w:pPr>
            <w:r w:rsidRPr="006A2EF3">
              <w:rPr>
                <w:rFonts w:eastAsiaTheme="minorHAnsi" w:cs="Arial"/>
                <w:szCs w:val="22"/>
                <w:lang w:eastAsia="en-US"/>
              </w:rPr>
              <w:t>49%</w:t>
            </w:r>
          </w:p>
        </w:tc>
        <w:tc>
          <w:tcPr>
            <w:tcW w:w="804" w:type="pct"/>
            <w:shd w:val="clear" w:color="auto" w:fill="auto"/>
            <w:noWrap/>
            <w:hideMark/>
          </w:tcPr>
          <w:p w:rsidR="00B60C9F" w:rsidRPr="006A2EF3" w:rsidRDefault="00B60C9F" w:rsidP="000D5D04">
            <w:pPr>
              <w:spacing w:after="0" w:line="240" w:lineRule="auto"/>
              <w:jc w:val="center"/>
              <w:rPr>
                <w:rFonts w:eastAsia="Times New Roman" w:cs="Arial"/>
                <w:szCs w:val="22"/>
                <w:lang w:eastAsia="en-AU"/>
              </w:rPr>
            </w:pPr>
            <w:r w:rsidRPr="006A2EF3">
              <w:rPr>
                <w:rFonts w:eastAsiaTheme="minorHAnsi" w:cs="Arial"/>
                <w:szCs w:val="22"/>
                <w:lang w:eastAsia="en-US"/>
              </w:rPr>
              <w:t>35%</w:t>
            </w:r>
          </w:p>
        </w:tc>
        <w:tc>
          <w:tcPr>
            <w:tcW w:w="724" w:type="pct"/>
            <w:shd w:val="clear" w:color="auto" w:fill="auto"/>
            <w:noWrap/>
            <w:hideMark/>
          </w:tcPr>
          <w:p w:rsidR="00B60C9F" w:rsidRPr="006A2EF3" w:rsidRDefault="00B60C9F" w:rsidP="000D5D04">
            <w:pPr>
              <w:spacing w:after="0" w:line="240" w:lineRule="auto"/>
              <w:jc w:val="center"/>
              <w:rPr>
                <w:rFonts w:eastAsia="Times New Roman" w:cs="Arial"/>
                <w:szCs w:val="22"/>
                <w:lang w:eastAsia="en-AU"/>
              </w:rPr>
            </w:pPr>
            <w:r w:rsidRPr="006A2EF3">
              <w:rPr>
                <w:rFonts w:eastAsiaTheme="minorHAnsi" w:cs="Arial"/>
                <w:szCs w:val="22"/>
                <w:lang w:eastAsia="en-US"/>
              </w:rPr>
              <w:t>21%</w:t>
            </w:r>
          </w:p>
        </w:tc>
        <w:tc>
          <w:tcPr>
            <w:tcW w:w="1061" w:type="pct"/>
            <w:shd w:val="clear" w:color="auto" w:fill="auto"/>
            <w:noWrap/>
            <w:hideMark/>
          </w:tcPr>
          <w:p w:rsidR="00B60C9F" w:rsidRPr="006A2EF3" w:rsidRDefault="00B60C9F" w:rsidP="000D5D04">
            <w:pPr>
              <w:spacing w:after="0" w:line="240" w:lineRule="auto"/>
              <w:jc w:val="center"/>
              <w:rPr>
                <w:rFonts w:eastAsia="Times New Roman" w:cs="Arial"/>
                <w:szCs w:val="22"/>
                <w:lang w:eastAsia="en-AU"/>
              </w:rPr>
            </w:pPr>
            <w:r w:rsidRPr="006A2EF3">
              <w:rPr>
                <w:rFonts w:eastAsiaTheme="minorHAnsi" w:cs="Arial"/>
                <w:szCs w:val="22"/>
                <w:lang w:eastAsia="en-US"/>
              </w:rPr>
              <w:t>34%</w:t>
            </w:r>
          </w:p>
        </w:tc>
      </w:tr>
      <w:tr w:rsidR="00B60C9F" w:rsidRPr="006A2EF3" w:rsidTr="007C7FF4">
        <w:trPr>
          <w:trHeight w:val="285"/>
          <w:jc w:val="center"/>
        </w:trPr>
        <w:tc>
          <w:tcPr>
            <w:tcW w:w="1607" w:type="pct"/>
            <w:shd w:val="clear" w:color="auto" w:fill="BCBEC0"/>
            <w:noWrap/>
            <w:hideMark/>
          </w:tcPr>
          <w:p w:rsidR="00B60C9F" w:rsidRPr="006A2EF3" w:rsidRDefault="00B60C9F" w:rsidP="000D5D04">
            <w:pPr>
              <w:spacing w:after="0" w:line="240" w:lineRule="auto"/>
              <w:rPr>
                <w:rFonts w:eastAsia="Times New Roman" w:cs="Arial"/>
                <w:color w:val="000000"/>
                <w:szCs w:val="22"/>
                <w:lang w:eastAsia="en-AU"/>
              </w:rPr>
            </w:pPr>
            <w:r w:rsidRPr="006A2EF3">
              <w:rPr>
                <w:rFonts w:eastAsiaTheme="minorHAnsi" w:cs="Arial"/>
                <w:szCs w:val="22"/>
                <w:lang w:eastAsia="en-US"/>
              </w:rPr>
              <w:t>Other Physical</w:t>
            </w:r>
          </w:p>
        </w:tc>
        <w:tc>
          <w:tcPr>
            <w:tcW w:w="804" w:type="pct"/>
            <w:shd w:val="clear" w:color="auto" w:fill="auto"/>
            <w:noWrap/>
            <w:hideMark/>
          </w:tcPr>
          <w:p w:rsidR="00B60C9F" w:rsidRPr="006A2EF3" w:rsidRDefault="00B60C9F" w:rsidP="000D5D04">
            <w:pPr>
              <w:spacing w:after="0" w:line="240" w:lineRule="auto"/>
              <w:jc w:val="center"/>
              <w:rPr>
                <w:rFonts w:eastAsia="Times New Roman" w:cs="Arial"/>
                <w:szCs w:val="22"/>
                <w:lang w:eastAsia="en-AU"/>
              </w:rPr>
            </w:pPr>
            <w:r w:rsidRPr="006A2EF3">
              <w:rPr>
                <w:rFonts w:eastAsiaTheme="minorHAnsi" w:cs="Arial"/>
                <w:szCs w:val="22"/>
                <w:lang w:eastAsia="en-US"/>
              </w:rPr>
              <w:t>46%</w:t>
            </w:r>
          </w:p>
        </w:tc>
        <w:tc>
          <w:tcPr>
            <w:tcW w:w="804" w:type="pct"/>
            <w:shd w:val="clear" w:color="auto" w:fill="auto"/>
            <w:noWrap/>
            <w:hideMark/>
          </w:tcPr>
          <w:p w:rsidR="00B60C9F" w:rsidRPr="006A2EF3" w:rsidRDefault="00B60C9F" w:rsidP="000D5D04">
            <w:pPr>
              <w:spacing w:after="0" w:line="240" w:lineRule="auto"/>
              <w:jc w:val="center"/>
              <w:rPr>
                <w:rFonts w:eastAsia="Times New Roman" w:cs="Arial"/>
                <w:szCs w:val="22"/>
                <w:lang w:eastAsia="en-AU"/>
              </w:rPr>
            </w:pPr>
            <w:r w:rsidRPr="006A2EF3">
              <w:rPr>
                <w:rFonts w:eastAsiaTheme="minorHAnsi" w:cs="Arial"/>
                <w:szCs w:val="22"/>
                <w:lang w:eastAsia="en-US"/>
              </w:rPr>
              <w:t>40%</w:t>
            </w:r>
          </w:p>
        </w:tc>
        <w:tc>
          <w:tcPr>
            <w:tcW w:w="724" w:type="pct"/>
            <w:shd w:val="clear" w:color="auto" w:fill="auto"/>
            <w:noWrap/>
            <w:hideMark/>
          </w:tcPr>
          <w:p w:rsidR="00B60C9F" w:rsidRPr="006A2EF3" w:rsidRDefault="00B60C9F" w:rsidP="000D5D04">
            <w:pPr>
              <w:spacing w:after="0" w:line="240" w:lineRule="auto"/>
              <w:jc w:val="center"/>
              <w:rPr>
                <w:rFonts w:eastAsia="Times New Roman" w:cs="Arial"/>
                <w:szCs w:val="22"/>
                <w:lang w:eastAsia="en-AU"/>
              </w:rPr>
            </w:pPr>
            <w:r w:rsidRPr="006A2EF3">
              <w:rPr>
                <w:rFonts w:eastAsiaTheme="minorHAnsi" w:cs="Arial"/>
                <w:szCs w:val="22"/>
                <w:lang w:eastAsia="en-US"/>
              </w:rPr>
              <w:t>14%</w:t>
            </w:r>
          </w:p>
        </w:tc>
        <w:tc>
          <w:tcPr>
            <w:tcW w:w="1061" w:type="pct"/>
            <w:shd w:val="clear" w:color="auto" w:fill="auto"/>
            <w:noWrap/>
            <w:hideMark/>
          </w:tcPr>
          <w:p w:rsidR="00B60C9F" w:rsidRPr="006A2EF3" w:rsidRDefault="00B60C9F" w:rsidP="000D5D04">
            <w:pPr>
              <w:spacing w:after="0" w:line="240" w:lineRule="auto"/>
              <w:jc w:val="center"/>
              <w:rPr>
                <w:rFonts w:eastAsia="Times New Roman" w:cs="Arial"/>
                <w:szCs w:val="22"/>
                <w:lang w:eastAsia="en-AU"/>
              </w:rPr>
            </w:pPr>
            <w:r w:rsidRPr="006A2EF3">
              <w:rPr>
                <w:rFonts w:eastAsiaTheme="minorHAnsi" w:cs="Arial"/>
                <w:szCs w:val="22"/>
                <w:lang w:eastAsia="en-US"/>
              </w:rPr>
              <w:t>32%</w:t>
            </w:r>
          </w:p>
        </w:tc>
      </w:tr>
      <w:tr w:rsidR="00B60C9F" w:rsidRPr="006A2EF3" w:rsidTr="007C7FF4">
        <w:trPr>
          <w:trHeight w:val="285"/>
          <w:jc w:val="center"/>
        </w:trPr>
        <w:tc>
          <w:tcPr>
            <w:tcW w:w="1607" w:type="pct"/>
            <w:shd w:val="clear" w:color="auto" w:fill="BCBEC0"/>
            <w:noWrap/>
            <w:hideMark/>
          </w:tcPr>
          <w:p w:rsidR="00B60C9F" w:rsidRPr="006A2EF3" w:rsidRDefault="00B60C9F" w:rsidP="000D5D04">
            <w:pPr>
              <w:spacing w:after="0" w:line="240" w:lineRule="auto"/>
              <w:rPr>
                <w:rFonts w:eastAsia="Times New Roman" w:cs="Arial"/>
                <w:color w:val="000000"/>
                <w:szCs w:val="22"/>
                <w:lang w:eastAsia="en-AU"/>
              </w:rPr>
            </w:pPr>
            <w:r w:rsidRPr="006A2EF3">
              <w:rPr>
                <w:rFonts w:eastAsiaTheme="minorHAnsi" w:cs="Arial"/>
                <w:szCs w:val="22"/>
                <w:lang w:eastAsia="en-US"/>
              </w:rPr>
              <w:t>Other Sensory/Speech</w:t>
            </w:r>
          </w:p>
        </w:tc>
        <w:tc>
          <w:tcPr>
            <w:tcW w:w="804" w:type="pct"/>
            <w:shd w:val="clear" w:color="auto" w:fill="auto"/>
            <w:noWrap/>
            <w:hideMark/>
          </w:tcPr>
          <w:p w:rsidR="00B60C9F" w:rsidRPr="006A2EF3" w:rsidRDefault="00B60C9F" w:rsidP="000D5D04">
            <w:pPr>
              <w:spacing w:after="0" w:line="240" w:lineRule="auto"/>
              <w:jc w:val="center"/>
              <w:rPr>
                <w:rFonts w:eastAsia="Times New Roman" w:cs="Arial"/>
                <w:szCs w:val="22"/>
                <w:lang w:eastAsia="en-AU"/>
              </w:rPr>
            </w:pPr>
            <w:r w:rsidRPr="006A2EF3">
              <w:rPr>
                <w:rFonts w:eastAsiaTheme="minorHAnsi" w:cs="Arial"/>
                <w:szCs w:val="22"/>
                <w:lang w:eastAsia="en-US"/>
              </w:rPr>
              <w:t>16%</w:t>
            </w:r>
          </w:p>
        </w:tc>
        <w:tc>
          <w:tcPr>
            <w:tcW w:w="804" w:type="pct"/>
            <w:shd w:val="clear" w:color="auto" w:fill="auto"/>
            <w:noWrap/>
            <w:hideMark/>
          </w:tcPr>
          <w:p w:rsidR="00B60C9F" w:rsidRPr="006A2EF3" w:rsidRDefault="00B60C9F" w:rsidP="000D5D04">
            <w:pPr>
              <w:spacing w:after="0" w:line="240" w:lineRule="auto"/>
              <w:jc w:val="center"/>
              <w:rPr>
                <w:rFonts w:eastAsia="Times New Roman" w:cs="Arial"/>
                <w:szCs w:val="22"/>
                <w:lang w:eastAsia="en-AU"/>
              </w:rPr>
            </w:pPr>
            <w:r w:rsidRPr="006A2EF3">
              <w:rPr>
                <w:rFonts w:eastAsiaTheme="minorHAnsi" w:cs="Arial"/>
                <w:szCs w:val="22"/>
                <w:lang w:eastAsia="en-US"/>
              </w:rPr>
              <w:t>44%</w:t>
            </w:r>
          </w:p>
        </w:tc>
        <w:tc>
          <w:tcPr>
            <w:tcW w:w="724" w:type="pct"/>
            <w:shd w:val="clear" w:color="auto" w:fill="auto"/>
            <w:noWrap/>
            <w:hideMark/>
          </w:tcPr>
          <w:p w:rsidR="00B60C9F" w:rsidRPr="006A2EF3" w:rsidRDefault="00B60C9F" w:rsidP="000D5D04">
            <w:pPr>
              <w:spacing w:after="0" w:line="240" w:lineRule="auto"/>
              <w:jc w:val="center"/>
              <w:rPr>
                <w:rFonts w:eastAsia="Times New Roman" w:cs="Arial"/>
                <w:szCs w:val="22"/>
                <w:lang w:eastAsia="en-AU"/>
              </w:rPr>
            </w:pPr>
            <w:r w:rsidRPr="006A2EF3">
              <w:rPr>
                <w:rFonts w:eastAsiaTheme="minorHAnsi" w:cs="Arial"/>
                <w:szCs w:val="22"/>
                <w:lang w:eastAsia="en-US"/>
              </w:rPr>
              <w:t>24%</w:t>
            </w:r>
          </w:p>
        </w:tc>
        <w:tc>
          <w:tcPr>
            <w:tcW w:w="1061" w:type="pct"/>
            <w:shd w:val="clear" w:color="auto" w:fill="auto"/>
            <w:noWrap/>
            <w:hideMark/>
          </w:tcPr>
          <w:p w:rsidR="00B60C9F" w:rsidRPr="006A2EF3" w:rsidRDefault="00B60C9F" w:rsidP="000D5D04">
            <w:pPr>
              <w:spacing w:after="0" w:line="240" w:lineRule="auto"/>
              <w:jc w:val="center"/>
              <w:rPr>
                <w:rFonts w:eastAsia="Times New Roman" w:cs="Arial"/>
                <w:szCs w:val="22"/>
                <w:lang w:eastAsia="en-AU"/>
              </w:rPr>
            </w:pPr>
            <w:r w:rsidRPr="006A2EF3">
              <w:rPr>
                <w:rFonts w:eastAsiaTheme="minorHAnsi" w:cs="Arial"/>
                <w:szCs w:val="22"/>
                <w:lang w:eastAsia="en-US"/>
              </w:rPr>
              <w:t>27%</w:t>
            </w:r>
          </w:p>
        </w:tc>
      </w:tr>
      <w:tr w:rsidR="00B60C9F" w:rsidRPr="006A2EF3" w:rsidTr="007C7FF4">
        <w:trPr>
          <w:trHeight w:val="285"/>
          <w:jc w:val="center"/>
        </w:trPr>
        <w:tc>
          <w:tcPr>
            <w:tcW w:w="1607" w:type="pct"/>
            <w:shd w:val="clear" w:color="auto" w:fill="BCBEC0"/>
            <w:noWrap/>
            <w:hideMark/>
          </w:tcPr>
          <w:p w:rsidR="00B60C9F" w:rsidRPr="006A2EF3" w:rsidRDefault="00B60C9F" w:rsidP="000D5D04">
            <w:pPr>
              <w:spacing w:after="0" w:line="240" w:lineRule="auto"/>
              <w:rPr>
                <w:rFonts w:eastAsia="Times New Roman" w:cs="Arial"/>
                <w:color w:val="000000"/>
                <w:szCs w:val="22"/>
                <w:lang w:eastAsia="en-AU"/>
              </w:rPr>
            </w:pPr>
            <w:r w:rsidRPr="006A2EF3">
              <w:rPr>
                <w:rFonts w:eastAsiaTheme="minorHAnsi" w:cs="Arial"/>
                <w:szCs w:val="22"/>
                <w:lang w:eastAsia="en-US"/>
              </w:rPr>
              <w:t>Psychosocial Disability</w:t>
            </w:r>
          </w:p>
        </w:tc>
        <w:tc>
          <w:tcPr>
            <w:tcW w:w="804" w:type="pct"/>
            <w:shd w:val="clear" w:color="auto" w:fill="auto"/>
            <w:noWrap/>
            <w:hideMark/>
          </w:tcPr>
          <w:p w:rsidR="00B60C9F" w:rsidRPr="006A2EF3" w:rsidRDefault="00B60C9F" w:rsidP="000D5D04">
            <w:pPr>
              <w:spacing w:after="0" w:line="240" w:lineRule="auto"/>
              <w:jc w:val="center"/>
              <w:rPr>
                <w:rFonts w:eastAsia="Times New Roman" w:cs="Arial"/>
                <w:szCs w:val="22"/>
                <w:lang w:eastAsia="en-AU"/>
              </w:rPr>
            </w:pPr>
            <w:r w:rsidRPr="006A2EF3">
              <w:rPr>
                <w:rFonts w:eastAsiaTheme="minorHAnsi" w:cs="Arial"/>
                <w:szCs w:val="22"/>
                <w:lang w:eastAsia="en-US"/>
              </w:rPr>
              <w:t>35%</w:t>
            </w:r>
          </w:p>
        </w:tc>
        <w:tc>
          <w:tcPr>
            <w:tcW w:w="804" w:type="pct"/>
            <w:shd w:val="clear" w:color="auto" w:fill="auto"/>
            <w:noWrap/>
            <w:hideMark/>
          </w:tcPr>
          <w:p w:rsidR="00B60C9F" w:rsidRPr="006A2EF3" w:rsidRDefault="00B60C9F" w:rsidP="000D5D04">
            <w:pPr>
              <w:spacing w:after="0" w:line="240" w:lineRule="auto"/>
              <w:jc w:val="center"/>
              <w:rPr>
                <w:rFonts w:eastAsia="Times New Roman" w:cs="Arial"/>
                <w:szCs w:val="22"/>
                <w:lang w:eastAsia="en-AU"/>
              </w:rPr>
            </w:pPr>
            <w:r w:rsidRPr="006A2EF3">
              <w:rPr>
                <w:rFonts w:eastAsiaTheme="minorHAnsi" w:cs="Arial"/>
                <w:szCs w:val="22"/>
                <w:lang w:eastAsia="en-US"/>
              </w:rPr>
              <w:t>44%</w:t>
            </w:r>
          </w:p>
        </w:tc>
        <w:tc>
          <w:tcPr>
            <w:tcW w:w="724" w:type="pct"/>
            <w:shd w:val="clear" w:color="auto" w:fill="auto"/>
            <w:noWrap/>
            <w:hideMark/>
          </w:tcPr>
          <w:p w:rsidR="00B60C9F" w:rsidRPr="006A2EF3" w:rsidRDefault="00B60C9F" w:rsidP="000D5D04">
            <w:pPr>
              <w:spacing w:after="0" w:line="240" w:lineRule="auto"/>
              <w:jc w:val="center"/>
              <w:rPr>
                <w:rFonts w:eastAsia="Times New Roman" w:cs="Arial"/>
                <w:szCs w:val="22"/>
                <w:lang w:eastAsia="en-AU"/>
              </w:rPr>
            </w:pPr>
            <w:r w:rsidRPr="006A2EF3">
              <w:rPr>
                <w:rFonts w:eastAsiaTheme="minorHAnsi" w:cs="Arial"/>
                <w:szCs w:val="22"/>
                <w:lang w:eastAsia="en-US"/>
              </w:rPr>
              <w:t>28%</w:t>
            </w:r>
          </w:p>
        </w:tc>
        <w:tc>
          <w:tcPr>
            <w:tcW w:w="1061" w:type="pct"/>
            <w:shd w:val="clear" w:color="auto" w:fill="auto"/>
            <w:noWrap/>
            <w:hideMark/>
          </w:tcPr>
          <w:p w:rsidR="00B60C9F" w:rsidRPr="006A2EF3" w:rsidRDefault="00B60C9F" w:rsidP="000D5D04">
            <w:pPr>
              <w:spacing w:after="0" w:line="240" w:lineRule="auto"/>
              <w:jc w:val="center"/>
              <w:rPr>
                <w:rFonts w:eastAsia="Times New Roman" w:cs="Arial"/>
                <w:szCs w:val="22"/>
                <w:lang w:eastAsia="en-AU"/>
              </w:rPr>
            </w:pPr>
            <w:r w:rsidRPr="006A2EF3">
              <w:rPr>
                <w:rFonts w:eastAsiaTheme="minorHAnsi" w:cs="Arial"/>
                <w:szCs w:val="22"/>
                <w:lang w:eastAsia="en-US"/>
              </w:rPr>
              <w:t>36%</w:t>
            </w:r>
          </w:p>
        </w:tc>
      </w:tr>
      <w:tr w:rsidR="00B60C9F" w:rsidRPr="006A2EF3" w:rsidTr="007C7FF4">
        <w:trPr>
          <w:trHeight w:val="285"/>
          <w:jc w:val="center"/>
        </w:trPr>
        <w:tc>
          <w:tcPr>
            <w:tcW w:w="1607" w:type="pct"/>
            <w:shd w:val="clear" w:color="auto" w:fill="BCBEC0"/>
            <w:noWrap/>
            <w:hideMark/>
          </w:tcPr>
          <w:p w:rsidR="00B60C9F" w:rsidRPr="006A2EF3" w:rsidRDefault="00B60C9F" w:rsidP="000D5D04">
            <w:pPr>
              <w:spacing w:after="0" w:line="240" w:lineRule="auto"/>
              <w:rPr>
                <w:rFonts w:eastAsia="Times New Roman" w:cs="Arial"/>
                <w:color w:val="000000"/>
                <w:szCs w:val="22"/>
                <w:lang w:eastAsia="en-AU"/>
              </w:rPr>
            </w:pPr>
            <w:r w:rsidRPr="006A2EF3">
              <w:rPr>
                <w:rFonts w:eastAsiaTheme="minorHAnsi" w:cs="Arial"/>
                <w:szCs w:val="22"/>
                <w:lang w:eastAsia="en-US"/>
              </w:rPr>
              <w:t>Spinal Cord Injury</w:t>
            </w:r>
          </w:p>
        </w:tc>
        <w:tc>
          <w:tcPr>
            <w:tcW w:w="804" w:type="pct"/>
            <w:shd w:val="clear" w:color="auto" w:fill="auto"/>
            <w:noWrap/>
            <w:hideMark/>
          </w:tcPr>
          <w:p w:rsidR="00B60C9F" w:rsidRPr="006A2EF3" w:rsidRDefault="00B60C9F" w:rsidP="000D5D04">
            <w:pPr>
              <w:spacing w:after="0" w:line="240" w:lineRule="auto"/>
              <w:jc w:val="center"/>
              <w:rPr>
                <w:rFonts w:eastAsia="Times New Roman" w:cs="Arial"/>
                <w:szCs w:val="22"/>
                <w:lang w:eastAsia="en-AU"/>
              </w:rPr>
            </w:pPr>
            <w:r w:rsidRPr="006A2EF3">
              <w:rPr>
                <w:rFonts w:eastAsiaTheme="minorHAnsi" w:cs="Arial"/>
                <w:szCs w:val="22"/>
                <w:lang w:eastAsia="en-US"/>
              </w:rPr>
              <w:t>38%</w:t>
            </w:r>
          </w:p>
        </w:tc>
        <w:tc>
          <w:tcPr>
            <w:tcW w:w="804" w:type="pct"/>
            <w:shd w:val="clear" w:color="auto" w:fill="auto"/>
            <w:noWrap/>
            <w:hideMark/>
          </w:tcPr>
          <w:p w:rsidR="00B60C9F" w:rsidRPr="006A2EF3" w:rsidRDefault="00B60C9F" w:rsidP="000D5D04">
            <w:pPr>
              <w:spacing w:after="0" w:line="240" w:lineRule="auto"/>
              <w:jc w:val="center"/>
              <w:rPr>
                <w:rFonts w:eastAsia="Times New Roman" w:cs="Arial"/>
                <w:szCs w:val="22"/>
                <w:lang w:eastAsia="en-AU"/>
              </w:rPr>
            </w:pPr>
            <w:r w:rsidRPr="006A2EF3">
              <w:rPr>
                <w:rFonts w:eastAsiaTheme="minorHAnsi" w:cs="Arial"/>
                <w:szCs w:val="22"/>
                <w:lang w:eastAsia="en-US"/>
              </w:rPr>
              <w:t>37%</w:t>
            </w:r>
          </w:p>
        </w:tc>
        <w:tc>
          <w:tcPr>
            <w:tcW w:w="724" w:type="pct"/>
            <w:shd w:val="clear" w:color="auto" w:fill="auto"/>
            <w:noWrap/>
            <w:hideMark/>
          </w:tcPr>
          <w:p w:rsidR="00B60C9F" w:rsidRPr="006A2EF3" w:rsidRDefault="00B60C9F" w:rsidP="000D5D04">
            <w:pPr>
              <w:spacing w:after="0" w:line="240" w:lineRule="auto"/>
              <w:jc w:val="center"/>
              <w:rPr>
                <w:rFonts w:eastAsia="Times New Roman" w:cs="Arial"/>
                <w:szCs w:val="22"/>
                <w:lang w:eastAsia="en-AU"/>
              </w:rPr>
            </w:pPr>
            <w:r w:rsidRPr="006A2EF3">
              <w:rPr>
                <w:rFonts w:eastAsiaTheme="minorHAnsi" w:cs="Arial"/>
                <w:szCs w:val="22"/>
                <w:lang w:eastAsia="en-US"/>
              </w:rPr>
              <w:t>12%</w:t>
            </w:r>
          </w:p>
        </w:tc>
        <w:tc>
          <w:tcPr>
            <w:tcW w:w="1061" w:type="pct"/>
            <w:shd w:val="clear" w:color="auto" w:fill="auto"/>
            <w:noWrap/>
            <w:hideMark/>
          </w:tcPr>
          <w:p w:rsidR="00B60C9F" w:rsidRPr="006A2EF3" w:rsidRDefault="00B60C9F" w:rsidP="000D5D04">
            <w:pPr>
              <w:spacing w:after="0" w:line="240" w:lineRule="auto"/>
              <w:jc w:val="center"/>
              <w:rPr>
                <w:rFonts w:eastAsia="Times New Roman" w:cs="Arial"/>
                <w:szCs w:val="22"/>
                <w:lang w:eastAsia="en-AU"/>
              </w:rPr>
            </w:pPr>
            <w:r w:rsidRPr="006A2EF3">
              <w:rPr>
                <w:rFonts w:eastAsiaTheme="minorHAnsi" w:cs="Arial"/>
                <w:szCs w:val="22"/>
                <w:lang w:eastAsia="en-US"/>
              </w:rPr>
              <w:t>28%</w:t>
            </w:r>
          </w:p>
        </w:tc>
      </w:tr>
      <w:tr w:rsidR="00B60C9F" w:rsidRPr="006A2EF3" w:rsidTr="007C7FF4">
        <w:trPr>
          <w:trHeight w:val="285"/>
          <w:jc w:val="center"/>
        </w:trPr>
        <w:tc>
          <w:tcPr>
            <w:tcW w:w="1607" w:type="pct"/>
            <w:shd w:val="clear" w:color="auto" w:fill="BCBEC0"/>
            <w:noWrap/>
            <w:hideMark/>
          </w:tcPr>
          <w:p w:rsidR="00B60C9F" w:rsidRPr="006A2EF3" w:rsidRDefault="00B60C9F" w:rsidP="000D5D04">
            <w:pPr>
              <w:spacing w:after="0" w:line="240" w:lineRule="auto"/>
              <w:rPr>
                <w:rFonts w:eastAsia="Times New Roman" w:cs="Arial"/>
                <w:color w:val="000000"/>
                <w:szCs w:val="22"/>
                <w:lang w:eastAsia="en-AU"/>
              </w:rPr>
            </w:pPr>
            <w:r w:rsidRPr="006A2EF3">
              <w:rPr>
                <w:rFonts w:eastAsiaTheme="minorHAnsi" w:cs="Arial"/>
                <w:szCs w:val="22"/>
                <w:lang w:eastAsia="en-US"/>
              </w:rPr>
              <w:t>Stroke</w:t>
            </w:r>
          </w:p>
        </w:tc>
        <w:tc>
          <w:tcPr>
            <w:tcW w:w="804" w:type="pct"/>
            <w:shd w:val="clear" w:color="auto" w:fill="auto"/>
            <w:noWrap/>
            <w:hideMark/>
          </w:tcPr>
          <w:p w:rsidR="00B60C9F" w:rsidRPr="006A2EF3" w:rsidRDefault="00B60C9F" w:rsidP="000D5D04">
            <w:pPr>
              <w:spacing w:after="0" w:line="240" w:lineRule="auto"/>
              <w:jc w:val="center"/>
              <w:rPr>
                <w:rFonts w:eastAsia="Times New Roman" w:cs="Arial"/>
                <w:szCs w:val="22"/>
                <w:lang w:eastAsia="en-AU"/>
              </w:rPr>
            </w:pPr>
            <w:r w:rsidRPr="006A2EF3">
              <w:rPr>
                <w:rFonts w:eastAsiaTheme="minorHAnsi" w:cs="Arial"/>
                <w:szCs w:val="22"/>
                <w:lang w:eastAsia="en-US"/>
              </w:rPr>
              <w:t>67%</w:t>
            </w:r>
          </w:p>
        </w:tc>
        <w:tc>
          <w:tcPr>
            <w:tcW w:w="804" w:type="pct"/>
            <w:shd w:val="clear" w:color="auto" w:fill="auto"/>
            <w:noWrap/>
            <w:hideMark/>
          </w:tcPr>
          <w:p w:rsidR="00B60C9F" w:rsidRPr="006A2EF3" w:rsidRDefault="00B60C9F" w:rsidP="000D5D04">
            <w:pPr>
              <w:spacing w:after="0" w:line="240" w:lineRule="auto"/>
              <w:jc w:val="center"/>
              <w:rPr>
                <w:rFonts w:eastAsia="Times New Roman" w:cs="Arial"/>
                <w:szCs w:val="22"/>
                <w:lang w:eastAsia="en-AU"/>
              </w:rPr>
            </w:pPr>
            <w:r w:rsidRPr="006A2EF3">
              <w:rPr>
                <w:rFonts w:eastAsiaTheme="minorHAnsi" w:cs="Arial"/>
                <w:szCs w:val="22"/>
                <w:lang w:eastAsia="en-US"/>
              </w:rPr>
              <w:t>37%</w:t>
            </w:r>
          </w:p>
        </w:tc>
        <w:tc>
          <w:tcPr>
            <w:tcW w:w="724" w:type="pct"/>
            <w:shd w:val="clear" w:color="auto" w:fill="auto"/>
            <w:noWrap/>
            <w:hideMark/>
          </w:tcPr>
          <w:p w:rsidR="00B60C9F" w:rsidRPr="006A2EF3" w:rsidRDefault="00B60C9F" w:rsidP="000D5D04">
            <w:pPr>
              <w:spacing w:after="0" w:line="240" w:lineRule="auto"/>
              <w:jc w:val="center"/>
              <w:rPr>
                <w:rFonts w:eastAsia="Times New Roman" w:cs="Arial"/>
                <w:szCs w:val="22"/>
                <w:lang w:eastAsia="en-AU"/>
              </w:rPr>
            </w:pPr>
            <w:r w:rsidRPr="006A2EF3">
              <w:rPr>
                <w:rFonts w:eastAsiaTheme="minorHAnsi" w:cs="Arial"/>
                <w:szCs w:val="22"/>
                <w:lang w:eastAsia="en-US"/>
              </w:rPr>
              <w:t>21%</w:t>
            </w:r>
          </w:p>
        </w:tc>
        <w:tc>
          <w:tcPr>
            <w:tcW w:w="1061" w:type="pct"/>
            <w:shd w:val="clear" w:color="auto" w:fill="auto"/>
            <w:noWrap/>
            <w:hideMark/>
          </w:tcPr>
          <w:p w:rsidR="00B60C9F" w:rsidRPr="006A2EF3" w:rsidRDefault="00B60C9F" w:rsidP="000D5D04">
            <w:pPr>
              <w:spacing w:after="0" w:line="240" w:lineRule="auto"/>
              <w:jc w:val="center"/>
              <w:rPr>
                <w:rFonts w:eastAsia="Times New Roman" w:cs="Arial"/>
                <w:szCs w:val="22"/>
                <w:lang w:eastAsia="en-AU"/>
              </w:rPr>
            </w:pPr>
            <w:r w:rsidRPr="006A2EF3">
              <w:rPr>
                <w:rFonts w:eastAsiaTheme="minorHAnsi" w:cs="Arial"/>
                <w:szCs w:val="22"/>
                <w:lang w:eastAsia="en-US"/>
              </w:rPr>
              <w:t>40%</w:t>
            </w:r>
          </w:p>
        </w:tc>
      </w:tr>
      <w:tr w:rsidR="00B60C9F" w:rsidRPr="006A2EF3" w:rsidTr="007C7FF4">
        <w:trPr>
          <w:trHeight w:val="285"/>
          <w:jc w:val="center"/>
        </w:trPr>
        <w:tc>
          <w:tcPr>
            <w:tcW w:w="1607" w:type="pct"/>
            <w:shd w:val="clear" w:color="auto" w:fill="BCBEC0"/>
            <w:noWrap/>
            <w:hideMark/>
          </w:tcPr>
          <w:p w:rsidR="00B60C9F" w:rsidRPr="006A2EF3" w:rsidRDefault="00B60C9F" w:rsidP="000D5D04">
            <w:pPr>
              <w:spacing w:after="0" w:line="240" w:lineRule="auto"/>
              <w:rPr>
                <w:rFonts w:eastAsia="Times New Roman" w:cs="Arial"/>
                <w:color w:val="000000"/>
                <w:szCs w:val="22"/>
                <w:lang w:eastAsia="en-AU"/>
              </w:rPr>
            </w:pPr>
            <w:r w:rsidRPr="006A2EF3">
              <w:rPr>
                <w:rFonts w:eastAsiaTheme="minorHAnsi" w:cs="Arial"/>
                <w:szCs w:val="22"/>
                <w:lang w:eastAsia="en-US"/>
              </w:rPr>
              <w:t>Visual Impairment</w:t>
            </w:r>
          </w:p>
        </w:tc>
        <w:tc>
          <w:tcPr>
            <w:tcW w:w="804" w:type="pct"/>
            <w:shd w:val="clear" w:color="auto" w:fill="auto"/>
            <w:noWrap/>
            <w:hideMark/>
          </w:tcPr>
          <w:p w:rsidR="00B60C9F" w:rsidRPr="006A2EF3" w:rsidRDefault="00B60C9F" w:rsidP="000D5D04">
            <w:pPr>
              <w:spacing w:after="0" w:line="240" w:lineRule="auto"/>
              <w:jc w:val="center"/>
              <w:rPr>
                <w:rFonts w:eastAsia="Times New Roman" w:cs="Arial"/>
                <w:szCs w:val="22"/>
                <w:lang w:eastAsia="en-AU"/>
              </w:rPr>
            </w:pPr>
            <w:r w:rsidRPr="006A2EF3">
              <w:rPr>
                <w:rFonts w:eastAsiaTheme="minorHAnsi" w:cs="Arial"/>
                <w:szCs w:val="22"/>
                <w:lang w:eastAsia="en-US"/>
              </w:rPr>
              <w:t>49%</w:t>
            </w:r>
          </w:p>
        </w:tc>
        <w:tc>
          <w:tcPr>
            <w:tcW w:w="804" w:type="pct"/>
            <w:shd w:val="clear" w:color="auto" w:fill="auto"/>
            <w:noWrap/>
            <w:hideMark/>
          </w:tcPr>
          <w:p w:rsidR="00B60C9F" w:rsidRPr="006A2EF3" w:rsidRDefault="00B60C9F" w:rsidP="000D5D04">
            <w:pPr>
              <w:spacing w:after="0" w:line="240" w:lineRule="auto"/>
              <w:jc w:val="center"/>
              <w:rPr>
                <w:rFonts w:eastAsia="Times New Roman" w:cs="Arial"/>
                <w:szCs w:val="22"/>
                <w:lang w:eastAsia="en-AU"/>
              </w:rPr>
            </w:pPr>
            <w:r w:rsidRPr="006A2EF3">
              <w:rPr>
                <w:rFonts w:eastAsiaTheme="minorHAnsi" w:cs="Arial"/>
                <w:szCs w:val="22"/>
                <w:lang w:eastAsia="en-US"/>
              </w:rPr>
              <w:t>31%</w:t>
            </w:r>
          </w:p>
        </w:tc>
        <w:tc>
          <w:tcPr>
            <w:tcW w:w="724" w:type="pct"/>
            <w:shd w:val="clear" w:color="auto" w:fill="auto"/>
            <w:noWrap/>
            <w:hideMark/>
          </w:tcPr>
          <w:p w:rsidR="00B60C9F" w:rsidRPr="006A2EF3" w:rsidRDefault="00B60C9F" w:rsidP="000D5D04">
            <w:pPr>
              <w:spacing w:after="0" w:line="240" w:lineRule="auto"/>
              <w:jc w:val="center"/>
              <w:rPr>
                <w:rFonts w:eastAsia="Times New Roman" w:cs="Arial"/>
                <w:szCs w:val="22"/>
                <w:lang w:eastAsia="en-AU"/>
              </w:rPr>
            </w:pPr>
            <w:r w:rsidRPr="006A2EF3">
              <w:rPr>
                <w:rFonts w:eastAsiaTheme="minorHAnsi" w:cs="Arial"/>
                <w:szCs w:val="22"/>
                <w:lang w:eastAsia="en-US"/>
              </w:rPr>
              <w:t>21%</w:t>
            </w:r>
          </w:p>
        </w:tc>
        <w:tc>
          <w:tcPr>
            <w:tcW w:w="1061" w:type="pct"/>
            <w:shd w:val="clear" w:color="auto" w:fill="auto"/>
            <w:noWrap/>
            <w:hideMark/>
          </w:tcPr>
          <w:p w:rsidR="00B60C9F" w:rsidRPr="006A2EF3" w:rsidRDefault="00B60C9F" w:rsidP="000D5D04">
            <w:pPr>
              <w:spacing w:after="0" w:line="240" w:lineRule="auto"/>
              <w:jc w:val="center"/>
              <w:rPr>
                <w:rFonts w:eastAsia="Times New Roman" w:cs="Arial"/>
                <w:szCs w:val="22"/>
                <w:lang w:eastAsia="en-AU"/>
              </w:rPr>
            </w:pPr>
            <w:r w:rsidRPr="006A2EF3">
              <w:rPr>
                <w:rFonts w:eastAsiaTheme="minorHAnsi" w:cs="Arial"/>
                <w:szCs w:val="22"/>
                <w:lang w:eastAsia="en-US"/>
              </w:rPr>
              <w:t>33%</w:t>
            </w:r>
          </w:p>
        </w:tc>
      </w:tr>
      <w:tr w:rsidR="00B60C9F" w:rsidRPr="006A2EF3" w:rsidTr="007C7FF4">
        <w:trPr>
          <w:trHeight w:val="293"/>
          <w:jc w:val="center"/>
        </w:trPr>
        <w:tc>
          <w:tcPr>
            <w:tcW w:w="1607" w:type="pct"/>
            <w:shd w:val="clear" w:color="000000" w:fill="808285"/>
            <w:noWrap/>
            <w:vAlign w:val="bottom"/>
            <w:hideMark/>
          </w:tcPr>
          <w:p w:rsidR="00B60C9F" w:rsidRPr="006A2EF3" w:rsidRDefault="00B60C9F" w:rsidP="000D5D04">
            <w:pPr>
              <w:spacing w:after="0" w:line="240" w:lineRule="auto"/>
              <w:jc w:val="center"/>
              <w:rPr>
                <w:rFonts w:eastAsia="Times New Roman" w:cs="Arial"/>
                <w:b/>
                <w:bCs/>
                <w:color w:val="000000"/>
                <w:szCs w:val="22"/>
                <w:lang w:eastAsia="en-AU"/>
              </w:rPr>
            </w:pPr>
            <w:r w:rsidRPr="006A2EF3">
              <w:rPr>
                <w:rFonts w:eastAsia="Times New Roman" w:cs="Arial"/>
                <w:b/>
                <w:bCs/>
                <w:color w:val="000000"/>
                <w:szCs w:val="22"/>
                <w:lang w:eastAsia="en-AU"/>
              </w:rPr>
              <w:t>Total</w:t>
            </w:r>
          </w:p>
        </w:tc>
        <w:tc>
          <w:tcPr>
            <w:tcW w:w="804" w:type="pct"/>
            <w:shd w:val="clear" w:color="000000" w:fill="808285"/>
            <w:noWrap/>
            <w:hideMark/>
          </w:tcPr>
          <w:p w:rsidR="00B60C9F" w:rsidRPr="006A2EF3" w:rsidRDefault="00B60C9F" w:rsidP="000D5D04">
            <w:pPr>
              <w:spacing w:after="0" w:line="240" w:lineRule="auto"/>
              <w:jc w:val="center"/>
              <w:rPr>
                <w:rFonts w:eastAsia="Times New Roman" w:cs="Arial"/>
                <w:b/>
                <w:bCs/>
                <w:szCs w:val="22"/>
                <w:lang w:eastAsia="en-AU"/>
              </w:rPr>
            </w:pPr>
            <w:r w:rsidRPr="006A2EF3">
              <w:rPr>
                <w:rFonts w:eastAsiaTheme="minorHAnsi" w:cs="Arial"/>
                <w:b/>
                <w:szCs w:val="22"/>
                <w:lang w:eastAsia="en-US"/>
              </w:rPr>
              <w:t>39%</w:t>
            </w:r>
          </w:p>
        </w:tc>
        <w:tc>
          <w:tcPr>
            <w:tcW w:w="804" w:type="pct"/>
            <w:shd w:val="clear" w:color="000000" w:fill="808285"/>
            <w:noWrap/>
            <w:hideMark/>
          </w:tcPr>
          <w:p w:rsidR="00B60C9F" w:rsidRPr="006A2EF3" w:rsidRDefault="00B60C9F" w:rsidP="000D5D04">
            <w:pPr>
              <w:spacing w:after="0" w:line="240" w:lineRule="auto"/>
              <w:jc w:val="center"/>
              <w:rPr>
                <w:rFonts w:eastAsia="Times New Roman" w:cs="Arial"/>
                <w:b/>
                <w:bCs/>
                <w:szCs w:val="22"/>
                <w:lang w:eastAsia="en-AU"/>
              </w:rPr>
            </w:pPr>
            <w:r w:rsidRPr="006A2EF3">
              <w:rPr>
                <w:rFonts w:eastAsiaTheme="minorHAnsi" w:cs="Arial"/>
                <w:b/>
                <w:szCs w:val="22"/>
                <w:lang w:eastAsia="en-US"/>
              </w:rPr>
              <w:t>27%</w:t>
            </w:r>
          </w:p>
        </w:tc>
        <w:tc>
          <w:tcPr>
            <w:tcW w:w="724" w:type="pct"/>
            <w:shd w:val="clear" w:color="000000" w:fill="808285"/>
            <w:noWrap/>
            <w:hideMark/>
          </w:tcPr>
          <w:p w:rsidR="00B60C9F" w:rsidRPr="006A2EF3" w:rsidRDefault="00B60C9F" w:rsidP="000D5D04">
            <w:pPr>
              <w:spacing w:after="0" w:line="240" w:lineRule="auto"/>
              <w:jc w:val="center"/>
              <w:rPr>
                <w:rFonts w:eastAsia="Times New Roman" w:cs="Arial"/>
                <w:b/>
                <w:bCs/>
                <w:szCs w:val="22"/>
                <w:lang w:eastAsia="en-AU"/>
              </w:rPr>
            </w:pPr>
            <w:r w:rsidRPr="006A2EF3">
              <w:rPr>
                <w:rFonts w:eastAsiaTheme="minorHAnsi" w:cs="Arial"/>
                <w:b/>
                <w:szCs w:val="22"/>
                <w:lang w:eastAsia="en-US"/>
              </w:rPr>
              <w:t>15%</w:t>
            </w:r>
          </w:p>
        </w:tc>
        <w:tc>
          <w:tcPr>
            <w:tcW w:w="1061" w:type="pct"/>
            <w:shd w:val="clear" w:color="000000" w:fill="808285"/>
            <w:noWrap/>
            <w:hideMark/>
          </w:tcPr>
          <w:p w:rsidR="00B60C9F" w:rsidRPr="006A2EF3" w:rsidRDefault="00B60C9F" w:rsidP="000D5D04">
            <w:pPr>
              <w:spacing w:after="0" w:line="240" w:lineRule="auto"/>
              <w:jc w:val="center"/>
              <w:rPr>
                <w:rFonts w:eastAsia="Times New Roman" w:cs="Arial"/>
                <w:b/>
                <w:bCs/>
                <w:szCs w:val="22"/>
                <w:lang w:eastAsia="en-AU"/>
              </w:rPr>
            </w:pPr>
            <w:r w:rsidRPr="006A2EF3">
              <w:rPr>
                <w:rFonts w:eastAsiaTheme="minorHAnsi" w:cs="Arial"/>
                <w:b/>
                <w:szCs w:val="22"/>
                <w:lang w:eastAsia="en-US"/>
              </w:rPr>
              <w:t>27%</w:t>
            </w:r>
          </w:p>
        </w:tc>
      </w:tr>
    </w:tbl>
    <w:p w:rsidR="00BE632A" w:rsidRPr="00BE632A" w:rsidRDefault="00BE632A" w:rsidP="00BC6FBC"/>
    <w:sectPr w:rsidR="00BE632A" w:rsidRPr="00BE632A" w:rsidSect="000D5D04">
      <w:headerReference w:type="even" r:id="rId38"/>
      <w:footerReference w:type="even" r:id="rId39"/>
      <w:footerReference w:type="default" r:id="rId40"/>
      <w:headerReference w:type="first" r:id="rId41"/>
      <w:footerReference w:type="first" r:id="rId42"/>
      <w:pgSz w:w="11906" w:h="16838"/>
      <w:pgMar w:top="1440" w:right="1440" w:bottom="1440" w:left="144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586" w:rsidRDefault="00AF0586" w:rsidP="007219F1">
      <w:pPr>
        <w:spacing w:after="0" w:line="240" w:lineRule="auto"/>
      </w:pPr>
      <w:r>
        <w:separator/>
      </w:r>
    </w:p>
    <w:p w:rsidR="00AF0586" w:rsidRDefault="00AF0586"/>
    <w:p w:rsidR="00AF0586" w:rsidRDefault="00AF0586"/>
    <w:p w:rsidR="00AF0586" w:rsidRDefault="00AF0586"/>
    <w:p w:rsidR="00AF0586" w:rsidRDefault="00AF0586"/>
    <w:p w:rsidR="00AF0586" w:rsidRDefault="00AF0586"/>
  </w:endnote>
  <w:endnote w:type="continuationSeparator" w:id="0">
    <w:p w:rsidR="00AF0586" w:rsidRDefault="00AF0586" w:rsidP="007219F1">
      <w:pPr>
        <w:spacing w:after="0" w:line="240" w:lineRule="auto"/>
      </w:pPr>
      <w:r>
        <w:continuationSeparator/>
      </w:r>
    </w:p>
    <w:p w:rsidR="00AF0586" w:rsidRDefault="00AF0586"/>
    <w:p w:rsidR="00AF0586" w:rsidRDefault="00AF0586"/>
    <w:p w:rsidR="00AF0586" w:rsidRDefault="00AF0586"/>
    <w:p w:rsidR="00AF0586" w:rsidRDefault="00AF0586"/>
    <w:p w:rsidR="00AF0586" w:rsidRDefault="00AF05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 w:name="Helvetica Neue">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92E" w:rsidRDefault="00E9592E">
    <w:pPr>
      <w:pStyle w:val="Footer"/>
    </w:pPr>
  </w:p>
  <w:p w:rsidR="00E9592E" w:rsidRDefault="00E9592E"/>
  <w:p w:rsidR="00E9592E" w:rsidRDefault="00E9592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92E" w:rsidRDefault="00E9592E" w:rsidP="00950F57">
    <w:pPr>
      <w:pStyle w:val="Footer"/>
      <w:spacing w:after="480"/>
      <w:rPr>
        <w:sz w:val="22"/>
        <w:szCs w:val="22"/>
      </w:rPr>
    </w:pPr>
    <w:r w:rsidRPr="00FA334F">
      <w:rPr>
        <w:b/>
        <w:bCs/>
        <w:sz w:val="22"/>
        <w:szCs w:val="22"/>
      </w:rPr>
      <w:t>ndis.gov.au</w:t>
    </w:r>
    <w:r>
      <w:rPr>
        <w:sz w:val="22"/>
        <w:szCs w:val="22"/>
      </w:rPr>
      <w:tab/>
      <w:t xml:space="preserve">November </w:t>
    </w:r>
    <w:r w:rsidRPr="00FA334F">
      <w:rPr>
        <w:sz w:val="22"/>
        <w:szCs w:val="22"/>
      </w:rPr>
      <w:t>20</w:t>
    </w:r>
    <w:r>
      <w:rPr>
        <w:sz w:val="22"/>
        <w:szCs w:val="22"/>
      </w:rPr>
      <w:t>21</w:t>
    </w:r>
    <w:r w:rsidRPr="00FA334F">
      <w:rPr>
        <w:sz w:val="22"/>
        <w:szCs w:val="22"/>
      </w:rPr>
      <w:t xml:space="preserve"> | </w:t>
    </w:r>
    <w:r>
      <w:rPr>
        <w:sz w:val="22"/>
        <w:szCs w:val="22"/>
      </w:rPr>
      <w:t xml:space="preserve">Improving Support Coordination </w:t>
    </w:r>
    <w:r>
      <w:rPr>
        <w:sz w:val="22"/>
        <w:szCs w:val="22"/>
      </w:rPr>
      <w:tab/>
    </w:r>
    <w:sdt>
      <w:sdtPr>
        <w:rPr>
          <w:sz w:val="22"/>
          <w:szCs w:val="22"/>
        </w:rPr>
        <w:id w:val="-619613177"/>
        <w:docPartObj>
          <w:docPartGallery w:val="Page Numbers (Bottom of Page)"/>
          <w:docPartUnique/>
        </w:docPartObj>
      </w:sdtPr>
      <w:sdtEndPr/>
      <w:sdtContent>
        <w:r w:rsidRPr="00FA334F">
          <w:rPr>
            <w:sz w:val="22"/>
            <w:szCs w:val="22"/>
          </w:rPr>
          <w:fldChar w:fldCharType="begin"/>
        </w:r>
        <w:r w:rsidRPr="00FA334F">
          <w:rPr>
            <w:sz w:val="22"/>
            <w:szCs w:val="22"/>
          </w:rPr>
          <w:instrText xml:space="preserve"> PAGE   \* MERGEFORMAT </w:instrText>
        </w:r>
        <w:r w:rsidRPr="00FA334F">
          <w:rPr>
            <w:sz w:val="22"/>
            <w:szCs w:val="22"/>
          </w:rPr>
          <w:fldChar w:fldCharType="separate"/>
        </w:r>
        <w:r w:rsidR="00AF0586">
          <w:rPr>
            <w:noProof/>
            <w:sz w:val="22"/>
            <w:szCs w:val="22"/>
          </w:rPr>
          <w:t>6</w:t>
        </w:r>
        <w:r w:rsidRPr="00FA334F">
          <w:rPr>
            <w:sz w:val="22"/>
            <w:szCs w:val="2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92E" w:rsidRPr="00AB4CC5" w:rsidRDefault="00E9592E" w:rsidP="00AB4CC5">
    <w:pPr>
      <w:jc w:val="center"/>
      <w:rPr>
        <w:b/>
        <w:color w:val="FF000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586" w:rsidRDefault="00AF0586" w:rsidP="00E9592E">
      <w:pPr>
        <w:spacing w:after="0" w:line="240" w:lineRule="auto"/>
      </w:pPr>
      <w:r>
        <w:separator/>
      </w:r>
    </w:p>
  </w:footnote>
  <w:footnote w:type="continuationSeparator" w:id="0">
    <w:p w:rsidR="00AF0586" w:rsidRDefault="00AF0586" w:rsidP="007219F1">
      <w:pPr>
        <w:spacing w:after="0" w:line="240" w:lineRule="auto"/>
      </w:pPr>
      <w:r>
        <w:continuationSeparator/>
      </w:r>
    </w:p>
    <w:p w:rsidR="00AF0586" w:rsidRDefault="00AF0586"/>
    <w:p w:rsidR="00AF0586" w:rsidRDefault="00AF0586"/>
    <w:p w:rsidR="00AF0586" w:rsidRDefault="00AF0586"/>
    <w:p w:rsidR="00AF0586" w:rsidRDefault="00AF0586"/>
    <w:p w:rsidR="00AF0586" w:rsidRDefault="00AF0586"/>
  </w:footnote>
  <w:footnote w:id="1">
    <w:p w:rsidR="00E9592E" w:rsidRPr="00803614" w:rsidRDefault="00E9592E" w:rsidP="00B60C9F">
      <w:pPr>
        <w:pStyle w:val="FootnoteText"/>
      </w:pPr>
      <w:r>
        <w:rPr>
          <w:rStyle w:val="FootnoteReference"/>
        </w:rPr>
        <w:footnoteRef/>
      </w:r>
      <w:r>
        <w:t xml:space="preserve"> </w:t>
      </w:r>
      <w:r w:rsidRPr="00580E36">
        <w:rPr>
          <w:b/>
        </w:rPr>
        <w:t>Source</w:t>
      </w:r>
      <w:r>
        <w:t xml:space="preserve">: Figure E.48 from the </w:t>
      </w:r>
      <w:r w:rsidRPr="00580E36">
        <w:rPr>
          <w:i/>
        </w:rPr>
        <w:t xml:space="preserve">NDIS Quarterly Report to </w:t>
      </w:r>
      <w:r>
        <w:rPr>
          <w:i/>
        </w:rPr>
        <w:t>D</w:t>
      </w:r>
      <w:r w:rsidRPr="00580E36">
        <w:rPr>
          <w:i/>
        </w:rPr>
        <w:t xml:space="preserve">isability </w:t>
      </w:r>
      <w:r>
        <w:rPr>
          <w:i/>
        </w:rPr>
        <w:t>Ministers for Q1</w:t>
      </w:r>
      <w:r w:rsidRPr="00580E36">
        <w:rPr>
          <w:i/>
        </w:rPr>
        <w:t xml:space="preserve"> </w:t>
      </w:r>
      <w:r>
        <w:rPr>
          <w:i/>
        </w:rPr>
        <w:t>2021-22</w:t>
      </w:r>
      <w:r>
        <w:t xml:space="preserve"> </w:t>
      </w:r>
    </w:p>
  </w:footnote>
  <w:footnote w:id="2">
    <w:p w:rsidR="00E9592E" w:rsidRPr="00975892" w:rsidRDefault="00E9592E" w:rsidP="00B60C9F">
      <w:pPr>
        <w:pStyle w:val="FootnoteText"/>
        <w:rPr>
          <w:i/>
        </w:rPr>
      </w:pPr>
      <w:r>
        <w:rPr>
          <w:rStyle w:val="FootnoteReference"/>
        </w:rPr>
        <w:footnoteRef/>
      </w:r>
      <w:r>
        <w:t xml:space="preserve"> Section 9 of the </w:t>
      </w:r>
      <w:r>
        <w:rPr>
          <w:i/>
        </w:rPr>
        <w:t>National Disability Insurance Scheme Act 2013 (Cth)</w:t>
      </w:r>
    </w:p>
  </w:footnote>
  <w:footnote w:id="3">
    <w:p w:rsidR="00E9592E" w:rsidRPr="00681082" w:rsidRDefault="00E9592E" w:rsidP="00B60C9F">
      <w:pPr>
        <w:pStyle w:val="FootnoteText"/>
      </w:pPr>
      <w:r>
        <w:rPr>
          <w:rStyle w:val="FootnoteReference"/>
        </w:rPr>
        <w:footnoteRef/>
      </w:r>
      <w:r>
        <w:t xml:space="preserve"> </w:t>
      </w:r>
      <w:r w:rsidRPr="00DF5292">
        <w:t xml:space="preserve">Schedule 1 of the </w:t>
      </w:r>
      <w:r w:rsidRPr="00681082">
        <w:rPr>
          <w:i/>
          <w:iCs/>
        </w:rPr>
        <w:t>National Disability Insurance Scheme (Provider Registration and Practice Standards) Rules 2018</w:t>
      </w:r>
      <w:r>
        <w:rPr>
          <w:iCs/>
        </w:rPr>
        <w:t xml:space="preserve"> (Cth)</w:t>
      </w:r>
    </w:p>
  </w:footnote>
  <w:footnote w:id="4">
    <w:p w:rsidR="00E9592E" w:rsidRPr="00E667AE" w:rsidRDefault="00E9592E" w:rsidP="00B60C9F">
      <w:pPr>
        <w:pStyle w:val="FootnoteText"/>
      </w:pPr>
      <w:r>
        <w:rPr>
          <w:rStyle w:val="FootnoteReference"/>
        </w:rPr>
        <w:footnoteRef/>
      </w:r>
      <w:r>
        <w:t xml:space="preserve"> </w:t>
      </w:r>
      <w:r w:rsidRPr="00DF5292">
        <w:t xml:space="preserve">Schedules 1 and 6 of the </w:t>
      </w:r>
      <w:r w:rsidRPr="00681082">
        <w:rPr>
          <w:i/>
          <w:iCs/>
        </w:rPr>
        <w:t>National Disability Insurance Scheme (Provider Registration and Practice Standards) Rules 2018</w:t>
      </w:r>
      <w:r>
        <w:rPr>
          <w:i/>
          <w:iCs/>
        </w:rPr>
        <w:t xml:space="preserve"> </w:t>
      </w:r>
      <w:r>
        <w:rPr>
          <w:iCs/>
        </w:rPr>
        <w:t>(Cth)</w:t>
      </w:r>
    </w:p>
  </w:footnote>
  <w:footnote w:id="5">
    <w:p w:rsidR="00E9592E" w:rsidRPr="00F22AD0" w:rsidRDefault="00E9592E" w:rsidP="00B60C9F">
      <w:pPr>
        <w:pStyle w:val="FootnoteText"/>
      </w:pPr>
      <w:r>
        <w:rPr>
          <w:rStyle w:val="FootnoteReference"/>
        </w:rPr>
        <w:footnoteRef/>
      </w:r>
      <w:r>
        <w:t xml:space="preserve"> </w:t>
      </w:r>
      <w:r w:rsidRPr="00540803">
        <w:rPr>
          <w:i/>
          <w:iCs/>
        </w:rPr>
        <w:t>National Disability Insurance Scheme (Quality Indicators) Guidelines 2018</w:t>
      </w:r>
      <w:r w:rsidRPr="00540803">
        <w:rPr>
          <w:iCs/>
        </w:rPr>
        <w:t xml:space="preserve"> (Cth)</w:t>
      </w:r>
    </w:p>
  </w:footnote>
  <w:footnote w:id="6">
    <w:p w:rsidR="00E9592E" w:rsidRDefault="00E9592E" w:rsidP="00B60C9F">
      <w:pPr>
        <w:pStyle w:val="FootnoteText"/>
      </w:pPr>
      <w:r>
        <w:rPr>
          <w:rStyle w:val="FootnoteReference"/>
        </w:rPr>
        <w:footnoteRef/>
      </w:r>
      <w:r>
        <w:t xml:space="preserve"> NDIS Code of Conduct: Guidance for NDIS Providers p.19-21</w:t>
      </w:r>
    </w:p>
  </w:footnote>
  <w:footnote w:id="7">
    <w:p w:rsidR="00E9592E" w:rsidRDefault="00E9592E" w:rsidP="00B60C9F">
      <w:pPr>
        <w:pStyle w:val="FootnoteText"/>
      </w:pPr>
      <w:r>
        <w:rPr>
          <w:rStyle w:val="FootnoteReference"/>
        </w:rPr>
        <w:footnoteRef/>
      </w:r>
      <w:r>
        <w:t xml:space="preserve"> NDIS Code of Conduct: Guidance for NDIS Workers p.18-19</w:t>
      </w:r>
    </w:p>
  </w:footnote>
  <w:footnote w:id="8">
    <w:p w:rsidR="00E9592E" w:rsidRPr="001320BA" w:rsidRDefault="00E9592E" w:rsidP="00B60C9F">
      <w:pPr>
        <w:pStyle w:val="FootnoteText"/>
      </w:pPr>
      <w:r>
        <w:rPr>
          <w:rStyle w:val="FootnoteReference"/>
        </w:rPr>
        <w:footnoteRef/>
      </w:r>
      <w:r>
        <w:t xml:space="preserve"> Productivity </w:t>
      </w:r>
      <w:r w:rsidRPr="00BA0962">
        <w:t>Commission</w:t>
      </w:r>
      <w:r>
        <w:t xml:space="preserve"> Study Report October 2017 NDIS Costs</w:t>
      </w:r>
    </w:p>
  </w:footnote>
  <w:footnote w:id="9">
    <w:p w:rsidR="00E9592E" w:rsidRDefault="00E9592E" w:rsidP="00B60C9F">
      <w:pPr>
        <w:pStyle w:val="FootnoteText"/>
      </w:pPr>
      <w:r>
        <w:rPr>
          <w:rStyle w:val="FootnoteReference"/>
        </w:rPr>
        <w:footnoteRef/>
      </w:r>
      <w:r>
        <w:t xml:space="preserve"> Total payments for support coordination is based on the total value of support coordination claims paid during each financial year.</w:t>
      </w:r>
    </w:p>
  </w:footnote>
  <w:footnote w:id="10">
    <w:p w:rsidR="00E9592E" w:rsidRDefault="00E9592E" w:rsidP="00B60C9F">
      <w:pPr>
        <w:pStyle w:val="FootnoteText"/>
      </w:pPr>
      <w:r>
        <w:rPr>
          <w:rStyle w:val="FootnoteReference"/>
        </w:rPr>
        <w:footnoteRef/>
      </w:r>
      <w:r>
        <w:t xml:space="preserve"> Excludes Down Syndrome which is separately reported in this analysis.</w:t>
      </w:r>
    </w:p>
  </w:footnote>
  <w:footnote w:id="11">
    <w:p w:rsidR="00E9592E" w:rsidRDefault="00E9592E" w:rsidP="00B60C9F">
      <w:pPr>
        <w:pStyle w:val="FootnoteText"/>
      </w:pPr>
      <w:r>
        <w:rPr>
          <w:rStyle w:val="FootnoteReference"/>
        </w:rPr>
        <w:footnoteRef/>
      </w:r>
      <w:r>
        <w:t xml:space="preserve"> Includes expenditure on participants with missing disability type.</w:t>
      </w:r>
    </w:p>
  </w:footnote>
  <w:footnote w:id="12">
    <w:p w:rsidR="00E9592E" w:rsidRDefault="00E9592E" w:rsidP="00B60C9F">
      <w:pPr>
        <w:pStyle w:val="FootnoteText"/>
      </w:pPr>
      <w:r>
        <w:rPr>
          <w:rStyle w:val="FootnoteReference"/>
        </w:rPr>
        <w:footnoteRef/>
      </w:r>
      <w:r>
        <w:t xml:space="preserve"> Includes expenditure on participants with missing 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92E" w:rsidRDefault="00E9592E">
    <w:pPr>
      <w:pStyle w:val="Header"/>
    </w:pPr>
  </w:p>
  <w:p w:rsidR="00E9592E" w:rsidRDefault="00E9592E"/>
  <w:p w:rsidR="00E9592E" w:rsidRDefault="00E9592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92E" w:rsidRPr="00AB4CC5" w:rsidRDefault="00E9592E" w:rsidP="00AB4CC5">
    <w:pPr>
      <w:jc w:val="center"/>
      <w:rPr>
        <w:b/>
        <w:color w:val="FF0000"/>
        <w:sz w:val="24"/>
      </w:rPr>
    </w:pPr>
    <w:r>
      <w:rPr>
        <w:noProof/>
        <w:lang w:val="en-AU" w:eastAsia="en-AU"/>
      </w:rPr>
      <w:drawing>
        <wp:anchor distT="0" distB="0" distL="114300" distR="114300" simplePos="0" relativeHeight="251659264" behindDoc="1" locked="0" layoutInCell="1" allowOverlap="1" wp14:anchorId="0EDAB8E9" wp14:editId="0EDAB8EA">
          <wp:simplePos x="0" y="0"/>
          <wp:positionH relativeFrom="column">
            <wp:posOffset>-900546</wp:posOffset>
          </wp:positionH>
          <wp:positionV relativeFrom="paragraph">
            <wp:posOffset>-443980</wp:posOffset>
          </wp:positionV>
          <wp:extent cx="7124700" cy="9840075"/>
          <wp:effectExtent l="0" t="0" r="0" b="8890"/>
          <wp:wrapNone/>
          <wp:docPr id="9" name="Picture 9" title="Purple background">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 Report cover curve.png"/>
                  <pic:cNvPicPr/>
                </pic:nvPicPr>
                <pic:blipFill>
                  <a:blip r:embed="rId1">
                    <a:extLst>
                      <a:ext uri="{28A0092B-C50C-407E-A947-70E740481C1C}">
                        <a14:useLocalDpi xmlns:a14="http://schemas.microsoft.com/office/drawing/2010/main" val="0"/>
                      </a:ext>
                    </a:extLst>
                  </a:blip>
                  <a:stretch>
                    <a:fillRect/>
                  </a:stretch>
                </pic:blipFill>
                <pic:spPr>
                  <a:xfrm>
                    <a:off x="0" y="0"/>
                    <a:ext cx="7124700" cy="9840075"/>
                  </a:xfrm>
                  <a:prstGeom prst="rect">
                    <a:avLst/>
                  </a:prstGeom>
                </pic:spPr>
              </pic:pic>
            </a:graphicData>
          </a:graphic>
          <wp14:sizeRelH relativeFrom="page">
            <wp14:pctWidth>0</wp14:pctWidth>
          </wp14:sizeRelH>
          <wp14:sizeRelV relativeFrom="page">
            <wp14:pctHeight>0</wp14:pctHeight>
          </wp14:sizeRelV>
        </wp:anchor>
      </w:drawing>
    </w:r>
  </w:p>
  <w:p w:rsidR="00E9592E" w:rsidRDefault="00E959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3380C"/>
    <w:multiLevelType w:val="hybridMultilevel"/>
    <w:tmpl w:val="BB68F4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474452"/>
    <w:multiLevelType w:val="hybridMultilevel"/>
    <w:tmpl w:val="5E2EA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4A67B5"/>
    <w:multiLevelType w:val="hybridMultilevel"/>
    <w:tmpl w:val="9A541DD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D673D6"/>
    <w:multiLevelType w:val="hybridMultilevel"/>
    <w:tmpl w:val="2D5EC04A"/>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F46F46"/>
    <w:multiLevelType w:val="multilevel"/>
    <w:tmpl w:val="8B6E8F84"/>
    <w:lvl w:ilvl="0">
      <w:start w:val="1"/>
      <w:numFmt w:val="decimal"/>
      <w:pStyle w:val="Chapter-Heading3"/>
      <w:lvlText w:val="%1."/>
      <w:lvlJc w:val="left"/>
      <w:pPr>
        <w:ind w:left="360" w:hanging="360"/>
      </w:pPr>
      <w:rPr>
        <w:sz w:val="32"/>
        <w:szCs w:val="32"/>
      </w:rPr>
    </w:lvl>
    <w:lvl w:ilvl="1">
      <w:start w:val="1"/>
      <w:numFmt w:val="decimal"/>
      <w:pStyle w:val="Chapter-Heading2"/>
      <w:lvlText w:val="%1.%2."/>
      <w:lvlJc w:val="left"/>
      <w:pPr>
        <w:ind w:left="716" w:hanging="432"/>
      </w:pPr>
    </w:lvl>
    <w:lvl w:ilvl="2">
      <w:start w:val="1"/>
      <w:numFmt w:val="decimal"/>
      <w:pStyle w:val="Chapter-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E53AE1"/>
    <w:multiLevelType w:val="hybridMultilevel"/>
    <w:tmpl w:val="20C470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A280892"/>
    <w:multiLevelType w:val="hybridMultilevel"/>
    <w:tmpl w:val="038A2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3046B5E"/>
    <w:multiLevelType w:val="hybridMultilevel"/>
    <w:tmpl w:val="98FA2A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6FB06A5"/>
    <w:multiLevelType w:val="hybridMultilevel"/>
    <w:tmpl w:val="3760C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8210B2F"/>
    <w:multiLevelType w:val="multilevel"/>
    <w:tmpl w:val="FC2E0792"/>
    <w:lvl w:ilvl="0">
      <w:start w:val="1"/>
      <w:numFmt w:val="decimal"/>
      <w:pStyle w:val="Heading2"/>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pStyle w:val="Heading4"/>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1" w15:restartNumberingAfterBreak="0">
    <w:nsid w:val="3B492B7C"/>
    <w:multiLevelType w:val="hybridMultilevel"/>
    <w:tmpl w:val="FA427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0D61B2E"/>
    <w:multiLevelType w:val="hybridMultilevel"/>
    <w:tmpl w:val="E3E2F1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0DE3875"/>
    <w:multiLevelType w:val="hybridMultilevel"/>
    <w:tmpl w:val="531A80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CD12A7C"/>
    <w:multiLevelType w:val="hybridMultilevel"/>
    <w:tmpl w:val="19DC78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0545B99"/>
    <w:multiLevelType w:val="hybridMultilevel"/>
    <w:tmpl w:val="962EC9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C6351D"/>
    <w:multiLevelType w:val="hybridMultilevel"/>
    <w:tmpl w:val="B22CB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32D746D"/>
    <w:multiLevelType w:val="hybridMultilevel"/>
    <w:tmpl w:val="A60ED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2E136D"/>
    <w:multiLevelType w:val="hybridMultilevel"/>
    <w:tmpl w:val="FEFEE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43931BA"/>
    <w:multiLevelType w:val="hybridMultilevel"/>
    <w:tmpl w:val="B8AADD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7903286"/>
    <w:multiLevelType w:val="hybridMultilevel"/>
    <w:tmpl w:val="F43415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0E2F05"/>
    <w:multiLevelType w:val="hybridMultilevel"/>
    <w:tmpl w:val="4412B8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F1E7E6F"/>
    <w:multiLevelType w:val="hybridMultilevel"/>
    <w:tmpl w:val="5D422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7"/>
  </w:num>
  <w:num w:numId="4">
    <w:abstractNumId w:val="9"/>
  </w:num>
  <w:num w:numId="5">
    <w:abstractNumId w:val="21"/>
  </w:num>
  <w:num w:numId="6">
    <w:abstractNumId w:val="1"/>
  </w:num>
  <w:num w:numId="7">
    <w:abstractNumId w:val="22"/>
  </w:num>
  <w:num w:numId="8">
    <w:abstractNumId w:val="11"/>
  </w:num>
  <w:num w:numId="9">
    <w:abstractNumId w:val="6"/>
  </w:num>
  <w:num w:numId="10">
    <w:abstractNumId w:val="7"/>
  </w:num>
  <w:num w:numId="11">
    <w:abstractNumId w:val="20"/>
  </w:num>
  <w:num w:numId="12">
    <w:abstractNumId w:val="3"/>
  </w:num>
  <w:num w:numId="13">
    <w:abstractNumId w:val="14"/>
  </w:num>
  <w:num w:numId="14">
    <w:abstractNumId w:val="18"/>
  </w:num>
  <w:num w:numId="15">
    <w:abstractNumId w:val="19"/>
  </w:num>
  <w:num w:numId="16">
    <w:abstractNumId w:val="12"/>
  </w:num>
  <w:num w:numId="17">
    <w:abstractNumId w:val="4"/>
  </w:num>
  <w:num w:numId="18">
    <w:abstractNumId w:val="5"/>
  </w:num>
  <w:num w:numId="19">
    <w:abstractNumId w:val="15"/>
  </w:num>
  <w:num w:numId="20">
    <w:abstractNumId w:val="2"/>
  </w:num>
  <w:num w:numId="21">
    <w:abstractNumId w:val="13"/>
  </w:num>
  <w:num w:numId="22">
    <w:abstractNumId w:val="0"/>
  </w:num>
  <w:num w:numId="23">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hideSpellingErrors/>
  <w:hideGrammaticalErrors/>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586"/>
    <w:rsid w:val="000D5D04"/>
    <w:rsid w:val="0014207A"/>
    <w:rsid w:val="00163EB0"/>
    <w:rsid w:val="001665A1"/>
    <w:rsid w:val="00180D51"/>
    <w:rsid w:val="00187EA6"/>
    <w:rsid w:val="001A15AB"/>
    <w:rsid w:val="001E630D"/>
    <w:rsid w:val="002006D4"/>
    <w:rsid w:val="002321EA"/>
    <w:rsid w:val="0023603F"/>
    <w:rsid w:val="002A42FC"/>
    <w:rsid w:val="00323BB7"/>
    <w:rsid w:val="003622D9"/>
    <w:rsid w:val="00383A58"/>
    <w:rsid w:val="003A60EF"/>
    <w:rsid w:val="003B2BB8"/>
    <w:rsid w:val="003D34FF"/>
    <w:rsid w:val="0040062A"/>
    <w:rsid w:val="0048002C"/>
    <w:rsid w:val="004861C3"/>
    <w:rsid w:val="004876FD"/>
    <w:rsid w:val="004B54CA"/>
    <w:rsid w:val="004C2D9C"/>
    <w:rsid w:val="004D32B5"/>
    <w:rsid w:val="004E461E"/>
    <w:rsid w:val="004E5CBF"/>
    <w:rsid w:val="00515AB6"/>
    <w:rsid w:val="0055492D"/>
    <w:rsid w:val="00576162"/>
    <w:rsid w:val="00590706"/>
    <w:rsid w:val="005938B8"/>
    <w:rsid w:val="00593C73"/>
    <w:rsid w:val="005A1743"/>
    <w:rsid w:val="005A6312"/>
    <w:rsid w:val="005C3AA9"/>
    <w:rsid w:val="005F5F33"/>
    <w:rsid w:val="006765FF"/>
    <w:rsid w:val="00685170"/>
    <w:rsid w:val="006A4CE7"/>
    <w:rsid w:val="006B161E"/>
    <w:rsid w:val="006B46BC"/>
    <w:rsid w:val="007219F1"/>
    <w:rsid w:val="00784C2F"/>
    <w:rsid w:val="00785261"/>
    <w:rsid w:val="007B0256"/>
    <w:rsid w:val="007C7FF4"/>
    <w:rsid w:val="007E10B2"/>
    <w:rsid w:val="00887867"/>
    <w:rsid w:val="008D4B76"/>
    <w:rsid w:val="00905783"/>
    <w:rsid w:val="00917068"/>
    <w:rsid w:val="009225F0"/>
    <w:rsid w:val="00923ED2"/>
    <w:rsid w:val="00941A88"/>
    <w:rsid w:val="00950F57"/>
    <w:rsid w:val="00A21351"/>
    <w:rsid w:val="00A345E1"/>
    <w:rsid w:val="00A47174"/>
    <w:rsid w:val="00A932B8"/>
    <w:rsid w:val="00A944E4"/>
    <w:rsid w:val="00AA6762"/>
    <w:rsid w:val="00AB4CC5"/>
    <w:rsid w:val="00AE61B4"/>
    <w:rsid w:val="00AF0586"/>
    <w:rsid w:val="00B078E1"/>
    <w:rsid w:val="00B1295A"/>
    <w:rsid w:val="00B60C9F"/>
    <w:rsid w:val="00B73DA2"/>
    <w:rsid w:val="00B83085"/>
    <w:rsid w:val="00B97A26"/>
    <w:rsid w:val="00BA2DB9"/>
    <w:rsid w:val="00BC6FBC"/>
    <w:rsid w:val="00BE632A"/>
    <w:rsid w:val="00BE7148"/>
    <w:rsid w:val="00C107E1"/>
    <w:rsid w:val="00C54B33"/>
    <w:rsid w:val="00C764CA"/>
    <w:rsid w:val="00CB2835"/>
    <w:rsid w:val="00CD3DF5"/>
    <w:rsid w:val="00CE720A"/>
    <w:rsid w:val="00CF74D3"/>
    <w:rsid w:val="00D541D4"/>
    <w:rsid w:val="00D82F29"/>
    <w:rsid w:val="00D87A0F"/>
    <w:rsid w:val="00DA1853"/>
    <w:rsid w:val="00DA4D7B"/>
    <w:rsid w:val="00DE3193"/>
    <w:rsid w:val="00E64C18"/>
    <w:rsid w:val="00E9592E"/>
    <w:rsid w:val="00EB6E16"/>
    <w:rsid w:val="00EC4364"/>
    <w:rsid w:val="00EE54E1"/>
    <w:rsid w:val="00F411F2"/>
    <w:rsid w:val="00F50546"/>
    <w:rsid w:val="00FA334F"/>
    <w:rsid w:val="00FB5514"/>
    <w:rsid w:val="00FC0786"/>
    <w:rsid w:val="00FE3582"/>
    <w:rsid w:val="00FF1D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DAB886"/>
  <w15:docId w15:val="{8F57C7A1-02E0-454F-B7F7-2C0E1540F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9F1"/>
    <w:pPr>
      <w:spacing w:line="288" w:lineRule="auto"/>
    </w:pPr>
    <w:rPr>
      <w:rFonts w:ascii="Arial" w:eastAsiaTheme="minorEastAsia" w:hAnsi="Arial"/>
      <w:szCs w:val="24"/>
      <w:lang w:val="en-US" w:eastAsia="ja-JP"/>
    </w:rPr>
  </w:style>
  <w:style w:type="paragraph" w:styleId="Heading1">
    <w:name w:val="heading 1"/>
    <w:aliases w:val="Report title (one line)"/>
    <w:basedOn w:val="Normal"/>
    <w:next w:val="Normal"/>
    <w:link w:val="Heading1Char"/>
    <w:uiPriority w:val="9"/>
    <w:qFormat/>
    <w:rsid w:val="00AE61B4"/>
    <w:pPr>
      <w:spacing w:before="840" w:after="600"/>
      <w:outlineLvl w:val="0"/>
    </w:pPr>
    <w:rPr>
      <w:rFonts w:cs="Arial"/>
      <w:b/>
      <w:color w:val="FEFFFF" w:themeColor="background1"/>
      <w:sz w:val="80"/>
      <w:szCs w:val="96"/>
      <w:lang w:val="en-AU"/>
    </w:rPr>
  </w:style>
  <w:style w:type="paragraph" w:styleId="Heading2">
    <w:name w:val="heading 2"/>
    <w:basedOn w:val="Normal"/>
    <w:next w:val="Normal"/>
    <w:link w:val="Heading2Char"/>
    <w:uiPriority w:val="9"/>
    <w:unhideWhenUsed/>
    <w:qFormat/>
    <w:rsid w:val="00EC4364"/>
    <w:pPr>
      <w:numPr>
        <w:numId w:val="2"/>
      </w:numPr>
      <w:spacing w:before="200" w:after="240"/>
      <w:ind w:left="720"/>
      <w:outlineLvl w:val="1"/>
    </w:pPr>
    <w:rPr>
      <w:rFonts w:eastAsiaTheme="majorEastAsia" w:cstheme="majorBidi"/>
      <w:b/>
      <w:bCs/>
      <w:color w:val="6B2976"/>
      <w:sz w:val="44"/>
      <w:szCs w:val="26"/>
    </w:rPr>
  </w:style>
  <w:style w:type="paragraph" w:styleId="Heading3">
    <w:name w:val="heading 3"/>
    <w:basedOn w:val="Normal"/>
    <w:next w:val="Normal"/>
    <w:link w:val="Heading3Char"/>
    <w:uiPriority w:val="9"/>
    <w:unhideWhenUsed/>
    <w:qFormat/>
    <w:rsid w:val="00EC4364"/>
    <w:pPr>
      <w:spacing w:before="400"/>
      <w:outlineLvl w:val="2"/>
    </w:pPr>
    <w:rPr>
      <w:b/>
      <w:color w:val="6B2976"/>
      <w:sz w:val="30"/>
      <w:szCs w:val="30"/>
    </w:rPr>
  </w:style>
  <w:style w:type="paragraph" w:styleId="Heading4">
    <w:name w:val="heading 4"/>
    <w:basedOn w:val="Normal"/>
    <w:next w:val="Normal"/>
    <w:link w:val="Heading4Char"/>
    <w:uiPriority w:val="9"/>
    <w:unhideWhenUsed/>
    <w:qFormat/>
    <w:rsid w:val="00BE632A"/>
    <w:pPr>
      <w:numPr>
        <w:ilvl w:val="2"/>
        <w:numId w:val="2"/>
      </w:numPr>
      <w:spacing w:after="120"/>
      <w:outlineLvl w:val="3"/>
    </w:pPr>
    <w:rPr>
      <w:b/>
      <w:sz w:val="24"/>
    </w:rPr>
  </w:style>
  <w:style w:type="paragraph" w:styleId="Heading5">
    <w:name w:val="heading 5"/>
    <w:basedOn w:val="Normal"/>
    <w:next w:val="Normal"/>
    <w:link w:val="Heading5Char"/>
    <w:uiPriority w:val="9"/>
    <w:unhideWhenUsed/>
    <w:qFormat/>
    <w:rsid w:val="00EC4364"/>
    <w:pPr>
      <w:spacing w:before="400"/>
      <w:outlineLvl w:val="4"/>
    </w:pPr>
    <w:rPr>
      <w:b/>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eport title (one line) Char"/>
    <w:basedOn w:val="DefaultParagraphFont"/>
    <w:link w:val="Heading1"/>
    <w:uiPriority w:val="9"/>
    <w:rsid w:val="00AE61B4"/>
    <w:rPr>
      <w:rFonts w:ascii="Arial" w:eastAsiaTheme="minorEastAsia" w:hAnsi="Arial" w:cs="Arial"/>
      <w:b/>
      <w:color w:val="FEFFFF" w:themeColor="background1"/>
      <w:sz w:val="80"/>
      <w:szCs w:val="96"/>
      <w:lang w:eastAsia="ja-JP"/>
    </w:rPr>
  </w:style>
  <w:style w:type="character" w:customStyle="1" w:styleId="Heading2Char">
    <w:name w:val="Heading 2 Char"/>
    <w:basedOn w:val="DefaultParagraphFont"/>
    <w:link w:val="Heading2"/>
    <w:uiPriority w:val="9"/>
    <w:rsid w:val="00EC4364"/>
    <w:rPr>
      <w:rFonts w:ascii="Arial" w:eastAsiaTheme="majorEastAsia" w:hAnsi="Arial" w:cstheme="majorBidi"/>
      <w:b/>
      <w:bCs/>
      <w:color w:val="6B2976"/>
      <w:sz w:val="44"/>
      <w:szCs w:val="26"/>
      <w:lang w:val="en-US" w:eastAsia="ja-JP"/>
    </w:rPr>
  </w:style>
  <w:style w:type="character" w:customStyle="1" w:styleId="Heading3Char">
    <w:name w:val="Heading 3 Char"/>
    <w:basedOn w:val="DefaultParagraphFont"/>
    <w:link w:val="Heading3"/>
    <w:uiPriority w:val="9"/>
    <w:rsid w:val="00EC4364"/>
    <w:rPr>
      <w:rFonts w:ascii="Arial" w:eastAsiaTheme="minorEastAsia" w:hAnsi="Arial"/>
      <w:b/>
      <w:color w:val="6B2976"/>
      <w:sz w:val="30"/>
      <w:szCs w:val="30"/>
      <w:lang w:val="en-US" w:eastAsia="ja-JP"/>
    </w:rPr>
  </w:style>
  <w:style w:type="character" w:customStyle="1" w:styleId="Heading4Char">
    <w:name w:val="Heading 4 Char"/>
    <w:basedOn w:val="DefaultParagraphFont"/>
    <w:link w:val="Heading4"/>
    <w:uiPriority w:val="9"/>
    <w:rsid w:val="00BE632A"/>
    <w:rPr>
      <w:rFonts w:ascii="Arial" w:eastAsiaTheme="minorEastAsia" w:hAnsi="Arial"/>
      <w:b/>
      <w:sz w:val="24"/>
      <w:szCs w:val="24"/>
      <w:lang w:val="en-US" w:eastAsia="ja-JP"/>
    </w:rPr>
  </w:style>
  <w:style w:type="character" w:customStyle="1" w:styleId="Heading5Char">
    <w:name w:val="Heading 5 Char"/>
    <w:basedOn w:val="DefaultParagraphFont"/>
    <w:link w:val="Heading5"/>
    <w:uiPriority w:val="9"/>
    <w:rsid w:val="00EC4364"/>
    <w:rPr>
      <w:rFonts w:ascii="Arial" w:eastAsiaTheme="minorEastAsia" w:hAnsi="Arial"/>
      <w:b/>
      <w:szCs w:val="24"/>
      <w:lang w:val="en-US"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NoSpacing">
    <w:name w:val="No Spacing"/>
    <w:uiPriority w:val="1"/>
    <w:qFormat/>
    <w:rsid w:val="008D4B76"/>
    <w:pPr>
      <w:spacing w:after="0" w:line="240" w:lineRule="auto"/>
    </w:pPr>
    <w:rPr>
      <w:rFonts w:ascii="Arial" w:eastAsiaTheme="minorEastAsia" w:hAnsi="Arial"/>
      <w:szCs w:val="24"/>
      <w:lang w:val="en-US" w:eastAsia="ja-JP"/>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NFP GP Bulleted List,List Paragraph1,Recommendation,List Paragraph11,L,Bullet point,List Paragraph111,F5 List Paragraph,Dot pt,CV text,Table text,Medium Grid 1 - Accent 21,Numbered Paragraph,List Paragraph2,FooterText,numbered,列出段,0Bullet"/>
    <w:basedOn w:val="Normal"/>
    <w:link w:val="ListParagraphChar"/>
    <w:uiPriority w:val="34"/>
    <w:qFormat/>
    <w:rsid w:val="004B54CA"/>
    <w:pPr>
      <w:ind w:left="720"/>
      <w:contextualSpacing/>
    </w:pPr>
  </w:style>
  <w:style w:type="character" w:customStyle="1" w:styleId="ListParagraphChar">
    <w:name w:val="List Paragraph Char"/>
    <w:aliases w:val="NFP GP Bulleted List Char,List Paragraph1 Char,Recommendation Char,List Paragraph11 Char,L Char,Bullet point Char,List Paragraph111 Char,F5 List Paragraph Char,Dot pt Char,CV text Char,Table text Char,Medium Grid 1 - Accent 21 Char"/>
    <w:basedOn w:val="DefaultParagraphFont"/>
    <w:link w:val="ListParagraph"/>
    <w:uiPriority w:val="34"/>
    <w:qFormat/>
    <w:locked/>
    <w:rsid w:val="00B60C9F"/>
    <w:rPr>
      <w:rFonts w:ascii="Arial" w:eastAsiaTheme="minorEastAsia" w:hAnsi="Arial"/>
      <w:szCs w:val="24"/>
      <w:lang w:val="en-US" w:eastAsia="ja-JP"/>
    </w:r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qFormat/>
    <w:rsid w:val="00785261"/>
    <w:rPr>
      <w:b/>
      <w:bCs/>
      <w:caps/>
      <w:sz w:val="16"/>
      <w:szCs w:val="18"/>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sz w:val="24"/>
    </w:rPr>
  </w:style>
  <w:style w:type="character" w:customStyle="1" w:styleId="FooterChar">
    <w:name w:val="Footer Char"/>
    <w:basedOn w:val="DefaultParagraphFont"/>
    <w:link w:val="Footer"/>
    <w:uiPriority w:val="99"/>
    <w:rsid w:val="00FA334F"/>
    <w:rPr>
      <w:rFonts w:ascii="Arial" w:eastAsiaTheme="minorEastAsia"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9F1"/>
    <w:rPr>
      <w:rFonts w:ascii="Tahoma" w:eastAsiaTheme="minorEastAsia" w:hAnsi="Tahoma" w:cs="Tahoma"/>
      <w:sz w:val="16"/>
      <w:szCs w:val="16"/>
      <w:lang w:val="en-US" w:eastAsia="ja-JP"/>
    </w:rPr>
  </w:style>
  <w:style w:type="paragraph" w:customStyle="1" w:styleId="tablelistbullet">
    <w:name w:val="table list bullet"/>
    <w:basedOn w:val="ListParagraph"/>
    <w:qFormat/>
    <w:rsid w:val="004D32B5"/>
    <w:pPr>
      <w:numPr>
        <w:numId w:val="1"/>
      </w:numPr>
      <w:tabs>
        <w:tab w:val="num" w:pos="360"/>
      </w:tabs>
      <w:spacing w:after="120" w:line="240" w:lineRule="auto"/>
      <w:ind w:firstLine="0"/>
    </w:pPr>
    <w:rPr>
      <w:rFonts w:eastAsia="MS Mincho" w:cs="FSMe-Bold"/>
      <w:spacing w:val="-2"/>
      <w:sz w:val="20"/>
      <w:szCs w:val="20"/>
      <w:lang w:eastAsia="en-US"/>
    </w:rPr>
  </w:style>
  <w:style w:type="table" w:styleId="LightShading-Accent4">
    <w:name w:val="Light Shading Accent 4"/>
    <w:basedOn w:val="TableNormal"/>
    <w:uiPriority w:val="60"/>
    <w:rsid w:val="00EC4364"/>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C5296D" w:themeColor="accent4"/>
        <w:bottom w:val="single" w:sz="8" w:space="0" w:color="C5296D"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themeColor="background1"/>
        <w:sz w:val="22"/>
      </w:rPr>
      <w:tblPr/>
      <w:tcPr>
        <w:shd w:val="clear" w:color="auto" w:fill="6B2976"/>
      </w:tcPr>
    </w:tblStylePr>
    <w:tblStylePr w:type="lastRow">
      <w:pPr>
        <w:spacing w:before="0" w:after="0" w:line="240" w:lineRule="auto"/>
      </w:pPr>
      <w:rPr>
        <w:b/>
        <w:bCs/>
      </w:rPr>
      <w:tblPr/>
      <w:tcPr>
        <w:tcBorders>
          <w:top w:val="single" w:sz="8" w:space="0" w:color="C5296D" w:themeColor="accent4"/>
          <w:left w:val="nil"/>
          <w:bottom w:val="single" w:sz="8" w:space="0" w:color="C5296D"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hemeFill="accent4" w:themeFillTint="3F"/>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BE632A"/>
    <w:rPr>
      <w:rFonts w:cs="Arial"/>
      <w:spacing w:val="-3"/>
      <w:kern w:val="1"/>
      <w:szCs w:val="20"/>
      <w:lang w:val="en-GB" w:eastAsia="en-US"/>
    </w:rPr>
  </w:style>
  <w:style w:type="paragraph" w:styleId="TOC1">
    <w:name w:val="toc 1"/>
    <w:basedOn w:val="Normal"/>
    <w:next w:val="Normal"/>
    <w:autoRedefine/>
    <w:uiPriority w:val="39"/>
    <w:unhideWhenUsed/>
    <w:qFormat/>
    <w:rsid w:val="00C54B33"/>
    <w:pPr>
      <w:tabs>
        <w:tab w:val="right" w:pos="9016"/>
      </w:tabs>
      <w:spacing w:after="100"/>
    </w:pPr>
  </w:style>
  <w:style w:type="paragraph" w:styleId="TOC2">
    <w:name w:val="toc 2"/>
    <w:basedOn w:val="Normal"/>
    <w:next w:val="Normal"/>
    <w:autoRedefine/>
    <w:uiPriority w:val="39"/>
    <w:unhideWhenUsed/>
    <w:qFormat/>
    <w:rsid w:val="00C54B3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basedOn w:val="DefaultParagraphFont"/>
    <w:uiPriority w:val="99"/>
    <w:unhideWhenUsed/>
    <w:rsid w:val="0040062A"/>
    <w:rPr>
      <w:color w:val="0432FF" w:themeColor="hyperlink"/>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Versionanddate">
    <w:name w:val="Version and date"/>
    <w:basedOn w:val="Normal"/>
    <w:link w:val="VersionanddateChar"/>
    <w:qFormat/>
    <w:rsid w:val="004E461E"/>
    <w:rPr>
      <w:color w:val="FEFFFF" w:themeColor="background1"/>
      <w:sz w:val="28"/>
      <w:szCs w:val="28"/>
    </w:rPr>
  </w:style>
  <w:style w:type="character" w:customStyle="1" w:styleId="VersionanddateChar">
    <w:name w:val="Version and date Char"/>
    <w:basedOn w:val="DefaultParagraphFont"/>
    <w:link w:val="Versionanddate"/>
    <w:rsid w:val="006765FF"/>
    <w:rPr>
      <w:rFonts w:ascii="Arial" w:eastAsiaTheme="minorEastAsia" w:hAnsi="Arial"/>
      <w:color w:val="FEFFFF" w:themeColor="background1"/>
      <w:sz w:val="28"/>
      <w:szCs w:val="28"/>
      <w:lang w:val="en-US" w:eastAsia="ja-JP"/>
    </w:rPr>
  </w:style>
  <w:style w:type="table" w:styleId="TableGrid">
    <w:name w:val="Table Grid"/>
    <w:basedOn w:val="TableNormal"/>
    <w:uiPriority w:val="39"/>
    <w:rsid w:val="00EC4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porttitletwolines">
    <w:name w:val="Heading 1 Report title (two lines)"/>
    <w:basedOn w:val="Heading1"/>
    <w:qFormat/>
    <w:rsid w:val="00B73DA2"/>
    <w:pPr>
      <w:spacing w:before="8760" w:after="120"/>
    </w:pPr>
    <w:rPr>
      <w:sz w:val="70"/>
    </w:rPr>
  </w:style>
  <w:style w:type="paragraph" w:customStyle="1" w:styleId="TableDescription">
    <w:name w:val="Table Description"/>
    <w:basedOn w:val="Normal"/>
    <w:link w:val="TableDescriptionChar"/>
    <w:qFormat/>
    <w:rsid w:val="001665A1"/>
    <w:rPr>
      <w:b/>
    </w:rPr>
  </w:style>
  <w:style w:type="character" w:customStyle="1" w:styleId="TableDescriptionChar">
    <w:name w:val="Table Description Char"/>
    <w:basedOn w:val="DefaultParagraphFont"/>
    <w:link w:val="TableDescription"/>
    <w:rsid w:val="001665A1"/>
    <w:rPr>
      <w:rFonts w:ascii="Arial" w:eastAsiaTheme="minorEastAsia" w:hAnsi="Arial"/>
      <w:b/>
      <w:szCs w:val="24"/>
      <w:lang w:val="en-US" w:eastAsia="ja-JP"/>
    </w:rPr>
  </w:style>
  <w:style w:type="paragraph" w:customStyle="1" w:styleId="Website">
    <w:name w:val="Website"/>
    <w:basedOn w:val="Versionanddate"/>
    <w:link w:val="WebsiteChar"/>
    <w:qFormat/>
    <w:rsid w:val="00B73DA2"/>
    <w:pPr>
      <w:spacing w:after="60"/>
    </w:pPr>
    <w:rPr>
      <w:rFonts w:cs="Arial"/>
      <w:b/>
    </w:rPr>
  </w:style>
  <w:style w:type="character" w:customStyle="1" w:styleId="WebsiteChar">
    <w:name w:val="Website Char"/>
    <w:basedOn w:val="VersionanddateChar"/>
    <w:link w:val="Website"/>
    <w:rsid w:val="00B73DA2"/>
    <w:rPr>
      <w:rFonts w:ascii="Arial" w:eastAsiaTheme="minorEastAsia" w:hAnsi="Arial" w:cs="Arial"/>
      <w:b/>
      <w:color w:val="FEFFFF" w:themeColor="background1"/>
      <w:sz w:val="28"/>
      <w:szCs w:val="28"/>
      <w:lang w:val="en-US" w:eastAsia="ja-JP"/>
    </w:rPr>
  </w:style>
  <w:style w:type="paragraph" w:customStyle="1" w:styleId="Securitymarker">
    <w:name w:val="Security marker"/>
    <w:basedOn w:val="Normal"/>
    <w:link w:val="SecuritymarkerChar"/>
    <w:qFormat/>
    <w:rsid w:val="00AB4CC5"/>
    <w:pPr>
      <w:suppressAutoHyphens/>
    </w:pPr>
    <w:rPr>
      <w:rFonts w:asciiTheme="minorHAnsi" w:eastAsiaTheme="minorHAnsi" w:hAnsiTheme="minorHAnsi"/>
      <w:b/>
      <w:bCs/>
      <w:sz w:val="28"/>
      <w:szCs w:val="28"/>
      <w:lang w:val="en-AU" w:eastAsia="en-US"/>
    </w:rPr>
  </w:style>
  <w:style w:type="character" w:customStyle="1" w:styleId="SecuritymarkerChar">
    <w:name w:val="Security marker Char"/>
    <w:basedOn w:val="DefaultParagraphFont"/>
    <w:link w:val="Securitymarker"/>
    <w:rsid w:val="00AB4CC5"/>
    <w:rPr>
      <w:b/>
      <w:bCs/>
      <w:sz w:val="28"/>
      <w:szCs w:val="28"/>
    </w:rPr>
  </w:style>
  <w:style w:type="paragraph" w:styleId="FootnoteText">
    <w:name w:val="footnote text"/>
    <w:basedOn w:val="Normal"/>
    <w:link w:val="FootnoteTextChar"/>
    <w:uiPriority w:val="99"/>
    <w:semiHidden/>
    <w:unhideWhenUsed/>
    <w:rsid w:val="00B60C9F"/>
    <w:pPr>
      <w:spacing w:after="0" w:line="240" w:lineRule="auto"/>
    </w:pPr>
    <w:rPr>
      <w:sz w:val="20"/>
      <w:szCs w:val="20"/>
      <w:lang w:val="en-AU"/>
    </w:rPr>
  </w:style>
  <w:style w:type="character" w:customStyle="1" w:styleId="FootnoteTextChar">
    <w:name w:val="Footnote Text Char"/>
    <w:basedOn w:val="DefaultParagraphFont"/>
    <w:link w:val="FootnoteText"/>
    <w:uiPriority w:val="99"/>
    <w:semiHidden/>
    <w:rsid w:val="00B60C9F"/>
    <w:rPr>
      <w:rFonts w:ascii="Arial" w:eastAsiaTheme="minorEastAsia" w:hAnsi="Arial"/>
      <w:sz w:val="20"/>
      <w:szCs w:val="20"/>
      <w:lang w:eastAsia="ja-JP"/>
    </w:rPr>
  </w:style>
  <w:style w:type="character" w:styleId="FootnoteReference">
    <w:name w:val="footnote reference"/>
    <w:basedOn w:val="DefaultParagraphFont"/>
    <w:uiPriority w:val="99"/>
    <w:semiHidden/>
    <w:unhideWhenUsed/>
    <w:rsid w:val="00B60C9F"/>
    <w:rPr>
      <w:vertAlign w:val="superscript"/>
    </w:rPr>
  </w:style>
  <w:style w:type="character" w:styleId="CommentReference">
    <w:name w:val="annotation reference"/>
    <w:basedOn w:val="DefaultParagraphFont"/>
    <w:uiPriority w:val="99"/>
    <w:semiHidden/>
    <w:unhideWhenUsed/>
    <w:rsid w:val="00B60C9F"/>
    <w:rPr>
      <w:sz w:val="16"/>
      <w:szCs w:val="16"/>
    </w:rPr>
  </w:style>
  <w:style w:type="paragraph" w:styleId="CommentText">
    <w:name w:val="annotation text"/>
    <w:basedOn w:val="Normal"/>
    <w:link w:val="CommentTextChar"/>
    <w:uiPriority w:val="99"/>
    <w:unhideWhenUsed/>
    <w:rsid w:val="00B60C9F"/>
    <w:pPr>
      <w:spacing w:line="240" w:lineRule="auto"/>
    </w:pPr>
    <w:rPr>
      <w:sz w:val="20"/>
      <w:szCs w:val="20"/>
      <w:lang w:val="en-AU"/>
    </w:rPr>
  </w:style>
  <w:style w:type="character" w:customStyle="1" w:styleId="CommentTextChar">
    <w:name w:val="Comment Text Char"/>
    <w:basedOn w:val="DefaultParagraphFont"/>
    <w:link w:val="CommentText"/>
    <w:uiPriority w:val="99"/>
    <w:rsid w:val="00B60C9F"/>
    <w:rPr>
      <w:rFonts w:ascii="Arial" w:eastAsiaTheme="minorEastAsia" w:hAnsi="Arial"/>
      <w:sz w:val="20"/>
      <w:szCs w:val="20"/>
      <w:lang w:eastAsia="ja-JP"/>
    </w:rPr>
  </w:style>
  <w:style w:type="character" w:customStyle="1" w:styleId="CommentSubjectChar">
    <w:name w:val="Comment Subject Char"/>
    <w:basedOn w:val="CommentTextChar"/>
    <w:link w:val="CommentSubject"/>
    <w:uiPriority w:val="99"/>
    <w:semiHidden/>
    <w:rsid w:val="00B60C9F"/>
    <w:rPr>
      <w:rFonts w:ascii="Arial" w:eastAsiaTheme="minorEastAsia" w:hAnsi="Arial"/>
      <w:b/>
      <w:bCs/>
      <w:sz w:val="20"/>
      <w:szCs w:val="20"/>
      <w:lang w:eastAsia="ja-JP"/>
    </w:rPr>
  </w:style>
  <w:style w:type="paragraph" w:styleId="CommentSubject">
    <w:name w:val="annotation subject"/>
    <w:basedOn w:val="CommentText"/>
    <w:next w:val="CommentText"/>
    <w:link w:val="CommentSubjectChar"/>
    <w:uiPriority w:val="99"/>
    <w:semiHidden/>
    <w:unhideWhenUsed/>
    <w:rsid w:val="00B60C9F"/>
    <w:rPr>
      <w:b/>
      <w:bCs/>
    </w:rPr>
  </w:style>
  <w:style w:type="paragraph" w:customStyle="1" w:styleId="Chapter-Heading1">
    <w:name w:val="Chapter - Heading 1"/>
    <w:basedOn w:val="ListParagraph"/>
    <w:qFormat/>
    <w:rsid w:val="00B60C9F"/>
    <w:pPr>
      <w:tabs>
        <w:tab w:val="num" w:pos="360"/>
      </w:tabs>
      <w:spacing w:before="240" w:after="240" w:line="264" w:lineRule="auto"/>
      <w:contextualSpacing w:val="0"/>
    </w:pPr>
    <w:rPr>
      <w:rFonts w:cs="Arial"/>
      <w:b/>
      <w:color w:val="660066"/>
      <w:sz w:val="36"/>
      <w:szCs w:val="21"/>
      <w:lang w:val="en-AU" w:eastAsia="en-AU"/>
    </w:rPr>
  </w:style>
  <w:style w:type="paragraph" w:customStyle="1" w:styleId="Chapter-Heading2">
    <w:name w:val="Chapter - Heading 2"/>
    <w:basedOn w:val="ListParagraph"/>
    <w:link w:val="Chapter-Heading2Char"/>
    <w:qFormat/>
    <w:rsid w:val="00B60C9F"/>
    <w:pPr>
      <w:numPr>
        <w:ilvl w:val="1"/>
        <w:numId w:val="17"/>
      </w:numPr>
      <w:spacing w:before="120" w:after="120" w:line="264" w:lineRule="auto"/>
      <w:contextualSpacing w:val="0"/>
    </w:pPr>
    <w:rPr>
      <w:rFonts w:cs="Arial"/>
      <w:b/>
      <w:sz w:val="28"/>
      <w:szCs w:val="21"/>
      <w:lang w:val="en-AU" w:eastAsia="en-AU"/>
    </w:rPr>
  </w:style>
  <w:style w:type="character" w:customStyle="1" w:styleId="Chapter-Heading2Char">
    <w:name w:val="Chapter - Heading 2 Char"/>
    <w:basedOn w:val="DefaultParagraphFont"/>
    <w:link w:val="Chapter-Heading2"/>
    <w:rsid w:val="00B60C9F"/>
    <w:rPr>
      <w:rFonts w:ascii="Arial" w:eastAsiaTheme="minorEastAsia" w:hAnsi="Arial" w:cs="Arial"/>
      <w:b/>
      <w:sz w:val="28"/>
      <w:szCs w:val="21"/>
      <w:lang w:eastAsia="en-AU"/>
    </w:rPr>
  </w:style>
  <w:style w:type="paragraph" w:customStyle="1" w:styleId="Chapter-Heading3">
    <w:name w:val="Chapter - Heading 3"/>
    <w:basedOn w:val="Chapter-Heading2"/>
    <w:qFormat/>
    <w:rsid w:val="00B60C9F"/>
    <w:pPr>
      <w:numPr>
        <w:ilvl w:val="2"/>
      </w:numPr>
      <w:tabs>
        <w:tab w:val="num" w:pos="360"/>
      </w:tabs>
      <w:ind w:left="2160" w:hanging="360"/>
    </w:pPr>
  </w:style>
  <w:style w:type="paragraph" w:customStyle="1" w:styleId="Body">
    <w:name w:val="Body"/>
    <w:rsid w:val="00B60C9F"/>
    <w:pPr>
      <w:spacing w:after="0" w:line="240" w:lineRule="auto"/>
    </w:pPr>
    <w:rPr>
      <w:rFonts w:ascii="Helvetica Neue" w:eastAsia="Arial Unicode MS" w:hAnsi="Helvetica Neue" w:cs="Arial Unicode MS"/>
      <w:color w:val="000000"/>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discommission.gov.au/support-ndis-providers" TargetMode="External"/><Relationship Id="rId18" Type="http://schemas.openxmlformats.org/officeDocument/2006/relationships/hyperlink" Target="https://www.ndiscommission.gov.au/providers/ndis-code-conduct" TargetMode="External"/><Relationship Id="rId26" Type="http://schemas.openxmlformats.org/officeDocument/2006/relationships/hyperlink" Target="https://www.ndiscommission.gov.au/providers/ndis-code-conduct"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ndiscommission.gov.au/document/986" TargetMode="External"/><Relationship Id="rId34" Type="http://schemas.openxmlformats.org/officeDocument/2006/relationships/hyperlink" Target="mailto:supportcoordination@ndis.gov.au" TargetMode="External"/><Relationship Id="rId42"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ndis.gov.au/about-us/policies/service-charter/participant-service-improvement-plan" TargetMode="External"/><Relationship Id="rId17" Type="http://schemas.openxmlformats.org/officeDocument/2006/relationships/hyperlink" Target="https://www.ndis.gov.au/participants/using-your-plan/who-can-help-start-your-plan/support-coordination" TargetMode="External"/><Relationship Id="rId25" Type="http://schemas.openxmlformats.org/officeDocument/2006/relationships/hyperlink" Target="https://ourguidelines.ndis.gov.au/" TargetMode="External"/><Relationship Id="rId33" Type="http://schemas.openxmlformats.org/officeDocument/2006/relationships/hyperlink" Target="https://www.dss.gov.au/sites/default/files/documents/08_2020/australian-government-response-tune-review-28-august-2020-release.pdf"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discommission.gov.au/providers/ndis-code-conduct" TargetMode="External"/><Relationship Id="rId20" Type="http://schemas.openxmlformats.org/officeDocument/2006/relationships/hyperlink" Target="https://www.ndiscommission.gov.au/providers/ndis-practice-standards" TargetMode="External"/><Relationship Id="rId29" Type="http://schemas.openxmlformats.org/officeDocument/2006/relationships/hyperlink" Target="https://www.ndiscommission.gov.au/providers/ndis-practice-standards"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ndiscommission.gov.au/workers/ndis-workforce-capability-framework" TargetMode="External"/><Relationship Id="rId32" Type="http://schemas.openxmlformats.org/officeDocument/2006/relationships/hyperlink" Target="https://www.dss.gov.au/disability-and-carers-programs-services-for-people-with-disability-national-disability-insurance-scheme-2019-review-of-the-ndis-act-and-the-new-ndis-participant-service-guarantee/government-response-to-the-ndis-act-review" TargetMode="External"/><Relationship Id="rId37" Type="http://schemas.openxmlformats.org/officeDocument/2006/relationships/hyperlink" Target="https://www.ndis-iac.com.au/advice" TargetMode="Externa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ndis.gov.au/providers/market-monitoring-and-intervention" TargetMode="External"/><Relationship Id="rId23" Type="http://schemas.openxmlformats.org/officeDocument/2006/relationships/hyperlink" Target="https://www.dss.gov.au/disability-and-carers-programs-services-for-people-with-disability-national-disability-insurance-scheme/growing-the-ndis-market-and-workforce-strategy" TargetMode="External"/><Relationship Id="rId28" Type="http://schemas.openxmlformats.org/officeDocument/2006/relationships/hyperlink" Target="https://www.ndiscommission.gov.au/document/571" TargetMode="External"/><Relationship Id="rId36" Type="http://schemas.openxmlformats.org/officeDocument/2006/relationships/hyperlink" Target="https://www.dss.gov.au/disability-and-carers-programs-services-for-people-with-disability-national-disability-insurance-scheme-2019-review-of-the-ndis-act-and-the-new-ndis-participant-service-guarantee/government-response-to-the-ndis-act-review" TargetMode="External"/><Relationship Id="rId10" Type="http://schemas.openxmlformats.org/officeDocument/2006/relationships/endnotes" Target="endnotes.xml"/><Relationship Id="rId19" Type="http://schemas.openxmlformats.org/officeDocument/2006/relationships/hyperlink" Target="https://www.ndiscommission.gov.au/providers/registered-provider-requirements" TargetMode="External"/><Relationship Id="rId31" Type="http://schemas.openxmlformats.org/officeDocument/2006/relationships/hyperlink" Target="https://www.ndis-iac.com.au/advice"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is.gov.au/participants/using-your-plan/who-can-help-start-your-plan/support-coordination" TargetMode="External"/><Relationship Id="rId22" Type="http://schemas.openxmlformats.org/officeDocument/2006/relationships/hyperlink" Target="https://www.dss.gov.au/disability-and-carers-publications-articles/ndis-national-workforce-plan-2021-2025" TargetMode="External"/><Relationship Id="rId27" Type="http://schemas.openxmlformats.org/officeDocument/2006/relationships/hyperlink" Target="https://www.ndiscommission.gov.au/document/566" TargetMode="External"/><Relationship Id="rId30" Type="http://schemas.openxmlformats.org/officeDocument/2006/relationships/hyperlink" Target="https://www.ndiscommission.gov.au/about/complaints" TargetMode="External"/><Relationship Id="rId35" Type="http://schemas.openxmlformats.org/officeDocument/2006/relationships/hyperlink" Target="https://www.dss.gov.au/our-responsibilities/disability-and-carers/program-services/for-people-with-disability/national-disability-advocacy-program-ndap" TargetMode="External"/><Relationship Id="rId43"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R:\Secured\Provider_&amp;_Market_Information\Work_In_Progress\Intermediaries\2102_Support_Coord_Outcomes\4_FINAL\Improving%20SC%20for%20NDIS%20Participants%20paper%20-%20FINAL%20for%20publication.dotx" TargetMode="External"/></Relationships>
</file>

<file path=word/theme/theme1.xml><?xml version="1.0" encoding="utf-8"?>
<a:theme xmlns:a="http://schemas.openxmlformats.org/drawingml/2006/main" name="NDIS">
  <a:themeElements>
    <a:clrScheme name="NDIA colour palette">
      <a:dk1>
        <a:srgbClr val="000000"/>
      </a:dk1>
      <a:lt1>
        <a:srgbClr val="FEFFFF"/>
      </a:lt1>
      <a:dk2>
        <a:srgbClr val="8AC640"/>
      </a:dk2>
      <a:lt2>
        <a:srgbClr val="6B2976"/>
      </a:lt2>
      <a:accent1>
        <a:srgbClr val="57BCC7"/>
      </a:accent1>
      <a:accent2>
        <a:srgbClr val="009EAD"/>
      </a:accent2>
      <a:accent3>
        <a:srgbClr val="D6829A"/>
      </a:accent3>
      <a:accent4>
        <a:srgbClr val="C5296D"/>
      </a:accent4>
      <a:accent5>
        <a:srgbClr val="FAA41A"/>
      </a:accent5>
      <a:accent6>
        <a:srgbClr val="F26322"/>
      </a:accent6>
      <a:hlink>
        <a:srgbClr val="0432FF"/>
      </a:hlink>
      <a:folHlink>
        <a:srgbClr val="92929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DIS" id="{40D95CFA-5B88-D84F-94DC-F95D899DD32C}" vid="{2C9AD999-B78C-A940-855A-D41994C0734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NDIA Document" ma:contentTypeID="0x010100F428C054AD4B442F90DFE3102753E0A8000EE8AF530FDBFA44B60302A64555A1D2" ma:contentTypeVersion="5" ma:contentTypeDescription="Create a new document." ma:contentTypeScope="" ma:versionID="a25775bb7e42ad6cbc3d0177fb03df08">
  <xsd:schema xmlns:xsd="http://www.w3.org/2001/XMLSchema" xmlns:xs="http://www.w3.org/2001/XMLSchema" xmlns:p="http://schemas.microsoft.com/office/2006/metadata/properties" xmlns:ns2="97d742ed-52bc-4871-9132-17e20b0a785a" xmlns:ns3="4eda4ad6-7ef7-4305-ba1e-934f809bdd01" xmlns:ns4="http://schemas.microsoft.com/sharepoint/v3/fields" xmlns:ns5="58569e35-c074-42ac-b0e0-5012f8e6d690" targetNamespace="http://schemas.microsoft.com/office/2006/metadata/properties" ma:root="true" ma:fieldsID="604597a2afa273c9b402391fcda8c3d7" ns2:_="" ns3:_="" ns4:_="" ns5:_="">
    <xsd:import namespace="97d742ed-52bc-4871-9132-17e20b0a785a"/>
    <xsd:import namespace="4eda4ad6-7ef7-4305-ba1e-934f809bdd01"/>
    <xsd:import namespace="http://schemas.microsoft.com/sharepoint/v3/fields"/>
    <xsd:import namespace="58569e35-c074-42ac-b0e0-5012f8e6d690"/>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element ref="ns5:Subject_x0020_mat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d742ed-52bc-4871-9132-17e20b0a785a"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8569e35-c074-42ac-b0e0-5012f8e6d690" elementFormDefault="qualified">
    <xsd:import namespace="http://schemas.microsoft.com/office/2006/documentManagement/types"/>
    <xsd:import namespace="http://schemas.microsoft.com/office/infopath/2007/PartnerControls"/>
    <xsd:element name="Subject_x0020_matter" ma:index="26" nillable="true" ma:displayName="Topic" ma:format="Dropdown" ma:internalName="Subject_x0020_matter">
      <xsd:simpleType>
        <xsd:restriction base="dms:Choice">
          <xsd:enumeration value="Branding and Style"/>
          <xsd:enumeration value="Intranet"/>
          <xsd:enumeration value="Marketing"/>
          <xsd:enumeration value="Media"/>
          <xsd:enumeration value="NDIS Consultation and Framework"/>
          <xsd:enumeration value="Presentations"/>
          <xsd:enumeration value="Sector Advisor"/>
          <xsd:enumeration value="Sector Update"/>
          <xsd:enumeration value="Strategic Communica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Status_1 xmlns="http://schemas.microsoft.com/sharepoint/v3/fields">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38d2d1ad-195e-4428-a55d-25a6b10fdc1d</TermId>
        </TermInfo>
      </Terms>
    </DocumentStatus_1>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TaxKeywordTaxHTField xmlns="4eda4ad6-7ef7-4305-ba1e-934f809bdd01">
      <Terms xmlns="http://schemas.microsoft.com/office/infopath/2007/PartnerControls"/>
    </TaxKeywordTaxHTField>
    <TaxCatchAll xmlns="4eda4ad6-7ef7-4305-ba1e-934f809bdd01">
      <Value>20</Value>
      <Value>12</Value>
      <Value>2</Value>
      <Value>1</Value>
    </TaxCatchAll>
    <DocumentType_1 xmlns="http://schemas.microsoft.com/sharepoint/v3/fields">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134e8c49-a2b9-47ae-b156-db0bee5ca248</TermId>
        </TermInfo>
      </Terms>
    </DocumentType_1>
    <ApprovedDate xmlns="97d742ed-52bc-4871-9132-17e20b0a785a" xsi:nil="true"/>
    <ReviewDate xmlns="97d742ed-52bc-4871-9132-17e20b0a785a" xsi:nil="true"/>
    <EffectiveDate xmlns="97d742ed-52bc-4871-9132-17e20b0a785a" xsi:nil="true"/>
    <ResponsibleTeam xmlns="97d742ed-52bc-4871-9132-17e20b0a785a" xsi:nil="true"/>
    <DocumentID xmlns="97d742ed-52bc-4871-9132-17e20b0a785a" xsi:nil="true"/>
    <Subject_x0020_matter xmlns="58569e35-c074-42ac-b0e0-5012f8e6d69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2.xml><?xml version="1.0" encoding="utf-8"?>
<ds:datastoreItem xmlns:ds="http://schemas.openxmlformats.org/officeDocument/2006/customXml" ds:itemID="{92D4E015-E9C3-4687-8F74-5D7C90226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d742ed-52bc-4871-9132-17e20b0a785a"/>
    <ds:schemaRef ds:uri="4eda4ad6-7ef7-4305-ba1e-934f809bdd01"/>
    <ds:schemaRef ds:uri="http://schemas.microsoft.com/sharepoint/v3/fields"/>
    <ds:schemaRef ds:uri="58569e35-c074-42ac-b0e0-5012f8e6d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C32D30-8ECC-4774-B97D-08B21D6372F2}">
  <ds:schemaRefs>
    <ds:schemaRef ds:uri="http://schemas.microsoft.com/office/2006/metadata/properties"/>
    <ds:schemaRef ds:uri="http://schemas.microsoft.com/office/infopath/2007/PartnerControls"/>
    <ds:schemaRef ds:uri="http://schemas.microsoft.com/sharepoint/v3/fields"/>
    <ds:schemaRef ds:uri="4eda4ad6-7ef7-4305-ba1e-934f809bdd01"/>
    <ds:schemaRef ds:uri="97d742ed-52bc-4871-9132-17e20b0a785a"/>
    <ds:schemaRef ds:uri="58569e35-c074-42ac-b0e0-5012f8e6d690"/>
  </ds:schemaRefs>
</ds:datastoreItem>
</file>

<file path=customXml/itemProps4.xml><?xml version="1.0" encoding="utf-8"?>
<ds:datastoreItem xmlns:ds="http://schemas.openxmlformats.org/officeDocument/2006/customXml" ds:itemID="{BE97877E-4461-415B-BBE7-ECD8D8FF5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Improving SC for NDIS Participants paper - FINAL for publication</Template>
  <TotalTime>4</TotalTime>
  <Pages>25</Pages>
  <Words>8502</Words>
  <Characters>48462</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56851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ROSENTHAL, Alexandria</dc:creator>
  <cp:keywords/>
  <dc:description/>
  <cp:lastModifiedBy>ROSENTHAL, Alexandria</cp:lastModifiedBy>
  <cp:revision>1</cp:revision>
  <cp:lastPrinted>2021-11-26T02:05:00Z</cp:lastPrinted>
  <dcterms:created xsi:type="dcterms:W3CDTF">2021-11-29T03:38:00Z</dcterms:created>
  <dcterms:modified xsi:type="dcterms:W3CDTF">2021-11-29T03:42:00Z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0x010100F428C054AD4B442F90DFE3102753E0A8000EE8AF530FDBFA44B60302A64555A1D2</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ies>
</file>