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EC73BF" w:rsidRPr="00DD6692" w:rsidRDefault="00995132" w:rsidP="002F3691">
      <w:pPr>
        <w:ind w:firstLine="142"/>
        <w:sectPr w:rsidR="00EC73BF" w:rsidRPr="00DD6692" w:rsidSect="002F3691">
          <w:headerReference w:type="default" r:id="rId11"/>
          <w:footerReference w:type="default" r:id="rId12"/>
          <w:footerReference w:type="first" r:id="rId13"/>
          <w:type w:val="oddPage"/>
          <w:pgSz w:w="11906" w:h="16838" w:code="9"/>
          <w:pgMar w:top="1440" w:right="1440" w:bottom="1440" w:left="567" w:header="709" w:footer="709" w:gutter="0"/>
          <w:cols w:space="708"/>
          <w:titlePg/>
          <w:docGrid w:linePitch="360"/>
        </w:sectPr>
      </w:pPr>
      <w:r w:rsidRPr="00DD6692">
        <w:rPr>
          <w:noProof/>
          <w:sz w:val="44"/>
          <w:lang w:eastAsia="en-AU"/>
        </w:rPr>
        <mc:AlternateContent>
          <mc:Choice Requires="wps">
            <w:drawing>
              <wp:inline distT="0" distB="0" distL="0" distR="0" wp14:anchorId="389B04AB" wp14:editId="380A645D">
                <wp:extent cx="6684009" cy="7684134"/>
                <wp:effectExtent l="0" t="0" r="22225"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009" cy="7684134"/>
                        </a:xfrm>
                        <a:prstGeom prst="rect">
                          <a:avLst/>
                        </a:prstGeom>
                        <a:solidFill>
                          <a:schemeClr val="accent4"/>
                        </a:solidFill>
                        <a:ln w="9525" cap="rnd">
                          <a:solidFill>
                            <a:srgbClr val="000000"/>
                          </a:solidFill>
                          <a:round/>
                          <a:headEnd/>
                          <a:tailEnd/>
                        </a:ln>
                        <a:effectLst>
                          <a:softEdge rad="31750"/>
                        </a:effectLst>
                      </wps:spPr>
                      <wps:txbx>
                        <w:txbxContent>
                          <w:p w:rsidR="00BD5D67" w:rsidRPr="00EC73BF" w:rsidRDefault="00BD5D67" w:rsidP="002F3691">
                            <w:pPr>
                              <w:pStyle w:val="Headingcover"/>
                              <w:ind w:left="-567"/>
                              <w:jc w:val="left"/>
                            </w:pPr>
                          </w:p>
                          <w:p w:rsidR="00BD5D67" w:rsidRDefault="00BD5D67" w:rsidP="00EC73BF">
                            <w:pPr>
                              <w:pStyle w:val="Headingcover"/>
                            </w:pPr>
                          </w:p>
                          <w:p w:rsidR="00BD5D67" w:rsidRDefault="00BD5D67" w:rsidP="00EC73BF">
                            <w:pPr>
                              <w:pStyle w:val="Headingcover"/>
                            </w:pPr>
                          </w:p>
                          <w:p w:rsidR="00BD5D67" w:rsidRPr="00117BFB" w:rsidRDefault="00BD5D67" w:rsidP="00EC73BF">
                            <w:pPr>
                              <w:pStyle w:val="Headingcover"/>
                            </w:pPr>
                            <w:r w:rsidRPr="00117BFB">
                              <w:t>National Disability Insurance Scheme</w:t>
                            </w:r>
                          </w:p>
                          <w:p w:rsidR="00BD5D67" w:rsidRPr="00117BFB" w:rsidRDefault="00BD5D67" w:rsidP="00EC73BF">
                            <w:pPr>
                              <w:pStyle w:val="Headingcover"/>
                            </w:pPr>
                          </w:p>
                          <w:p w:rsidR="00BD5D67" w:rsidRPr="00117BFB" w:rsidRDefault="00BD5D67" w:rsidP="00EC73BF">
                            <w:pPr>
                              <w:pStyle w:val="Headingcover"/>
                            </w:pPr>
                          </w:p>
                          <w:p w:rsidR="00BD5D67" w:rsidRPr="00117BFB" w:rsidRDefault="00BD5D67" w:rsidP="00EC73BF">
                            <w:pPr>
                              <w:pStyle w:val="Headingcover"/>
                            </w:pPr>
                          </w:p>
                          <w:p w:rsidR="00BD5D67" w:rsidRPr="00117BFB" w:rsidRDefault="00BD5D67" w:rsidP="00BD1DF8">
                            <w:pPr>
                              <w:pStyle w:val="Headingcover"/>
                              <w:spacing w:line="900" w:lineRule="atLeast"/>
                            </w:pPr>
                            <w:r w:rsidRPr="00117BFB">
                              <w:t>Disability Support Worker</w:t>
                            </w:r>
                            <w:r w:rsidRPr="00117BFB">
                              <w:br/>
                              <w:t>Cost Model</w:t>
                            </w:r>
                            <w:r w:rsidRPr="00117BFB">
                              <w:br/>
                              <w:t>Assumptions and Methodology</w:t>
                            </w:r>
                          </w:p>
                          <w:p w:rsidR="00BD5D67" w:rsidRPr="00117BFB" w:rsidRDefault="00BD5D67" w:rsidP="00BD1DF8">
                            <w:pPr>
                              <w:pStyle w:val="Headingcover"/>
                              <w:spacing w:line="900" w:lineRule="atLeast"/>
                            </w:pPr>
                            <w:r w:rsidRPr="00117BFB">
                              <w:t>2021-22</w:t>
                            </w:r>
                            <w:r w:rsidRPr="00117BFB">
                              <w:br/>
                            </w:r>
                          </w:p>
                          <w:p w:rsidR="00BD5D67" w:rsidRPr="00117BFB" w:rsidRDefault="00BD5D67" w:rsidP="00EC73BF">
                            <w:pPr>
                              <w:pStyle w:val="Headingcover"/>
                            </w:pPr>
                          </w:p>
                          <w:p w:rsidR="00BD5D67" w:rsidRPr="00117BFB" w:rsidRDefault="00BD5D67" w:rsidP="00EC73BF">
                            <w:pPr>
                              <w:pStyle w:val="Headingcover"/>
                            </w:pPr>
                          </w:p>
                          <w:p w:rsidR="00BD5D67" w:rsidRPr="00117BFB" w:rsidRDefault="00BD5D67" w:rsidP="00EC73BF">
                            <w:pPr>
                              <w:pStyle w:val="Headingcover"/>
                              <w:rPr>
                                <w:sz w:val="36"/>
                                <w:szCs w:val="36"/>
                              </w:rPr>
                            </w:pPr>
                            <w:r w:rsidRPr="00117BFB">
                              <w:rPr>
                                <w:sz w:val="36"/>
                                <w:szCs w:val="36"/>
                              </w:rPr>
                              <w:t>Valid from: 1 January 2022</w:t>
                            </w:r>
                          </w:p>
                          <w:p w:rsidR="00BD5D67" w:rsidRPr="00773F6C" w:rsidRDefault="00BD5D67" w:rsidP="00EC73BF">
                            <w:pPr>
                              <w:pStyle w:val="Headingcover"/>
                              <w:rPr>
                                <w:sz w:val="28"/>
                                <w:szCs w:val="28"/>
                              </w:rPr>
                            </w:pPr>
                            <w:r w:rsidRPr="00117BFB">
                              <w:rPr>
                                <w:sz w:val="28"/>
                                <w:szCs w:val="28"/>
                              </w:rPr>
                              <w:t xml:space="preserve">(Version 1.1 - Publication </w:t>
                            </w:r>
                            <w:r>
                              <w:rPr>
                                <w:sz w:val="28"/>
                                <w:szCs w:val="28"/>
                              </w:rPr>
                              <w:t>Date: 23</w:t>
                            </w:r>
                            <w:r w:rsidRPr="00117BFB">
                              <w:rPr>
                                <w:sz w:val="28"/>
                                <w:szCs w:val="28"/>
                              </w:rPr>
                              <w:t xml:space="preserve"> December 2021)</w:t>
                            </w:r>
                          </w:p>
                        </w:txbxContent>
                      </wps:txbx>
                      <wps:bodyPr rot="0" vert="horz" wrap="square" lIns="91440" tIns="45720" rIns="91440" bIns="45720" anchor="t" anchorCtr="0">
                        <a:noAutofit/>
                      </wps:bodyPr>
                    </wps:wsp>
                  </a:graphicData>
                </a:graphic>
              </wp:inline>
            </w:drawing>
          </mc:Choice>
          <mc:Fallback>
            <w:pict>
              <v:shapetype w14:anchorId="389B04AB" id="_x0000_t202" coordsize="21600,21600" o:spt="202" path="m,l,21600r21600,l21600,xe">
                <v:stroke joinstyle="miter"/>
                <v:path gradientshapeok="t" o:connecttype="rect"/>
              </v:shapetype>
              <v:shape id="Text Box 2" o:spid="_x0000_s1026" type="#_x0000_t202" style="width:526.3pt;height:60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" fillcolor="#6b2976 [3207]">
                <v:stroke joinstyle="round" endcap="round"/>
                <v:textbox>
                  <w:txbxContent>
                    <w:p w:rsidR="00BD5D67" w:rsidRPr="00EC73BF" w:rsidRDefault="00BD5D67" w:rsidP="002F3691">
                      <w:pPr>
                        <w:pStyle w:val="Headingcover"/>
                        <w:ind w:left="-567"/>
                        <w:jc w:val="left"/>
                      </w:pPr>
                    </w:p>
                    <w:p w:rsidR="00BD5D67" w:rsidRDefault="00BD5D67" w:rsidP="00EC73BF">
                      <w:pPr>
                        <w:pStyle w:val="Headingcover"/>
                      </w:pPr>
                    </w:p>
                    <w:p w:rsidR="00BD5D67" w:rsidRDefault="00BD5D67" w:rsidP="00EC73BF">
                      <w:pPr>
                        <w:pStyle w:val="Headingcover"/>
                      </w:pPr>
                    </w:p>
                    <w:p w:rsidR="00BD5D67" w:rsidRPr="00117BFB" w:rsidRDefault="00BD5D67" w:rsidP="00EC73BF">
                      <w:pPr>
                        <w:pStyle w:val="Headingcover"/>
                      </w:pPr>
                      <w:r w:rsidRPr="00117BFB">
                        <w:t>National Disability Insurance Scheme</w:t>
                      </w:r>
                    </w:p>
                    <w:p w:rsidR="00BD5D67" w:rsidRPr="00117BFB" w:rsidRDefault="00BD5D67" w:rsidP="00EC73BF">
                      <w:pPr>
                        <w:pStyle w:val="Headingcover"/>
                      </w:pPr>
                    </w:p>
                    <w:p w:rsidR="00BD5D67" w:rsidRPr="00117BFB" w:rsidRDefault="00BD5D67" w:rsidP="00EC73BF">
                      <w:pPr>
                        <w:pStyle w:val="Headingcover"/>
                      </w:pPr>
                    </w:p>
                    <w:p w:rsidR="00BD5D67" w:rsidRPr="00117BFB" w:rsidRDefault="00BD5D67" w:rsidP="00EC73BF">
                      <w:pPr>
                        <w:pStyle w:val="Headingcover"/>
                      </w:pPr>
                    </w:p>
                    <w:p w:rsidR="00BD5D67" w:rsidRPr="00117BFB" w:rsidRDefault="00BD5D67" w:rsidP="00BD1DF8">
                      <w:pPr>
                        <w:pStyle w:val="Headingcover"/>
                        <w:spacing w:line="900" w:lineRule="atLeast"/>
                      </w:pPr>
                      <w:r w:rsidRPr="00117BFB">
                        <w:t>Disability Support Worker</w:t>
                      </w:r>
                      <w:r w:rsidRPr="00117BFB">
                        <w:br/>
                        <w:t>Cost Model</w:t>
                      </w:r>
                      <w:r w:rsidRPr="00117BFB">
                        <w:br/>
                        <w:t>Assumptions and Methodology</w:t>
                      </w:r>
                    </w:p>
                    <w:p w:rsidR="00BD5D67" w:rsidRPr="00117BFB" w:rsidRDefault="00BD5D67" w:rsidP="00BD1DF8">
                      <w:pPr>
                        <w:pStyle w:val="Headingcover"/>
                        <w:spacing w:line="900" w:lineRule="atLeast"/>
                      </w:pPr>
                      <w:r w:rsidRPr="00117BFB">
                        <w:t>2021-22</w:t>
                      </w:r>
                      <w:r w:rsidRPr="00117BFB">
                        <w:br/>
                      </w:r>
                    </w:p>
                    <w:p w:rsidR="00BD5D67" w:rsidRPr="00117BFB" w:rsidRDefault="00BD5D67" w:rsidP="00EC73BF">
                      <w:pPr>
                        <w:pStyle w:val="Headingcover"/>
                      </w:pPr>
                    </w:p>
                    <w:p w:rsidR="00BD5D67" w:rsidRPr="00117BFB" w:rsidRDefault="00BD5D67" w:rsidP="00EC73BF">
                      <w:pPr>
                        <w:pStyle w:val="Headingcover"/>
                      </w:pPr>
                    </w:p>
                    <w:p w:rsidR="00BD5D67" w:rsidRPr="00117BFB" w:rsidRDefault="00BD5D67" w:rsidP="00EC73BF">
                      <w:pPr>
                        <w:pStyle w:val="Headingcover"/>
                        <w:rPr>
                          <w:sz w:val="36"/>
                          <w:szCs w:val="36"/>
                        </w:rPr>
                      </w:pPr>
                      <w:r w:rsidRPr="00117BFB">
                        <w:rPr>
                          <w:sz w:val="36"/>
                          <w:szCs w:val="36"/>
                        </w:rPr>
                        <w:t>Valid from: 1 January 2022</w:t>
                      </w:r>
                    </w:p>
                    <w:p w:rsidR="00BD5D67" w:rsidRPr="00773F6C" w:rsidRDefault="00BD5D67" w:rsidP="00EC73BF">
                      <w:pPr>
                        <w:pStyle w:val="Headingcover"/>
                        <w:rPr>
                          <w:sz w:val="28"/>
                          <w:szCs w:val="28"/>
                        </w:rPr>
                      </w:pPr>
                      <w:r w:rsidRPr="00117BFB">
                        <w:rPr>
                          <w:sz w:val="28"/>
                          <w:szCs w:val="28"/>
                        </w:rPr>
                        <w:t xml:space="preserve">(Version 1.1 - Publication </w:t>
                      </w:r>
                      <w:r>
                        <w:rPr>
                          <w:sz w:val="28"/>
                          <w:szCs w:val="28"/>
                        </w:rPr>
                        <w:t>Date: 23</w:t>
                      </w:r>
                      <w:r w:rsidRPr="00117BFB">
                        <w:rPr>
                          <w:sz w:val="28"/>
                          <w:szCs w:val="28"/>
                        </w:rPr>
                        <w:t xml:space="preserve"> December 2021)</w:t>
                      </w:r>
                    </w:p>
                  </w:txbxContent>
                </v:textbox>
                <w10:anchorlock/>
              </v:shape>
            </w:pict>
          </mc:Fallback>
        </mc:AlternateContent>
      </w:r>
      <w:r w:rsidR="00BF276E" w:rsidRPr="00DD6692">
        <w:br w:type="page"/>
      </w:r>
    </w:p>
    <w:p w:rsidR="005F1C33" w:rsidRPr="00DD6692" w:rsidRDefault="00CD599B" w:rsidP="001A3E36">
      <w:pPr>
        <w:rPr>
          <w:b/>
        </w:rPr>
      </w:pPr>
      <w:r w:rsidRPr="00DD6692">
        <w:rPr>
          <w:b/>
        </w:rPr>
        <w:lastRenderedPageBreak/>
        <w:t>C</w:t>
      </w:r>
      <w:r w:rsidR="005F1C33" w:rsidRPr="00DD6692">
        <w:rPr>
          <w:b/>
        </w:rPr>
        <w:t>opyright</w:t>
      </w:r>
    </w:p>
    <w:p w:rsidR="00CB77DC" w:rsidRPr="00DD6692" w:rsidRDefault="00CB77DC" w:rsidP="001A3E36">
      <w:r w:rsidRPr="00DD6692">
        <w:t>© 2021</w:t>
      </w:r>
    </w:p>
    <w:p w:rsidR="005F1C33" w:rsidRPr="00DD6692" w:rsidRDefault="005F1C33" w:rsidP="001A3E36">
      <w:r w:rsidRPr="00DD6692">
        <w:t xml:space="preserve">Copyright in the information contained </w:t>
      </w:r>
      <w:r w:rsidR="00775FAB" w:rsidRPr="00DD6692">
        <w:t>i</w:t>
      </w:r>
      <w:r w:rsidRPr="00DD6692">
        <w:t xml:space="preserve">n this </w:t>
      </w:r>
      <w:r w:rsidR="00E27A53" w:rsidRPr="00DD6692">
        <w:t>document</w:t>
      </w:r>
      <w:r w:rsidR="00EC4C95" w:rsidRPr="00DD6692">
        <w:t xml:space="preserve"> </w:t>
      </w:r>
      <w:r w:rsidRPr="00DD6692">
        <w:t>is owned and protected by the National Disability Insurance Scheme Launch Transition Agency (National Disability Insurance Agency).</w:t>
      </w:r>
    </w:p>
    <w:p w:rsidR="005F1C33" w:rsidRPr="00DD6692" w:rsidRDefault="005F1C33" w:rsidP="001A3E36"/>
    <w:p w:rsidR="005F1C33" w:rsidRPr="00DD6692" w:rsidRDefault="005F1C33" w:rsidP="001A3E36">
      <w:pPr>
        <w:rPr>
          <w:b/>
        </w:rPr>
      </w:pPr>
      <w:r w:rsidRPr="00DD6692">
        <w:rPr>
          <w:b/>
        </w:rPr>
        <w:t>Use of National Disability Insurance Agency copyright material</w:t>
      </w:r>
    </w:p>
    <w:p w:rsidR="005F1C33" w:rsidRPr="00DD6692" w:rsidRDefault="005F1C33" w:rsidP="001A3E36">
      <w:r w:rsidRPr="00DD6692">
        <w:t xml:space="preserve">The material in this report with the exception of logos, </w:t>
      </w:r>
      <w:r w:rsidR="00CF2B90" w:rsidRPr="00DD6692">
        <w:t>trademarks</w:t>
      </w:r>
      <w:r w:rsidRPr="00DD6692">
        <w:t>, third party material and other content as specified is licensed under Creative Commons CC NC licence</w:t>
      </w:r>
      <w:r w:rsidR="002F3691" w:rsidRPr="00DD6692">
        <w:t xml:space="preserve">, </w:t>
      </w:r>
      <w:hyperlink r:id="rId14" w:history="1">
        <w:r w:rsidR="002F3691" w:rsidRPr="00DD6692">
          <w:rPr>
            <w:rStyle w:val="Hyperlink"/>
          </w:rPr>
          <w:t>version 4.0</w:t>
        </w:r>
      </w:hyperlink>
      <w:r w:rsidRPr="00DD6692">
        <w:t xml:space="preserve">. With the exception of logos, </w:t>
      </w:r>
      <w:r w:rsidR="00CF2B90" w:rsidRPr="00DD6692">
        <w:t>trademarks</w:t>
      </w:r>
      <w:r w:rsidRPr="00DD6692">
        <w:t xml:space="preserve">, third party material and other content as specified, you may reproduce the material in this </w:t>
      </w:r>
      <w:r w:rsidR="00BD1DF8" w:rsidRPr="00DD6692">
        <w:t>document</w:t>
      </w:r>
      <w:r w:rsidRPr="00DD6692">
        <w:t>, provided you acknowledge the National Disability Insurance Agency as the owner of all intellectual property rights in the reproduced material by using ‘© National Disability Insurance Sche</w:t>
      </w:r>
      <w:r w:rsidR="00CB77DC" w:rsidRPr="00DD6692">
        <w:t>me Launch Transition Agency 2021</w:t>
      </w:r>
      <w:r w:rsidRPr="00DD6692">
        <w:t>’ and do not use the material for commercial purposes.</w:t>
      </w:r>
    </w:p>
    <w:p w:rsidR="005F1C33" w:rsidRPr="00DD6692" w:rsidRDefault="005F1C33" w:rsidP="001A3E36">
      <w:r w:rsidRPr="00DD6692">
        <w:t xml:space="preserve">Reproduction of any Creative Commons material in this </w:t>
      </w:r>
      <w:r w:rsidR="00CD7CF3" w:rsidRPr="00DD6692">
        <w:t>document</w:t>
      </w:r>
      <w:r w:rsidRPr="00DD6692">
        <w:t xml:space="preserve"> is subject to the CC NC licence conditions available on the Creative Commons site, as is the full legal code for this material.</w:t>
      </w:r>
    </w:p>
    <w:p w:rsidR="005F1C33" w:rsidRPr="00DD6692" w:rsidRDefault="005F1C33" w:rsidP="001A3E36"/>
    <w:p w:rsidR="008B4DE2" w:rsidRPr="00DD6692" w:rsidRDefault="008B4DE2" w:rsidP="001A3E36">
      <w:pPr>
        <w:rPr>
          <w:b/>
        </w:rPr>
      </w:pPr>
      <w:r w:rsidRPr="00DD6692">
        <w:rPr>
          <w:b/>
        </w:rPr>
        <w:t>Terms that we use</w:t>
      </w:r>
    </w:p>
    <w:tbl>
      <w:tblPr>
        <w:tblStyle w:val="PlainTable4"/>
        <w:tblW w:w="0" w:type="auto"/>
        <w:tblLook w:val="0600" w:firstRow="0" w:lastRow="0" w:firstColumn="0" w:lastColumn="0" w:noHBand="1" w:noVBand="1"/>
        <w:tblCaption w:val="Terms that we Use"/>
        <w:tblDescription w:val="Definitions of acronyms used throughout the document: NDIA is the acronym for National Disability Insurance Agency, NDIS is the acronym for National Disability Insurance Scheme, NDIS Q &amp; SC is the acronym for National Disability Insurance Scheme Quality and Safeguards Commission, OOA is the acronym for On-site Overnight Assistance, SDA is the acronym for Specialist Disability Accommodation"/>
      </w:tblPr>
      <w:tblGrid>
        <w:gridCol w:w="2122"/>
        <w:gridCol w:w="6894"/>
      </w:tblGrid>
      <w:tr w:rsidR="00CD7CF3" w:rsidRPr="00DD6692" w:rsidTr="009418DE">
        <w:trPr>
          <w:tblHeader/>
        </w:trPr>
        <w:tc>
          <w:tcPr>
            <w:tcW w:w="2122" w:type="dxa"/>
          </w:tcPr>
          <w:p w:rsidR="00CD7CF3" w:rsidRPr="00DD6692" w:rsidRDefault="00CD7CF3" w:rsidP="001A3E36">
            <w:r w:rsidRPr="00DD6692">
              <w:t>DSW</w:t>
            </w:r>
          </w:p>
        </w:tc>
        <w:tc>
          <w:tcPr>
            <w:tcW w:w="6894" w:type="dxa"/>
          </w:tcPr>
          <w:p w:rsidR="00CD7CF3" w:rsidRPr="00DD6692" w:rsidRDefault="00CD7CF3" w:rsidP="001A3E36">
            <w:r w:rsidRPr="00DD6692">
              <w:t>Disability Support Worker</w:t>
            </w:r>
          </w:p>
        </w:tc>
      </w:tr>
      <w:tr w:rsidR="008B4DE2" w:rsidRPr="00DD6692" w:rsidTr="009418DE">
        <w:trPr>
          <w:tblHeader/>
        </w:trPr>
        <w:tc>
          <w:tcPr>
            <w:tcW w:w="2122" w:type="dxa"/>
          </w:tcPr>
          <w:p w:rsidR="008B4DE2" w:rsidRPr="00DD6692" w:rsidRDefault="008B4DE2" w:rsidP="001A3E36">
            <w:r w:rsidRPr="00DD6692">
              <w:t>NDIA</w:t>
            </w:r>
          </w:p>
        </w:tc>
        <w:tc>
          <w:tcPr>
            <w:tcW w:w="6894" w:type="dxa"/>
          </w:tcPr>
          <w:p w:rsidR="008B4DE2" w:rsidRPr="00DD6692" w:rsidRDefault="008B4DE2" w:rsidP="001A3E36">
            <w:r w:rsidRPr="00DD6692">
              <w:t>National Disability Insurance Agency</w:t>
            </w:r>
          </w:p>
        </w:tc>
      </w:tr>
      <w:tr w:rsidR="008B4DE2" w:rsidRPr="00DD6692" w:rsidTr="008B4DE2">
        <w:tc>
          <w:tcPr>
            <w:tcW w:w="2122" w:type="dxa"/>
          </w:tcPr>
          <w:p w:rsidR="008B4DE2" w:rsidRPr="00DD6692" w:rsidRDefault="008B4DE2" w:rsidP="001A3E36">
            <w:r w:rsidRPr="00DD6692">
              <w:t>NDIS</w:t>
            </w:r>
          </w:p>
        </w:tc>
        <w:tc>
          <w:tcPr>
            <w:tcW w:w="6894" w:type="dxa"/>
          </w:tcPr>
          <w:p w:rsidR="008B4DE2" w:rsidRPr="00DD6692" w:rsidRDefault="008B4DE2" w:rsidP="001A3E36">
            <w:r w:rsidRPr="00DD6692">
              <w:t>National Disability Insurance Scheme</w:t>
            </w:r>
          </w:p>
        </w:tc>
      </w:tr>
      <w:tr w:rsidR="008B4DE2" w:rsidRPr="00DD6692" w:rsidTr="008B4DE2">
        <w:tc>
          <w:tcPr>
            <w:tcW w:w="2122" w:type="dxa"/>
          </w:tcPr>
          <w:p w:rsidR="008B4DE2" w:rsidRPr="00DD6692" w:rsidRDefault="00CD53B0" w:rsidP="001A3E36">
            <w:r w:rsidRPr="00DD6692">
              <w:t>TTP</w:t>
            </w:r>
          </w:p>
        </w:tc>
        <w:tc>
          <w:tcPr>
            <w:tcW w:w="6894" w:type="dxa"/>
          </w:tcPr>
          <w:p w:rsidR="008B4DE2" w:rsidRPr="00DD6692" w:rsidRDefault="00CD53B0" w:rsidP="001A3E36">
            <w:r w:rsidRPr="00DD6692">
              <w:t>Temporary Transformation Payment</w:t>
            </w:r>
          </w:p>
        </w:tc>
      </w:tr>
    </w:tbl>
    <w:p w:rsidR="008B4DE2" w:rsidRPr="00DD6692" w:rsidRDefault="008B4DE2" w:rsidP="001A3E36"/>
    <w:p w:rsidR="005F1C33" w:rsidRPr="00DD6692" w:rsidRDefault="005F1C33" w:rsidP="001A3E36">
      <w:pPr>
        <w:rPr>
          <w:b/>
        </w:rPr>
      </w:pPr>
      <w:r w:rsidRPr="00DD6692">
        <w:rPr>
          <w:b/>
        </w:rPr>
        <w:t>Further information</w:t>
      </w:r>
    </w:p>
    <w:p w:rsidR="00713C8A" w:rsidRPr="00DD6692" w:rsidRDefault="005F1C33" w:rsidP="001A3E36">
      <w:pPr>
        <w:rPr>
          <w:rStyle w:val="Hyperlink"/>
        </w:rPr>
      </w:pPr>
      <w:r w:rsidRPr="00DD6692">
        <w:t>Further information on pricing in the National Disability Insurance Scheme can be found at</w:t>
      </w:r>
      <w:r w:rsidR="00713C8A" w:rsidRPr="00DD6692">
        <w:t xml:space="preserve"> </w:t>
      </w:r>
      <w:r w:rsidR="00AA0DA9" w:rsidRPr="00DD6692">
        <w:t xml:space="preserve">the </w:t>
      </w:r>
      <w:hyperlink r:id="rId15" w:history="1">
        <w:r w:rsidR="00AA0DA9" w:rsidRPr="00DD6692">
          <w:rPr>
            <w:rStyle w:val="Hyperlink"/>
          </w:rPr>
          <w:t>NDIS website</w:t>
        </w:r>
      </w:hyperlink>
    </w:p>
    <w:p w:rsidR="00C1690B" w:rsidRPr="00DD6692" w:rsidRDefault="00C1690B" w:rsidP="001A3E36">
      <w:pPr>
        <w:rPr>
          <w:rStyle w:val="Hyperlink"/>
        </w:rPr>
      </w:pPr>
    </w:p>
    <w:p w:rsidR="00C1690B" w:rsidRPr="00DD6692" w:rsidRDefault="00C1690B" w:rsidP="001A3E36">
      <w:pPr>
        <w:rPr>
          <w:b/>
        </w:rPr>
      </w:pPr>
      <w:r w:rsidRPr="00DD6692">
        <w:rPr>
          <w:b/>
        </w:rPr>
        <w:t>Footnotes</w:t>
      </w:r>
    </w:p>
    <w:p w:rsidR="00C1690B" w:rsidRPr="00DD6692" w:rsidRDefault="00C1690B" w:rsidP="001A3E36">
      <w:pPr>
        <w:rPr>
          <w:b/>
        </w:rPr>
      </w:pPr>
      <w:r w:rsidRPr="00DD6692">
        <w:t>Footnotes are included in Appendix 1 – Footnotes at the end of this report</w:t>
      </w:r>
    </w:p>
    <w:p w:rsidR="00CD53B0" w:rsidRPr="00DD6692" w:rsidRDefault="00CD53B0" w:rsidP="00CD53B0"/>
    <w:p w:rsidR="001C3502" w:rsidRPr="00DD6692" w:rsidRDefault="001C3502" w:rsidP="00CD53B0">
      <w:pPr>
        <w:rPr>
          <w:b/>
        </w:rPr>
      </w:pPr>
      <w:r w:rsidRPr="00DD6692">
        <w:rPr>
          <w:b/>
        </w:rPr>
        <w:t>Version Control</w:t>
      </w:r>
    </w:p>
    <w:p w:rsidR="001C3502" w:rsidRPr="00DD6692" w:rsidRDefault="00BD1DF8" w:rsidP="001C3502">
      <w:pPr>
        <w:rPr>
          <w:rFonts w:ascii="Arial" w:hAnsi="Arial" w:cs="Arial"/>
        </w:rPr>
      </w:pPr>
      <w:r w:rsidRPr="00DD6692">
        <w:rPr>
          <w:rFonts w:ascii="Arial" w:hAnsi="Arial" w:cs="Arial"/>
        </w:rPr>
        <w:t xml:space="preserve">This document </w:t>
      </w:r>
      <w:r w:rsidR="001C3502" w:rsidRPr="00DD6692">
        <w:rPr>
          <w:rFonts w:ascii="Arial" w:hAnsi="Arial" w:cs="Arial"/>
        </w:rPr>
        <w:t xml:space="preserve">is subject to change. The latest version of </w:t>
      </w:r>
      <w:r w:rsidRPr="00DD6692">
        <w:rPr>
          <w:rFonts w:ascii="Arial" w:hAnsi="Arial" w:cs="Arial"/>
        </w:rPr>
        <w:t>this document</w:t>
      </w:r>
      <w:r w:rsidR="001C3502" w:rsidRPr="00DD6692">
        <w:rPr>
          <w:rFonts w:ascii="Arial" w:hAnsi="Arial" w:cs="Arial"/>
        </w:rPr>
        <w:t xml:space="preserve"> is available on the </w:t>
      </w:r>
      <w:hyperlink r:id="rId16" w:history="1">
        <w:r w:rsidR="001C3502" w:rsidRPr="00DD6692">
          <w:rPr>
            <w:rStyle w:val="Hyperlink"/>
            <w:rFonts w:ascii="Arial" w:hAnsi="Arial" w:cs="Arial"/>
          </w:rPr>
          <w:t>NDIS website</w:t>
        </w:r>
      </w:hyperlink>
      <w:r w:rsidR="001C3502" w:rsidRPr="00DD6692">
        <w:rPr>
          <w:rFonts w:ascii="Arial" w:hAnsi="Arial" w:cs="Arial"/>
        </w:rPr>
        <w:t>.</w:t>
      </w:r>
    </w:p>
    <w:tbl>
      <w:tblPr>
        <w:tblStyle w:val="TableGrid1"/>
        <w:tblW w:w="5000" w:type="pct"/>
        <w:tblLook w:val="04A0" w:firstRow="1" w:lastRow="0" w:firstColumn="1" w:lastColumn="0" w:noHBand="0" w:noVBand="1"/>
        <w:tblDescription w:val="Version Control"/>
      </w:tblPr>
      <w:tblGrid>
        <w:gridCol w:w="911"/>
        <w:gridCol w:w="902"/>
        <w:gridCol w:w="4508"/>
        <w:gridCol w:w="1352"/>
        <w:gridCol w:w="1343"/>
      </w:tblGrid>
      <w:tr w:rsidR="001C3502" w:rsidRPr="00DD6692" w:rsidTr="00E93F35">
        <w:trPr>
          <w:tblHeader/>
        </w:trPr>
        <w:tc>
          <w:tcPr>
            <w:tcW w:w="505" w:type="pct"/>
            <w:hideMark/>
          </w:tcPr>
          <w:p w:rsidR="001C3502" w:rsidRPr="00DD6692" w:rsidRDefault="001C3502" w:rsidP="001C3502">
            <w:pPr>
              <w:spacing w:before="40" w:after="40"/>
              <w:jc w:val="center"/>
              <w:rPr>
                <w:rFonts w:ascii="Arial" w:hAnsi="Arial" w:cs="Arial"/>
                <w:b/>
                <w:sz w:val="18"/>
                <w:szCs w:val="18"/>
              </w:rPr>
            </w:pPr>
            <w:r w:rsidRPr="00DD6692">
              <w:rPr>
                <w:rFonts w:ascii="Arial" w:hAnsi="Arial" w:cs="Arial"/>
                <w:b/>
                <w:sz w:val="18"/>
                <w:szCs w:val="18"/>
              </w:rPr>
              <w:t>Version</w:t>
            </w:r>
          </w:p>
        </w:tc>
        <w:tc>
          <w:tcPr>
            <w:tcW w:w="500" w:type="pct"/>
          </w:tcPr>
          <w:p w:rsidR="001C3502" w:rsidRPr="00DD6692" w:rsidRDefault="001C3502" w:rsidP="001C3502">
            <w:pPr>
              <w:spacing w:before="40" w:after="40"/>
              <w:jc w:val="center"/>
              <w:rPr>
                <w:rFonts w:ascii="Arial" w:hAnsi="Arial" w:cs="Arial"/>
                <w:b/>
                <w:sz w:val="18"/>
                <w:szCs w:val="18"/>
              </w:rPr>
            </w:pPr>
            <w:r w:rsidRPr="00DD6692">
              <w:rPr>
                <w:rFonts w:ascii="Arial" w:hAnsi="Arial" w:cs="Arial"/>
                <w:b/>
                <w:sz w:val="18"/>
                <w:szCs w:val="18"/>
              </w:rPr>
              <w:t>Page</w:t>
            </w:r>
          </w:p>
        </w:tc>
        <w:tc>
          <w:tcPr>
            <w:tcW w:w="2500" w:type="pct"/>
            <w:hideMark/>
          </w:tcPr>
          <w:p w:rsidR="001C3502" w:rsidRPr="00DD6692" w:rsidRDefault="001C3502" w:rsidP="001C3502">
            <w:pPr>
              <w:spacing w:before="40" w:after="40"/>
              <w:rPr>
                <w:rFonts w:ascii="Arial" w:hAnsi="Arial" w:cs="Arial"/>
                <w:b/>
                <w:sz w:val="18"/>
                <w:szCs w:val="18"/>
              </w:rPr>
            </w:pPr>
            <w:r w:rsidRPr="00DD6692">
              <w:rPr>
                <w:rFonts w:ascii="Arial" w:hAnsi="Arial" w:cs="Arial"/>
                <w:b/>
                <w:sz w:val="18"/>
                <w:szCs w:val="18"/>
              </w:rPr>
              <w:t>Details of Amendment</w:t>
            </w:r>
          </w:p>
        </w:tc>
        <w:tc>
          <w:tcPr>
            <w:tcW w:w="750" w:type="pct"/>
            <w:hideMark/>
          </w:tcPr>
          <w:p w:rsidR="001C3502" w:rsidRPr="00DD6692" w:rsidRDefault="001C3502" w:rsidP="0014173A">
            <w:pPr>
              <w:spacing w:before="40" w:after="40"/>
              <w:jc w:val="center"/>
              <w:rPr>
                <w:rFonts w:ascii="Arial" w:hAnsi="Arial" w:cs="Arial"/>
                <w:b/>
                <w:sz w:val="18"/>
                <w:szCs w:val="18"/>
              </w:rPr>
            </w:pPr>
            <w:r w:rsidRPr="00DD6692">
              <w:rPr>
                <w:rFonts w:ascii="Arial" w:hAnsi="Arial" w:cs="Arial"/>
                <w:b/>
                <w:sz w:val="18"/>
                <w:szCs w:val="18"/>
              </w:rPr>
              <w:t>Release</w:t>
            </w:r>
            <w:r w:rsidRPr="00DD6692">
              <w:rPr>
                <w:rFonts w:ascii="Arial" w:hAnsi="Arial" w:cs="Arial"/>
                <w:b/>
                <w:sz w:val="18"/>
                <w:szCs w:val="18"/>
              </w:rPr>
              <w:br/>
              <w:t>Date</w:t>
            </w:r>
          </w:p>
        </w:tc>
        <w:tc>
          <w:tcPr>
            <w:tcW w:w="745" w:type="pct"/>
          </w:tcPr>
          <w:p w:rsidR="001C3502" w:rsidRPr="00DD6692" w:rsidRDefault="001C3502" w:rsidP="0014173A">
            <w:pPr>
              <w:spacing w:before="40" w:after="40"/>
              <w:jc w:val="center"/>
              <w:rPr>
                <w:rFonts w:ascii="Arial" w:hAnsi="Arial" w:cs="Arial"/>
                <w:b/>
                <w:sz w:val="18"/>
                <w:szCs w:val="18"/>
              </w:rPr>
            </w:pPr>
            <w:r w:rsidRPr="00DD6692">
              <w:rPr>
                <w:rFonts w:ascii="Arial" w:hAnsi="Arial" w:cs="Arial"/>
                <w:b/>
                <w:sz w:val="18"/>
                <w:szCs w:val="18"/>
              </w:rPr>
              <w:t>Operative</w:t>
            </w:r>
            <w:r w:rsidRPr="00DD6692">
              <w:rPr>
                <w:rFonts w:ascii="Arial" w:hAnsi="Arial" w:cs="Arial"/>
                <w:b/>
                <w:sz w:val="18"/>
                <w:szCs w:val="18"/>
              </w:rPr>
              <w:br/>
              <w:t>Date</w:t>
            </w:r>
          </w:p>
        </w:tc>
      </w:tr>
      <w:tr w:rsidR="001C3502" w:rsidRPr="00DD6692" w:rsidTr="00E93F35">
        <w:trPr>
          <w:tblHeader/>
        </w:trPr>
        <w:tc>
          <w:tcPr>
            <w:tcW w:w="505" w:type="pct"/>
            <w:hideMark/>
          </w:tcPr>
          <w:p w:rsidR="001C3502" w:rsidRPr="00DD6692" w:rsidRDefault="001C3502" w:rsidP="001C3502">
            <w:pPr>
              <w:spacing w:before="40" w:after="40"/>
              <w:jc w:val="center"/>
              <w:rPr>
                <w:rFonts w:ascii="Arial" w:hAnsi="Arial" w:cs="Arial"/>
                <w:sz w:val="18"/>
                <w:szCs w:val="18"/>
              </w:rPr>
            </w:pPr>
            <w:r w:rsidRPr="00DD6692">
              <w:rPr>
                <w:rFonts w:ascii="Arial" w:hAnsi="Arial" w:cs="Arial"/>
                <w:sz w:val="18"/>
                <w:szCs w:val="18"/>
              </w:rPr>
              <w:t>1.0</w:t>
            </w:r>
          </w:p>
        </w:tc>
        <w:tc>
          <w:tcPr>
            <w:tcW w:w="500" w:type="pct"/>
          </w:tcPr>
          <w:p w:rsidR="001C3502" w:rsidRPr="00DD6692" w:rsidRDefault="001C3502" w:rsidP="001C3502">
            <w:pPr>
              <w:spacing w:before="40" w:after="40"/>
              <w:jc w:val="center"/>
              <w:rPr>
                <w:rFonts w:ascii="Arial" w:hAnsi="Arial" w:cs="Arial"/>
                <w:sz w:val="18"/>
                <w:szCs w:val="18"/>
              </w:rPr>
            </w:pPr>
          </w:p>
        </w:tc>
        <w:tc>
          <w:tcPr>
            <w:tcW w:w="2500" w:type="pct"/>
            <w:hideMark/>
          </w:tcPr>
          <w:p w:rsidR="001C3502" w:rsidRPr="00DD6692" w:rsidRDefault="001C3502" w:rsidP="00CB77DC">
            <w:pPr>
              <w:spacing w:before="40" w:after="40"/>
              <w:rPr>
                <w:rFonts w:ascii="Arial" w:hAnsi="Arial" w:cs="Arial"/>
                <w:sz w:val="18"/>
                <w:szCs w:val="18"/>
              </w:rPr>
            </w:pPr>
            <w:r w:rsidRPr="00DD6692">
              <w:rPr>
                <w:rFonts w:ascii="Arial" w:hAnsi="Arial" w:cs="Arial"/>
                <w:sz w:val="18"/>
                <w:szCs w:val="18"/>
              </w:rPr>
              <w:t>First Edition</w:t>
            </w:r>
            <w:r w:rsidR="00CB77DC" w:rsidRPr="00DD6692">
              <w:rPr>
                <w:rFonts w:ascii="Arial" w:hAnsi="Arial" w:cs="Arial"/>
                <w:sz w:val="18"/>
                <w:szCs w:val="18"/>
              </w:rPr>
              <w:t xml:space="preserve"> of the </w:t>
            </w:r>
            <w:r w:rsidR="00CB77DC" w:rsidRPr="00DD6692">
              <w:rPr>
                <w:rFonts w:ascii="Arial" w:hAnsi="Arial" w:cs="Arial"/>
                <w:i/>
                <w:sz w:val="18"/>
                <w:szCs w:val="18"/>
              </w:rPr>
              <w:t>Disability Support Worker Cost Model Assumptions and Methodology 2021-22</w:t>
            </w:r>
          </w:p>
        </w:tc>
        <w:tc>
          <w:tcPr>
            <w:tcW w:w="750" w:type="pct"/>
            <w:hideMark/>
          </w:tcPr>
          <w:p w:rsidR="001C3502" w:rsidRPr="00DD6692" w:rsidRDefault="00CB77DC" w:rsidP="0014173A">
            <w:pPr>
              <w:spacing w:before="40" w:after="40"/>
              <w:jc w:val="center"/>
              <w:rPr>
                <w:rFonts w:ascii="Arial" w:hAnsi="Arial" w:cs="Arial"/>
                <w:sz w:val="18"/>
                <w:szCs w:val="18"/>
              </w:rPr>
            </w:pPr>
            <w:r w:rsidRPr="00DD6692">
              <w:rPr>
                <w:rFonts w:ascii="Arial" w:hAnsi="Arial" w:cs="Arial"/>
                <w:sz w:val="18"/>
                <w:szCs w:val="18"/>
              </w:rPr>
              <w:t xml:space="preserve">1 </w:t>
            </w:r>
            <w:r w:rsidR="00BD1DF8" w:rsidRPr="00DD6692">
              <w:rPr>
                <w:rFonts w:ascii="Arial" w:hAnsi="Arial" w:cs="Arial"/>
                <w:sz w:val="18"/>
                <w:szCs w:val="18"/>
              </w:rPr>
              <w:t>July 2021</w:t>
            </w:r>
          </w:p>
        </w:tc>
        <w:tc>
          <w:tcPr>
            <w:tcW w:w="745" w:type="pct"/>
          </w:tcPr>
          <w:p w:rsidR="001C3502" w:rsidRPr="00DD6692" w:rsidRDefault="00BD1DF8" w:rsidP="0014173A">
            <w:pPr>
              <w:spacing w:before="40" w:after="40"/>
              <w:jc w:val="center"/>
              <w:rPr>
                <w:rFonts w:ascii="Arial" w:hAnsi="Arial" w:cs="Arial"/>
                <w:sz w:val="18"/>
                <w:szCs w:val="18"/>
              </w:rPr>
            </w:pPr>
            <w:r w:rsidRPr="00DD6692">
              <w:rPr>
                <w:rFonts w:ascii="Arial" w:hAnsi="Arial" w:cs="Arial"/>
                <w:sz w:val="18"/>
                <w:szCs w:val="18"/>
              </w:rPr>
              <w:t>1 July 2021</w:t>
            </w:r>
          </w:p>
        </w:tc>
      </w:tr>
      <w:tr w:rsidR="006B6DB5" w:rsidRPr="00DD6692" w:rsidTr="00E93F35">
        <w:trPr>
          <w:tblHeader/>
        </w:trPr>
        <w:tc>
          <w:tcPr>
            <w:tcW w:w="505" w:type="pct"/>
          </w:tcPr>
          <w:p w:rsidR="006B6DB5" w:rsidRPr="00DD6692" w:rsidRDefault="006B6DB5" w:rsidP="006B6DB5">
            <w:pPr>
              <w:spacing w:before="40" w:after="40"/>
              <w:jc w:val="center"/>
              <w:rPr>
                <w:rFonts w:ascii="Arial" w:hAnsi="Arial" w:cs="Arial"/>
                <w:sz w:val="18"/>
                <w:szCs w:val="18"/>
              </w:rPr>
            </w:pPr>
            <w:r w:rsidRPr="00DD6692">
              <w:rPr>
                <w:rFonts w:ascii="Arial" w:hAnsi="Arial" w:cs="Arial"/>
                <w:sz w:val="18"/>
                <w:szCs w:val="18"/>
              </w:rPr>
              <w:t>1.1</w:t>
            </w:r>
          </w:p>
        </w:tc>
        <w:tc>
          <w:tcPr>
            <w:tcW w:w="500" w:type="pct"/>
          </w:tcPr>
          <w:p w:rsidR="006B6DB5" w:rsidRPr="00DD6692" w:rsidRDefault="000839DB" w:rsidP="000839DB">
            <w:pPr>
              <w:spacing w:before="40" w:after="40"/>
              <w:jc w:val="center"/>
              <w:rPr>
                <w:rFonts w:ascii="Arial" w:hAnsi="Arial" w:cs="Arial"/>
                <w:sz w:val="18"/>
                <w:szCs w:val="18"/>
              </w:rPr>
            </w:pPr>
            <w:r w:rsidRPr="00DD6692">
              <w:rPr>
                <w:rFonts w:ascii="Arial" w:hAnsi="Arial" w:cs="Arial"/>
                <w:sz w:val="18"/>
                <w:szCs w:val="18"/>
              </w:rPr>
              <w:t>various</w:t>
            </w:r>
          </w:p>
        </w:tc>
        <w:tc>
          <w:tcPr>
            <w:tcW w:w="2500" w:type="pct"/>
          </w:tcPr>
          <w:p w:rsidR="006B6DB5" w:rsidRPr="00DD6692" w:rsidRDefault="000839DB" w:rsidP="00496882">
            <w:pPr>
              <w:spacing w:before="40" w:after="40"/>
              <w:rPr>
                <w:rFonts w:ascii="Arial" w:hAnsi="Arial" w:cs="Arial"/>
                <w:sz w:val="18"/>
                <w:szCs w:val="18"/>
              </w:rPr>
            </w:pPr>
            <w:r w:rsidRPr="00DD6692">
              <w:rPr>
                <w:rFonts w:ascii="Arial" w:hAnsi="Arial" w:cs="Arial"/>
                <w:sz w:val="18"/>
                <w:szCs w:val="18"/>
              </w:rPr>
              <w:t>From 1 January 2022, some price limits for supports in the Assistance with Daily Life and the Assistance with Social, Economic and Community Participation support categories will be increased to account for the additional costs of operating in the COVID environment. These increases are temporary until 30 June 2022 pending the outcomes of the 2021-22 Annual Pricing Review.</w:t>
            </w:r>
          </w:p>
        </w:tc>
        <w:tc>
          <w:tcPr>
            <w:tcW w:w="750" w:type="pct"/>
          </w:tcPr>
          <w:p w:rsidR="006B6DB5" w:rsidRPr="00DD6692" w:rsidRDefault="00BD5D67" w:rsidP="006B6DB5">
            <w:pPr>
              <w:spacing w:before="40" w:after="40"/>
              <w:jc w:val="center"/>
              <w:rPr>
                <w:rFonts w:ascii="Arial" w:hAnsi="Arial" w:cs="Arial"/>
                <w:sz w:val="18"/>
                <w:szCs w:val="18"/>
              </w:rPr>
            </w:pPr>
            <w:r w:rsidRPr="00DD6692">
              <w:rPr>
                <w:rFonts w:ascii="Arial" w:hAnsi="Arial" w:cs="Arial"/>
                <w:sz w:val="18"/>
                <w:szCs w:val="18"/>
              </w:rPr>
              <w:t>23 Dec 2021</w:t>
            </w:r>
          </w:p>
        </w:tc>
        <w:tc>
          <w:tcPr>
            <w:tcW w:w="745" w:type="pct"/>
          </w:tcPr>
          <w:p w:rsidR="006B6DB5" w:rsidRPr="00DD6692" w:rsidRDefault="00BD5D67" w:rsidP="006B6DB5">
            <w:pPr>
              <w:spacing w:before="40" w:after="40"/>
              <w:jc w:val="center"/>
              <w:rPr>
                <w:rFonts w:ascii="Arial" w:hAnsi="Arial" w:cs="Arial"/>
                <w:sz w:val="18"/>
                <w:szCs w:val="18"/>
              </w:rPr>
            </w:pPr>
            <w:r w:rsidRPr="00DD6692">
              <w:rPr>
                <w:rFonts w:ascii="Arial" w:hAnsi="Arial" w:cs="Arial"/>
                <w:sz w:val="18"/>
                <w:szCs w:val="18"/>
              </w:rPr>
              <w:t>1 Jan</w:t>
            </w:r>
            <w:r w:rsidR="006B6DB5" w:rsidRPr="00DD6692">
              <w:rPr>
                <w:rFonts w:ascii="Arial" w:hAnsi="Arial" w:cs="Arial"/>
                <w:sz w:val="18"/>
                <w:szCs w:val="18"/>
              </w:rPr>
              <w:t xml:space="preserve"> 2022</w:t>
            </w:r>
          </w:p>
        </w:tc>
      </w:tr>
    </w:tbl>
    <w:p w:rsidR="00B9773D" w:rsidRPr="00DD6692" w:rsidRDefault="00B9773D" w:rsidP="00773F6C">
      <w:pPr>
        <w:rPr>
          <w:b/>
        </w:rPr>
        <w:sectPr w:rsidR="00B9773D" w:rsidRPr="00DD6692" w:rsidSect="00A54E47">
          <w:footerReference w:type="first" r:id="rId17"/>
          <w:pgSz w:w="11906" w:h="16838" w:code="9"/>
          <w:pgMar w:top="1440" w:right="1440" w:bottom="1440" w:left="1440" w:header="709" w:footer="709" w:gutter="0"/>
          <w:cols w:space="708"/>
          <w:titlePg/>
          <w:docGrid w:linePitch="360"/>
        </w:sectPr>
      </w:pPr>
    </w:p>
    <w:p w:rsidR="007219F1" w:rsidRPr="00DD6692" w:rsidRDefault="007219F1" w:rsidP="00315545">
      <w:pPr>
        <w:pStyle w:val="TOCHeading"/>
      </w:pPr>
      <w:r w:rsidRPr="00DD6692">
        <w:t>Contents</w:t>
      </w:r>
    </w:p>
    <w:p w:rsidR="00DD6692" w:rsidRDefault="0040062A">
      <w:pPr>
        <w:pStyle w:val="TOC1"/>
        <w:rPr>
          <w:rFonts w:eastAsiaTheme="minorEastAsia"/>
          <w:b w:val="0"/>
          <w:noProof/>
          <w:lang w:eastAsia="en-AU"/>
        </w:rPr>
      </w:pPr>
      <w:r w:rsidRPr="00DD6692">
        <w:fldChar w:fldCharType="begin"/>
      </w:r>
      <w:r w:rsidR="008D296D" w:rsidRPr="00DD6692">
        <w:instrText xml:space="preserve"> TOC \o "1-3</w:instrText>
      </w:r>
      <w:r w:rsidRPr="00DD6692">
        <w:instrText xml:space="preserve">" \h \z \u </w:instrText>
      </w:r>
      <w:r w:rsidRPr="00DD6692">
        <w:fldChar w:fldCharType="separate"/>
      </w:r>
      <w:hyperlink w:anchor="_Toc91063490" w:history="1">
        <w:r w:rsidR="00DD6692" w:rsidRPr="0077175E">
          <w:rPr>
            <w:rStyle w:val="Hyperlink"/>
            <w:noProof/>
          </w:rPr>
          <w:t>Description of the Cost Model</w:t>
        </w:r>
        <w:r w:rsidR="00DD6692">
          <w:rPr>
            <w:noProof/>
            <w:webHidden/>
          </w:rPr>
          <w:tab/>
        </w:r>
        <w:r w:rsidR="00DD6692">
          <w:rPr>
            <w:noProof/>
            <w:webHidden/>
          </w:rPr>
          <w:fldChar w:fldCharType="begin"/>
        </w:r>
        <w:r w:rsidR="00DD6692">
          <w:rPr>
            <w:noProof/>
            <w:webHidden/>
          </w:rPr>
          <w:instrText xml:space="preserve"> PAGEREF _Toc91063490 \h </w:instrText>
        </w:r>
        <w:r w:rsidR="00DD6692">
          <w:rPr>
            <w:noProof/>
            <w:webHidden/>
          </w:rPr>
        </w:r>
        <w:r w:rsidR="00DD6692">
          <w:rPr>
            <w:noProof/>
            <w:webHidden/>
          </w:rPr>
          <w:fldChar w:fldCharType="separate"/>
        </w:r>
        <w:r w:rsidR="00DD6692">
          <w:rPr>
            <w:noProof/>
            <w:webHidden/>
          </w:rPr>
          <w:t>5</w:t>
        </w:r>
        <w:r w:rsidR="00DD6692">
          <w:rPr>
            <w:noProof/>
            <w:webHidden/>
          </w:rPr>
          <w:fldChar w:fldCharType="end"/>
        </w:r>
      </w:hyperlink>
    </w:p>
    <w:p w:rsidR="00DD6692" w:rsidRDefault="00DD6692">
      <w:pPr>
        <w:pStyle w:val="TOC2"/>
        <w:tabs>
          <w:tab w:val="right" w:leader="dot" w:pos="9016"/>
        </w:tabs>
        <w:rPr>
          <w:rFonts w:eastAsiaTheme="minorEastAsia"/>
          <w:noProof/>
          <w:lang w:eastAsia="en-AU"/>
        </w:rPr>
      </w:pPr>
      <w:hyperlink w:anchor="_Toc91063491" w:history="1">
        <w:r w:rsidRPr="0077175E">
          <w:rPr>
            <w:rStyle w:val="Hyperlink"/>
            <w:noProof/>
          </w:rPr>
          <w:t>Applicable Industrial Award</w:t>
        </w:r>
        <w:r>
          <w:rPr>
            <w:noProof/>
            <w:webHidden/>
          </w:rPr>
          <w:tab/>
        </w:r>
        <w:r>
          <w:rPr>
            <w:noProof/>
            <w:webHidden/>
          </w:rPr>
          <w:fldChar w:fldCharType="begin"/>
        </w:r>
        <w:r>
          <w:rPr>
            <w:noProof/>
            <w:webHidden/>
          </w:rPr>
          <w:instrText xml:space="preserve"> PAGEREF _Toc91063491 \h </w:instrText>
        </w:r>
        <w:r>
          <w:rPr>
            <w:noProof/>
            <w:webHidden/>
          </w:rPr>
        </w:r>
        <w:r>
          <w:rPr>
            <w:noProof/>
            <w:webHidden/>
          </w:rPr>
          <w:fldChar w:fldCharType="separate"/>
        </w:r>
        <w:r>
          <w:rPr>
            <w:noProof/>
            <w:webHidden/>
          </w:rPr>
          <w:t>6</w:t>
        </w:r>
        <w:r>
          <w:rPr>
            <w:noProof/>
            <w:webHidden/>
          </w:rPr>
          <w:fldChar w:fldCharType="end"/>
        </w:r>
      </w:hyperlink>
    </w:p>
    <w:p w:rsidR="00DD6692" w:rsidRDefault="00DD6692">
      <w:pPr>
        <w:pStyle w:val="TOC2"/>
        <w:tabs>
          <w:tab w:val="right" w:leader="dot" w:pos="9016"/>
        </w:tabs>
        <w:rPr>
          <w:rFonts w:eastAsiaTheme="minorEastAsia"/>
          <w:noProof/>
          <w:lang w:eastAsia="en-AU"/>
        </w:rPr>
      </w:pPr>
      <w:hyperlink w:anchor="_Toc91063492" w:history="1">
        <w:r w:rsidRPr="0077175E">
          <w:rPr>
            <w:rStyle w:val="Hyperlink"/>
            <w:noProof/>
          </w:rPr>
          <w:t>Base Pay</w:t>
        </w:r>
        <w:r>
          <w:rPr>
            <w:noProof/>
            <w:webHidden/>
          </w:rPr>
          <w:tab/>
        </w:r>
        <w:r>
          <w:rPr>
            <w:noProof/>
            <w:webHidden/>
          </w:rPr>
          <w:fldChar w:fldCharType="begin"/>
        </w:r>
        <w:r>
          <w:rPr>
            <w:noProof/>
            <w:webHidden/>
          </w:rPr>
          <w:instrText xml:space="preserve"> PAGEREF _Toc91063492 \h </w:instrText>
        </w:r>
        <w:r>
          <w:rPr>
            <w:noProof/>
            <w:webHidden/>
          </w:rPr>
        </w:r>
        <w:r>
          <w:rPr>
            <w:noProof/>
            <w:webHidden/>
          </w:rPr>
          <w:fldChar w:fldCharType="separate"/>
        </w:r>
        <w:r>
          <w:rPr>
            <w:noProof/>
            <w:webHidden/>
          </w:rPr>
          <w:t>6</w:t>
        </w:r>
        <w:r>
          <w:rPr>
            <w:noProof/>
            <w:webHidden/>
          </w:rPr>
          <w:fldChar w:fldCharType="end"/>
        </w:r>
      </w:hyperlink>
    </w:p>
    <w:p w:rsidR="00DD6692" w:rsidRDefault="00DD6692">
      <w:pPr>
        <w:pStyle w:val="TOC2"/>
        <w:tabs>
          <w:tab w:val="right" w:leader="dot" w:pos="9016"/>
        </w:tabs>
        <w:rPr>
          <w:rFonts w:eastAsiaTheme="minorEastAsia"/>
          <w:noProof/>
          <w:lang w:eastAsia="en-AU"/>
        </w:rPr>
      </w:pPr>
      <w:hyperlink w:anchor="_Toc91063493" w:history="1">
        <w:r w:rsidRPr="0077175E">
          <w:rPr>
            <w:rStyle w:val="Hyperlink"/>
            <w:noProof/>
          </w:rPr>
          <w:t>Shift Loadings</w:t>
        </w:r>
        <w:r>
          <w:rPr>
            <w:noProof/>
            <w:webHidden/>
          </w:rPr>
          <w:tab/>
        </w:r>
        <w:r>
          <w:rPr>
            <w:noProof/>
            <w:webHidden/>
          </w:rPr>
          <w:fldChar w:fldCharType="begin"/>
        </w:r>
        <w:r>
          <w:rPr>
            <w:noProof/>
            <w:webHidden/>
          </w:rPr>
          <w:instrText xml:space="preserve"> PAGEREF _Toc91063493 \h </w:instrText>
        </w:r>
        <w:r>
          <w:rPr>
            <w:noProof/>
            <w:webHidden/>
          </w:rPr>
        </w:r>
        <w:r>
          <w:rPr>
            <w:noProof/>
            <w:webHidden/>
          </w:rPr>
          <w:fldChar w:fldCharType="separate"/>
        </w:r>
        <w:r>
          <w:rPr>
            <w:noProof/>
            <w:webHidden/>
          </w:rPr>
          <w:t>6</w:t>
        </w:r>
        <w:r>
          <w:rPr>
            <w:noProof/>
            <w:webHidden/>
          </w:rPr>
          <w:fldChar w:fldCharType="end"/>
        </w:r>
      </w:hyperlink>
    </w:p>
    <w:p w:rsidR="00DD6692" w:rsidRDefault="00DD6692">
      <w:pPr>
        <w:pStyle w:val="TOC2"/>
        <w:tabs>
          <w:tab w:val="right" w:leader="dot" w:pos="9016"/>
        </w:tabs>
        <w:rPr>
          <w:rFonts w:eastAsiaTheme="minorEastAsia"/>
          <w:noProof/>
          <w:lang w:eastAsia="en-AU"/>
        </w:rPr>
      </w:pPr>
      <w:hyperlink w:anchor="_Toc91063494" w:history="1">
        <w:r w:rsidRPr="0077175E">
          <w:rPr>
            <w:rStyle w:val="Hyperlink"/>
            <w:noProof/>
          </w:rPr>
          <w:t>Days Worked Versus Days Paid</w:t>
        </w:r>
        <w:r>
          <w:rPr>
            <w:noProof/>
            <w:webHidden/>
          </w:rPr>
          <w:tab/>
        </w:r>
        <w:r>
          <w:rPr>
            <w:noProof/>
            <w:webHidden/>
          </w:rPr>
          <w:fldChar w:fldCharType="begin"/>
        </w:r>
        <w:r>
          <w:rPr>
            <w:noProof/>
            <w:webHidden/>
          </w:rPr>
          <w:instrText xml:space="preserve"> PAGEREF _Toc91063494 \h </w:instrText>
        </w:r>
        <w:r>
          <w:rPr>
            <w:noProof/>
            <w:webHidden/>
          </w:rPr>
        </w:r>
        <w:r>
          <w:rPr>
            <w:noProof/>
            <w:webHidden/>
          </w:rPr>
          <w:fldChar w:fldCharType="separate"/>
        </w:r>
        <w:r>
          <w:rPr>
            <w:noProof/>
            <w:webHidden/>
          </w:rPr>
          <w:t>7</w:t>
        </w:r>
        <w:r>
          <w:rPr>
            <w:noProof/>
            <w:webHidden/>
          </w:rPr>
          <w:fldChar w:fldCharType="end"/>
        </w:r>
      </w:hyperlink>
    </w:p>
    <w:p w:rsidR="00DD6692" w:rsidRDefault="00DD6692">
      <w:pPr>
        <w:pStyle w:val="TOC2"/>
        <w:tabs>
          <w:tab w:val="right" w:leader="dot" w:pos="9016"/>
        </w:tabs>
        <w:rPr>
          <w:rFonts w:eastAsiaTheme="minorEastAsia"/>
          <w:noProof/>
          <w:lang w:eastAsia="en-AU"/>
        </w:rPr>
      </w:pPr>
      <w:hyperlink w:anchor="_Toc91063495" w:history="1">
        <w:r w:rsidRPr="0077175E">
          <w:rPr>
            <w:rStyle w:val="Hyperlink"/>
            <w:noProof/>
          </w:rPr>
          <w:t>Salary On-costs</w:t>
        </w:r>
        <w:r>
          <w:rPr>
            <w:noProof/>
            <w:webHidden/>
          </w:rPr>
          <w:tab/>
        </w:r>
        <w:r>
          <w:rPr>
            <w:noProof/>
            <w:webHidden/>
          </w:rPr>
          <w:fldChar w:fldCharType="begin"/>
        </w:r>
        <w:r>
          <w:rPr>
            <w:noProof/>
            <w:webHidden/>
          </w:rPr>
          <w:instrText xml:space="preserve"> PAGEREF _Toc91063495 \h </w:instrText>
        </w:r>
        <w:r>
          <w:rPr>
            <w:noProof/>
            <w:webHidden/>
          </w:rPr>
        </w:r>
        <w:r>
          <w:rPr>
            <w:noProof/>
            <w:webHidden/>
          </w:rPr>
          <w:fldChar w:fldCharType="separate"/>
        </w:r>
        <w:r>
          <w:rPr>
            <w:noProof/>
            <w:webHidden/>
          </w:rPr>
          <w:t>8</w:t>
        </w:r>
        <w:r>
          <w:rPr>
            <w:noProof/>
            <w:webHidden/>
          </w:rPr>
          <w:fldChar w:fldCharType="end"/>
        </w:r>
      </w:hyperlink>
    </w:p>
    <w:p w:rsidR="00DD6692" w:rsidRDefault="00DD6692">
      <w:pPr>
        <w:pStyle w:val="TOC2"/>
        <w:tabs>
          <w:tab w:val="right" w:leader="dot" w:pos="9016"/>
        </w:tabs>
        <w:rPr>
          <w:rFonts w:eastAsiaTheme="minorEastAsia"/>
          <w:noProof/>
          <w:lang w:eastAsia="en-AU"/>
        </w:rPr>
      </w:pPr>
      <w:hyperlink w:anchor="_Toc91063496" w:history="1">
        <w:r w:rsidRPr="0077175E">
          <w:rPr>
            <w:rStyle w:val="Hyperlink"/>
            <w:noProof/>
          </w:rPr>
          <w:t>Supervision costs</w:t>
        </w:r>
        <w:r>
          <w:rPr>
            <w:noProof/>
            <w:webHidden/>
          </w:rPr>
          <w:tab/>
        </w:r>
        <w:r>
          <w:rPr>
            <w:noProof/>
            <w:webHidden/>
          </w:rPr>
          <w:fldChar w:fldCharType="begin"/>
        </w:r>
        <w:r>
          <w:rPr>
            <w:noProof/>
            <w:webHidden/>
          </w:rPr>
          <w:instrText xml:space="preserve"> PAGEREF _Toc91063496 \h </w:instrText>
        </w:r>
        <w:r>
          <w:rPr>
            <w:noProof/>
            <w:webHidden/>
          </w:rPr>
        </w:r>
        <w:r>
          <w:rPr>
            <w:noProof/>
            <w:webHidden/>
          </w:rPr>
          <w:fldChar w:fldCharType="separate"/>
        </w:r>
        <w:r>
          <w:rPr>
            <w:noProof/>
            <w:webHidden/>
          </w:rPr>
          <w:t>9</w:t>
        </w:r>
        <w:r>
          <w:rPr>
            <w:noProof/>
            <w:webHidden/>
          </w:rPr>
          <w:fldChar w:fldCharType="end"/>
        </w:r>
      </w:hyperlink>
    </w:p>
    <w:p w:rsidR="00DD6692" w:rsidRDefault="00DD6692">
      <w:pPr>
        <w:pStyle w:val="TOC2"/>
        <w:tabs>
          <w:tab w:val="right" w:leader="dot" w:pos="9016"/>
        </w:tabs>
        <w:rPr>
          <w:rFonts w:eastAsiaTheme="minorEastAsia"/>
          <w:noProof/>
          <w:lang w:eastAsia="en-AU"/>
        </w:rPr>
      </w:pPr>
      <w:hyperlink w:anchor="_Toc91063497" w:history="1">
        <w:r w:rsidRPr="0077175E">
          <w:rPr>
            <w:rStyle w:val="Hyperlink"/>
            <w:noProof/>
          </w:rPr>
          <w:t>Permanent v Casual Workers</w:t>
        </w:r>
        <w:r>
          <w:rPr>
            <w:noProof/>
            <w:webHidden/>
          </w:rPr>
          <w:tab/>
        </w:r>
        <w:r>
          <w:rPr>
            <w:noProof/>
            <w:webHidden/>
          </w:rPr>
          <w:fldChar w:fldCharType="begin"/>
        </w:r>
        <w:r>
          <w:rPr>
            <w:noProof/>
            <w:webHidden/>
          </w:rPr>
          <w:instrText xml:space="preserve"> PAGEREF _Toc91063497 \h </w:instrText>
        </w:r>
        <w:r>
          <w:rPr>
            <w:noProof/>
            <w:webHidden/>
          </w:rPr>
        </w:r>
        <w:r>
          <w:rPr>
            <w:noProof/>
            <w:webHidden/>
          </w:rPr>
          <w:fldChar w:fldCharType="separate"/>
        </w:r>
        <w:r>
          <w:rPr>
            <w:noProof/>
            <w:webHidden/>
          </w:rPr>
          <w:t>10</w:t>
        </w:r>
        <w:r>
          <w:rPr>
            <w:noProof/>
            <w:webHidden/>
          </w:rPr>
          <w:fldChar w:fldCharType="end"/>
        </w:r>
      </w:hyperlink>
    </w:p>
    <w:p w:rsidR="00DD6692" w:rsidRDefault="00DD6692">
      <w:pPr>
        <w:pStyle w:val="TOC2"/>
        <w:tabs>
          <w:tab w:val="right" w:leader="dot" w:pos="9016"/>
        </w:tabs>
        <w:rPr>
          <w:rFonts w:eastAsiaTheme="minorEastAsia"/>
          <w:noProof/>
          <w:lang w:eastAsia="en-AU"/>
        </w:rPr>
      </w:pPr>
      <w:hyperlink w:anchor="_Toc91063498" w:history="1">
        <w:r w:rsidRPr="0077175E">
          <w:rPr>
            <w:rStyle w:val="Hyperlink"/>
            <w:noProof/>
          </w:rPr>
          <w:t>Utilisation</w:t>
        </w:r>
        <w:r>
          <w:rPr>
            <w:noProof/>
            <w:webHidden/>
          </w:rPr>
          <w:tab/>
        </w:r>
        <w:r>
          <w:rPr>
            <w:noProof/>
            <w:webHidden/>
          </w:rPr>
          <w:fldChar w:fldCharType="begin"/>
        </w:r>
        <w:r>
          <w:rPr>
            <w:noProof/>
            <w:webHidden/>
          </w:rPr>
          <w:instrText xml:space="preserve"> PAGEREF _Toc91063498 \h </w:instrText>
        </w:r>
        <w:r>
          <w:rPr>
            <w:noProof/>
            <w:webHidden/>
          </w:rPr>
        </w:r>
        <w:r>
          <w:rPr>
            <w:noProof/>
            <w:webHidden/>
          </w:rPr>
          <w:fldChar w:fldCharType="separate"/>
        </w:r>
        <w:r>
          <w:rPr>
            <w:noProof/>
            <w:webHidden/>
          </w:rPr>
          <w:t>10</w:t>
        </w:r>
        <w:r>
          <w:rPr>
            <w:noProof/>
            <w:webHidden/>
          </w:rPr>
          <w:fldChar w:fldCharType="end"/>
        </w:r>
      </w:hyperlink>
    </w:p>
    <w:p w:rsidR="00DD6692" w:rsidRDefault="00DD6692">
      <w:pPr>
        <w:pStyle w:val="TOC2"/>
        <w:tabs>
          <w:tab w:val="right" w:leader="dot" w:pos="9016"/>
        </w:tabs>
        <w:rPr>
          <w:rFonts w:eastAsiaTheme="minorEastAsia"/>
          <w:noProof/>
          <w:lang w:eastAsia="en-AU"/>
        </w:rPr>
      </w:pPr>
      <w:hyperlink w:anchor="_Toc91063499" w:history="1">
        <w:r w:rsidRPr="0077175E">
          <w:rPr>
            <w:rStyle w:val="Hyperlink"/>
            <w:noProof/>
          </w:rPr>
          <w:t>Overheads</w:t>
        </w:r>
        <w:r>
          <w:rPr>
            <w:noProof/>
            <w:webHidden/>
          </w:rPr>
          <w:tab/>
        </w:r>
        <w:r>
          <w:rPr>
            <w:noProof/>
            <w:webHidden/>
          </w:rPr>
          <w:fldChar w:fldCharType="begin"/>
        </w:r>
        <w:r>
          <w:rPr>
            <w:noProof/>
            <w:webHidden/>
          </w:rPr>
          <w:instrText xml:space="preserve"> PAGEREF _Toc91063499 \h </w:instrText>
        </w:r>
        <w:r>
          <w:rPr>
            <w:noProof/>
            <w:webHidden/>
          </w:rPr>
        </w:r>
        <w:r>
          <w:rPr>
            <w:noProof/>
            <w:webHidden/>
          </w:rPr>
          <w:fldChar w:fldCharType="separate"/>
        </w:r>
        <w:r>
          <w:rPr>
            <w:noProof/>
            <w:webHidden/>
          </w:rPr>
          <w:t>11</w:t>
        </w:r>
        <w:r>
          <w:rPr>
            <w:noProof/>
            <w:webHidden/>
          </w:rPr>
          <w:fldChar w:fldCharType="end"/>
        </w:r>
      </w:hyperlink>
    </w:p>
    <w:p w:rsidR="00DD6692" w:rsidRDefault="00DD6692">
      <w:pPr>
        <w:pStyle w:val="TOC2"/>
        <w:tabs>
          <w:tab w:val="right" w:leader="dot" w:pos="9016"/>
        </w:tabs>
        <w:rPr>
          <w:rFonts w:eastAsiaTheme="minorEastAsia"/>
          <w:noProof/>
          <w:lang w:eastAsia="en-AU"/>
        </w:rPr>
      </w:pPr>
      <w:hyperlink w:anchor="_Toc91063500" w:history="1">
        <w:r w:rsidRPr="0077175E">
          <w:rPr>
            <w:rStyle w:val="Hyperlink"/>
            <w:noProof/>
          </w:rPr>
          <w:t>Margins</w:t>
        </w:r>
        <w:r>
          <w:rPr>
            <w:noProof/>
            <w:webHidden/>
          </w:rPr>
          <w:tab/>
        </w:r>
        <w:r>
          <w:rPr>
            <w:noProof/>
            <w:webHidden/>
          </w:rPr>
          <w:fldChar w:fldCharType="begin"/>
        </w:r>
        <w:r>
          <w:rPr>
            <w:noProof/>
            <w:webHidden/>
          </w:rPr>
          <w:instrText xml:space="preserve"> PAGEREF _Toc91063500 \h </w:instrText>
        </w:r>
        <w:r>
          <w:rPr>
            <w:noProof/>
            <w:webHidden/>
          </w:rPr>
        </w:r>
        <w:r>
          <w:rPr>
            <w:noProof/>
            <w:webHidden/>
          </w:rPr>
          <w:fldChar w:fldCharType="separate"/>
        </w:r>
        <w:r>
          <w:rPr>
            <w:noProof/>
            <w:webHidden/>
          </w:rPr>
          <w:t>12</w:t>
        </w:r>
        <w:r>
          <w:rPr>
            <w:noProof/>
            <w:webHidden/>
          </w:rPr>
          <w:fldChar w:fldCharType="end"/>
        </w:r>
      </w:hyperlink>
    </w:p>
    <w:p w:rsidR="00DD6692" w:rsidRDefault="00DD6692">
      <w:pPr>
        <w:pStyle w:val="TOC1"/>
        <w:rPr>
          <w:rFonts w:eastAsiaTheme="minorEastAsia"/>
          <w:b w:val="0"/>
          <w:noProof/>
          <w:lang w:eastAsia="en-AU"/>
        </w:rPr>
      </w:pPr>
      <w:hyperlink w:anchor="_Toc91063501" w:history="1">
        <w:r w:rsidRPr="0077175E">
          <w:rPr>
            <w:rStyle w:val="Hyperlink"/>
            <w:noProof/>
          </w:rPr>
          <w:t>Accommodation Cost Amounts</w:t>
        </w:r>
        <w:r>
          <w:rPr>
            <w:noProof/>
            <w:webHidden/>
          </w:rPr>
          <w:tab/>
        </w:r>
        <w:r>
          <w:rPr>
            <w:noProof/>
            <w:webHidden/>
          </w:rPr>
          <w:fldChar w:fldCharType="begin"/>
        </w:r>
        <w:r>
          <w:rPr>
            <w:noProof/>
            <w:webHidden/>
          </w:rPr>
          <w:instrText xml:space="preserve"> PAGEREF _Toc91063501 \h </w:instrText>
        </w:r>
        <w:r>
          <w:rPr>
            <w:noProof/>
            <w:webHidden/>
          </w:rPr>
        </w:r>
        <w:r>
          <w:rPr>
            <w:noProof/>
            <w:webHidden/>
          </w:rPr>
          <w:fldChar w:fldCharType="separate"/>
        </w:r>
        <w:r>
          <w:rPr>
            <w:noProof/>
            <w:webHidden/>
          </w:rPr>
          <w:t>13</w:t>
        </w:r>
        <w:r>
          <w:rPr>
            <w:noProof/>
            <w:webHidden/>
          </w:rPr>
          <w:fldChar w:fldCharType="end"/>
        </w:r>
      </w:hyperlink>
    </w:p>
    <w:p w:rsidR="00DD6692" w:rsidRDefault="00DD6692">
      <w:pPr>
        <w:pStyle w:val="TOC2"/>
        <w:tabs>
          <w:tab w:val="right" w:leader="dot" w:pos="9016"/>
        </w:tabs>
        <w:rPr>
          <w:rFonts w:eastAsiaTheme="minorEastAsia"/>
          <w:noProof/>
          <w:lang w:eastAsia="en-AU"/>
        </w:rPr>
      </w:pPr>
      <w:hyperlink w:anchor="_Toc91063502" w:history="1">
        <w:r w:rsidRPr="0077175E">
          <w:rPr>
            <w:rStyle w:val="Hyperlink"/>
            <w:noProof/>
          </w:rPr>
          <w:t>Centre Based Capital Amount</w:t>
        </w:r>
        <w:r>
          <w:rPr>
            <w:noProof/>
            <w:webHidden/>
          </w:rPr>
          <w:tab/>
        </w:r>
        <w:r>
          <w:rPr>
            <w:noProof/>
            <w:webHidden/>
          </w:rPr>
          <w:fldChar w:fldCharType="begin"/>
        </w:r>
        <w:r>
          <w:rPr>
            <w:noProof/>
            <w:webHidden/>
          </w:rPr>
          <w:instrText xml:space="preserve"> PAGEREF _Toc91063502 \h </w:instrText>
        </w:r>
        <w:r>
          <w:rPr>
            <w:noProof/>
            <w:webHidden/>
          </w:rPr>
        </w:r>
        <w:r>
          <w:rPr>
            <w:noProof/>
            <w:webHidden/>
          </w:rPr>
          <w:fldChar w:fldCharType="separate"/>
        </w:r>
        <w:r>
          <w:rPr>
            <w:noProof/>
            <w:webHidden/>
          </w:rPr>
          <w:t>13</w:t>
        </w:r>
        <w:r>
          <w:rPr>
            <w:noProof/>
            <w:webHidden/>
          </w:rPr>
          <w:fldChar w:fldCharType="end"/>
        </w:r>
      </w:hyperlink>
    </w:p>
    <w:p w:rsidR="00DD6692" w:rsidRDefault="00DD6692">
      <w:pPr>
        <w:pStyle w:val="TOC2"/>
        <w:tabs>
          <w:tab w:val="right" w:leader="dot" w:pos="9016"/>
        </w:tabs>
        <w:rPr>
          <w:rFonts w:eastAsiaTheme="minorEastAsia"/>
          <w:noProof/>
          <w:lang w:eastAsia="en-AU"/>
        </w:rPr>
      </w:pPr>
      <w:hyperlink w:anchor="_Toc91063503" w:history="1">
        <w:r w:rsidRPr="0077175E">
          <w:rPr>
            <w:rStyle w:val="Hyperlink"/>
            <w:noProof/>
          </w:rPr>
          <w:t>Short Term Accommodation Amount</w:t>
        </w:r>
        <w:r>
          <w:rPr>
            <w:noProof/>
            <w:webHidden/>
          </w:rPr>
          <w:tab/>
        </w:r>
        <w:r>
          <w:rPr>
            <w:noProof/>
            <w:webHidden/>
          </w:rPr>
          <w:fldChar w:fldCharType="begin"/>
        </w:r>
        <w:r>
          <w:rPr>
            <w:noProof/>
            <w:webHidden/>
          </w:rPr>
          <w:instrText xml:space="preserve"> PAGEREF _Toc91063503 \h </w:instrText>
        </w:r>
        <w:r>
          <w:rPr>
            <w:noProof/>
            <w:webHidden/>
          </w:rPr>
        </w:r>
        <w:r>
          <w:rPr>
            <w:noProof/>
            <w:webHidden/>
          </w:rPr>
          <w:fldChar w:fldCharType="separate"/>
        </w:r>
        <w:r>
          <w:rPr>
            <w:noProof/>
            <w:webHidden/>
          </w:rPr>
          <w:t>13</w:t>
        </w:r>
        <w:r>
          <w:rPr>
            <w:noProof/>
            <w:webHidden/>
          </w:rPr>
          <w:fldChar w:fldCharType="end"/>
        </w:r>
      </w:hyperlink>
    </w:p>
    <w:p w:rsidR="00DD6692" w:rsidRDefault="00DD6692">
      <w:pPr>
        <w:pStyle w:val="TOC2"/>
        <w:tabs>
          <w:tab w:val="right" w:leader="dot" w:pos="9016"/>
        </w:tabs>
        <w:rPr>
          <w:rFonts w:eastAsiaTheme="minorEastAsia"/>
          <w:noProof/>
          <w:lang w:eastAsia="en-AU"/>
        </w:rPr>
      </w:pPr>
      <w:hyperlink w:anchor="_Toc91063504" w:history="1">
        <w:r w:rsidRPr="0077175E">
          <w:rPr>
            <w:rStyle w:val="Hyperlink"/>
            <w:noProof/>
          </w:rPr>
          <w:t>Medium Term Accommodation Amount</w:t>
        </w:r>
        <w:r>
          <w:rPr>
            <w:noProof/>
            <w:webHidden/>
          </w:rPr>
          <w:tab/>
        </w:r>
        <w:r>
          <w:rPr>
            <w:noProof/>
            <w:webHidden/>
          </w:rPr>
          <w:fldChar w:fldCharType="begin"/>
        </w:r>
        <w:r>
          <w:rPr>
            <w:noProof/>
            <w:webHidden/>
          </w:rPr>
          <w:instrText xml:space="preserve"> PAGEREF _Toc91063504 \h </w:instrText>
        </w:r>
        <w:r>
          <w:rPr>
            <w:noProof/>
            <w:webHidden/>
          </w:rPr>
        </w:r>
        <w:r>
          <w:rPr>
            <w:noProof/>
            <w:webHidden/>
          </w:rPr>
          <w:fldChar w:fldCharType="separate"/>
        </w:r>
        <w:r>
          <w:rPr>
            <w:noProof/>
            <w:webHidden/>
          </w:rPr>
          <w:t>13</w:t>
        </w:r>
        <w:r>
          <w:rPr>
            <w:noProof/>
            <w:webHidden/>
          </w:rPr>
          <w:fldChar w:fldCharType="end"/>
        </w:r>
      </w:hyperlink>
    </w:p>
    <w:p w:rsidR="00DD6692" w:rsidRDefault="00DD6692">
      <w:pPr>
        <w:pStyle w:val="TOC1"/>
        <w:rPr>
          <w:rFonts w:eastAsiaTheme="minorEastAsia"/>
          <w:b w:val="0"/>
          <w:noProof/>
          <w:lang w:eastAsia="en-AU"/>
        </w:rPr>
      </w:pPr>
      <w:hyperlink w:anchor="_Toc91063505" w:history="1">
        <w:r w:rsidRPr="0077175E">
          <w:rPr>
            <w:rStyle w:val="Hyperlink"/>
            <w:noProof/>
          </w:rPr>
          <w:t>Price Limits Determined by the Cost Model</w:t>
        </w:r>
        <w:r>
          <w:rPr>
            <w:noProof/>
            <w:webHidden/>
          </w:rPr>
          <w:tab/>
        </w:r>
        <w:r>
          <w:rPr>
            <w:noProof/>
            <w:webHidden/>
          </w:rPr>
          <w:fldChar w:fldCharType="begin"/>
        </w:r>
        <w:r>
          <w:rPr>
            <w:noProof/>
            <w:webHidden/>
          </w:rPr>
          <w:instrText xml:space="preserve"> PAGEREF _Toc91063505 \h </w:instrText>
        </w:r>
        <w:r>
          <w:rPr>
            <w:noProof/>
            <w:webHidden/>
          </w:rPr>
        </w:r>
        <w:r>
          <w:rPr>
            <w:noProof/>
            <w:webHidden/>
          </w:rPr>
          <w:fldChar w:fldCharType="separate"/>
        </w:r>
        <w:r>
          <w:rPr>
            <w:noProof/>
            <w:webHidden/>
          </w:rPr>
          <w:t>14</w:t>
        </w:r>
        <w:r>
          <w:rPr>
            <w:noProof/>
            <w:webHidden/>
          </w:rPr>
          <w:fldChar w:fldCharType="end"/>
        </w:r>
      </w:hyperlink>
    </w:p>
    <w:p w:rsidR="00DD6692" w:rsidRDefault="00DD6692">
      <w:pPr>
        <w:pStyle w:val="TOC2"/>
        <w:tabs>
          <w:tab w:val="right" w:leader="dot" w:pos="9016"/>
        </w:tabs>
        <w:rPr>
          <w:rFonts w:eastAsiaTheme="minorEastAsia"/>
          <w:noProof/>
          <w:lang w:eastAsia="en-AU"/>
        </w:rPr>
      </w:pPr>
      <w:hyperlink w:anchor="_Toc91063506" w:history="1">
        <w:r w:rsidRPr="0077175E">
          <w:rPr>
            <w:rStyle w:val="Hyperlink"/>
            <w:noProof/>
          </w:rPr>
          <w:t>Notes</w:t>
        </w:r>
        <w:r>
          <w:rPr>
            <w:noProof/>
            <w:webHidden/>
          </w:rPr>
          <w:tab/>
        </w:r>
        <w:r>
          <w:rPr>
            <w:noProof/>
            <w:webHidden/>
          </w:rPr>
          <w:fldChar w:fldCharType="begin"/>
        </w:r>
        <w:r>
          <w:rPr>
            <w:noProof/>
            <w:webHidden/>
          </w:rPr>
          <w:instrText xml:space="preserve"> PAGEREF _Toc91063506 \h </w:instrText>
        </w:r>
        <w:r>
          <w:rPr>
            <w:noProof/>
            <w:webHidden/>
          </w:rPr>
        </w:r>
        <w:r>
          <w:rPr>
            <w:noProof/>
            <w:webHidden/>
          </w:rPr>
          <w:fldChar w:fldCharType="separate"/>
        </w:r>
        <w:r>
          <w:rPr>
            <w:noProof/>
            <w:webHidden/>
          </w:rPr>
          <w:t>28</w:t>
        </w:r>
        <w:r>
          <w:rPr>
            <w:noProof/>
            <w:webHidden/>
          </w:rPr>
          <w:fldChar w:fldCharType="end"/>
        </w:r>
      </w:hyperlink>
    </w:p>
    <w:p w:rsidR="00DD6692" w:rsidRDefault="00DD6692">
      <w:pPr>
        <w:pStyle w:val="TOC3"/>
        <w:rPr>
          <w:rFonts w:eastAsiaTheme="minorEastAsia"/>
          <w:noProof/>
          <w:lang w:eastAsia="en-AU"/>
        </w:rPr>
      </w:pPr>
      <w:hyperlink w:anchor="_Toc91063507" w:history="1">
        <w:r w:rsidRPr="0077175E">
          <w:rPr>
            <w:rStyle w:val="Hyperlink"/>
            <w:noProof/>
          </w:rPr>
          <w:t>0.</w:t>
        </w:r>
        <w:r>
          <w:rPr>
            <w:rFonts w:eastAsiaTheme="minorEastAsia"/>
            <w:noProof/>
            <w:lang w:eastAsia="en-AU"/>
          </w:rPr>
          <w:tab/>
        </w:r>
        <w:r w:rsidRPr="0077175E">
          <w:rPr>
            <w:rStyle w:val="Hyperlink"/>
            <w:noProof/>
          </w:rPr>
          <w:t>Standard rates</w:t>
        </w:r>
        <w:r>
          <w:rPr>
            <w:noProof/>
            <w:webHidden/>
          </w:rPr>
          <w:tab/>
        </w:r>
        <w:r>
          <w:rPr>
            <w:noProof/>
            <w:webHidden/>
          </w:rPr>
          <w:fldChar w:fldCharType="begin"/>
        </w:r>
        <w:r>
          <w:rPr>
            <w:noProof/>
            <w:webHidden/>
          </w:rPr>
          <w:instrText xml:space="preserve"> PAGEREF _Toc91063507 \h </w:instrText>
        </w:r>
        <w:r>
          <w:rPr>
            <w:noProof/>
            <w:webHidden/>
          </w:rPr>
        </w:r>
        <w:r>
          <w:rPr>
            <w:noProof/>
            <w:webHidden/>
          </w:rPr>
          <w:fldChar w:fldCharType="separate"/>
        </w:r>
        <w:r>
          <w:rPr>
            <w:noProof/>
            <w:webHidden/>
          </w:rPr>
          <w:t>28</w:t>
        </w:r>
        <w:r>
          <w:rPr>
            <w:noProof/>
            <w:webHidden/>
          </w:rPr>
          <w:fldChar w:fldCharType="end"/>
        </w:r>
      </w:hyperlink>
    </w:p>
    <w:p w:rsidR="00DD6692" w:rsidRDefault="00DD6692">
      <w:pPr>
        <w:pStyle w:val="TOC3"/>
        <w:rPr>
          <w:rFonts w:eastAsiaTheme="minorEastAsia"/>
          <w:noProof/>
          <w:lang w:eastAsia="en-AU"/>
        </w:rPr>
      </w:pPr>
      <w:hyperlink w:anchor="_Toc91063508" w:history="1">
        <w:r w:rsidRPr="0077175E">
          <w:rPr>
            <w:rStyle w:val="Hyperlink"/>
            <w:noProof/>
          </w:rPr>
          <w:t>1.</w:t>
        </w:r>
        <w:r>
          <w:rPr>
            <w:rFonts w:eastAsiaTheme="minorEastAsia"/>
            <w:noProof/>
            <w:lang w:eastAsia="en-AU"/>
          </w:rPr>
          <w:tab/>
        </w:r>
        <w:r w:rsidRPr="0077175E">
          <w:rPr>
            <w:rStyle w:val="Hyperlink"/>
            <w:noProof/>
          </w:rPr>
          <w:t>Temporary Transformation Payment (TTP)</w:t>
        </w:r>
        <w:r>
          <w:rPr>
            <w:noProof/>
            <w:webHidden/>
          </w:rPr>
          <w:tab/>
        </w:r>
        <w:r>
          <w:rPr>
            <w:noProof/>
            <w:webHidden/>
          </w:rPr>
          <w:fldChar w:fldCharType="begin"/>
        </w:r>
        <w:r>
          <w:rPr>
            <w:noProof/>
            <w:webHidden/>
          </w:rPr>
          <w:instrText xml:space="preserve"> PAGEREF _Toc91063508 \h </w:instrText>
        </w:r>
        <w:r>
          <w:rPr>
            <w:noProof/>
            <w:webHidden/>
          </w:rPr>
        </w:r>
        <w:r>
          <w:rPr>
            <w:noProof/>
            <w:webHidden/>
          </w:rPr>
          <w:fldChar w:fldCharType="separate"/>
        </w:r>
        <w:r>
          <w:rPr>
            <w:noProof/>
            <w:webHidden/>
          </w:rPr>
          <w:t>28</w:t>
        </w:r>
        <w:r>
          <w:rPr>
            <w:noProof/>
            <w:webHidden/>
          </w:rPr>
          <w:fldChar w:fldCharType="end"/>
        </w:r>
      </w:hyperlink>
    </w:p>
    <w:p w:rsidR="00DD6692" w:rsidRDefault="00DD6692">
      <w:pPr>
        <w:pStyle w:val="TOC3"/>
        <w:rPr>
          <w:rFonts w:eastAsiaTheme="minorEastAsia"/>
          <w:noProof/>
          <w:lang w:eastAsia="en-AU"/>
        </w:rPr>
      </w:pPr>
      <w:hyperlink w:anchor="_Toc91063509" w:history="1">
        <w:r w:rsidRPr="0077175E">
          <w:rPr>
            <w:rStyle w:val="Hyperlink"/>
            <w:noProof/>
          </w:rPr>
          <w:t>2.</w:t>
        </w:r>
        <w:r>
          <w:rPr>
            <w:rFonts w:eastAsiaTheme="minorEastAsia"/>
            <w:noProof/>
            <w:lang w:eastAsia="en-AU"/>
          </w:rPr>
          <w:tab/>
        </w:r>
        <w:r w:rsidRPr="0077175E">
          <w:rPr>
            <w:rStyle w:val="Hyperlink"/>
            <w:noProof/>
          </w:rPr>
          <w:t>Assistance with Self Care Activities - Night-Time Sleepover Support</w:t>
        </w:r>
        <w:r>
          <w:rPr>
            <w:noProof/>
            <w:webHidden/>
          </w:rPr>
          <w:tab/>
        </w:r>
        <w:r>
          <w:rPr>
            <w:noProof/>
            <w:webHidden/>
          </w:rPr>
          <w:fldChar w:fldCharType="begin"/>
        </w:r>
        <w:r>
          <w:rPr>
            <w:noProof/>
            <w:webHidden/>
          </w:rPr>
          <w:instrText xml:space="preserve"> PAGEREF _Toc91063509 \h </w:instrText>
        </w:r>
        <w:r>
          <w:rPr>
            <w:noProof/>
            <w:webHidden/>
          </w:rPr>
        </w:r>
        <w:r>
          <w:rPr>
            <w:noProof/>
            <w:webHidden/>
          </w:rPr>
          <w:fldChar w:fldCharType="separate"/>
        </w:r>
        <w:r>
          <w:rPr>
            <w:noProof/>
            <w:webHidden/>
          </w:rPr>
          <w:t>28</w:t>
        </w:r>
        <w:r>
          <w:rPr>
            <w:noProof/>
            <w:webHidden/>
          </w:rPr>
          <w:fldChar w:fldCharType="end"/>
        </w:r>
      </w:hyperlink>
    </w:p>
    <w:p w:rsidR="00DD6692" w:rsidRDefault="00DD6692">
      <w:pPr>
        <w:pStyle w:val="TOC3"/>
        <w:rPr>
          <w:rFonts w:eastAsiaTheme="minorEastAsia"/>
          <w:noProof/>
          <w:lang w:eastAsia="en-AU"/>
        </w:rPr>
      </w:pPr>
      <w:hyperlink w:anchor="_Toc91063510" w:history="1">
        <w:r w:rsidRPr="0077175E">
          <w:rPr>
            <w:rStyle w:val="Hyperlink"/>
            <w:noProof/>
          </w:rPr>
          <w:t>3.</w:t>
        </w:r>
        <w:r>
          <w:rPr>
            <w:rFonts w:eastAsiaTheme="minorEastAsia"/>
            <w:noProof/>
            <w:lang w:eastAsia="en-AU"/>
          </w:rPr>
          <w:tab/>
        </w:r>
        <w:r w:rsidRPr="0077175E">
          <w:rPr>
            <w:rStyle w:val="Hyperlink"/>
            <w:noProof/>
          </w:rPr>
          <w:t>Establishment Fee for Personal Care/Participation</w:t>
        </w:r>
        <w:r>
          <w:rPr>
            <w:noProof/>
            <w:webHidden/>
          </w:rPr>
          <w:tab/>
        </w:r>
        <w:r>
          <w:rPr>
            <w:noProof/>
            <w:webHidden/>
          </w:rPr>
          <w:fldChar w:fldCharType="begin"/>
        </w:r>
        <w:r>
          <w:rPr>
            <w:noProof/>
            <w:webHidden/>
          </w:rPr>
          <w:instrText xml:space="preserve"> PAGEREF _Toc91063510 \h </w:instrText>
        </w:r>
        <w:r>
          <w:rPr>
            <w:noProof/>
            <w:webHidden/>
          </w:rPr>
        </w:r>
        <w:r>
          <w:rPr>
            <w:noProof/>
            <w:webHidden/>
          </w:rPr>
          <w:fldChar w:fldCharType="separate"/>
        </w:r>
        <w:r>
          <w:rPr>
            <w:noProof/>
            <w:webHidden/>
          </w:rPr>
          <w:t>28</w:t>
        </w:r>
        <w:r>
          <w:rPr>
            <w:noProof/>
            <w:webHidden/>
          </w:rPr>
          <w:fldChar w:fldCharType="end"/>
        </w:r>
      </w:hyperlink>
    </w:p>
    <w:p w:rsidR="00DD6692" w:rsidRDefault="00DD6692">
      <w:pPr>
        <w:pStyle w:val="TOC3"/>
        <w:rPr>
          <w:rFonts w:eastAsiaTheme="minorEastAsia"/>
          <w:noProof/>
          <w:lang w:eastAsia="en-AU"/>
        </w:rPr>
      </w:pPr>
      <w:hyperlink w:anchor="_Toc91063511" w:history="1">
        <w:r w:rsidRPr="0077175E">
          <w:rPr>
            <w:rStyle w:val="Hyperlink"/>
            <w:noProof/>
          </w:rPr>
          <w:t>4.</w:t>
        </w:r>
        <w:r>
          <w:rPr>
            <w:rFonts w:eastAsiaTheme="minorEastAsia"/>
            <w:noProof/>
            <w:lang w:eastAsia="en-AU"/>
          </w:rPr>
          <w:tab/>
        </w:r>
        <w:r w:rsidRPr="0077175E">
          <w:rPr>
            <w:rStyle w:val="Hyperlink"/>
            <w:noProof/>
          </w:rPr>
          <w:t>Short Term Accommodation and Assistance (including the respite care)</w:t>
        </w:r>
        <w:r>
          <w:rPr>
            <w:noProof/>
            <w:webHidden/>
          </w:rPr>
          <w:tab/>
        </w:r>
        <w:r>
          <w:rPr>
            <w:noProof/>
            <w:webHidden/>
          </w:rPr>
          <w:fldChar w:fldCharType="begin"/>
        </w:r>
        <w:r>
          <w:rPr>
            <w:noProof/>
            <w:webHidden/>
          </w:rPr>
          <w:instrText xml:space="preserve"> PAGEREF _Toc91063511 \h </w:instrText>
        </w:r>
        <w:r>
          <w:rPr>
            <w:noProof/>
            <w:webHidden/>
          </w:rPr>
        </w:r>
        <w:r>
          <w:rPr>
            <w:noProof/>
            <w:webHidden/>
          </w:rPr>
          <w:fldChar w:fldCharType="separate"/>
        </w:r>
        <w:r>
          <w:rPr>
            <w:noProof/>
            <w:webHidden/>
          </w:rPr>
          <w:t>28</w:t>
        </w:r>
        <w:r>
          <w:rPr>
            <w:noProof/>
            <w:webHidden/>
          </w:rPr>
          <w:fldChar w:fldCharType="end"/>
        </w:r>
      </w:hyperlink>
    </w:p>
    <w:p w:rsidR="00DD6692" w:rsidRDefault="00DD6692">
      <w:pPr>
        <w:pStyle w:val="TOC3"/>
        <w:rPr>
          <w:rFonts w:eastAsiaTheme="minorEastAsia"/>
          <w:noProof/>
          <w:lang w:eastAsia="en-AU"/>
        </w:rPr>
      </w:pPr>
      <w:hyperlink w:anchor="_Toc91063512" w:history="1">
        <w:r w:rsidRPr="0077175E">
          <w:rPr>
            <w:rStyle w:val="Hyperlink"/>
            <w:noProof/>
          </w:rPr>
          <w:t>5.</w:t>
        </w:r>
        <w:r>
          <w:rPr>
            <w:rFonts w:eastAsiaTheme="minorEastAsia"/>
            <w:noProof/>
            <w:lang w:eastAsia="en-AU"/>
          </w:rPr>
          <w:tab/>
        </w:r>
        <w:r w:rsidRPr="0077175E">
          <w:rPr>
            <w:rStyle w:val="Hyperlink"/>
            <w:noProof/>
          </w:rPr>
          <w:t>Group Activities (Transitional Arrangement)</w:t>
        </w:r>
        <w:r>
          <w:rPr>
            <w:noProof/>
            <w:webHidden/>
          </w:rPr>
          <w:tab/>
        </w:r>
        <w:r>
          <w:rPr>
            <w:noProof/>
            <w:webHidden/>
          </w:rPr>
          <w:fldChar w:fldCharType="begin"/>
        </w:r>
        <w:r>
          <w:rPr>
            <w:noProof/>
            <w:webHidden/>
          </w:rPr>
          <w:instrText xml:space="preserve"> PAGEREF _Toc91063512 \h </w:instrText>
        </w:r>
        <w:r>
          <w:rPr>
            <w:noProof/>
            <w:webHidden/>
          </w:rPr>
        </w:r>
        <w:r>
          <w:rPr>
            <w:noProof/>
            <w:webHidden/>
          </w:rPr>
          <w:fldChar w:fldCharType="separate"/>
        </w:r>
        <w:r>
          <w:rPr>
            <w:noProof/>
            <w:webHidden/>
          </w:rPr>
          <w:t>29</w:t>
        </w:r>
        <w:r>
          <w:rPr>
            <w:noProof/>
            <w:webHidden/>
          </w:rPr>
          <w:fldChar w:fldCharType="end"/>
        </w:r>
      </w:hyperlink>
    </w:p>
    <w:p w:rsidR="00DD6692" w:rsidRDefault="00DD6692">
      <w:pPr>
        <w:pStyle w:val="TOC1"/>
        <w:rPr>
          <w:rFonts w:eastAsiaTheme="minorEastAsia"/>
          <w:b w:val="0"/>
          <w:noProof/>
          <w:lang w:eastAsia="en-AU"/>
        </w:rPr>
      </w:pPr>
      <w:hyperlink w:anchor="_Toc91063513" w:history="1">
        <w:r w:rsidRPr="0077175E">
          <w:rPr>
            <w:rStyle w:val="Hyperlink"/>
            <w:noProof/>
          </w:rPr>
          <w:t>Appendix 1 – Footnotes</w:t>
        </w:r>
        <w:r>
          <w:rPr>
            <w:noProof/>
            <w:webHidden/>
          </w:rPr>
          <w:tab/>
        </w:r>
        <w:r>
          <w:rPr>
            <w:noProof/>
            <w:webHidden/>
          </w:rPr>
          <w:fldChar w:fldCharType="begin"/>
        </w:r>
        <w:r>
          <w:rPr>
            <w:noProof/>
            <w:webHidden/>
          </w:rPr>
          <w:instrText xml:space="preserve"> PAGEREF _Toc91063513 \h </w:instrText>
        </w:r>
        <w:r>
          <w:rPr>
            <w:noProof/>
            <w:webHidden/>
          </w:rPr>
        </w:r>
        <w:r>
          <w:rPr>
            <w:noProof/>
            <w:webHidden/>
          </w:rPr>
          <w:fldChar w:fldCharType="separate"/>
        </w:r>
        <w:r>
          <w:rPr>
            <w:noProof/>
            <w:webHidden/>
          </w:rPr>
          <w:t>30</w:t>
        </w:r>
        <w:r>
          <w:rPr>
            <w:noProof/>
            <w:webHidden/>
          </w:rPr>
          <w:fldChar w:fldCharType="end"/>
        </w:r>
      </w:hyperlink>
    </w:p>
    <w:p w:rsidR="00EE5246" w:rsidRPr="00DD6692" w:rsidRDefault="0040062A" w:rsidP="001A3E36">
      <w:r w:rsidRPr="00DD6692">
        <w:fldChar w:fldCharType="end"/>
      </w:r>
    </w:p>
    <w:p w:rsidR="00CD7CF3" w:rsidRPr="00DD6692" w:rsidRDefault="00CD7CF3" w:rsidP="00315545">
      <w:pPr>
        <w:pStyle w:val="Heading1"/>
        <w:sectPr w:rsidR="00CD7CF3" w:rsidRPr="00DD6692" w:rsidSect="00A54E47">
          <w:pgSz w:w="11906" w:h="16838" w:code="9"/>
          <w:pgMar w:top="1440" w:right="1440" w:bottom="1440" w:left="1440" w:header="709" w:footer="709" w:gutter="0"/>
          <w:cols w:space="708"/>
          <w:titlePg/>
          <w:docGrid w:linePitch="360"/>
        </w:sectPr>
      </w:pPr>
      <w:bookmarkStart w:id="1" w:name="_Toc2341423"/>
    </w:p>
    <w:p w:rsidR="004D32B5" w:rsidRPr="00DD6692" w:rsidRDefault="00BD1DF8" w:rsidP="00315545">
      <w:pPr>
        <w:pStyle w:val="Heading1"/>
      </w:pPr>
      <w:bookmarkStart w:id="2" w:name="_Toc91063490"/>
      <w:bookmarkEnd w:id="1"/>
      <w:r w:rsidRPr="00DD6692">
        <w:t>Description of the Cost Model</w:t>
      </w:r>
      <w:bookmarkEnd w:id="2"/>
    </w:p>
    <w:p w:rsidR="004C63FA" w:rsidRPr="00DD6692" w:rsidRDefault="00BD1DF8" w:rsidP="0001758C">
      <w:r w:rsidRPr="00DD6692">
        <w:t>This chapter sets</w:t>
      </w:r>
      <w:r w:rsidR="00AC5E2D" w:rsidRPr="00DD6692">
        <w:t xml:space="preserve"> out the methodology and assumptions of the Cost Model that the NDIA uses to inform its pricing decisions for supports that are delivered by Dis</w:t>
      </w:r>
      <w:r w:rsidR="004C63FA" w:rsidRPr="00DD6692">
        <w:t>ability Support Workers (DSWs).</w:t>
      </w:r>
      <w:r w:rsidR="00C56F54" w:rsidRPr="00DD6692">
        <w:t xml:space="preserve"> Further information on the NDIA’s approach to pricing be found in the NDIA’s </w:t>
      </w:r>
      <w:r w:rsidR="00C56F54" w:rsidRPr="00DD6692">
        <w:rPr>
          <w:i/>
        </w:rPr>
        <w:t>Pricing Strategy</w:t>
      </w:r>
      <w:r w:rsidR="00C56F54" w:rsidRPr="00DD6692">
        <w:rPr>
          <w:rStyle w:val="FootnoteReference"/>
        </w:rPr>
        <w:footnoteReference w:id="2"/>
      </w:r>
      <w:r w:rsidR="00C56F54" w:rsidRPr="00DD6692">
        <w:t xml:space="preserve"> and in the report of the </w:t>
      </w:r>
      <w:r w:rsidR="00C56F54" w:rsidRPr="00DD6692">
        <w:rPr>
          <w:i/>
        </w:rPr>
        <w:t>Annual Pricing Review 2020-21</w:t>
      </w:r>
      <w:r w:rsidR="00C56F54" w:rsidRPr="00DD6692">
        <w:t>.</w:t>
      </w:r>
      <w:r w:rsidR="00C56F54" w:rsidRPr="00DD6692">
        <w:rPr>
          <w:rStyle w:val="FootnoteReference"/>
        </w:rPr>
        <w:footnoteReference w:id="3"/>
      </w:r>
    </w:p>
    <w:p w:rsidR="004C63FA" w:rsidRPr="00DD6692" w:rsidRDefault="0001758C" w:rsidP="0001758C">
      <w:r w:rsidRPr="00DD6692">
        <w:t xml:space="preserve">The </w:t>
      </w:r>
      <w:r w:rsidR="00C56F54" w:rsidRPr="00DD6692">
        <w:t xml:space="preserve">NDIS Disability Support Worker </w:t>
      </w:r>
      <w:r w:rsidR="00E27A53" w:rsidRPr="00DD6692">
        <w:t>Cost Model</w:t>
      </w:r>
      <w:r w:rsidRPr="00DD6692">
        <w:t xml:space="preserve"> est</w:t>
      </w:r>
      <w:r w:rsidR="00FF6030" w:rsidRPr="00DD6692">
        <w:t>imates the cost of delivering a billable</w:t>
      </w:r>
      <w:r w:rsidRPr="00DD6692">
        <w:t xml:space="preserve"> hour of support taking into account all of the costs associated with every billable hour, including</w:t>
      </w:r>
      <w:r w:rsidR="00FF6030" w:rsidRPr="00DD6692">
        <w:t>:</w:t>
      </w:r>
      <w:r w:rsidRPr="00DD6692">
        <w:t xml:space="preserve"> base pay; shift loadings; holiday pay; salary on costs; supervision costs; utilisation</w:t>
      </w:r>
      <w:r w:rsidR="00FF6030" w:rsidRPr="00DD6692">
        <w:t xml:space="preserve"> (non-billable activities)</w:t>
      </w:r>
      <w:r w:rsidRPr="00DD6692">
        <w:t xml:space="preserve">; </w:t>
      </w:r>
      <w:r w:rsidR="0088132C" w:rsidRPr="00DD6692">
        <w:t xml:space="preserve">employee allowances; </w:t>
      </w:r>
      <w:r w:rsidRPr="00DD6692">
        <w:t>corporate overheads and margin.</w:t>
      </w:r>
    </w:p>
    <w:p w:rsidR="00AF4F1F" w:rsidRPr="00DD6692" w:rsidRDefault="009C2D82" w:rsidP="0001758C">
      <w:r w:rsidRPr="00DD6692">
        <w:t>These estimates are the basis of the price limits set by the NDIA for supports delivered by DSWs, with price limit set at the level that can be ac</w:t>
      </w:r>
      <w:r w:rsidR="006B0D9B" w:rsidRPr="00DD6692">
        <w:t xml:space="preserve">hieved by </w:t>
      </w:r>
      <w:r w:rsidRPr="00DD6692">
        <w:t>providers</w:t>
      </w:r>
      <w:r w:rsidR="006B0D9B" w:rsidRPr="00DD6692">
        <w:t xml:space="preserve"> who match the benchmarks set by their reasonable efficient competitors</w:t>
      </w:r>
      <w:r w:rsidRPr="00DD6692">
        <w:t>.</w:t>
      </w:r>
      <w:r w:rsidR="009A65FC" w:rsidRPr="00DD6692">
        <w:t xml:space="preserve"> Of course, the costs of providers are driven by a number of different factors, all of which are reflected in the Cost Model. Providers may overachieve on some benchmarks and underachieve on others.</w:t>
      </w:r>
    </w:p>
    <w:p w:rsidR="005F077D" w:rsidRPr="00DD6692" w:rsidRDefault="005F077D" w:rsidP="005F077D">
      <w:r w:rsidRPr="00DD6692">
        <w:t>Sustainable price levels are set with reference to the revealed economics of current providers. They are determined by the outcomes achieved by the most efficient (the 25th percentile) of providers. This means that at least 25 per cent of providers in the sector are currently operating at better than this cost benchmark.</w:t>
      </w:r>
      <w:r w:rsidRPr="00DD6692">
        <w:rPr>
          <w:rStyle w:val="FootnoteReference"/>
        </w:rPr>
        <w:footnoteReference w:id="4"/>
      </w:r>
      <w:r w:rsidRPr="00DD6692">
        <w:t xml:space="preserve"> The NDIA considers that these benchmarks therefore represent reasonable targets for providers to aim for in the delivery of their services.</w:t>
      </w:r>
      <w:r w:rsidR="00DD25B2" w:rsidRPr="00DD6692">
        <w:t xml:space="preserve"> </w:t>
      </w:r>
    </w:p>
    <w:p w:rsidR="001D5AE6" w:rsidRPr="00DD6692" w:rsidRDefault="0001758C" w:rsidP="004C63FA">
      <w:pPr>
        <w:pStyle w:val="Heading2"/>
      </w:pPr>
      <w:bookmarkStart w:id="3" w:name="_Toc44506366"/>
      <w:bookmarkStart w:id="4" w:name="_Toc44511371"/>
      <w:bookmarkStart w:id="5" w:name="_Toc44511742"/>
      <w:bookmarkStart w:id="6" w:name="_Toc91063491"/>
      <w:bookmarkEnd w:id="3"/>
      <w:bookmarkEnd w:id="4"/>
      <w:bookmarkEnd w:id="5"/>
      <w:r w:rsidRPr="00DD6692">
        <w:t>Applicable Industrial Award</w:t>
      </w:r>
      <w:bookmarkEnd w:id="6"/>
    </w:p>
    <w:p w:rsidR="0001758C" w:rsidRPr="00DD6692" w:rsidRDefault="0001758C" w:rsidP="004C63FA">
      <w:pPr>
        <w:keepNext/>
      </w:pPr>
      <w:r w:rsidRPr="00DD6692">
        <w:t xml:space="preserve">The national award for DSWs is the </w:t>
      </w:r>
      <w:bookmarkStart w:id="7" w:name="_Ref18506169"/>
      <w:r w:rsidRPr="00DD6692">
        <w:rPr>
          <w:i/>
        </w:rPr>
        <w:t>Social, Community, Home Care and Disability Services Industry Award 2010</w:t>
      </w:r>
      <w:r w:rsidR="00975BC5" w:rsidRPr="00DD6692">
        <w:rPr>
          <w:i/>
        </w:rPr>
        <w:t xml:space="preserve"> </w:t>
      </w:r>
      <w:r w:rsidR="00975BC5" w:rsidRPr="00DD6692">
        <w:t>(SCHADS Award)</w:t>
      </w:r>
      <w:r w:rsidRPr="00DD6692">
        <w:t>.</w:t>
      </w:r>
      <w:r w:rsidRPr="00DD6692">
        <w:rPr>
          <w:rStyle w:val="FootnoteReference"/>
        </w:rPr>
        <w:footnoteReference w:id="5"/>
      </w:r>
      <w:r w:rsidRPr="00DD6692">
        <w:t xml:space="preserve"> The NDIA recognises that some DSWs are employed under Enterprise Bargaining Agreements (EBAs). However, these EBAs have to leave the worker no worse off overall than </w:t>
      </w:r>
      <w:r w:rsidR="00294FA5" w:rsidRPr="00DD6692">
        <w:t xml:space="preserve">they would be under </w:t>
      </w:r>
      <w:r w:rsidRPr="00DD6692">
        <w:t>the relevan</w:t>
      </w:r>
      <w:r w:rsidR="00294FA5" w:rsidRPr="00DD6692">
        <w:t>t Award</w:t>
      </w:r>
      <w:r w:rsidR="00E27A53" w:rsidRPr="00DD6692">
        <w:t>. A</w:t>
      </w:r>
      <w:r w:rsidR="00294FA5" w:rsidRPr="00DD6692">
        <w:t xml:space="preserve">ny additional benefits offered by EBAs over the Award have been agreed to by providers and </w:t>
      </w:r>
      <w:r w:rsidR="00E41E33" w:rsidRPr="00DD6692">
        <w:t xml:space="preserve">are </w:t>
      </w:r>
      <w:r w:rsidR="00294FA5" w:rsidRPr="00DD6692">
        <w:t xml:space="preserve">often offset by productivity gains. The </w:t>
      </w:r>
      <w:r w:rsidR="00FF6030" w:rsidRPr="00DD6692">
        <w:t xml:space="preserve">NDIA therefore considers the conditions set out in the </w:t>
      </w:r>
      <w:r w:rsidR="00294FA5" w:rsidRPr="00DD6692">
        <w:t xml:space="preserve">SCHADS Award </w:t>
      </w:r>
      <w:r w:rsidR="00FF6030" w:rsidRPr="00DD6692">
        <w:t xml:space="preserve">to be the appropriate foundation for the </w:t>
      </w:r>
      <w:r w:rsidR="00E27A53" w:rsidRPr="00DD6692">
        <w:t>Cost Model</w:t>
      </w:r>
      <w:r w:rsidR="00294FA5" w:rsidRPr="00DD6692">
        <w:t>.</w:t>
      </w:r>
    </w:p>
    <w:p w:rsidR="00F61CF7" w:rsidRPr="00DD6692" w:rsidRDefault="00F61CF7" w:rsidP="00315545">
      <w:pPr>
        <w:pStyle w:val="Heading2"/>
      </w:pPr>
      <w:bookmarkStart w:id="8" w:name="_Toc91063492"/>
      <w:r w:rsidRPr="00DD6692">
        <w:t>Base Pay</w:t>
      </w:r>
      <w:bookmarkEnd w:id="7"/>
      <w:bookmarkEnd w:id="8"/>
    </w:p>
    <w:p w:rsidR="005F077D" w:rsidRPr="00DD6692" w:rsidRDefault="005F077D" w:rsidP="005F077D">
      <w:r w:rsidRPr="00DD6692">
        <w:t>The NDIA recognises that providers have to employ DSWs with different skill levels and levels of experience to meet the different needs of participants. The Cost Model therefore has different sets of cost assumptions for four types of workers (DSW Level A, DSW Level B, DSW Level C and DSW Level D).</w:t>
      </w:r>
    </w:p>
    <w:p w:rsidR="00BB06ED" w:rsidRPr="00DD6692" w:rsidRDefault="00BB06ED" w:rsidP="00294FA5">
      <w:r w:rsidRPr="00DD6692">
        <w:fldChar w:fldCharType="begin"/>
      </w:r>
      <w:r w:rsidRPr="00DD6692">
        <w:instrText xml:space="preserve"> REF _Ref16507557 \h </w:instrText>
      </w:r>
      <w:r w:rsidR="00DD6692">
        <w:instrText xml:space="preserve"> \* MERGEFORMAT </w:instrText>
      </w:r>
      <w:r w:rsidRPr="00DD6692">
        <w:fldChar w:fldCharType="separate"/>
      </w:r>
      <w:r w:rsidR="00DD6692" w:rsidRPr="00DD6692">
        <w:t xml:space="preserve">Table </w:t>
      </w:r>
      <w:r w:rsidR="00DD6692">
        <w:rPr>
          <w:noProof/>
        </w:rPr>
        <w:t>1</w:t>
      </w:r>
      <w:r w:rsidRPr="00DD6692">
        <w:fldChar w:fldCharType="end"/>
      </w:r>
      <w:r w:rsidR="00294FA5" w:rsidRPr="00DD6692">
        <w:t xml:space="preserve"> sets out the </w:t>
      </w:r>
      <w:r w:rsidR="00E27A53" w:rsidRPr="00DD6692">
        <w:t>Cost Model’</w:t>
      </w:r>
      <w:r w:rsidR="00294FA5" w:rsidRPr="00DD6692">
        <w:t>s assumptions with respect to the base pay of DSWs.</w:t>
      </w:r>
      <w:r w:rsidR="00294FA5" w:rsidRPr="00DD6692">
        <w:rPr>
          <w:rStyle w:val="FootnoteReference"/>
        </w:rPr>
        <w:footnoteReference w:id="6"/>
      </w:r>
    </w:p>
    <w:p w:rsidR="009172F1" w:rsidRPr="00DD6692" w:rsidRDefault="009172F1" w:rsidP="00773F6C">
      <w:pPr>
        <w:pStyle w:val="Caption"/>
        <w:keepNext w:val="0"/>
      </w:pPr>
      <w:bookmarkStart w:id="9" w:name="_Ref16507557"/>
      <w:bookmarkStart w:id="10" w:name="_Toc17059298"/>
      <w:r w:rsidRPr="00DD6692">
        <w:t xml:space="preserve">Table </w:t>
      </w:r>
      <w:fldSimple w:instr=" SEQ Table \* ARABIC ">
        <w:r w:rsidR="00DD6692">
          <w:rPr>
            <w:noProof/>
          </w:rPr>
          <w:t>1</w:t>
        </w:r>
      </w:fldSimple>
      <w:bookmarkEnd w:id="9"/>
      <w:r w:rsidRPr="00DD6692">
        <w:t xml:space="preserve">: </w:t>
      </w:r>
      <w:bookmarkEnd w:id="10"/>
      <w:r w:rsidR="00227122" w:rsidRPr="00DD6692">
        <w:t>Assumed</w:t>
      </w:r>
      <w:r w:rsidRPr="00DD6692">
        <w:t xml:space="preserve"> SCHADS </w:t>
      </w:r>
      <w:r w:rsidR="001A1BE7" w:rsidRPr="00DD6692">
        <w:t>Classifications and Pay R</w:t>
      </w:r>
      <w:r w:rsidR="00CD7CF3" w:rsidRPr="00DD6692">
        <w:t>ates</w:t>
      </w:r>
      <w:r w:rsidR="00BD1DF8" w:rsidRPr="00DD6692">
        <w:t>, 1 July 2021</w:t>
      </w:r>
    </w:p>
    <w:tbl>
      <w:tblPr>
        <w:tblStyle w:val="GridTable4-Accent4"/>
        <w:tblW w:w="5000" w:type="pct"/>
        <w:tblLook w:val="0420" w:firstRow="1" w:lastRow="0" w:firstColumn="0" w:lastColumn="0" w:noHBand="0" w:noVBand="1"/>
        <w:tblDescription w:val="Table 1: Assumed SCHADS Classifications and Pay Rates, 1 July 2020"/>
      </w:tblPr>
      <w:tblGrid>
        <w:gridCol w:w="2688"/>
        <w:gridCol w:w="3623"/>
        <w:gridCol w:w="2705"/>
      </w:tblGrid>
      <w:tr w:rsidR="00BD4CDE" w:rsidRPr="00DD6692" w:rsidTr="00BD1DF8">
        <w:trPr>
          <w:cnfStyle w:val="100000000000" w:firstRow="1" w:lastRow="0" w:firstColumn="0" w:lastColumn="0" w:oddVBand="0" w:evenVBand="0" w:oddHBand="0" w:evenHBand="0" w:firstRowFirstColumn="0" w:firstRowLastColumn="0" w:lastRowFirstColumn="0" w:lastRowLastColumn="0"/>
          <w:trHeight w:val="289"/>
          <w:tblHeader/>
        </w:trPr>
        <w:tc>
          <w:tcPr>
            <w:tcW w:w="1491" w:type="pct"/>
            <w:hideMark/>
          </w:tcPr>
          <w:p w:rsidR="00BD4CDE" w:rsidRPr="00DD6692" w:rsidRDefault="00BD4CDE" w:rsidP="00773F6C">
            <w:pPr>
              <w:spacing w:before="40" w:after="40" w:line="240" w:lineRule="atLeast"/>
              <w:rPr>
                <w:rFonts w:ascii="Calibri" w:hAnsi="Calibri" w:cs="Calibri"/>
                <w:sz w:val="18"/>
                <w:szCs w:val="18"/>
              </w:rPr>
            </w:pPr>
          </w:p>
        </w:tc>
        <w:tc>
          <w:tcPr>
            <w:tcW w:w="2009" w:type="pct"/>
            <w:hideMark/>
          </w:tcPr>
          <w:p w:rsidR="00BD4CDE" w:rsidRPr="00DD6692" w:rsidRDefault="00227122" w:rsidP="00773F6C">
            <w:pPr>
              <w:spacing w:before="40" w:after="40" w:line="240" w:lineRule="atLeast"/>
              <w:jc w:val="center"/>
              <w:rPr>
                <w:sz w:val="18"/>
                <w:szCs w:val="18"/>
              </w:rPr>
            </w:pPr>
            <w:r w:rsidRPr="00DD6692">
              <w:rPr>
                <w:sz w:val="18"/>
                <w:szCs w:val="18"/>
              </w:rPr>
              <w:t>Assumed</w:t>
            </w:r>
            <w:r w:rsidR="00294FA5" w:rsidRPr="00DD6692">
              <w:rPr>
                <w:sz w:val="18"/>
                <w:szCs w:val="18"/>
              </w:rPr>
              <w:t xml:space="preserve"> </w:t>
            </w:r>
            <w:r w:rsidR="00BD4CDE" w:rsidRPr="00DD6692">
              <w:rPr>
                <w:sz w:val="18"/>
                <w:szCs w:val="18"/>
              </w:rPr>
              <w:t>SCHADS Classification</w:t>
            </w:r>
          </w:p>
        </w:tc>
        <w:tc>
          <w:tcPr>
            <w:tcW w:w="1500" w:type="pct"/>
          </w:tcPr>
          <w:p w:rsidR="00CD7CF3" w:rsidRPr="00DD6692" w:rsidRDefault="00FD55CF" w:rsidP="00773F6C">
            <w:pPr>
              <w:spacing w:before="40" w:after="40" w:line="240" w:lineRule="atLeast"/>
              <w:jc w:val="center"/>
              <w:rPr>
                <w:b w:val="0"/>
                <w:bCs w:val="0"/>
                <w:sz w:val="18"/>
                <w:szCs w:val="18"/>
                <w:lang w:eastAsia="en-AU"/>
              </w:rPr>
            </w:pPr>
            <w:r w:rsidRPr="00DD6692">
              <w:rPr>
                <w:sz w:val="18"/>
                <w:szCs w:val="18"/>
              </w:rPr>
              <w:t>Award Hourly Rate</w:t>
            </w:r>
          </w:p>
        </w:tc>
      </w:tr>
      <w:tr w:rsidR="00BD4CDE" w:rsidRPr="00DD6692" w:rsidTr="00BD1DF8">
        <w:trPr>
          <w:cnfStyle w:val="000000100000" w:firstRow="0" w:lastRow="0" w:firstColumn="0" w:lastColumn="0" w:oddVBand="0" w:evenVBand="0" w:oddHBand="1" w:evenHBand="0" w:firstRowFirstColumn="0" w:firstRowLastColumn="0" w:lastRowFirstColumn="0" w:lastRowLastColumn="0"/>
          <w:trHeight w:val="300"/>
        </w:trPr>
        <w:tc>
          <w:tcPr>
            <w:tcW w:w="1491" w:type="pct"/>
            <w:hideMark/>
          </w:tcPr>
          <w:p w:rsidR="00BD4CDE" w:rsidRPr="00DD6692" w:rsidRDefault="00BD1DF8" w:rsidP="00773F6C">
            <w:pPr>
              <w:spacing w:before="40" w:after="40" w:line="240" w:lineRule="atLeast"/>
              <w:rPr>
                <w:sz w:val="18"/>
                <w:szCs w:val="18"/>
              </w:rPr>
            </w:pPr>
            <w:r w:rsidRPr="00DD6692">
              <w:rPr>
                <w:sz w:val="18"/>
                <w:szCs w:val="18"/>
              </w:rPr>
              <w:t>DSW Level A</w:t>
            </w:r>
          </w:p>
        </w:tc>
        <w:tc>
          <w:tcPr>
            <w:tcW w:w="2009" w:type="pct"/>
            <w:noWrap/>
            <w:hideMark/>
          </w:tcPr>
          <w:p w:rsidR="00BD4CDE" w:rsidRPr="00DD6692" w:rsidRDefault="00BD4CDE" w:rsidP="00773F6C">
            <w:pPr>
              <w:spacing w:before="40" w:after="40" w:line="240" w:lineRule="atLeast"/>
              <w:jc w:val="center"/>
              <w:rPr>
                <w:sz w:val="18"/>
                <w:szCs w:val="18"/>
              </w:rPr>
            </w:pPr>
            <w:r w:rsidRPr="00DD6692">
              <w:rPr>
                <w:sz w:val="18"/>
                <w:szCs w:val="18"/>
              </w:rPr>
              <w:t>2.3</w:t>
            </w:r>
          </w:p>
        </w:tc>
        <w:tc>
          <w:tcPr>
            <w:tcW w:w="1500" w:type="pct"/>
          </w:tcPr>
          <w:p w:rsidR="00BD4CDE" w:rsidRPr="00DD6692" w:rsidRDefault="00BD4CDE" w:rsidP="009206DC">
            <w:pPr>
              <w:spacing w:before="40" w:after="40" w:line="240" w:lineRule="atLeast"/>
              <w:jc w:val="center"/>
              <w:rPr>
                <w:bCs/>
                <w:color w:val="000000"/>
                <w:sz w:val="18"/>
                <w:szCs w:val="18"/>
                <w:lang w:eastAsia="en-AU"/>
              </w:rPr>
            </w:pPr>
            <w:r w:rsidRPr="00DD6692">
              <w:rPr>
                <w:sz w:val="18"/>
                <w:szCs w:val="18"/>
              </w:rPr>
              <w:t>$</w:t>
            </w:r>
            <w:r w:rsidR="009206DC" w:rsidRPr="00DD6692">
              <w:rPr>
                <w:sz w:val="18"/>
                <w:szCs w:val="18"/>
              </w:rPr>
              <w:t>30.94</w:t>
            </w:r>
          </w:p>
        </w:tc>
      </w:tr>
      <w:tr w:rsidR="00BD4CDE" w:rsidRPr="00DD6692" w:rsidTr="00BD1DF8">
        <w:trPr>
          <w:trHeight w:val="300"/>
        </w:trPr>
        <w:tc>
          <w:tcPr>
            <w:tcW w:w="1491" w:type="pct"/>
            <w:hideMark/>
          </w:tcPr>
          <w:p w:rsidR="00BD4CDE" w:rsidRPr="00DD6692" w:rsidRDefault="00BD1DF8" w:rsidP="00773F6C">
            <w:pPr>
              <w:spacing w:before="40" w:after="40" w:line="240" w:lineRule="atLeast"/>
              <w:rPr>
                <w:sz w:val="18"/>
                <w:szCs w:val="18"/>
              </w:rPr>
            </w:pPr>
            <w:r w:rsidRPr="00DD6692">
              <w:rPr>
                <w:sz w:val="18"/>
                <w:szCs w:val="18"/>
              </w:rPr>
              <w:t>DSW Level B</w:t>
            </w:r>
          </w:p>
        </w:tc>
        <w:tc>
          <w:tcPr>
            <w:tcW w:w="2009" w:type="pct"/>
            <w:noWrap/>
            <w:hideMark/>
          </w:tcPr>
          <w:p w:rsidR="00BD4CDE" w:rsidRPr="00DD6692" w:rsidRDefault="00BD4CDE" w:rsidP="00773F6C">
            <w:pPr>
              <w:spacing w:before="40" w:after="40" w:line="240" w:lineRule="atLeast"/>
              <w:jc w:val="center"/>
              <w:rPr>
                <w:sz w:val="18"/>
                <w:szCs w:val="18"/>
              </w:rPr>
            </w:pPr>
            <w:r w:rsidRPr="00DD6692">
              <w:rPr>
                <w:sz w:val="18"/>
                <w:szCs w:val="18"/>
              </w:rPr>
              <w:t>2.4/3.1</w:t>
            </w:r>
          </w:p>
        </w:tc>
        <w:tc>
          <w:tcPr>
            <w:tcW w:w="1500" w:type="pct"/>
          </w:tcPr>
          <w:p w:rsidR="00BD4CDE" w:rsidRPr="00DD6692" w:rsidRDefault="00BD4CDE" w:rsidP="009206DC">
            <w:pPr>
              <w:spacing w:before="40" w:after="40" w:line="240" w:lineRule="atLeast"/>
              <w:jc w:val="center"/>
              <w:rPr>
                <w:bCs/>
                <w:color w:val="000000"/>
                <w:sz w:val="18"/>
                <w:szCs w:val="18"/>
                <w:lang w:eastAsia="en-AU"/>
              </w:rPr>
            </w:pPr>
            <w:r w:rsidRPr="00DD6692">
              <w:rPr>
                <w:sz w:val="18"/>
                <w:szCs w:val="18"/>
              </w:rPr>
              <w:t>$</w:t>
            </w:r>
            <w:r w:rsidR="009206DC" w:rsidRPr="00DD6692">
              <w:rPr>
                <w:sz w:val="18"/>
                <w:szCs w:val="18"/>
              </w:rPr>
              <w:t>32.16</w:t>
            </w:r>
          </w:p>
        </w:tc>
      </w:tr>
      <w:tr w:rsidR="00BD4CDE" w:rsidRPr="00DD6692" w:rsidTr="00BD1DF8">
        <w:trPr>
          <w:cnfStyle w:val="000000100000" w:firstRow="0" w:lastRow="0" w:firstColumn="0" w:lastColumn="0" w:oddVBand="0" w:evenVBand="0" w:oddHBand="1" w:evenHBand="0" w:firstRowFirstColumn="0" w:firstRowLastColumn="0" w:lastRowFirstColumn="0" w:lastRowLastColumn="0"/>
          <w:trHeight w:val="300"/>
        </w:trPr>
        <w:tc>
          <w:tcPr>
            <w:tcW w:w="1491" w:type="pct"/>
            <w:hideMark/>
          </w:tcPr>
          <w:p w:rsidR="00BD4CDE" w:rsidRPr="00DD6692" w:rsidRDefault="00BD1DF8" w:rsidP="00773F6C">
            <w:pPr>
              <w:spacing w:before="40" w:after="40" w:line="240" w:lineRule="atLeast"/>
              <w:rPr>
                <w:sz w:val="18"/>
                <w:szCs w:val="18"/>
              </w:rPr>
            </w:pPr>
            <w:r w:rsidRPr="00DD6692">
              <w:rPr>
                <w:sz w:val="18"/>
                <w:szCs w:val="18"/>
              </w:rPr>
              <w:t>DSW Level C</w:t>
            </w:r>
          </w:p>
        </w:tc>
        <w:tc>
          <w:tcPr>
            <w:tcW w:w="2009" w:type="pct"/>
            <w:noWrap/>
            <w:hideMark/>
          </w:tcPr>
          <w:p w:rsidR="00BD4CDE" w:rsidRPr="00DD6692" w:rsidRDefault="00BD4CDE" w:rsidP="00773F6C">
            <w:pPr>
              <w:spacing w:before="40" w:after="40" w:line="240" w:lineRule="atLeast"/>
              <w:jc w:val="center"/>
              <w:rPr>
                <w:sz w:val="18"/>
                <w:szCs w:val="18"/>
              </w:rPr>
            </w:pPr>
            <w:r w:rsidRPr="00DD6692">
              <w:rPr>
                <w:sz w:val="18"/>
                <w:szCs w:val="18"/>
              </w:rPr>
              <w:t>3.2</w:t>
            </w:r>
          </w:p>
        </w:tc>
        <w:tc>
          <w:tcPr>
            <w:tcW w:w="1500" w:type="pct"/>
          </w:tcPr>
          <w:p w:rsidR="00BD4CDE" w:rsidRPr="00DD6692" w:rsidRDefault="00BD4CDE" w:rsidP="009206DC">
            <w:pPr>
              <w:spacing w:before="40" w:after="40" w:line="240" w:lineRule="atLeast"/>
              <w:jc w:val="center"/>
              <w:rPr>
                <w:bCs/>
                <w:color w:val="000000"/>
                <w:sz w:val="18"/>
                <w:szCs w:val="18"/>
                <w:lang w:eastAsia="en-AU"/>
              </w:rPr>
            </w:pPr>
            <w:r w:rsidRPr="00DD6692">
              <w:rPr>
                <w:sz w:val="18"/>
                <w:szCs w:val="18"/>
              </w:rPr>
              <w:t>$</w:t>
            </w:r>
            <w:r w:rsidR="009206DC" w:rsidRPr="00DD6692">
              <w:rPr>
                <w:sz w:val="18"/>
                <w:szCs w:val="18"/>
              </w:rPr>
              <w:t>33.48</w:t>
            </w:r>
          </w:p>
        </w:tc>
      </w:tr>
      <w:tr w:rsidR="007075DE" w:rsidRPr="00DD6692" w:rsidTr="00BD1DF8">
        <w:trPr>
          <w:trHeight w:val="300"/>
        </w:trPr>
        <w:tc>
          <w:tcPr>
            <w:tcW w:w="1491" w:type="pct"/>
          </w:tcPr>
          <w:p w:rsidR="007075DE" w:rsidRPr="00DD6692" w:rsidRDefault="00BD1DF8" w:rsidP="00773F6C">
            <w:pPr>
              <w:spacing w:before="40" w:after="40" w:line="240" w:lineRule="atLeast"/>
              <w:rPr>
                <w:sz w:val="18"/>
                <w:szCs w:val="18"/>
              </w:rPr>
            </w:pPr>
            <w:r w:rsidRPr="00DD6692">
              <w:rPr>
                <w:sz w:val="18"/>
                <w:szCs w:val="18"/>
              </w:rPr>
              <w:t>DSW Level D</w:t>
            </w:r>
          </w:p>
        </w:tc>
        <w:tc>
          <w:tcPr>
            <w:tcW w:w="2009" w:type="pct"/>
            <w:noWrap/>
          </w:tcPr>
          <w:p w:rsidR="007075DE" w:rsidRPr="00DD6692" w:rsidRDefault="007075DE" w:rsidP="00773F6C">
            <w:pPr>
              <w:spacing w:before="40" w:after="40" w:line="240" w:lineRule="atLeast"/>
              <w:jc w:val="center"/>
              <w:rPr>
                <w:sz w:val="18"/>
                <w:szCs w:val="18"/>
              </w:rPr>
            </w:pPr>
            <w:r w:rsidRPr="00DD6692">
              <w:rPr>
                <w:sz w:val="18"/>
                <w:szCs w:val="18"/>
              </w:rPr>
              <w:t>4.4</w:t>
            </w:r>
          </w:p>
        </w:tc>
        <w:tc>
          <w:tcPr>
            <w:tcW w:w="1500" w:type="pct"/>
          </w:tcPr>
          <w:p w:rsidR="007075DE" w:rsidRPr="00DD6692" w:rsidRDefault="007075DE" w:rsidP="009206DC">
            <w:pPr>
              <w:spacing w:before="40" w:after="40" w:line="240" w:lineRule="atLeast"/>
              <w:jc w:val="center"/>
              <w:rPr>
                <w:sz w:val="18"/>
                <w:szCs w:val="18"/>
              </w:rPr>
            </w:pPr>
            <w:r w:rsidRPr="00DD6692">
              <w:rPr>
                <w:sz w:val="18"/>
                <w:szCs w:val="18"/>
              </w:rPr>
              <w:t>$</w:t>
            </w:r>
            <w:r w:rsidR="009206DC" w:rsidRPr="00DD6692">
              <w:rPr>
                <w:sz w:val="18"/>
                <w:szCs w:val="18"/>
              </w:rPr>
              <w:t>40.39</w:t>
            </w:r>
          </w:p>
        </w:tc>
      </w:tr>
    </w:tbl>
    <w:p w:rsidR="00F61CF7" w:rsidRPr="00DD6692" w:rsidRDefault="00F61CF7" w:rsidP="00315545">
      <w:pPr>
        <w:pStyle w:val="Heading2"/>
      </w:pPr>
      <w:bookmarkStart w:id="11" w:name="_Toc91063493"/>
      <w:r w:rsidRPr="00DD6692">
        <w:t>Shift Loadings</w:t>
      </w:r>
      <w:bookmarkEnd w:id="11"/>
    </w:p>
    <w:p w:rsidR="007751F4" w:rsidRPr="00DD6692" w:rsidRDefault="001A1BE7" w:rsidP="00B658AF">
      <w:r w:rsidRPr="00DD6692">
        <w:fldChar w:fldCharType="begin"/>
      </w:r>
      <w:r w:rsidRPr="00DD6692">
        <w:instrText xml:space="preserve"> REF _Ref19024282 \h </w:instrText>
      </w:r>
      <w:r w:rsidR="00B658AF" w:rsidRPr="00DD6692">
        <w:instrText xml:space="preserve"> \* MERGEFORMAT </w:instrText>
      </w:r>
      <w:r w:rsidRPr="00DD6692">
        <w:fldChar w:fldCharType="separate"/>
      </w:r>
      <w:r w:rsidR="00DD6692" w:rsidRPr="00DD6692">
        <w:t xml:space="preserve">Table </w:t>
      </w:r>
      <w:r w:rsidR="00DD6692">
        <w:rPr>
          <w:noProof/>
        </w:rPr>
        <w:t>2</w:t>
      </w:r>
      <w:r w:rsidRPr="00DD6692">
        <w:fldChar w:fldCharType="end"/>
      </w:r>
      <w:r w:rsidRPr="00DD6692">
        <w:t xml:space="preserve"> sets out the </w:t>
      </w:r>
      <w:r w:rsidR="00E27A53" w:rsidRPr="00DD6692">
        <w:t>Cost Model</w:t>
      </w:r>
      <w:r w:rsidRPr="00DD6692">
        <w:t xml:space="preserve">’s assumptions with respect to shift loadings. These assumptions are </w:t>
      </w:r>
      <w:r w:rsidR="00E27A53" w:rsidRPr="00DD6692">
        <w:t>based on</w:t>
      </w:r>
      <w:r w:rsidRPr="00DD6692">
        <w:t xml:space="preserve"> the SCHAD</w:t>
      </w:r>
      <w:r w:rsidR="00E41E33" w:rsidRPr="00DD6692">
        <w:t>S</w:t>
      </w:r>
      <w:r w:rsidRPr="00DD6692">
        <w:t xml:space="preserve"> Award.</w:t>
      </w:r>
      <w:r w:rsidR="00C46EEB" w:rsidRPr="00DD6692">
        <w:rPr>
          <w:rStyle w:val="FootnoteReference"/>
        </w:rPr>
        <w:footnoteReference w:id="7"/>
      </w:r>
      <w:r w:rsidR="00B658AF" w:rsidRPr="00DD6692">
        <w:t xml:space="preserve"> </w:t>
      </w:r>
    </w:p>
    <w:p w:rsidR="00BB06ED" w:rsidRPr="00DD6692" w:rsidRDefault="00BB06ED" w:rsidP="00BB06ED">
      <w:pPr>
        <w:pStyle w:val="Caption"/>
      </w:pPr>
      <w:bookmarkStart w:id="12" w:name="_Ref19024282"/>
      <w:r w:rsidRPr="00DD6692">
        <w:t xml:space="preserve">Table </w:t>
      </w:r>
      <w:fldSimple w:instr=" SEQ Table \* ARABIC ">
        <w:r w:rsidR="00DD6692">
          <w:rPr>
            <w:noProof/>
          </w:rPr>
          <w:t>2</w:t>
        </w:r>
      </w:fldSimple>
      <w:bookmarkEnd w:id="12"/>
      <w:r w:rsidRPr="00DD6692">
        <w:t xml:space="preserve">: </w:t>
      </w:r>
      <w:bookmarkStart w:id="13" w:name="_Ref19024272"/>
      <w:r w:rsidR="00A52707" w:rsidRPr="00DD6692">
        <w:t>Shift Loadings</w:t>
      </w:r>
      <w:bookmarkEnd w:id="13"/>
      <w:r w:rsidR="00BD1DF8" w:rsidRPr="00DD6692">
        <w:t>, 1 July 2021</w:t>
      </w:r>
    </w:p>
    <w:tbl>
      <w:tblPr>
        <w:tblStyle w:val="GridTable4-Accent4"/>
        <w:tblW w:w="5000" w:type="pct"/>
        <w:tblLook w:val="0420" w:firstRow="1" w:lastRow="0" w:firstColumn="0" w:lastColumn="0" w:noHBand="0" w:noVBand="1"/>
        <w:tblDescription w:val="Table 2: Shift Loadings, 1 July 2020"/>
      </w:tblPr>
      <w:tblGrid>
        <w:gridCol w:w="3006"/>
        <w:gridCol w:w="3006"/>
        <w:gridCol w:w="3004"/>
      </w:tblGrid>
      <w:tr w:rsidR="000E200F" w:rsidRPr="00DD6692" w:rsidTr="00BD1DF8">
        <w:trPr>
          <w:cnfStyle w:val="100000000000" w:firstRow="1" w:lastRow="0" w:firstColumn="0" w:lastColumn="0" w:oddVBand="0" w:evenVBand="0" w:oddHBand="0" w:evenHBand="0" w:firstRowFirstColumn="0" w:firstRowLastColumn="0" w:lastRowFirstColumn="0" w:lastRowLastColumn="0"/>
          <w:trHeight w:val="289"/>
          <w:tblHeader/>
        </w:trPr>
        <w:tc>
          <w:tcPr>
            <w:tcW w:w="1667" w:type="pct"/>
            <w:hideMark/>
          </w:tcPr>
          <w:p w:rsidR="000E200F" w:rsidRPr="00DD6692" w:rsidRDefault="000E200F" w:rsidP="00BB06ED">
            <w:pPr>
              <w:spacing w:before="40" w:after="40" w:line="240" w:lineRule="atLeast"/>
              <w:rPr>
                <w:rFonts w:ascii="Calibri" w:hAnsi="Calibri" w:cs="Calibri"/>
                <w:sz w:val="18"/>
                <w:szCs w:val="18"/>
              </w:rPr>
            </w:pPr>
            <w:r w:rsidRPr="00DD6692">
              <w:rPr>
                <w:sz w:val="18"/>
                <w:szCs w:val="18"/>
              </w:rPr>
              <w:t>Shift</w:t>
            </w:r>
          </w:p>
        </w:tc>
        <w:tc>
          <w:tcPr>
            <w:tcW w:w="1667" w:type="pct"/>
            <w:hideMark/>
          </w:tcPr>
          <w:p w:rsidR="000E200F" w:rsidRPr="00DD6692" w:rsidRDefault="000E200F" w:rsidP="004E6680">
            <w:pPr>
              <w:spacing w:before="40" w:after="40" w:line="240" w:lineRule="atLeast"/>
              <w:jc w:val="center"/>
              <w:rPr>
                <w:sz w:val="18"/>
                <w:szCs w:val="18"/>
              </w:rPr>
            </w:pPr>
            <w:r w:rsidRPr="00DD6692">
              <w:rPr>
                <w:sz w:val="18"/>
                <w:szCs w:val="18"/>
              </w:rPr>
              <w:t xml:space="preserve"> Permanent Loading </w:t>
            </w:r>
          </w:p>
        </w:tc>
        <w:tc>
          <w:tcPr>
            <w:tcW w:w="1667" w:type="pct"/>
          </w:tcPr>
          <w:p w:rsidR="000E200F" w:rsidRPr="00DD6692" w:rsidRDefault="000E200F" w:rsidP="004E6680">
            <w:pPr>
              <w:spacing w:before="40" w:after="40" w:line="240" w:lineRule="atLeast"/>
              <w:jc w:val="center"/>
              <w:rPr>
                <w:b w:val="0"/>
                <w:bCs w:val="0"/>
                <w:sz w:val="18"/>
                <w:szCs w:val="18"/>
                <w:lang w:eastAsia="en-AU"/>
              </w:rPr>
            </w:pPr>
            <w:r w:rsidRPr="00DD6692">
              <w:rPr>
                <w:sz w:val="18"/>
                <w:szCs w:val="18"/>
              </w:rPr>
              <w:t xml:space="preserve">Casual Loading </w:t>
            </w:r>
          </w:p>
        </w:tc>
      </w:tr>
      <w:tr w:rsidR="000E200F" w:rsidRPr="00DD6692" w:rsidTr="00BD1DF8">
        <w:trPr>
          <w:cnfStyle w:val="000000100000" w:firstRow="0" w:lastRow="0" w:firstColumn="0" w:lastColumn="0" w:oddVBand="0" w:evenVBand="0" w:oddHBand="1" w:evenHBand="0" w:firstRowFirstColumn="0" w:firstRowLastColumn="0" w:lastRowFirstColumn="0" w:lastRowLastColumn="0"/>
          <w:trHeight w:val="300"/>
        </w:trPr>
        <w:tc>
          <w:tcPr>
            <w:tcW w:w="1667" w:type="pct"/>
            <w:hideMark/>
          </w:tcPr>
          <w:p w:rsidR="000E200F" w:rsidRPr="00DD6692" w:rsidRDefault="000E200F" w:rsidP="00BB06ED">
            <w:pPr>
              <w:spacing w:before="40" w:after="40" w:line="240" w:lineRule="atLeast"/>
              <w:rPr>
                <w:sz w:val="18"/>
                <w:szCs w:val="18"/>
              </w:rPr>
            </w:pPr>
            <w:r w:rsidRPr="00DD6692">
              <w:rPr>
                <w:sz w:val="18"/>
                <w:szCs w:val="18"/>
              </w:rPr>
              <w:t>Weekday</w:t>
            </w:r>
          </w:p>
        </w:tc>
        <w:tc>
          <w:tcPr>
            <w:tcW w:w="1667" w:type="pct"/>
            <w:noWrap/>
            <w:hideMark/>
          </w:tcPr>
          <w:p w:rsidR="000E200F" w:rsidRPr="00DD6692" w:rsidRDefault="000E200F" w:rsidP="004E6680">
            <w:pPr>
              <w:spacing w:before="40" w:after="40" w:line="240" w:lineRule="atLeast"/>
              <w:jc w:val="center"/>
              <w:rPr>
                <w:sz w:val="18"/>
                <w:szCs w:val="18"/>
              </w:rPr>
            </w:pPr>
            <w:r w:rsidRPr="00DD6692">
              <w:rPr>
                <w:sz w:val="18"/>
                <w:szCs w:val="18"/>
              </w:rPr>
              <w:t>0.0%</w:t>
            </w:r>
          </w:p>
        </w:tc>
        <w:tc>
          <w:tcPr>
            <w:tcW w:w="1667" w:type="pct"/>
          </w:tcPr>
          <w:p w:rsidR="000E200F" w:rsidRPr="00DD6692" w:rsidRDefault="000E200F" w:rsidP="004E6680">
            <w:pPr>
              <w:spacing w:before="40" w:after="40" w:line="240" w:lineRule="atLeast"/>
              <w:jc w:val="center"/>
              <w:rPr>
                <w:bCs/>
                <w:color w:val="000000"/>
                <w:sz w:val="18"/>
                <w:szCs w:val="18"/>
                <w:lang w:eastAsia="en-AU"/>
              </w:rPr>
            </w:pPr>
            <w:r w:rsidRPr="00DD6692">
              <w:rPr>
                <w:sz w:val="18"/>
                <w:szCs w:val="18"/>
              </w:rPr>
              <w:t>25.0%</w:t>
            </w:r>
          </w:p>
        </w:tc>
      </w:tr>
      <w:tr w:rsidR="000E200F" w:rsidRPr="00DD6692" w:rsidTr="00BD1DF8">
        <w:trPr>
          <w:trHeight w:val="300"/>
        </w:trPr>
        <w:tc>
          <w:tcPr>
            <w:tcW w:w="1667" w:type="pct"/>
            <w:hideMark/>
          </w:tcPr>
          <w:p w:rsidR="000E200F" w:rsidRPr="00DD6692" w:rsidRDefault="000E200F" w:rsidP="00BB06ED">
            <w:pPr>
              <w:spacing w:before="40" w:after="40" w:line="240" w:lineRule="atLeast"/>
              <w:rPr>
                <w:sz w:val="18"/>
                <w:szCs w:val="18"/>
              </w:rPr>
            </w:pPr>
            <w:r w:rsidRPr="00DD6692">
              <w:rPr>
                <w:sz w:val="18"/>
                <w:szCs w:val="18"/>
              </w:rPr>
              <w:t>Saturday</w:t>
            </w:r>
          </w:p>
        </w:tc>
        <w:tc>
          <w:tcPr>
            <w:tcW w:w="1667" w:type="pct"/>
            <w:noWrap/>
            <w:hideMark/>
          </w:tcPr>
          <w:p w:rsidR="000E200F" w:rsidRPr="00DD6692" w:rsidRDefault="000E200F" w:rsidP="004E6680">
            <w:pPr>
              <w:spacing w:before="40" w:after="40" w:line="240" w:lineRule="atLeast"/>
              <w:jc w:val="center"/>
              <w:rPr>
                <w:sz w:val="18"/>
                <w:szCs w:val="18"/>
              </w:rPr>
            </w:pPr>
            <w:r w:rsidRPr="00DD6692">
              <w:rPr>
                <w:sz w:val="18"/>
                <w:szCs w:val="18"/>
              </w:rPr>
              <w:t>50.0%</w:t>
            </w:r>
          </w:p>
        </w:tc>
        <w:tc>
          <w:tcPr>
            <w:tcW w:w="1667" w:type="pct"/>
          </w:tcPr>
          <w:p w:rsidR="000E200F" w:rsidRPr="00DD6692" w:rsidRDefault="003133FF" w:rsidP="004E6680">
            <w:pPr>
              <w:spacing w:before="40" w:after="40" w:line="240" w:lineRule="atLeast"/>
              <w:jc w:val="center"/>
              <w:rPr>
                <w:bCs/>
                <w:color w:val="000000"/>
                <w:sz w:val="18"/>
                <w:szCs w:val="18"/>
                <w:lang w:eastAsia="en-AU"/>
              </w:rPr>
            </w:pPr>
            <w:r w:rsidRPr="00DD6692">
              <w:rPr>
                <w:sz w:val="18"/>
                <w:szCs w:val="18"/>
              </w:rPr>
              <w:t>75</w:t>
            </w:r>
            <w:r w:rsidR="000E200F" w:rsidRPr="00DD6692">
              <w:rPr>
                <w:sz w:val="18"/>
                <w:szCs w:val="18"/>
              </w:rPr>
              <w:t>.0%</w:t>
            </w:r>
          </w:p>
        </w:tc>
      </w:tr>
      <w:tr w:rsidR="000E200F" w:rsidRPr="00DD6692" w:rsidTr="00BD1DF8">
        <w:trPr>
          <w:cnfStyle w:val="000000100000" w:firstRow="0" w:lastRow="0" w:firstColumn="0" w:lastColumn="0" w:oddVBand="0" w:evenVBand="0" w:oddHBand="1" w:evenHBand="0" w:firstRowFirstColumn="0" w:firstRowLastColumn="0" w:lastRowFirstColumn="0" w:lastRowLastColumn="0"/>
          <w:trHeight w:val="300"/>
        </w:trPr>
        <w:tc>
          <w:tcPr>
            <w:tcW w:w="1667" w:type="pct"/>
            <w:hideMark/>
          </w:tcPr>
          <w:p w:rsidR="000E200F" w:rsidRPr="00DD6692" w:rsidRDefault="000E200F" w:rsidP="00BB06ED">
            <w:pPr>
              <w:spacing w:before="40" w:after="40" w:line="240" w:lineRule="atLeast"/>
              <w:rPr>
                <w:sz w:val="18"/>
                <w:szCs w:val="18"/>
              </w:rPr>
            </w:pPr>
            <w:r w:rsidRPr="00DD6692">
              <w:rPr>
                <w:sz w:val="18"/>
                <w:szCs w:val="18"/>
              </w:rPr>
              <w:t>Sunday</w:t>
            </w:r>
          </w:p>
        </w:tc>
        <w:tc>
          <w:tcPr>
            <w:tcW w:w="1667" w:type="pct"/>
            <w:noWrap/>
            <w:hideMark/>
          </w:tcPr>
          <w:p w:rsidR="000E200F" w:rsidRPr="00DD6692" w:rsidRDefault="000E200F" w:rsidP="004E6680">
            <w:pPr>
              <w:spacing w:before="40" w:after="40" w:line="240" w:lineRule="atLeast"/>
              <w:jc w:val="center"/>
              <w:rPr>
                <w:sz w:val="18"/>
                <w:szCs w:val="18"/>
              </w:rPr>
            </w:pPr>
            <w:r w:rsidRPr="00DD6692">
              <w:rPr>
                <w:sz w:val="18"/>
                <w:szCs w:val="18"/>
              </w:rPr>
              <w:t>100.0%</w:t>
            </w:r>
          </w:p>
        </w:tc>
        <w:tc>
          <w:tcPr>
            <w:tcW w:w="1667" w:type="pct"/>
          </w:tcPr>
          <w:p w:rsidR="000E200F" w:rsidRPr="00DD6692" w:rsidRDefault="003133FF" w:rsidP="004E6680">
            <w:pPr>
              <w:spacing w:before="40" w:after="40" w:line="240" w:lineRule="atLeast"/>
              <w:jc w:val="center"/>
              <w:rPr>
                <w:bCs/>
                <w:color w:val="000000"/>
                <w:sz w:val="18"/>
                <w:szCs w:val="18"/>
                <w:lang w:eastAsia="en-AU"/>
              </w:rPr>
            </w:pPr>
            <w:r w:rsidRPr="00DD6692">
              <w:rPr>
                <w:sz w:val="18"/>
                <w:szCs w:val="18"/>
              </w:rPr>
              <w:t>125</w:t>
            </w:r>
            <w:r w:rsidR="000E200F" w:rsidRPr="00DD6692">
              <w:rPr>
                <w:sz w:val="18"/>
                <w:szCs w:val="18"/>
              </w:rPr>
              <w:t>.0%</w:t>
            </w:r>
          </w:p>
        </w:tc>
      </w:tr>
      <w:tr w:rsidR="000E200F" w:rsidRPr="00DD6692" w:rsidTr="00BD1DF8">
        <w:trPr>
          <w:trHeight w:val="300"/>
        </w:trPr>
        <w:tc>
          <w:tcPr>
            <w:tcW w:w="1667" w:type="pct"/>
          </w:tcPr>
          <w:p w:rsidR="000E200F" w:rsidRPr="00DD6692" w:rsidRDefault="000E200F" w:rsidP="00BB06ED">
            <w:pPr>
              <w:spacing w:before="40" w:after="40" w:line="240" w:lineRule="atLeast"/>
              <w:rPr>
                <w:sz w:val="18"/>
                <w:szCs w:val="18"/>
              </w:rPr>
            </w:pPr>
            <w:r w:rsidRPr="00DD6692">
              <w:rPr>
                <w:sz w:val="18"/>
                <w:szCs w:val="18"/>
              </w:rPr>
              <w:t>Public Holiday</w:t>
            </w:r>
          </w:p>
        </w:tc>
        <w:tc>
          <w:tcPr>
            <w:tcW w:w="1667" w:type="pct"/>
            <w:noWrap/>
          </w:tcPr>
          <w:p w:rsidR="000E200F" w:rsidRPr="00DD6692" w:rsidRDefault="000E200F" w:rsidP="004E6680">
            <w:pPr>
              <w:spacing w:before="40" w:after="40" w:line="240" w:lineRule="atLeast"/>
              <w:jc w:val="center"/>
              <w:rPr>
                <w:sz w:val="18"/>
                <w:szCs w:val="18"/>
              </w:rPr>
            </w:pPr>
            <w:r w:rsidRPr="00DD6692">
              <w:rPr>
                <w:sz w:val="18"/>
                <w:szCs w:val="18"/>
              </w:rPr>
              <w:t>150.0%</w:t>
            </w:r>
          </w:p>
        </w:tc>
        <w:tc>
          <w:tcPr>
            <w:tcW w:w="1667" w:type="pct"/>
          </w:tcPr>
          <w:p w:rsidR="000E200F" w:rsidRPr="00DD6692" w:rsidRDefault="000E200F" w:rsidP="004E6680">
            <w:pPr>
              <w:spacing w:before="40" w:after="40" w:line="240" w:lineRule="atLeast"/>
              <w:jc w:val="center"/>
              <w:rPr>
                <w:sz w:val="18"/>
                <w:szCs w:val="18"/>
              </w:rPr>
            </w:pPr>
            <w:r w:rsidRPr="00DD6692">
              <w:rPr>
                <w:sz w:val="18"/>
                <w:szCs w:val="18"/>
              </w:rPr>
              <w:t>175.0%</w:t>
            </w:r>
          </w:p>
        </w:tc>
      </w:tr>
      <w:tr w:rsidR="000E200F" w:rsidRPr="00DD6692" w:rsidTr="00BD1DF8">
        <w:trPr>
          <w:cnfStyle w:val="000000100000" w:firstRow="0" w:lastRow="0" w:firstColumn="0" w:lastColumn="0" w:oddVBand="0" w:evenVBand="0" w:oddHBand="1" w:evenHBand="0" w:firstRowFirstColumn="0" w:firstRowLastColumn="0" w:lastRowFirstColumn="0" w:lastRowLastColumn="0"/>
          <w:trHeight w:val="300"/>
        </w:trPr>
        <w:tc>
          <w:tcPr>
            <w:tcW w:w="1667" w:type="pct"/>
          </w:tcPr>
          <w:p w:rsidR="000E200F" w:rsidRPr="00DD6692" w:rsidRDefault="000E200F" w:rsidP="00455363">
            <w:pPr>
              <w:spacing w:before="40" w:after="40" w:line="240" w:lineRule="atLeast"/>
              <w:rPr>
                <w:sz w:val="18"/>
                <w:szCs w:val="18"/>
              </w:rPr>
            </w:pPr>
            <w:r w:rsidRPr="00DD6692">
              <w:rPr>
                <w:sz w:val="18"/>
                <w:szCs w:val="18"/>
              </w:rPr>
              <w:t>Evening Shift</w:t>
            </w:r>
          </w:p>
        </w:tc>
        <w:tc>
          <w:tcPr>
            <w:tcW w:w="1667" w:type="pct"/>
            <w:noWrap/>
          </w:tcPr>
          <w:p w:rsidR="000E200F" w:rsidRPr="00DD6692" w:rsidRDefault="000E200F" w:rsidP="004E6680">
            <w:pPr>
              <w:spacing w:before="40" w:after="40" w:line="240" w:lineRule="atLeast"/>
              <w:jc w:val="center"/>
              <w:rPr>
                <w:sz w:val="18"/>
                <w:szCs w:val="18"/>
              </w:rPr>
            </w:pPr>
            <w:r w:rsidRPr="00DD6692">
              <w:rPr>
                <w:sz w:val="18"/>
                <w:szCs w:val="18"/>
              </w:rPr>
              <w:t>12.5%</w:t>
            </w:r>
          </w:p>
        </w:tc>
        <w:tc>
          <w:tcPr>
            <w:tcW w:w="1667" w:type="pct"/>
          </w:tcPr>
          <w:p w:rsidR="000E200F" w:rsidRPr="00DD6692" w:rsidRDefault="000E200F" w:rsidP="004E6680">
            <w:pPr>
              <w:spacing w:before="40" w:after="40" w:line="240" w:lineRule="atLeast"/>
              <w:jc w:val="center"/>
              <w:rPr>
                <w:sz w:val="18"/>
                <w:szCs w:val="18"/>
              </w:rPr>
            </w:pPr>
            <w:r w:rsidRPr="00DD6692">
              <w:rPr>
                <w:sz w:val="18"/>
                <w:szCs w:val="18"/>
              </w:rPr>
              <w:t>37.5%</w:t>
            </w:r>
          </w:p>
        </w:tc>
      </w:tr>
      <w:tr w:rsidR="000E200F" w:rsidRPr="00DD6692" w:rsidTr="00BD1DF8">
        <w:trPr>
          <w:trHeight w:val="300"/>
        </w:trPr>
        <w:tc>
          <w:tcPr>
            <w:tcW w:w="1667" w:type="pct"/>
          </w:tcPr>
          <w:p w:rsidR="000E200F" w:rsidRPr="00DD6692" w:rsidRDefault="000E200F" w:rsidP="00BB06ED">
            <w:pPr>
              <w:spacing w:before="40" w:after="40" w:line="240" w:lineRule="atLeast"/>
              <w:rPr>
                <w:sz w:val="18"/>
                <w:szCs w:val="18"/>
              </w:rPr>
            </w:pPr>
            <w:r w:rsidRPr="00DD6692">
              <w:rPr>
                <w:sz w:val="18"/>
                <w:szCs w:val="18"/>
              </w:rPr>
              <w:t>Night Shift</w:t>
            </w:r>
          </w:p>
        </w:tc>
        <w:tc>
          <w:tcPr>
            <w:tcW w:w="1667" w:type="pct"/>
            <w:noWrap/>
          </w:tcPr>
          <w:p w:rsidR="000E200F" w:rsidRPr="00DD6692" w:rsidRDefault="000E200F" w:rsidP="004E6680">
            <w:pPr>
              <w:spacing w:before="40" w:after="40" w:line="240" w:lineRule="atLeast"/>
              <w:jc w:val="center"/>
              <w:rPr>
                <w:sz w:val="18"/>
                <w:szCs w:val="18"/>
              </w:rPr>
            </w:pPr>
            <w:r w:rsidRPr="00DD6692">
              <w:rPr>
                <w:sz w:val="18"/>
                <w:szCs w:val="18"/>
              </w:rPr>
              <w:t>15.0%</w:t>
            </w:r>
          </w:p>
        </w:tc>
        <w:tc>
          <w:tcPr>
            <w:tcW w:w="1667" w:type="pct"/>
          </w:tcPr>
          <w:p w:rsidR="000E200F" w:rsidRPr="00DD6692" w:rsidRDefault="000E200F" w:rsidP="004E6680">
            <w:pPr>
              <w:spacing w:before="40" w:after="40" w:line="240" w:lineRule="atLeast"/>
              <w:jc w:val="center"/>
              <w:rPr>
                <w:sz w:val="18"/>
                <w:szCs w:val="18"/>
              </w:rPr>
            </w:pPr>
            <w:r w:rsidRPr="00DD6692">
              <w:rPr>
                <w:sz w:val="18"/>
                <w:szCs w:val="18"/>
              </w:rPr>
              <w:t>40.0%</w:t>
            </w:r>
          </w:p>
        </w:tc>
      </w:tr>
    </w:tbl>
    <w:p w:rsidR="00B227D9" w:rsidRPr="00DD6692" w:rsidRDefault="007751F4" w:rsidP="00315545">
      <w:pPr>
        <w:pStyle w:val="Heading2"/>
      </w:pPr>
      <w:bookmarkStart w:id="14" w:name="_Toc91063494"/>
      <w:r w:rsidRPr="00DD6692">
        <w:t>Days W</w:t>
      </w:r>
      <w:r w:rsidR="001A1BE7" w:rsidRPr="00DD6692">
        <w:t>orked V</w:t>
      </w:r>
      <w:r w:rsidR="00A52707" w:rsidRPr="00DD6692">
        <w:t>ersu</w:t>
      </w:r>
      <w:r w:rsidR="001A1BE7" w:rsidRPr="00DD6692">
        <w:t>s Days P</w:t>
      </w:r>
      <w:r w:rsidR="00B227D9" w:rsidRPr="00DD6692">
        <w:t>aid</w:t>
      </w:r>
      <w:bookmarkEnd w:id="14"/>
    </w:p>
    <w:p w:rsidR="00A52707" w:rsidRPr="00DD6692" w:rsidRDefault="001A1BE7" w:rsidP="00A52707">
      <w:r w:rsidRPr="00DD6692">
        <w:t xml:space="preserve">The </w:t>
      </w:r>
      <w:r w:rsidR="00E27A53" w:rsidRPr="00DD6692">
        <w:t>Cost Model</w:t>
      </w:r>
      <w:r w:rsidRPr="00DD6692">
        <w:t xml:space="preserve"> recognises that </w:t>
      </w:r>
      <w:r w:rsidR="003133FF" w:rsidRPr="00DD6692">
        <w:t xml:space="preserve">under the SCHADS Award </w:t>
      </w:r>
      <w:r w:rsidRPr="00DD6692">
        <w:t>a permanent worker</w:t>
      </w:r>
      <w:r w:rsidR="003133FF" w:rsidRPr="00DD6692">
        <w:t>’s ordinary hours of work will be 38 hours per week</w:t>
      </w:r>
      <w:r w:rsidR="003133FF" w:rsidRPr="00DD6692">
        <w:rPr>
          <w:rStyle w:val="FootnoteReference"/>
        </w:rPr>
        <w:footnoteReference w:id="8"/>
      </w:r>
      <w:r w:rsidR="003133FF" w:rsidRPr="00DD6692">
        <w:t>, and that they will be available to work</w:t>
      </w:r>
      <w:r w:rsidRPr="00DD6692">
        <w:t xml:space="preserve"> on 220 days a year</w:t>
      </w:r>
      <w:r w:rsidR="003133FF" w:rsidRPr="00DD6692">
        <w:t>,</w:t>
      </w:r>
      <w:r w:rsidR="000E200F" w:rsidRPr="00DD6692">
        <w:t xml:space="preserve"> because</w:t>
      </w:r>
      <w:r w:rsidR="002C16A4" w:rsidRPr="00DD6692">
        <w:t xml:space="preserve"> under the National Employment Standards</w:t>
      </w:r>
      <w:r w:rsidR="002C16A4" w:rsidRPr="00DD6692">
        <w:rPr>
          <w:rStyle w:val="FootnoteReference"/>
        </w:rPr>
        <w:footnoteReference w:id="9"/>
      </w:r>
      <w:r w:rsidR="002C16A4" w:rsidRPr="00DD6692">
        <w:t xml:space="preserve"> </w:t>
      </w:r>
      <w:r w:rsidR="000E200F" w:rsidRPr="00DD6692">
        <w:t xml:space="preserve">they </w:t>
      </w:r>
      <w:r w:rsidR="002C16A4" w:rsidRPr="00DD6692">
        <w:t>must be</w:t>
      </w:r>
      <w:r w:rsidRPr="00DD6692">
        <w:t xml:space="preserve"> paid for:</w:t>
      </w:r>
    </w:p>
    <w:p w:rsidR="0036394E" w:rsidRPr="00DD6692" w:rsidRDefault="00A52707" w:rsidP="00103152">
      <w:pPr>
        <w:pStyle w:val="ListParagraph"/>
        <w:numPr>
          <w:ilvl w:val="0"/>
          <w:numId w:val="8"/>
        </w:numPr>
      </w:pPr>
      <w:r w:rsidRPr="00DD6692">
        <w:t>20 days of annual leave</w:t>
      </w:r>
      <w:r w:rsidR="006946B1" w:rsidRPr="00DD6692">
        <w:t>;</w:t>
      </w:r>
      <w:r w:rsidR="0036394E" w:rsidRPr="00DD6692">
        <w:rPr>
          <w:rStyle w:val="FootnoteReference"/>
        </w:rPr>
        <w:footnoteReference w:id="10"/>
      </w:r>
    </w:p>
    <w:p w:rsidR="00A52707" w:rsidRPr="00DD6692" w:rsidRDefault="007751F4" w:rsidP="00103152">
      <w:pPr>
        <w:pStyle w:val="ListParagraph"/>
        <w:numPr>
          <w:ilvl w:val="0"/>
          <w:numId w:val="8"/>
        </w:numPr>
      </w:pPr>
      <w:r w:rsidRPr="00DD6692">
        <w:t>10 days of public holidays</w:t>
      </w:r>
      <w:r w:rsidR="006946B1" w:rsidRPr="00DD6692">
        <w:t>;</w:t>
      </w:r>
      <w:r w:rsidR="00B46AE1" w:rsidRPr="00DD6692">
        <w:rPr>
          <w:rStyle w:val="FootnoteReference"/>
        </w:rPr>
        <w:footnoteReference w:id="11"/>
      </w:r>
      <w:r w:rsidR="00430082" w:rsidRPr="00DD6692">
        <w:t xml:space="preserve"> and</w:t>
      </w:r>
    </w:p>
    <w:p w:rsidR="003C3A52" w:rsidRPr="00DD6692" w:rsidRDefault="001A1BE7" w:rsidP="00103152">
      <w:pPr>
        <w:pStyle w:val="ListParagraph"/>
        <w:numPr>
          <w:ilvl w:val="0"/>
          <w:numId w:val="9"/>
        </w:numPr>
      </w:pPr>
      <w:r w:rsidRPr="00DD6692">
        <w:t xml:space="preserve">Up to </w:t>
      </w:r>
      <w:r w:rsidR="00A52707" w:rsidRPr="00DD6692">
        <w:t>10 days of personal leave</w:t>
      </w:r>
      <w:r w:rsidR="00430082" w:rsidRPr="00DD6692">
        <w:t>.</w:t>
      </w:r>
      <w:r w:rsidR="00B37370" w:rsidRPr="00DD6692">
        <w:rPr>
          <w:rStyle w:val="FootnoteReference"/>
        </w:rPr>
        <w:footnoteReference w:id="12"/>
      </w:r>
    </w:p>
    <w:p w:rsidR="000E200F" w:rsidRPr="00DD6692" w:rsidRDefault="003133FF" w:rsidP="000E200F">
      <w:r w:rsidRPr="00DD6692">
        <w:t xml:space="preserve">The Cost Model recognises that providers need to accrue the revenue to meet the costs of </w:t>
      </w:r>
      <w:r w:rsidR="00430082" w:rsidRPr="00DD6692">
        <w:t>these</w:t>
      </w:r>
      <w:r w:rsidR="000E200F" w:rsidRPr="00DD6692">
        <w:t xml:space="preserve"> leave </w:t>
      </w:r>
      <w:r w:rsidRPr="00DD6692">
        <w:t>accruals during the billable hours of the DSW.</w:t>
      </w:r>
    </w:p>
    <w:p w:rsidR="001A1BE7" w:rsidRPr="00DD6692" w:rsidRDefault="003133FF" w:rsidP="003133FF">
      <w:r w:rsidRPr="00DD6692">
        <w:t xml:space="preserve">The Cost Model also recognises that workers accrue Long Service Leave entitlements when they work and that again providers need to accrue the revenue to meet the costs of this leave accrual during the billable hours of the DSW. The Cost Model assumes that workers accrue </w:t>
      </w:r>
      <w:r w:rsidR="00A52707" w:rsidRPr="00DD6692">
        <w:t>4</w:t>
      </w:r>
      <w:r w:rsidR="00A52707" w:rsidRPr="00DD6692">
        <w:rPr>
          <w:rFonts w:cstheme="minorHAnsi"/>
        </w:rPr>
        <w:t>⅓</w:t>
      </w:r>
      <w:r w:rsidR="00A52707" w:rsidRPr="00DD6692">
        <w:t xml:space="preserve"> days of long service leave</w:t>
      </w:r>
      <w:r w:rsidR="00430082" w:rsidRPr="00DD6692">
        <w:t xml:space="preserve"> each year.</w:t>
      </w:r>
      <w:r w:rsidR="00B46AE1" w:rsidRPr="00DD6692">
        <w:rPr>
          <w:rStyle w:val="FootnoteReference"/>
          <w:rFonts w:cstheme="minorHAnsi"/>
        </w:rPr>
        <w:footnoteReference w:id="13"/>
      </w:r>
    </w:p>
    <w:p w:rsidR="0036394E" w:rsidRPr="00DD6692" w:rsidRDefault="0036394E" w:rsidP="003133FF">
      <w:pPr>
        <w:rPr>
          <w:rFonts w:cstheme="minorHAnsi"/>
          <w:bCs/>
          <w:sz w:val="18"/>
          <w:szCs w:val="18"/>
        </w:rPr>
      </w:pPr>
      <w:r w:rsidRPr="00DD6692">
        <w:t>In line with SCHADS Award, the Cost Model also provides a 17.5% loading for annual leave to compensate workers for the shifts they would have otherwise taken.</w:t>
      </w:r>
      <w:r w:rsidRPr="00DD6692">
        <w:rPr>
          <w:rStyle w:val="FootnoteReference"/>
        </w:rPr>
        <w:footnoteReference w:id="14"/>
      </w:r>
    </w:p>
    <w:p w:rsidR="00436E11" w:rsidRPr="00DD6692" w:rsidRDefault="00436E11" w:rsidP="004C63FA">
      <w:pPr>
        <w:pStyle w:val="Caption"/>
      </w:pPr>
      <w:bookmarkStart w:id="15" w:name="_Ref19024580"/>
      <w:r w:rsidRPr="00DD6692">
        <w:t xml:space="preserve">Table </w:t>
      </w:r>
      <w:fldSimple w:instr=" SEQ Table \* ARABIC ">
        <w:r w:rsidR="00DD6692">
          <w:rPr>
            <w:noProof/>
          </w:rPr>
          <w:t>3</w:t>
        </w:r>
      </w:fldSimple>
      <w:bookmarkEnd w:id="15"/>
      <w:r w:rsidRPr="00DD6692">
        <w:t xml:space="preserve">: </w:t>
      </w:r>
      <w:r w:rsidR="00216517" w:rsidRPr="00DD6692">
        <w:t>Impact of L</w:t>
      </w:r>
      <w:r w:rsidRPr="00DD6692">
        <w:t xml:space="preserve">eave on </w:t>
      </w:r>
      <w:r w:rsidR="00216517" w:rsidRPr="00DD6692">
        <w:t xml:space="preserve">the Cost per </w:t>
      </w:r>
      <w:r w:rsidR="0086773C" w:rsidRPr="00DD6692">
        <w:t>Worked</w:t>
      </w:r>
      <w:r w:rsidR="00216517" w:rsidRPr="00DD6692">
        <w:t xml:space="preserve"> Hour of a Permanent DSW</w:t>
      </w:r>
    </w:p>
    <w:tbl>
      <w:tblPr>
        <w:tblStyle w:val="GridTable4-Accent4"/>
        <w:tblW w:w="5000" w:type="pct"/>
        <w:tblLook w:val="04A0" w:firstRow="1" w:lastRow="0" w:firstColumn="1" w:lastColumn="0" w:noHBand="0" w:noVBand="1"/>
        <w:tblDescription w:val="Table 3: Impact of Leave on the Cost per Worked Hour of a Permanent DSW"/>
      </w:tblPr>
      <w:tblGrid>
        <w:gridCol w:w="4956"/>
        <w:gridCol w:w="994"/>
        <w:gridCol w:w="992"/>
        <w:gridCol w:w="992"/>
        <w:gridCol w:w="1082"/>
      </w:tblGrid>
      <w:tr w:rsidR="00975BC5" w:rsidRPr="00DD6692" w:rsidTr="009206DC">
        <w:trPr>
          <w:cnfStyle w:val="100000000000" w:firstRow="1" w:lastRow="0" w:firstColumn="0" w:lastColumn="0" w:oddVBand="0" w:evenVBand="0" w:oddHBand="0" w:evenHBand="0" w:firstRowFirstColumn="0" w:firstRowLastColumn="0" w:lastRowFirstColumn="0" w:lastRowLastColumn="0"/>
          <w:trHeight w:val="289"/>
          <w:tblHeader/>
        </w:trPr>
        <w:tc>
          <w:tcPr>
            <w:cnfStyle w:val="001000000000" w:firstRow="0" w:lastRow="0" w:firstColumn="1" w:lastColumn="0" w:oddVBand="0" w:evenVBand="0" w:oddHBand="0" w:evenHBand="0" w:firstRowFirstColumn="0" w:firstRowLastColumn="0" w:lastRowFirstColumn="0" w:lastRowLastColumn="0"/>
            <w:tcW w:w="2748" w:type="pct"/>
            <w:hideMark/>
          </w:tcPr>
          <w:p w:rsidR="00975BC5" w:rsidRPr="00DD6692" w:rsidRDefault="00975BC5" w:rsidP="00773F6C">
            <w:pPr>
              <w:spacing w:before="40" w:after="40" w:line="240" w:lineRule="atLeast"/>
              <w:rPr>
                <w:rFonts w:cstheme="minorHAnsi"/>
                <w:sz w:val="18"/>
                <w:szCs w:val="18"/>
              </w:rPr>
            </w:pPr>
          </w:p>
        </w:tc>
        <w:tc>
          <w:tcPr>
            <w:tcW w:w="551" w:type="pct"/>
            <w:hideMark/>
          </w:tcPr>
          <w:p w:rsidR="00975BC5" w:rsidRPr="00DD6692" w:rsidRDefault="00975BC5" w:rsidP="00716C16">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DSW</w:t>
            </w:r>
            <w:r w:rsidR="00996565" w:rsidRPr="00DD6692">
              <w:rPr>
                <w:rFonts w:cstheme="minorHAnsi"/>
                <w:sz w:val="18"/>
                <w:szCs w:val="18"/>
              </w:rPr>
              <w:t xml:space="preserve"> </w:t>
            </w:r>
            <w:r w:rsidR="00716C16" w:rsidRPr="00DD6692">
              <w:rPr>
                <w:rFonts w:cstheme="minorHAnsi"/>
                <w:sz w:val="18"/>
                <w:szCs w:val="18"/>
              </w:rPr>
              <w:t>A</w:t>
            </w:r>
          </w:p>
        </w:tc>
        <w:tc>
          <w:tcPr>
            <w:tcW w:w="550" w:type="pct"/>
          </w:tcPr>
          <w:p w:rsidR="00975BC5" w:rsidRPr="00DD6692" w:rsidRDefault="00975BC5" w:rsidP="00716C16">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lang w:eastAsia="en-AU"/>
              </w:rPr>
            </w:pPr>
            <w:r w:rsidRPr="00DD6692">
              <w:rPr>
                <w:rFonts w:cstheme="minorHAnsi"/>
                <w:sz w:val="18"/>
                <w:szCs w:val="18"/>
              </w:rPr>
              <w:t>DSW</w:t>
            </w:r>
            <w:r w:rsidR="00996565" w:rsidRPr="00DD6692">
              <w:rPr>
                <w:rFonts w:cstheme="minorHAnsi"/>
                <w:sz w:val="18"/>
                <w:szCs w:val="18"/>
              </w:rPr>
              <w:t xml:space="preserve"> </w:t>
            </w:r>
            <w:r w:rsidR="00716C16" w:rsidRPr="00DD6692">
              <w:rPr>
                <w:rFonts w:cstheme="minorHAnsi"/>
                <w:sz w:val="18"/>
                <w:szCs w:val="18"/>
              </w:rPr>
              <w:t>B</w:t>
            </w:r>
          </w:p>
        </w:tc>
        <w:tc>
          <w:tcPr>
            <w:tcW w:w="550" w:type="pct"/>
          </w:tcPr>
          <w:p w:rsidR="00975BC5" w:rsidRPr="00DD6692" w:rsidRDefault="00975BC5" w:rsidP="00716C16">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DSW</w:t>
            </w:r>
            <w:r w:rsidR="00996565" w:rsidRPr="00DD6692">
              <w:rPr>
                <w:rFonts w:cstheme="minorHAnsi"/>
                <w:sz w:val="18"/>
                <w:szCs w:val="18"/>
              </w:rPr>
              <w:t xml:space="preserve"> </w:t>
            </w:r>
            <w:r w:rsidR="00716C16" w:rsidRPr="00DD6692">
              <w:rPr>
                <w:rFonts w:cstheme="minorHAnsi"/>
                <w:sz w:val="18"/>
                <w:szCs w:val="18"/>
              </w:rPr>
              <w:t>C</w:t>
            </w:r>
          </w:p>
        </w:tc>
        <w:tc>
          <w:tcPr>
            <w:tcW w:w="600" w:type="pct"/>
          </w:tcPr>
          <w:p w:rsidR="00975BC5" w:rsidRPr="00DD6692" w:rsidRDefault="00975BC5" w:rsidP="00716C16">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DSW</w:t>
            </w:r>
            <w:r w:rsidR="00716C16" w:rsidRPr="00DD6692">
              <w:rPr>
                <w:rFonts w:cstheme="minorHAnsi"/>
                <w:sz w:val="18"/>
                <w:szCs w:val="18"/>
              </w:rPr>
              <w:t xml:space="preserve"> D</w:t>
            </w:r>
          </w:p>
        </w:tc>
      </w:tr>
      <w:tr w:rsidR="00975BC5" w:rsidRPr="00DD6692" w:rsidTr="009206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hideMark/>
          </w:tcPr>
          <w:p w:rsidR="00975BC5" w:rsidRPr="00DD6692" w:rsidRDefault="00975BC5" w:rsidP="004C63FA">
            <w:pPr>
              <w:keepNext/>
              <w:spacing w:before="40" w:after="40" w:line="240" w:lineRule="atLeast"/>
              <w:rPr>
                <w:rFonts w:cstheme="minorHAnsi"/>
                <w:sz w:val="18"/>
                <w:szCs w:val="18"/>
              </w:rPr>
            </w:pPr>
            <w:r w:rsidRPr="00DD6692">
              <w:rPr>
                <w:rFonts w:cstheme="minorHAnsi"/>
                <w:sz w:val="18"/>
                <w:szCs w:val="18"/>
              </w:rPr>
              <w:t>Standard Hourly Rate</w:t>
            </w:r>
          </w:p>
        </w:tc>
        <w:tc>
          <w:tcPr>
            <w:tcW w:w="551" w:type="pct"/>
            <w:noWrap/>
            <w:hideMark/>
          </w:tcPr>
          <w:p w:rsidR="00975BC5" w:rsidRPr="00DD6692"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w:t>
            </w:r>
            <w:r w:rsidR="009206DC" w:rsidRPr="00DD6692">
              <w:rPr>
                <w:rFonts w:cstheme="minorHAnsi"/>
                <w:b/>
                <w:sz w:val="18"/>
                <w:szCs w:val="18"/>
              </w:rPr>
              <w:t>30.94</w:t>
            </w:r>
          </w:p>
        </w:tc>
        <w:tc>
          <w:tcPr>
            <w:tcW w:w="550" w:type="pct"/>
          </w:tcPr>
          <w:p w:rsidR="00975BC5" w:rsidRPr="00DD6692"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sz w:val="18"/>
                <w:szCs w:val="18"/>
                <w:lang w:eastAsia="en-AU"/>
              </w:rPr>
            </w:pPr>
            <w:r w:rsidRPr="00DD6692">
              <w:rPr>
                <w:rFonts w:cstheme="minorHAnsi"/>
                <w:b/>
                <w:sz w:val="18"/>
                <w:szCs w:val="18"/>
              </w:rPr>
              <w:t xml:space="preserve"> $</w:t>
            </w:r>
            <w:r w:rsidR="009206DC" w:rsidRPr="00DD6692">
              <w:rPr>
                <w:rFonts w:cstheme="minorHAnsi"/>
                <w:b/>
                <w:sz w:val="18"/>
                <w:szCs w:val="18"/>
              </w:rPr>
              <w:t>32.16</w:t>
            </w:r>
            <w:r w:rsidRPr="00DD6692">
              <w:rPr>
                <w:rFonts w:cstheme="minorHAnsi"/>
                <w:b/>
                <w:sz w:val="18"/>
                <w:szCs w:val="18"/>
              </w:rPr>
              <w:t xml:space="preserve"> </w:t>
            </w:r>
          </w:p>
        </w:tc>
        <w:tc>
          <w:tcPr>
            <w:tcW w:w="550" w:type="pct"/>
          </w:tcPr>
          <w:p w:rsidR="00975BC5" w:rsidRPr="00DD6692"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w:t>
            </w:r>
            <w:r w:rsidR="009206DC" w:rsidRPr="00DD6692">
              <w:rPr>
                <w:rFonts w:cstheme="minorHAnsi"/>
                <w:b/>
                <w:sz w:val="18"/>
                <w:szCs w:val="18"/>
              </w:rPr>
              <w:t>33.48</w:t>
            </w:r>
          </w:p>
        </w:tc>
        <w:tc>
          <w:tcPr>
            <w:tcW w:w="600" w:type="pct"/>
          </w:tcPr>
          <w:p w:rsidR="00975BC5" w:rsidRPr="00DD6692"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w:t>
            </w:r>
            <w:r w:rsidR="009206DC" w:rsidRPr="00DD6692">
              <w:rPr>
                <w:rFonts w:cstheme="minorHAnsi"/>
                <w:b/>
                <w:sz w:val="18"/>
                <w:szCs w:val="18"/>
              </w:rPr>
              <w:t>40.39</w:t>
            </w:r>
          </w:p>
        </w:tc>
      </w:tr>
      <w:tr w:rsidR="00975BC5" w:rsidRPr="00DD6692" w:rsidTr="009206DC">
        <w:trPr>
          <w:trHeight w:val="300"/>
        </w:trPr>
        <w:tc>
          <w:tcPr>
            <w:cnfStyle w:val="001000000000" w:firstRow="0" w:lastRow="0" w:firstColumn="1" w:lastColumn="0" w:oddVBand="0" w:evenVBand="0" w:oddHBand="0" w:evenHBand="0" w:firstRowFirstColumn="0" w:firstRowLastColumn="0" w:lastRowFirstColumn="0" w:lastRowLastColumn="0"/>
            <w:tcW w:w="2748" w:type="pct"/>
            <w:hideMark/>
          </w:tcPr>
          <w:p w:rsidR="00975BC5" w:rsidRPr="00DD6692" w:rsidRDefault="00975BC5" w:rsidP="004C63FA">
            <w:pPr>
              <w:keepNext/>
              <w:spacing w:before="40" w:after="40" w:line="240" w:lineRule="atLeast"/>
              <w:rPr>
                <w:rFonts w:cstheme="minorHAnsi"/>
                <w:sz w:val="18"/>
                <w:szCs w:val="18"/>
              </w:rPr>
            </w:pPr>
            <w:r w:rsidRPr="00DD6692">
              <w:rPr>
                <w:rFonts w:cstheme="minorHAnsi"/>
                <w:sz w:val="18"/>
                <w:szCs w:val="18"/>
              </w:rPr>
              <w:t>Allowance for Annual leave</w:t>
            </w:r>
          </w:p>
        </w:tc>
        <w:tc>
          <w:tcPr>
            <w:tcW w:w="551" w:type="pct"/>
            <w:noWrap/>
            <w:hideMark/>
          </w:tcPr>
          <w:p w:rsidR="00975BC5" w:rsidRPr="00DD6692"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550" w:type="pct"/>
          </w:tcPr>
          <w:p w:rsidR="00975BC5" w:rsidRPr="00DD6692"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18"/>
                <w:szCs w:val="18"/>
                <w:lang w:eastAsia="en-AU"/>
              </w:rPr>
            </w:pPr>
          </w:p>
        </w:tc>
        <w:tc>
          <w:tcPr>
            <w:tcW w:w="550" w:type="pct"/>
          </w:tcPr>
          <w:p w:rsidR="00975BC5" w:rsidRPr="00DD6692"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p>
        </w:tc>
        <w:tc>
          <w:tcPr>
            <w:tcW w:w="600" w:type="pct"/>
          </w:tcPr>
          <w:p w:rsidR="00975BC5" w:rsidRPr="00DD6692"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p>
        </w:tc>
      </w:tr>
      <w:tr w:rsidR="00975BC5" w:rsidRPr="00DD6692" w:rsidTr="009206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hideMark/>
          </w:tcPr>
          <w:p w:rsidR="00975BC5" w:rsidRPr="00DD6692" w:rsidRDefault="00975BC5" w:rsidP="004C63FA">
            <w:pPr>
              <w:keepNext/>
              <w:spacing w:before="40" w:after="40" w:line="240" w:lineRule="atLeast"/>
              <w:ind w:left="593"/>
              <w:rPr>
                <w:rFonts w:cstheme="minorHAnsi"/>
                <w:b w:val="0"/>
                <w:sz w:val="18"/>
                <w:szCs w:val="18"/>
              </w:rPr>
            </w:pPr>
            <w:r w:rsidRPr="00DD6692">
              <w:rPr>
                <w:rFonts w:cstheme="minorHAnsi"/>
                <w:b w:val="0"/>
                <w:sz w:val="18"/>
                <w:szCs w:val="18"/>
              </w:rPr>
              <w:t>a. No. hours leave accrued in a year (hrs/yr)</w:t>
            </w:r>
          </w:p>
        </w:tc>
        <w:tc>
          <w:tcPr>
            <w:tcW w:w="551" w:type="pct"/>
            <w:noWrap/>
            <w:hideMark/>
          </w:tcPr>
          <w:p w:rsidR="00975BC5" w:rsidRPr="00DD6692"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152</w:t>
            </w:r>
          </w:p>
        </w:tc>
        <w:tc>
          <w:tcPr>
            <w:tcW w:w="550" w:type="pct"/>
          </w:tcPr>
          <w:p w:rsidR="00975BC5" w:rsidRPr="00DD6692"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18"/>
                <w:szCs w:val="18"/>
                <w:lang w:eastAsia="en-AU"/>
              </w:rPr>
            </w:pPr>
            <w:r w:rsidRPr="00DD6692">
              <w:rPr>
                <w:rFonts w:cstheme="minorHAnsi"/>
                <w:sz w:val="18"/>
                <w:szCs w:val="18"/>
              </w:rPr>
              <w:t>152</w:t>
            </w:r>
          </w:p>
        </w:tc>
        <w:tc>
          <w:tcPr>
            <w:tcW w:w="550" w:type="pct"/>
          </w:tcPr>
          <w:p w:rsidR="00975BC5" w:rsidRPr="00DD6692"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18"/>
                <w:szCs w:val="18"/>
                <w:lang w:eastAsia="en-AU"/>
              </w:rPr>
            </w:pPr>
            <w:r w:rsidRPr="00DD6692">
              <w:rPr>
                <w:rFonts w:cstheme="minorHAnsi"/>
                <w:sz w:val="18"/>
                <w:szCs w:val="18"/>
              </w:rPr>
              <w:t>152</w:t>
            </w:r>
          </w:p>
        </w:tc>
        <w:tc>
          <w:tcPr>
            <w:tcW w:w="600" w:type="pct"/>
          </w:tcPr>
          <w:p w:rsidR="00975BC5" w:rsidRPr="00DD6692"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152</w:t>
            </w:r>
          </w:p>
        </w:tc>
      </w:tr>
      <w:tr w:rsidR="00975BC5" w:rsidRPr="00DD6692" w:rsidTr="009206DC">
        <w:trPr>
          <w:trHeight w:val="300"/>
        </w:trPr>
        <w:tc>
          <w:tcPr>
            <w:cnfStyle w:val="001000000000" w:firstRow="0" w:lastRow="0" w:firstColumn="1" w:lastColumn="0" w:oddVBand="0" w:evenVBand="0" w:oddHBand="0" w:evenHBand="0" w:firstRowFirstColumn="0" w:firstRowLastColumn="0" w:lastRowFirstColumn="0" w:lastRowLastColumn="0"/>
            <w:tcW w:w="2748" w:type="pct"/>
          </w:tcPr>
          <w:p w:rsidR="00975BC5" w:rsidRPr="00DD6692" w:rsidRDefault="00975BC5" w:rsidP="004C63FA">
            <w:pPr>
              <w:keepNext/>
              <w:spacing w:before="40" w:after="40" w:line="240" w:lineRule="atLeast"/>
              <w:ind w:left="593"/>
              <w:rPr>
                <w:rFonts w:cstheme="minorHAnsi"/>
                <w:b w:val="0"/>
                <w:sz w:val="18"/>
                <w:szCs w:val="18"/>
              </w:rPr>
            </w:pPr>
            <w:r w:rsidRPr="00DD6692">
              <w:rPr>
                <w:rFonts w:cstheme="minorHAnsi"/>
                <w:b w:val="0"/>
                <w:sz w:val="18"/>
                <w:szCs w:val="18"/>
              </w:rPr>
              <w:t>b. Loading</w:t>
            </w:r>
          </w:p>
        </w:tc>
        <w:tc>
          <w:tcPr>
            <w:tcW w:w="551" w:type="pct"/>
            <w:noWrap/>
          </w:tcPr>
          <w:p w:rsidR="00975BC5" w:rsidRPr="00DD6692"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17.5%</w:t>
            </w:r>
          </w:p>
        </w:tc>
        <w:tc>
          <w:tcPr>
            <w:tcW w:w="550" w:type="pct"/>
          </w:tcPr>
          <w:p w:rsidR="00975BC5" w:rsidRPr="00DD6692"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17.5%</w:t>
            </w:r>
          </w:p>
        </w:tc>
        <w:tc>
          <w:tcPr>
            <w:tcW w:w="550" w:type="pct"/>
          </w:tcPr>
          <w:p w:rsidR="00975BC5" w:rsidRPr="00DD6692"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17.5%</w:t>
            </w:r>
          </w:p>
        </w:tc>
        <w:tc>
          <w:tcPr>
            <w:tcW w:w="600" w:type="pct"/>
          </w:tcPr>
          <w:p w:rsidR="00975BC5" w:rsidRPr="00DD6692"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17.5%</w:t>
            </w:r>
          </w:p>
        </w:tc>
      </w:tr>
      <w:tr w:rsidR="00975BC5" w:rsidRPr="00DD6692" w:rsidTr="009206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tcPr>
          <w:p w:rsidR="00975BC5" w:rsidRPr="00DD6692" w:rsidRDefault="00975BC5" w:rsidP="004C63FA">
            <w:pPr>
              <w:keepNext/>
              <w:spacing w:before="40" w:after="40" w:line="240" w:lineRule="atLeast"/>
              <w:ind w:left="593"/>
              <w:rPr>
                <w:rFonts w:cstheme="minorHAnsi"/>
                <w:b w:val="0"/>
                <w:sz w:val="18"/>
                <w:szCs w:val="18"/>
              </w:rPr>
            </w:pPr>
            <w:r w:rsidRPr="00DD6692">
              <w:rPr>
                <w:rFonts w:cstheme="minorHAnsi"/>
                <w:b w:val="0"/>
                <w:sz w:val="18"/>
                <w:szCs w:val="18"/>
              </w:rPr>
              <w:t>c. Proportion of leave taken</w:t>
            </w:r>
          </w:p>
        </w:tc>
        <w:tc>
          <w:tcPr>
            <w:tcW w:w="551" w:type="pct"/>
            <w:noWrap/>
          </w:tcPr>
          <w:p w:rsidR="00975BC5" w:rsidRPr="00DD6692"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100.0%</w:t>
            </w:r>
          </w:p>
        </w:tc>
        <w:tc>
          <w:tcPr>
            <w:tcW w:w="550" w:type="pct"/>
          </w:tcPr>
          <w:p w:rsidR="00975BC5" w:rsidRPr="00DD6692"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100.0%</w:t>
            </w:r>
          </w:p>
        </w:tc>
        <w:tc>
          <w:tcPr>
            <w:tcW w:w="550" w:type="pct"/>
          </w:tcPr>
          <w:p w:rsidR="00975BC5" w:rsidRPr="00DD6692"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100.0%</w:t>
            </w:r>
          </w:p>
        </w:tc>
        <w:tc>
          <w:tcPr>
            <w:tcW w:w="600" w:type="pct"/>
          </w:tcPr>
          <w:p w:rsidR="00975BC5" w:rsidRPr="00DD6692"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100.0%</w:t>
            </w:r>
          </w:p>
        </w:tc>
      </w:tr>
      <w:tr w:rsidR="00975BC5" w:rsidRPr="00DD6692" w:rsidTr="009206DC">
        <w:trPr>
          <w:trHeight w:val="300"/>
        </w:trPr>
        <w:tc>
          <w:tcPr>
            <w:cnfStyle w:val="001000000000" w:firstRow="0" w:lastRow="0" w:firstColumn="1" w:lastColumn="0" w:oddVBand="0" w:evenVBand="0" w:oddHBand="0" w:evenHBand="0" w:firstRowFirstColumn="0" w:firstRowLastColumn="0" w:lastRowFirstColumn="0" w:lastRowLastColumn="0"/>
            <w:tcW w:w="2748" w:type="pct"/>
          </w:tcPr>
          <w:p w:rsidR="00975BC5" w:rsidRPr="00DD6692" w:rsidRDefault="00975BC5" w:rsidP="004C63FA">
            <w:pPr>
              <w:keepNext/>
              <w:spacing w:before="40" w:after="40" w:line="240" w:lineRule="atLeast"/>
              <w:ind w:left="593"/>
              <w:rPr>
                <w:rFonts w:cstheme="minorHAnsi"/>
                <w:sz w:val="18"/>
                <w:szCs w:val="18"/>
              </w:rPr>
            </w:pPr>
            <w:r w:rsidRPr="00DD6692">
              <w:rPr>
                <w:rFonts w:cstheme="minorHAnsi"/>
                <w:sz w:val="18"/>
                <w:szCs w:val="18"/>
              </w:rPr>
              <w:t>Cost per worked hour</w:t>
            </w:r>
          </w:p>
        </w:tc>
        <w:tc>
          <w:tcPr>
            <w:tcW w:w="551" w:type="pct"/>
            <w:noWrap/>
          </w:tcPr>
          <w:p w:rsidR="00975BC5" w:rsidRPr="00DD6692"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$3.</w:t>
            </w:r>
            <w:r w:rsidR="009206DC" w:rsidRPr="00DD6692">
              <w:rPr>
                <w:rFonts w:cstheme="minorHAnsi"/>
                <w:b/>
                <w:sz w:val="18"/>
                <w:szCs w:val="18"/>
              </w:rPr>
              <w:t>30</w:t>
            </w:r>
          </w:p>
        </w:tc>
        <w:tc>
          <w:tcPr>
            <w:tcW w:w="550" w:type="pct"/>
          </w:tcPr>
          <w:p w:rsidR="00975BC5" w:rsidRPr="00DD6692"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$3.</w:t>
            </w:r>
            <w:r w:rsidR="009206DC" w:rsidRPr="00DD6692">
              <w:rPr>
                <w:rFonts w:cstheme="minorHAnsi"/>
                <w:b/>
                <w:sz w:val="18"/>
                <w:szCs w:val="18"/>
              </w:rPr>
              <w:t>44</w:t>
            </w:r>
          </w:p>
        </w:tc>
        <w:tc>
          <w:tcPr>
            <w:tcW w:w="550" w:type="pct"/>
          </w:tcPr>
          <w:p w:rsidR="00975BC5" w:rsidRPr="00DD6692"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$3.</w:t>
            </w:r>
            <w:r w:rsidR="009206DC" w:rsidRPr="00DD6692">
              <w:rPr>
                <w:rFonts w:cstheme="minorHAnsi"/>
                <w:b/>
                <w:sz w:val="18"/>
                <w:szCs w:val="18"/>
              </w:rPr>
              <w:t>58</w:t>
            </w:r>
          </w:p>
        </w:tc>
        <w:tc>
          <w:tcPr>
            <w:tcW w:w="600" w:type="pct"/>
          </w:tcPr>
          <w:p w:rsidR="00975BC5" w:rsidRPr="00DD6692"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w:t>
            </w:r>
            <w:r w:rsidR="009206DC" w:rsidRPr="00DD6692">
              <w:rPr>
                <w:rFonts w:cstheme="minorHAnsi"/>
                <w:b/>
                <w:sz w:val="18"/>
                <w:szCs w:val="18"/>
              </w:rPr>
              <w:t>4.31</w:t>
            </w:r>
          </w:p>
        </w:tc>
      </w:tr>
      <w:tr w:rsidR="00975BC5" w:rsidRPr="00DD6692" w:rsidTr="009206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tcPr>
          <w:p w:rsidR="00975BC5" w:rsidRPr="00DD6692" w:rsidRDefault="00975BC5" w:rsidP="004C63FA">
            <w:pPr>
              <w:keepNext/>
              <w:spacing w:before="40" w:after="40" w:line="240" w:lineRule="atLeast"/>
              <w:rPr>
                <w:rFonts w:cstheme="minorHAnsi"/>
                <w:sz w:val="18"/>
                <w:szCs w:val="18"/>
              </w:rPr>
            </w:pPr>
            <w:r w:rsidRPr="00DD6692">
              <w:rPr>
                <w:rFonts w:cstheme="minorHAnsi"/>
                <w:sz w:val="18"/>
                <w:szCs w:val="18"/>
              </w:rPr>
              <w:t>Allowance for Personal leave</w:t>
            </w:r>
          </w:p>
        </w:tc>
        <w:tc>
          <w:tcPr>
            <w:tcW w:w="551" w:type="pct"/>
            <w:noWrap/>
          </w:tcPr>
          <w:p w:rsidR="00975BC5" w:rsidRPr="00DD6692"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p>
        </w:tc>
        <w:tc>
          <w:tcPr>
            <w:tcW w:w="550" w:type="pct"/>
          </w:tcPr>
          <w:p w:rsidR="00975BC5" w:rsidRPr="00DD6692"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p>
        </w:tc>
        <w:tc>
          <w:tcPr>
            <w:tcW w:w="550" w:type="pct"/>
          </w:tcPr>
          <w:p w:rsidR="00975BC5" w:rsidRPr="00DD6692"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p>
        </w:tc>
        <w:tc>
          <w:tcPr>
            <w:tcW w:w="600" w:type="pct"/>
          </w:tcPr>
          <w:p w:rsidR="00975BC5" w:rsidRPr="00DD6692"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p>
        </w:tc>
      </w:tr>
      <w:tr w:rsidR="00975BC5" w:rsidRPr="00DD6692" w:rsidTr="009206DC">
        <w:trPr>
          <w:trHeight w:val="300"/>
        </w:trPr>
        <w:tc>
          <w:tcPr>
            <w:cnfStyle w:val="001000000000" w:firstRow="0" w:lastRow="0" w:firstColumn="1" w:lastColumn="0" w:oddVBand="0" w:evenVBand="0" w:oddHBand="0" w:evenHBand="0" w:firstRowFirstColumn="0" w:firstRowLastColumn="0" w:lastRowFirstColumn="0" w:lastRowLastColumn="0"/>
            <w:tcW w:w="2748" w:type="pct"/>
          </w:tcPr>
          <w:p w:rsidR="00975BC5" w:rsidRPr="00DD6692" w:rsidRDefault="00975BC5" w:rsidP="004C63FA">
            <w:pPr>
              <w:keepNext/>
              <w:spacing w:before="40" w:after="40" w:line="240" w:lineRule="atLeast"/>
              <w:ind w:left="593"/>
              <w:rPr>
                <w:rFonts w:cstheme="minorHAnsi"/>
                <w:b w:val="0"/>
                <w:sz w:val="18"/>
                <w:szCs w:val="18"/>
              </w:rPr>
            </w:pPr>
            <w:r w:rsidRPr="00DD6692">
              <w:rPr>
                <w:rFonts w:cstheme="minorHAnsi"/>
                <w:b w:val="0"/>
                <w:sz w:val="18"/>
                <w:szCs w:val="18"/>
              </w:rPr>
              <w:t>a. No. hours leave in a year (hrs/yr)</w:t>
            </w:r>
          </w:p>
        </w:tc>
        <w:tc>
          <w:tcPr>
            <w:tcW w:w="551" w:type="pct"/>
            <w:noWrap/>
          </w:tcPr>
          <w:p w:rsidR="00975BC5" w:rsidRPr="00DD6692"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76</w:t>
            </w:r>
          </w:p>
        </w:tc>
        <w:tc>
          <w:tcPr>
            <w:tcW w:w="550" w:type="pct"/>
          </w:tcPr>
          <w:p w:rsidR="00975BC5" w:rsidRPr="00DD6692"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76</w:t>
            </w:r>
          </w:p>
        </w:tc>
        <w:tc>
          <w:tcPr>
            <w:tcW w:w="550" w:type="pct"/>
          </w:tcPr>
          <w:p w:rsidR="00975BC5" w:rsidRPr="00DD6692"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76</w:t>
            </w:r>
          </w:p>
        </w:tc>
        <w:tc>
          <w:tcPr>
            <w:tcW w:w="600" w:type="pct"/>
          </w:tcPr>
          <w:p w:rsidR="00975BC5" w:rsidRPr="00DD6692"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76</w:t>
            </w:r>
          </w:p>
        </w:tc>
      </w:tr>
      <w:tr w:rsidR="00975BC5" w:rsidRPr="00DD6692" w:rsidTr="009206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tcPr>
          <w:p w:rsidR="00975BC5" w:rsidRPr="00DD6692" w:rsidRDefault="00975BC5" w:rsidP="004C63FA">
            <w:pPr>
              <w:keepNext/>
              <w:spacing w:before="40" w:after="40" w:line="240" w:lineRule="atLeast"/>
              <w:ind w:left="593"/>
              <w:rPr>
                <w:rFonts w:cstheme="minorHAnsi"/>
                <w:b w:val="0"/>
                <w:sz w:val="18"/>
                <w:szCs w:val="18"/>
              </w:rPr>
            </w:pPr>
            <w:r w:rsidRPr="00DD6692">
              <w:rPr>
                <w:rFonts w:cstheme="minorHAnsi"/>
                <w:b w:val="0"/>
                <w:sz w:val="18"/>
                <w:szCs w:val="18"/>
              </w:rPr>
              <w:t>b. Loading</w:t>
            </w:r>
          </w:p>
        </w:tc>
        <w:tc>
          <w:tcPr>
            <w:tcW w:w="551" w:type="pct"/>
            <w:noWrap/>
          </w:tcPr>
          <w:p w:rsidR="00975BC5" w:rsidRPr="00DD6692"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0.0%</w:t>
            </w:r>
          </w:p>
        </w:tc>
        <w:tc>
          <w:tcPr>
            <w:tcW w:w="550" w:type="pct"/>
          </w:tcPr>
          <w:p w:rsidR="00975BC5" w:rsidRPr="00DD6692"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0.0%</w:t>
            </w:r>
          </w:p>
        </w:tc>
        <w:tc>
          <w:tcPr>
            <w:tcW w:w="550" w:type="pct"/>
          </w:tcPr>
          <w:p w:rsidR="00975BC5" w:rsidRPr="00DD6692"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0.0%</w:t>
            </w:r>
          </w:p>
        </w:tc>
        <w:tc>
          <w:tcPr>
            <w:tcW w:w="600" w:type="pct"/>
          </w:tcPr>
          <w:p w:rsidR="00975BC5" w:rsidRPr="00DD6692"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0.0%</w:t>
            </w:r>
          </w:p>
        </w:tc>
      </w:tr>
      <w:tr w:rsidR="00975BC5" w:rsidRPr="00DD6692" w:rsidTr="009206DC">
        <w:trPr>
          <w:trHeight w:val="300"/>
        </w:trPr>
        <w:tc>
          <w:tcPr>
            <w:cnfStyle w:val="001000000000" w:firstRow="0" w:lastRow="0" w:firstColumn="1" w:lastColumn="0" w:oddVBand="0" w:evenVBand="0" w:oddHBand="0" w:evenHBand="0" w:firstRowFirstColumn="0" w:firstRowLastColumn="0" w:lastRowFirstColumn="0" w:lastRowLastColumn="0"/>
            <w:tcW w:w="2748" w:type="pct"/>
          </w:tcPr>
          <w:p w:rsidR="00975BC5" w:rsidRPr="00DD6692" w:rsidRDefault="00975BC5" w:rsidP="004C63FA">
            <w:pPr>
              <w:keepNext/>
              <w:spacing w:before="40" w:after="40" w:line="240" w:lineRule="atLeast"/>
              <w:ind w:left="593"/>
              <w:rPr>
                <w:rFonts w:cstheme="minorHAnsi"/>
                <w:b w:val="0"/>
                <w:sz w:val="18"/>
                <w:szCs w:val="18"/>
              </w:rPr>
            </w:pPr>
            <w:r w:rsidRPr="00DD6692">
              <w:rPr>
                <w:rFonts w:cstheme="minorHAnsi"/>
                <w:b w:val="0"/>
                <w:sz w:val="18"/>
                <w:szCs w:val="18"/>
              </w:rPr>
              <w:t>c. Proportion of leave taken</w:t>
            </w:r>
          </w:p>
        </w:tc>
        <w:tc>
          <w:tcPr>
            <w:tcW w:w="551" w:type="pct"/>
            <w:noWrap/>
          </w:tcPr>
          <w:p w:rsidR="00975BC5" w:rsidRPr="00DD6692"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100.0%</w:t>
            </w:r>
          </w:p>
        </w:tc>
        <w:tc>
          <w:tcPr>
            <w:tcW w:w="550" w:type="pct"/>
          </w:tcPr>
          <w:p w:rsidR="00975BC5" w:rsidRPr="00DD6692"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100.0%</w:t>
            </w:r>
          </w:p>
        </w:tc>
        <w:tc>
          <w:tcPr>
            <w:tcW w:w="550" w:type="pct"/>
          </w:tcPr>
          <w:p w:rsidR="00975BC5" w:rsidRPr="00DD6692"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100.0%</w:t>
            </w:r>
          </w:p>
        </w:tc>
        <w:tc>
          <w:tcPr>
            <w:tcW w:w="600" w:type="pct"/>
          </w:tcPr>
          <w:p w:rsidR="00975BC5" w:rsidRPr="00DD6692"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100.0%</w:t>
            </w:r>
          </w:p>
        </w:tc>
      </w:tr>
      <w:tr w:rsidR="00975BC5" w:rsidRPr="00DD6692" w:rsidTr="009206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tcPr>
          <w:p w:rsidR="00975BC5" w:rsidRPr="00DD6692" w:rsidRDefault="00975BC5" w:rsidP="004C63FA">
            <w:pPr>
              <w:keepNext/>
              <w:spacing w:before="40" w:after="40" w:line="240" w:lineRule="atLeast"/>
              <w:ind w:left="593"/>
              <w:rPr>
                <w:rFonts w:cstheme="minorHAnsi"/>
                <w:sz w:val="18"/>
                <w:szCs w:val="18"/>
              </w:rPr>
            </w:pPr>
            <w:r w:rsidRPr="00DD6692">
              <w:rPr>
                <w:rFonts w:cstheme="minorHAnsi"/>
                <w:sz w:val="18"/>
                <w:szCs w:val="18"/>
              </w:rPr>
              <w:t>Cost per worked hour</w:t>
            </w:r>
          </w:p>
        </w:tc>
        <w:tc>
          <w:tcPr>
            <w:tcW w:w="551" w:type="pct"/>
            <w:noWrap/>
          </w:tcPr>
          <w:p w:rsidR="00975BC5" w:rsidRPr="00DD6692" w:rsidRDefault="009206DC"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b/>
                <w:sz w:val="18"/>
                <w:szCs w:val="18"/>
              </w:rPr>
              <w:t>$1.41</w:t>
            </w:r>
          </w:p>
        </w:tc>
        <w:tc>
          <w:tcPr>
            <w:tcW w:w="550" w:type="pct"/>
          </w:tcPr>
          <w:p w:rsidR="00975BC5" w:rsidRPr="00DD6692" w:rsidRDefault="009206DC"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$1.46</w:t>
            </w:r>
          </w:p>
        </w:tc>
        <w:tc>
          <w:tcPr>
            <w:tcW w:w="550" w:type="pct"/>
          </w:tcPr>
          <w:p w:rsidR="00975BC5" w:rsidRPr="00DD6692"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$1.</w:t>
            </w:r>
            <w:r w:rsidR="009206DC" w:rsidRPr="00DD6692">
              <w:rPr>
                <w:rFonts w:cstheme="minorHAnsi"/>
                <w:b/>
                <w:sz w:val="18"/>
                <w:szCs w:val="18"/>
              </w:rPr>
              <w:t>52</w:t>
            </w:r>
          </w:p>
        </w:tc>
        <w:tc>
          <w:tcPr>
            <w:tcW w:w="600" w:type="pct"/>
          </w:tcPr>
          <w:p w:rsidR="00975BC5" w:rsidRPr="00DD6692"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w:t>
            </w:r>
            <w:r w:rsidR="009206DC" w:rsidRPr="00DD6692">
              <w:rPr>
                <w:rFonts w:cstheme="minorHAnsi"/>
                <w:b/>
                <w:sz w:val="18"/>
                <w:szCs w:val="18"/>
              </w:rPr>
              <w:t>1.8</w:t>
            </w:r>
            <w:r w:rsidRPr="00DD6692">
              <w:rPr>
                <w:rFonts w:cstheme="minorHAnsi"/>
                <w:b/>
                <w:sz w:val="18"/>
                <w:szCs w:val="18"/>
              </w:rPr>
              <w:t>4</w:t>
            </w:r>
          </w:p>
        </w:tc>
      </w:tr>
      <w:tr w:rsidR="00975BC5" w:rsidRPr="00DD6692" w:rsidTr="009206DC">
        <w:trPr>
          <w:trHeight w:val="300"/>
        </w:trPr>
        <w:tc>
          <w:tcPr>
            <w:cnfStyle w:val="001000000000" w:firstRow="0" w:lastRow="0" w:firstColumn="1" w:lastColumn="0" w:oddVBand="0" w:evenVBand="0" w:oddHBand="0" w:evenHBand="0" w:firstRowFirstColumn="0" w:firstRowLastColumn="0" w:lastRowFirstColumn="0" w:lastRowLastColumn="0"/>
            <w:tcW w:w="2748" w:type="pct"/>
          </w:tcPr>
          <w:p w:rsidR="00975BC5" w:rsidRPr="00DD6692" w:rsidRDefault="00975BC5" w:rsidP="004C63FA">
            <w:pPr>
              <w:keepNext/>
              <w:spacing w:before="40" w:after="40" w:line="240" w:lineRule="atLeast"/>
              <w:rPr>
                <w:rFonts w:cstheme="minorHAnsi"/>
                <w:sz w:val="18"/>
                <w:szCs w:val="18"/>
              </w:rPr>
            </w:pPr>
            <w:r w:rsidRPr="00DD6692">
              <w:rPr>
                <w:rFonts w:cstheme="minorHAnsi"/>
                <w:sz w:val="18"/>
                <w:szCs w:val="18"/>
              </w:rPr>
              <w:t>Allowance for Public Holiday leave</w:t>
            </w:r>
          </w:p>
        </w:tc>
        <w:tc>
          <w:tcPr>
            <w:tcW w:w="551" w:type="pct"/>
            <w:noWrap/>
          </w:tcPr>
          <w:p w:rsidR="00975BC5" w:rsidRPr="00DD6692"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550" w:type="pct"/>
          </w:tcPr>
          <w:p w:rsidR="00975BC5" w:rsidRPr="00DD6692"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p>
        </w:tc>
        <w:tc>
          <w:tcPr>
            <w:tcW w:w="550" w:type="pct"/>
          </w:tcPr>
          <w:p w:rsidR="00975BC5" w:rsidRPr="00DD6692"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p>
        </w:tc>
        <w:tc>
          <w:tcPr>
            <w:tcW w:w="600" w:type="pct"/>
          </w:tcPr>
          <w:p w:rsidR="00975BC5" w:rsidRPr="00DD6692"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p>
        </w:tc>
      </w:tr>
      <w:tr w:rsidR="00975BC5" w:rsidRPr="00DD6692" w:rsidTr="009206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tcPr>
          <w:p w:rsidR="00975BC5" w:rsidRPr="00DD6692" w:rsidRDefault="00975BC5" w:rsidP="004C63FA">
            <w:pPr>
              <w:keepNext/>
              <w:spacing w:before="40" w:after="40" w:line="240" w:lineRule="atLeast"/>
              <w:ind w:left="593"/>
              <w:rPr>
                <w:rFonts w:cstheme="minorHAnsi"/>
                <w:b w:val="0"/>
                <w:sz w:val="18"/>
                <w:szCs w:val="18"/>
              </w:rPr>
            </w:pPr>
            <w:r w:rsidRPr="00DD6692">
              <w:rPr>
                <w:rFonts w:cstheme="minorHAnsi"/>
                <w:b w:val="0"/>
                <w:sz w:val="18"/>
                <w:szCs w:val="18"/>
              </w:rPr>
              <w:t>a. No. hours leave accrued in a year (hrs/yr)</w:t>
            </w:r>
          </w:p>
        </w:tc>
        <w:tc>
          <w:tcPr>
            <w:tcW w:w="551" w:type="pct"/>
            <w:noWrap/>
          </w:tcPr>
          <w:p w:rsidR="00975BC5" w:rsidRPr="00DD6692"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76</w:t>
            </w:r>
          </w:p>
        </w:tc>
        <w:tc>
          <w:tcPr>
            <w:tcW w:w="550" w:type="pct"/>
          </w:tcPr>
          <w:p w:rsidR="00975BC5" w:rsidRPr="00DD6692"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76</w:t>
            </w:r>
          </w:p>
        </w:tc>
        <w:tc>
          <w:tcPr>
            <w:tcW w:w="550" w:type="pct"/>
          </w:tcPr>
          <w:p w:rsidR="00975BC5" w:rsidRPr="00DD6692"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76</w:t>
            </w:r>
          </w:p>
        </w:tc>
        <w:tc>
          <w:tcPr>
            <w:tcW w:w="600" w:type="pct"/>
          </w:tcPr>
          <w:p w:rsidR="00975BC5" w:rsidRPr="00DD6692"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76</w:t>
            </w:r>
          </w:p>
        </w:tc>
      </w:tr>
      <w:tr w:rsidR="00975BC5" w:rsidRPr="00DD6692" w:rsidTr="009206DC">
        <w:trPr>
          <w:trHeight w:val="300"/>
        </w:trPr>
        <w:tc>
          <w:tcPr>
            <w:cnfStyle w:val="001000000000" w:firstRow="0" w:lastRow="0" w:firstColumn="1" w:lastColumn="0" w:oddVBand="0" w:evenVBand="0" w:oddHBand="0" w:evenHBand="0" w:firstRowFirstColumn="0" w:firstRowLastColumn="0" w:lastRowFirstColumn="0" w:lastRowLastColumn="0"/>
            <w:tcW w:w="2748" w:type="pct"/>
          </w:tcPr>
          <w:p w:rsidR="00975BC5" w:rsidRPr="00DD6692" w:rsidRDefault="00975BC5" w:rsidP="004C63FA">
            <w:pPr>
              <w:keepNext/>
              <w:spacing w:before="40" w:after="40" w:line="240" w:lineRule="atLeast"/>
              <w:ind w:left="593"/>
              <w:rPr>
                <w:rFonts w:cstheme="minorHAnsi"/>
                <w:b w:val="0"/>
                <w:sz w:val="18"/>
                <w:szCs w:val="18"/>
              </w:rPr>
            </w:pPr>
            <w:r w:rsidRPr="00DD6692">
              <w:rPr>
                <w:rFonts w:cstheme="minorHAnsi"/>
                <w:b w:val="0"/>
                <w:sz w:val="18"/>
                <w:szCs w:val="18"/>
              </w:rPr>
              <w:t>b. Loading</w:t>
            </w:r>
          </w:p>
        </w:tc>
        <w:tc>
          <w:tcPr>
            <w:tcW w:w="551" w:type="pct"/>
            <w:noWrap/>
          </w:tcPr>
          <w:p w:rsidR="00975BC5" w:rsidRPr="00DD6692"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0.0%</w:t>
            </w:r>
          </w:p>
        </w:tc>
        <w:tc>
          <w:tcPr>
            <w:tcW w:w="550" w:type="pct"/>
          </w:tcPr>
          <w:p w:rsidR="00975BC5" w:rsidRPr="00DD6692"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0.0%</w:t>
            </w:r>
          </w:p>
        </w:tc>
        <w:tc>
          <w:tcPr>
            <w:tcW w:w="550" w:type="pct"/>
          </w:tcPr>
          <w:p w:rsidR="00975BC5" w:rsidRPr="00DD6692"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0.0%</w:t>
            </w:r>
          </w:p>
        </w:tc>
        <w:tc>
          <w:tcPr>
            <w:tcW w:w="600" w:type="pct"/>
          </w:tcPr>
          <w:p w:rsidR="00975BC5" w:rsidRPr="00DD6692" w:rsidRDefault="00975BC5"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0.0%</w:t>
            </w:r>
          </w:p>
        </w:tc>
      </w:tr>
      <w:tr w:rsidR="00975BC5" w:rsidRPr="00DD6692" w:rsidTr="009206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tcPr>
          <w:p w:rsidR="00975BC5" w:rsidRPr="00DD6692" w:rsidRDefault="00975BC5" w:rsidP="004C63FA">
            <w:pPr>
              <w:keepNext/>
              <w:spacing w:before="40" w:after="40" w:line="240" w:lineRule="atLeast"/>
              <w:ind w:left="593"/>
              <w:rPr>
                <w:rFonts w:cstheme="minorHAnsi"/>
                <w:b w:val="0"/>
                <w:sz w:val="18"/>
                <w:szCs w:val="18"/>
              </w:rPr>
            </w:pPr>
            <w:r w:rsidRPr="00DD6692">
              <w:rPr>
                <w:rFonts w:cstheme="minorHAnsi"/>
                <w:b w:val="0"/>
                <w:sz w:val="18"/>
                <w:szCs w:val="18"/>
              </w:rPr>
              <w:t>c. Proportion of leave taken</w:t>
            </w:r>
          </w:p>
        </w:tc>
        <w:tc>
          <w:tcPr>
            <w:tcW w:w="551" w:type="pct"/>
            <w:noWrap/>
          </w:tcPr>
          <w:p w:rsidR="00975BC5" w:rsidRPr="00DD6692"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100.0%</w:t>
            </w:r>
          </w:p>
        </w:tc>
        <w:tc>
          <w:tcPr>
            <w:tcW w:w="550" w:type="pct"/>
          </w:tcPr>
          <w:p w:rsidR="00975BC5" w:rsidRPr="00DD6692"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100.0%</w:t>
            </w:r>
          </w:p>
        </w:tc>
        <w:tc>
          <w:tcPr>
            <w:tcW w:w="550" w:type="pct"/>
          </w:tcPr>
          <w:p w:rsidR="00975BC5" w:rsidRPr="00DD6692"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100.0%</w:t>
            </w:r>
          </w:p>
        </w:tc>
        <w:tc>
          <w:tcPr>
            <w:tcW w:w="600" w:type="pct"/>
          </w:tcPr>
          <w:p w:rsidR="00975BC5" w:rsidRPr="00DD6692" w:rsidRDefault="00975BC5"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100.0%</w:t>
            </w:r>
          </w:p>
        </w:tc>
      </w:tr>
      <w:tr w:rsidR="009206DC" w:rsidRPr="00DD6692" w:rsidTr="009206DC">
        <w:trPr>
          <w:trHeight w:val="300"/>
        </w:trPr>
        <w:tc>
          <w:tcPr>
            <w:cnfStyle w:val="001000000000" w:firstRow="0" w:lastRow="0" w:firstColumn="1" w:lastColumn="0" w:oddVBand="0" w:evenVBand="0" w:oddHBand="0" w:evenHBand="0" w:firstRowFirstColumn="0" w:firstRowLastColumn="0" w:lastRowFirstColumn="0" w:lastRowLastColumn="0"/>
            <w:tcW w:w="2748" w:type="pct"/>
          </w:tcPr>
          <w:p w:rsidR="009206DC" w:rsidRPr="00DD6692" w:rsidRDefault="009206DC" w:rsidP="004C63FA">
            <w:pPr>
              <w:keepNext/>
              <w:spacing w:before="40" w:after="40" w:line="240" w:lineRule="atLeast"/>
              <w:ind w:left="593"/>
              <w:rPr>
                <w:rFonts w:cstheme="minorHAnsi"/>
                <w:sz w:val="18"/>
                <w:szCs w:val="18"/>
              </w:rPr>
            </w:pPr>
            <w:r w:rsidRPr="00DD6692">
              <w:rPr>
                <w:rFonts w:cstheme="minorHAnsi"/>
                <w:sz w:val="18"/>
                <w:szCs w:val="18"/>
              </w:rPr>
              <w:t>Cost per worked hour</w:t>
            </w:r>
          </w:p>
        </w:tc>
        <w:tc>
          <w:tcPr>
            <w:tcW w:w="551" w:type="pct"/>
            <w:noWrap/>
          </w:tcPr>
          <w:p w:rsidR="009206DC" w:rsidRPr="00DD6692" w:rsidRDefault="009206DC"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b/>
                <w:sz w:val="18"/>
                <w:szCs w:val="18"/>
              </w:rPr>
              <w:t>$1.41</w:t>
            </w:r>
          </w:p>
        </w:tc>
        <w:tc>
          <w:tcPr>
            <w:tcW w:w="550" w:type="pct"/>
          </w:tcPr>
          <w:p w:rsidR="009206DC" w:rsidRPr="00DD6692" w:rsidRDefault="009206DC"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$1.46</w:t>
            </w:r>
          </w:p>
        </w:tc>
        <w:tc>
          <w:tcPr>
            <w:tcW w:w="550" w:type="pct"/>
          </w:tcPr>
          <w:p w:rsidR="009206DC" w:rsidRPr="00DD6692" w:rsidRDefault="009206DC"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$1.52</w:t>
            </w:r>
          </w:p>
        </w:tc>
        <w:tc>
          <w:tcPr>
            <w:tcW w:w="600" w:type="pct"/>
          </w:tcPr>
          <w:p w:rsidR="009206DC" w:rsidRPr="00DD6692" w:rsidRDefault="009206DC"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$1.84</w:t>
            </w:r>
          </w:p>
        </w:tc>
      </w:tr>
      <w:tr w:rsidR="009206DC" w:rsidRPr="00DD6692" w:rsidTr="009206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tcPr>
          <w:p w:rsidR="009206DC" w:rsidRPr="00DD6692" w:rsidRDefault="009206DC" w:rsidP="004C63FA">
            <w:pPr>
              <w:keepNext/>
              <w:spacing w:before="40" w:after="40" w:line="240" w:lineRule="atLeast"/>
              <w:rPr>
                <w:rFonts w:cstheme="minorHAnsi"/>
                <w:sz w:val="18"/>
                <w:szCs w:val="18"/>
              </w:rPr>
            </w:pPr>
            <w:r w:rsidRPr="00DD6692">
              <w:rPr>
                <w:rFonts w:cstheme="minorHAnsi"/>
                <w:sz w:val="18"/>
                <w:szCs w:val="18"/>
              </w:rPr>
              <w:t>Allowance for Long Service leave</w:t>
            </w:r>
          </w:p>
        </w:tc>
        <w:tc>
          <w:tcPr>
            <w:tcW w:w="551" w:type="pct"/>
            <w:noWrap/>
          </w:tcPr>
          <w:p w:rsidR="009206DC" w:rsidRPr="00DD6692" w:rsidRDefault="009206DC"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550" w:type="pct"/>
          </w:tcPr>
          <w:p w:rsidR="009206DC" w:rsidRPr="00DD6692" w:rsidRDefault="009206DC"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p>
        </w:tc>
        <w:tc>
          <w:tcPr>
            <w:tcW w:w="550" w:type="pct"/>
          </w:tcPr>
          <w:p w:rsidR="009206DC" w:rsidRPr="00DD6692" w:rsidRDefault="009206DC"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p>
        </w:tc>
        <w:tc>
          <w:tcPr>
            <w:tcW w:w="600" w:type="pct"/>
          </w:tcPr>
          <w:p w:rsidR="009206DC" w:rsidRPr="00DD6692" w:rsidRDefault="009206DC"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p>
        </w:tc>
      </w:tr>
      <w:tr w:rsidR="009206DC" w:rsidRPr="00DD6692" w:rsidTr="009206DC">
        <w:trPr>
          <w:trHeight w:val="300"/>
        </w:trPr>
        <w:tc>
          <w:tcPr>
            <w:cnfStyle w:val="001000000000" w:firstRow="0" w:lastRow="0" w:firstColumn="1" w:lastColumn="0" w:oddVBand="0" w:evenVBand="0" w:oddHBand="0" w:evenHBand="0" w:firstRowFirstColumn="0" w:firstRowLastColumn="0" w:lastRowFirstColumn="0" w:lastRowLastColumn="0"/>
            <w:tcW w:w="2748" w:type="pct"/>
          </w:tcPr>
          <w:p w:rsidR="009206DC" w:rsidRPr="00DD6692" w:rsidRDefault="009206DC" w:rsidP="004C63FA">
            <w:pPr>
              <w:keepNext/>
              <w:spacing w:before="40" w:after="40" w:line="240" w:lineRule="atLeast"/>
              <w:ind w:left="593"/>
              <w:rPr>
                <w:rFonts w:cstheme="minorHAnsi"/>
                <w:b w:val="0"/>
                <w:sz w:val="18"/>
                <w:szCs w:val="18"/>
              </w:rPr>
            </w:pPr>
            <w:r w:rsidRPr="00DD6692">
              <w:rPr>
                <w:rFonts w:cstheme="minorHAnsi"/>
                <w:b w:val="0"/>
                <w:sz w:val="18"/>
                <w:szCs w:val="18"/>
              </w:rPr>
              <w:t>a. No. hours leave accrued in a year (hrs/yr)</w:t>
            </w:r>
          </w:p>
        </w:tc>
        <w:tc>
          <w:tcPr>
            <w:tcW w:w="551" w:type="pct"/>
            <w:noWrap/>
          </w:tcPr>
          <w:p w:rsidR="009206DC" w:rsidRPr="00DD6692" w:rsidRDefault="009206DC"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32.93</w:t>
            </w:r>
          </w:p>
        </w:tc>
        <w:tc>
          <w:tcPr>
            <w:tcW w:w="550" w:type="pct"/>
          </w:tcPr>
          <w:p w:rsidR="009206DC" w:rsidRPr="00DD6692" w:rsidRDefault="009206DC"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32.93</w:t>
            </w:r>
          </w:p>
        </w:tc>
        <w:tc>
          <w:tcPr>
            <w:tcW w:w="550" w:type="pct"/>
          </w:tcPr>
          <w:p w:rsidR="009206DC" w:rsidRPr="00DD6692" w:rsidRDefault="009206DC"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32.93</w:t>
            </w:r>
          </w:p>
        </w:tc>
        <w:tc>
          <w:tcPr>
            <w:tcW w:w="600" w:type="pct"/>
          </w:tcPr>
          <w:p w:rsidR="009206DC" w:rsidRPr="00DD6692" w:rsidRDefault="009206DC"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32.93</w:t>
            </w:r>
          </w:p>
        </w:tc>
      </w:tr>
      <w:tr w:rsidR="009206DC" w:rsidRPr="00DD6692" w:rsidTr="009206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tcPr>
          <w:p w:rsidR="009206DC" w:rsidRPr="00DD6692" w:rsidRDefault="009206DC" w:rsidP="004C63FA">
            <w:pPr>
              <w:keepNext/>
              <w:spacing w:before="40" w:after="40" w:line="240" w:lineRule="atLeast"/>
              <w:ind w:left="593"/>
              <w:rPr>
                <w:rFonts w:cstheme="minorHAnsi"/>
                <w:b w:val="0"/>
                <w:sz w:val="18"/>
                <w:szCs w:val="18"/>
              </w:rPr>
            </w:pPr>
            <w:r w:rsidRPr="00DD6692">
              <w:rPr>
                <w:rFonts w:cstheme="minorHAnsi"/>
                <w:b w:val="0"/>
                <w:sz w:val="18"/>
                <w:szCs w:val="18"/>
              </w:rPr>
              <w:t>b. Loading</w:t>
            </w:r>
          </w:p>
        </w:tc>
        <w:tc>
          <w:tcPr>
            <w:tcW w:w="551" w:type="pct"/>
            <w:noWrap/>
          </w:tcPr>
          <w:p w:rsidR="009206DC" w:rsidRPr="00DD6692" w:rsidRDefault="009206DC"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0.0%</w:t>
            </w:r>
          </w:p>
        </w:tc>
        <w:tc>
          <w:tcPr>
            <w:tcW w:w="550" w:type="pct"/>
          </w:tcPr>
          <w:p w:rsidR="009206DC" w:rsidRPr="00DD6692" w:rsidRDefault="009206DC"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0.0%</w:t>
            </w:r>
          </w:p>
        </w:tc>
        <w:tc>
          <w:tcPr>
            <w:tcW w:w="550" w:type="pct"/>
          </w:tcPr>
          <w:p w:rsidR="009206DC" w:rsidRPr="00DD6692" w:rsidRDefault="009206DC"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0.0%</w:t>
            </w:r>
          </w:p>
        </w:tc>
        <w:tc>
          <w:tcPr>
            <w:tcW w:w="600" w:type="pct"/>
          </w:tcPr>
          <w:p w:rsidR="009206DC" w:rsidRPr="00DD6692" w:rsidRDefault="009206DC"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0.0%</w:t>
            </w:r>
          </w:p>
        </w:tc>
      </w:tr>
      <w:tr w:rsidR="009206DC" w:rsidRPr="00DD6692" w:rsidTr="009206DC">
        <w:trPr>
          <w:trHeight w:val="300"/>
        </w:trPr>
        <w:tc>
          <w:tcPr>
            <w:cnfStyle w:val="001000000000" w:firstRow="0" w:lastRow="0" w:firstColumn="1" w:lastColumn="0" w:oddVBand="0" w:evenVBand="0" w:oddHBand="0" w:evenHBand="0" w:firstRowFirstColumn="0" w:firstRowLastColumn="0" w:lastRowFirstColumn="0" w:lastRowLastColumn="0"/>
            <w:tcW w:w="2748" w:type="pct"/>
          </w:tcPr>
          <w:p w:rsidR="009206DC" w:rsidRPr="00DD6692" w:rsidRDefault="009206DC" w:rsidP="004C63FA">
            <w:pPr>
              <w:keepNext/>
              <w:spacing w:before="40" w:after="40" w:line="240" w:lineRule="atLeast"/>
              <w:ind w:left="593"/>
              <w:rPr>
                <w:rFonts w:cstheme="minorHAnsi"/>
                <w:b w:val="0"/>
                <w:sz w:val="18"/>
                <w:szCs w:val="18"/>
              </w:rPr>
            </w:pPr>
            <w:r w:rsidRPr="00DD6692">
              <w:rPr>
                <w:rFonts w:cstheme="minorHAnsi"/>
                <w:b w:val="0"/>
                <w:sz w:val="18"/>
                <w:szCs w:val="18"/>
              </w:rPr>
              <w:t>c. Proportion of leave taken</w:t>
            </w:r>
          </w:p>
        </w:tc>
        <w:tc>
          <w:tcPr>
            <w:tcW w:w="551" w:type="pct"/>
            <w:noWrap/>
          </w:tcPr>
          <w:p w:rsidR="009206DC" w:rsidRPr="00DD6692" w:rsidRDefault="009206DC"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100.0%</w:t>
            </w:r>
          </w:p>
        </w:tc>
        <w:tc>
          <w:tcPr>
            <w:tcW w:w="550" w:type="pct"/>
          </w:tcPr>
          <w:p w:rsidR="009206DC" w:rsidRPr="00DD6692" w:rsidRDefault="009206DC"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100.0%</w:t>
            </w:r>
          </w:p>
        </w:tc>
        <w:tc>
          <w:tcPr>
            <w:tcW w:w="550" w:type="pct"/>
          </w:tcPr>
          <w:p w:rsidR="009206DC" w:rsidRPr="00DD6692" w:rsidRDefault="009206DC"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100.0%</w:t>
            </w:r>
          </w:p>
        </w:tc>
        <w:tc>
          <w:tcPr>
            <w:tcW w:w="600" w:type="pct"/>
          </w:tcPr>
          <w:p w:rsidR="009206DC" w:rsidRPr="00DD6692" w:rsidRDefault="009206DC"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100.0%</w:t>
            </w:r>
          </w:p>
        </w:tc>
      </w:tr>
      <w:tr w:rsidR="009206DC" w:rsidRPr="00DD6692" w:rsidTr="009206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tcPr>
          <w:p w:rsidR="009206DC" w:rsidRPr="00DD6692" w:rsidRDefault="009206DC" w:rsidP="004C63FA">
            <w:pPr>
              <w:keepNext/>
              <w:spacing w:before="40" w:after="40" w:line="240" w:lineRule="atLeast"/>
              <w:ind w:left="593"/>
              <w:rPr>
                <w:rFonts w:cstheme="minorHAnsi"/>
                <w:sz w:val="18"/>
                <w:szCs w:val="18"/>
              </w:rPr>
            </w:pPr>
            <w:r w:rsidRPr="00DD6692">
              <w:rPr>
                <w:rFonts w:cstheme="minorHAnsi"/>
                <w:sz w:val="18"/>
                <w:szCs w:val="18"/>
              </w:rPr>
              <w:t>Cost per worked hour</w:t>
            </w:r>
          </w:p>
        </w:tc>
        <w:tc>
          <w:tcPr>
            <w:tcW w:w="551" w:type="pct"/>
            <w:noWrap/>
          </w:tcPr>
          <w:p w:rsidR="009206DC" w:rsidRPr="00DD6692" w:rsidRDefault="009206DC"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b/>
                <w:sz w:val="18"/>
                <w:szCs w:val="18"/>
              </w:rPr>
              <w:t>$0.61</w:t>
            </w:r>
          </w:p>
        </w:tc>
        <w:tc>
          <w:tcPr>
            <w:tcW w:w="550" w:type="pct"/>
          </w:tcPr>
          <w:p w:rsidR="009206DC" w:rsidRPr="00DD6692" w:rsidRDefault="009206DC"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$0.63</w:t>
            </w:r>
          </w:p>
        </w:tc>
        <w:tc>
          <w:tcPr>
            <w:tcW w:w="550" w:type="pct"/>
          </w:tcPr>
          <w:p w:rsidR="009206DC" w:rsidRPr="00DD6692" w:rsidRDefault="009206DC"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$0.66</w:t>
            </w:r>
          </w:p>
        </w:tc>
        <w:tc>
          <w:tcPr>
            <w:tcW w:w="600" w:type="pct"/>
          </w:tcPr>
          <w:p w:rsidR="009206DC" w:rsidRPr="00DD6692" w:rsidRDefault="009206DC"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$0.80</w:t>
            </w:r>
          </w:p>
        </w:tc>
      </w:tr>
      <w:tr w:rsidR="009206DC" w:rsidRPr="00DD6692" w:rsidTr="009206DC">
        <w:trPr>
          <w:trHeight w:val="300"/>
        </w:trPr>
        <w:tc>
          <w:tcPr>
            <w:cnfStyle w:val="001000000000" w:firstRow="0" w:lastRow="0" w:firstColumn="1" w:lastColumn="0" w:oddVBand="0" w:evenVBand="0" w:oddHBand="0" w:evenHBand="0" w:firstRowFirstColumn="0" w:firstRowLastColumn="0" w:lastRowFirstColumn="0" w:lastRowLastColumn="0"/>
            <w:tcW w:w="2748" w:type="pct"/>
          </w:tcPr>
          <w:p w:rsidR="009206DC" w:rsidRPr="00DD6692" w:rsidRDefault="009206DC" w:rsidP="004C63FA">
            <w:pPr>
              <w:keepNext/>
              <w:spacing w:before="40" w:after="40" w:line="240" w:lineRule="atLeast"/>
              <w:rPr>
                <w:rFonts w:cstheme="minorHAnsi"/>
                <w:sz w:val="18"/>
                <w:szCs w:val="18"/>
              </w:rPr>
            </w:pPr>
            <w:r w:rsidRPr="00DD6692">
              <w:rPr>
                <w:rFonts w:cstheme="minorHAnsi"/>
                <w:sz w:val="18"/>
                <w:szCs w:val="18"/>
              </w:rPr>
              <w:t>Cumulative cost per hour, after leave costs</w:t>
            </w:r>
          </w:p>
        </w:tc>
        <w:tc>
          <w:tcPr>
            <w:tcW w:w="551" w:type="pct"/>
            <w:noWrap/>
          </w:tcPr>
          <w:p w:rsidR="009206DC" w:rsidRPr="00DD6692" w:rsidRDefault="009206DC"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$37.67</w:t>
            </w:r>
          </w:p>
        </w:tc>
        <w:tc>
          <w:tcPr>
            <w:tcW w:w="550" w:type="pct"/>
          </w:tcPr>
          <w:p w:rsidR="009206DC" w:rsidRPr="00DD6692" w:rsidRDefault="009206DC"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 xml:space="preserve"> $39.15 </w:t>
            </w:r>
          </w:p>
        </w:tc>
        <w:tc>
          <w:tcPr>
            <w:tcW w:w="550" w:type="pct"/>
          </w:tcPr>
          <w:p w:rsidR="009206DC" w:rsidRPr="00DD6692" w:rsidRDefault="009206DC"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$40.76</w:t>
            </w:r>
          </w:p>
        </w:tc>
        <w:tc>
          <w:tcPr>
            <w:tcW w:w="600" w:type="pct"/>
          </w:tcPr>
          <w:p w:rsidR="009206DC" w:rsidRPr="00DD6692" w:rsidRDefault="009206DC"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$49.17</w:t>
            </w:r>
          </w:p>
        </w:tc>
      </w:tr>
      <w:tr w:rsidR="009206DC" w:rsidRPr="00DD6692" w:rsidTr="009206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tcPr>
          <w:p w:rsidR="009206DC" w:rsidRPr="00DD6692" w:rsidRDefault="009206DC" w:rsidP="009206DC">
            <w:pPr>
              <w:spacing w:before="40" w:after="40" w:line="240" w:lineRule="atLeast"/>
              <w:rPr>
                <w:rFonts w:cstheme="minorHAnsi"/>
                <w:b w:val="0"/>
                <w:sz w:val="18"/>
                <w:szCs w:val="18"/>
              </w:rPr>
            </w:pPr>
            <w:bookmarkStart w:id="16" w:name="OLE_LINK1"/>
            <w:r w:rsidRPr="00DD6692">
              <w:rPr>
                <w:rFonts w:cstheme="minorHAnsi"/>
                <w:b w:val="0"/>
                <w:sz w:val="18"/>
                <w:szCs w:val="18"/>
              </w:rPr>
              <w:t>Increase from permanent standard hourly rate</w:t>
            </w:r>
            <w:bookmarkEnd w:id="16"/>
          </w:p>
        </w:tc>
        <w:tc>
          <w:tcPr>
            <w:tcW w:w="551" w:type="pct"/>
            <w:noWrap/>
          </w:tcPr>
          <w:p w:rsidR="009206DC" w:rsidRPr="00DD6692" w:rsidRDefault="009206DC" w:rsidP="009206D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21.7%</w:t>
            </w:r>
          </w:p>
        </w:tc>
        <w:tc>
          <w:tcPr>
            <w:tcW w:w="550" w:type="pct"/>
          </w:tcPr>
          <w:p w:rsidR="009206DC" w:rsidRPr="00DD6692" w:rsidRDefault="009206DC" w:rsidP="009206D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21.7%</w:t>
            </w:r>
          </w:p>
        </w:tc>
        <w:tc>
          <w:tcPr>
            <w:tcW w:w="550" w:type="pct"/>
          </w:tcPr>
          <w:p w:rsidR="009206DC" w:rsidRPr="00DD6692" w:rsidRDefault="009206DC" w:rsidP="009206D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21.7%</w:t>
            </w:r>
          </w:p>
        </w:tc>
        <w:tc>
          <w:tcPr>
            <w:tcW w:w="600" w:type="pct"/>
          </w:tcPr>
          <w:p w:rsidR="009206DC" w:rsidRPr="00DD6692" w:rsidRDefault="009206DC" w:rsidP="009206D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21.7%</w:t>
            </w:r>
          </w:p>
        </w:tc>
      </w:tr>
    </w:tbl>
    <w:p w:rsidR="000D2455" w:rsidRPr="00DD6692" w:rsidRDefault="00BA3CDC" w:rsidP="006B0D9B">
      <w:pPr>
        <w:pStyle w:val="Heading2"/>
      </w:pPr>
      <w:bookmarkStart w:id="17" w:name="_Toc91063495"/>
      <w:r w:rsidRPr="00DD6692">
        <w:t xml:space="preserve">Salary </w:t>
      </w:r>
      <w:r w:rsidR="00B76D59" w:rsidRPr="00DD6692">
        <w:t>On-costs</w:t>
      </w:r>
      <w:bookmarkEnd w:id="17"/>
    </w:p>
    <w:p w:rsidR="00735F60" w:rsidRPr="00DD6692" w:rsidRDefault="00BA3CDC" w:rsidP="006B0D9B">
      <w:pPr>
        <w:keepNext/>
      </w:pPr>
      <w:r w:rsidRPr="00DD6692">
        <w:t xml:space="preserve">The </w:t>
      </w:r>
      <w:r w:rsidR="00E27A53" w:rsidRPr="00DD6692">
        <w:t>Cost Model</w:t>
      </w:r>
      <w:r w:rsidRPr="00DD6692">
        <w:t xml:space="preserve"> recognises that providers incur othe</w:t>
      </w:r>
      <w:r w:rsidR="007751F4" w:rsidRPr="00DD6692">
        <w:t xml:space="preserve">r costs related to the salaries, </w:t>
      </w:r>
      <w:r w:rsidRPr="00DD6692">
        <w:t>including:</w:t>
      </w:r>
    </w:p>
    <w:p w:rsidR="005C08A0" w:rsidRPr="00DD6692" w:rsidRDefault="00BA3CDC" w:rsidP="00103152">
      <w:pPr>
        <w:pStyle w:val="ListParagraph"/>
        <w:numPr>
          <w:ilvl w:val="0"/>
          <w:numId w:val="8"/>
        </w:numPr>
      </w:pPr>
      <w:r w:rsidRPr="00DD6692">
        <w:t>Superannuation at the statutory</w:t>
      </w:r>
      <w:r w:rsidR="005C08A0" w:rsidRPr="00DD6692">
        <w:t xml:space="preserve"> 9.5% of </w:t>
      </w:r>
      <w:r w:rsidRPr="00DD6692">
        <w:t xml:space="preserve">base salary, including </w:t>
      </w:r>
      <w:r w:rsidR="00711713" w:rsidRPr="00DD6692">
        <w:t xml:space="preserve">while on </w:t>
      </w:r>
      <w:r w:rsidRPr="00DD6692">
        <w:t>leave;</w:t>
      </w:r>
      <w:r w:rsidR="005C08A0" w:rsidRPr="00DD6692">
        <w:rPr>
          <w:rStyle w:val="FootnoteReference"/>
        </w:rPr>
        <w:footnoteReference w:id="15"/>
      </w:r>
      <w:r w:rsidRPr="00DD6692">
        <w:t xml:space="preserve"> </w:t>
      </w:r>
    </w:p>
    <w:p w:rsidR="002C0178" w:rsidRPr="00DD6692" w:rsidRDefault="00BA3CDC" w:rsidP="00103152">
      <w:pPr>
        <w:pStyle w:val="ListParagraph"/>
        <w:numPr>
          <w:ilvl w:val="0"/>
          <w:numId w:val="8"/>
        </w:numPr>
      </w:pPr>
      <w:r w:rsidRPr="00DD6692">
        <w:t xml:space="preserve">Workers compensation insurance at </w:t>
      </w:r>
      <w:r w:rsidR="009168ED" w:rsidRPr="00DD6692">
        <w:t>1.7</w:t>
      </w:r>
      <w:r w:rsidRPr="00DD6692">
        <w:t xml:space="preserve">% of base salary, including </w:t>
      </w:r>
      <w:r w:rsidR="00711713" w:rsidRPr="00DD6692">
        <w:t xml:space="preserve">while on </w:t>
      </w:r>
      <w:r w:rsidRPr="00DD6692">
        <w:t>leave</w:t>
      </w:r>
      <w:r w:rsidR="0086773C" w:rsidRPr="00DD6692">
        <w:t>;</w:t>
      </w:r>
      <w:r w:rsidR="0086773C" w:rsidRPr="00DD6692">
        <w:rPr>
          <w:rStyle w:val="FootnoteReference"/>
        </w:rPr>
        <w:footnoteReference w:id="16"/>
      </w:r>
      <w:r w:rsidR="0086773C" w:rsidRPr="00DD6692">
        <w:t xml:space="preserve"> and</w:t>
      </w:r>
    </w:p>
    <w:p w:rsidR="00B76D59" w:rsidRPr="00DD6692" w:rsidRDefault="002C0178" w:rsidP="00103152">
      <w:pPr>
        <w:pStyle w:val="ListParagraph"/>
        <w:numPr>
          <w:ilvl w:val="0"/>
          <w:numId w:val="8"/>
        </w:numPr>
      </w:pPr>
      <w:r w:rsidRPr="00DD6692">
        <w:t>Employee allowances at 1.0% of base salary</w:t>
      </w:r>
      <w:r w:rsidR="009F6F9F" w:rsidRPr="00DD6692">
        <w:t>.</w:t>
      </w:r>
      <w:r w:rsidR="008E57D4" w:rsidRPr="00DD6692">
        <w:rPr>
          <w:rStyle w:val="FootnoteReference"/>
        </w:rPr>
        <w:footnoteReference w:id="17"/>
      </w:r>
    </w:p>
    <w:p w:rsidR="007751F4" w:rsidRPr="00DD6692" w:rsidRDefault="007751F4" w:rsidP="007751F4">
      <w:r w:rsidRPr="00DD6692">
        <w:t xml:space="preserve">The </w:t>
      </w:r>
      <w:r w:rsidR="00E27A53" w:rsidRPr="00DD6692">
        <w:t>Cost Model</w:t>
      </w:r>
      <w:r w:rsidRPr="00DD6692">
        <w:t xml:space="preserve"> does not provide for payroll tax as most jurisdictions exempt not</w:t>
      </w:r>
      <w:r w:rsidR="009168ED" w:rsidRPr="00DD6692">
        <w:t>-</w:t>
      </w:r>
      <w:r w:rsidRPr="00DD6692">
        <w:t>for</w:t>
      </w:r>
      <w:r w:rsidR="009168ED" w:rsidRPr="00DD6692">
        <w:t>-</w:t>
      </w:r>
      <w:r w:rsidRPr="00DD6692">
        <w:t xml:space="preserve">profit and smaller organisations from payroll tax. </w:t>
      </w:r>
    </w:p>
    <w:p w:rsidR="000C7183" w:rsidRPr="00DD6692" w:rsidRDefault="000C7183" w:rsidP="003C3A52">
      <w:pPr>
        <w:pStyle w:val="Caption"/>
      </w:pPr>
      <w:bookmarkStart w:id="18" w:name="_Ref19026849"/>
      <w:r w:rsidRPr="00DD6692">
        <w:t xml:space="preserve">Table </w:t>
      </w:r>
      <w:fldSimple w:instr=" SEQ Table \* ARABIC ">
        <w:r w:rsidR="00DD6692">
          <w:rPr>
            <w:noProof/>
          </w:rPr>
          <w:t>4</w:t>
        </w:r>
      </w:fldSimple>
      <w:bookmarkEnd w:id="18"/>
      <w:r w:rsidRPr="00DD6692">
        <w:t>: Impact o</w:t>
      </w:r>
      <w:r w:rsidR="00BA3CDC" w:rsidRPr="00DD6692">
        <w:t>f Salary O</w:t>
      </w:r>
      <w:r w:rsidRPr="00DD6692">
        <w:t xml:space="preserve">n-costs on </w:t>
      </w:r>
      <w:r w:rsidR="00BA3CDC" w:rsidRPr="00DD6692">
        <w:t xml:space="preserve">the </w:t>
      </w:r>
      <w:r w:rsidR="00216517" w:rsidRPr="00DD6692">
        <w:t xml:space="preserve">Cost per </w:t>
      </w:r>
      <w:r w:rsidR="0086773C" w:rsidRPr="00DD6692">
        <w:t>Worked</w:t>
      </w:r>
      <w:r w:rsidR="00216517" w:rsidRPr="00DD6692">
        <w:t xml:space="preserve"> Hour</w:t>
      </w:r>
      <w:r w:rsidR="00BA3CDC" w:rsidRPr="00DD6692">
        <w:t xml:space="preserve"> of </w:t>
      </w:r>
      <w:r w:rsidR="00216517" w:rsidRPr="00DD6692">
        <w:t xml:space="preserve">a </w:t>
      </w:r>
      <w:r w:rsidR="00BA3CDC" w:rsidRPr="00DD6692">
        <w:t>Permanent DSW</w:t>
      </w:r>
    </w:p>
    <w:tbl>
      <w:tblPr>
        <w:tblStyle w:val="GridTable4-Accent4"/>
        <w:tblW w:w="5000" w:type="pct"/>
        <w:tblLook w:val="04A0" w:firstRow="1" w:lastRow="0" w:firstColumn="1" w:lastColumn="0" w:noHBand="0" w:noVBand="1"/>
        <w:tblDescription w:val="Table 3: Impact of Leave on the Cost per Worked Hour of a Permanent DSW"/>
      </w:tblPr>
      <w:tblGrid>
        <w:gridCol w:w="4954"/>
        <w:gridCol w:w="994"/>
        <w:gridCol w:w="992"/>
        <w:gridCol w:w="992"/>
        <w:gridCol w:w="1084"/>
      </w:tblGrid>
      <w:tr w:rsidR="00716C16" w:rsidRPr="00DD6692" w:rsidTr="00716C16">
        <w:trPr>
          <w:cnfStyle w:val="100000000000" w:firstRow="1" w:lastRow="0" w:firstColumn="0" w:lastColumn="0" w:oddVBand="0" w:evenVBand="0" w:oddHBand="0" w:evenHBand="0" w:firstRowFirstColumn="0" w:firstRowLastColumn="0" w:lastRowFirstColumn="0" w:lastRowLastColumn="0"/>
          <w:trHeight w:val="289"/>
          <w:tblHeader/>
        </w:trPr>
        <w:tc>
          <w:tcPr>
            <w:cnfStyle w:val="001000000000" w:firstRow="0" w:lastRow="0" w:firstColumn="1" w:lastColumn="0" w:oddVBand="0" w:evenVBand="0" w:oddHBand="0" w:evenHBand="0" w:firstRowFirstColumn="0" w:firstRowLastColumn="0" w:lastRowFirstColumn="0" w:lastRowLastColumn="0"/>
            <w:tcW w:w="2747" w:type="pct"/>
            <w:hideMark/>
          </w:tcPr>
          <w:p w:rsidR="00716C16" w:rsidRPr="00DD6692" w:rsidRDefault="00716C16" w:rsidP="00CB77DC">
            <w:pPr>
              <w:spacing w:before="40" w:after="40" w:line="240" w:lineRule="atLeast"/>
              <w:rPr>
                <w:rFonts w:cstheme="minorHAnsi"/>
                <w:sz w:val="18"/>
                <w:szCs w:val="18"/>
              </w:rPr>
            </w:pPr>
          </w:p>
        </w:tc>
        <w:tc>
          <w:tcPr>
            <w:tcW w:w="551" w:type="pct"/>
            <w:hideMark/>
          </w:tcPr>
          <w:p w:rsidR="00716C16" w:rsidRPr="00DD6692" w:rsidRDefault="00716C16" w:rsidP="00CB77DC">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DSW A</w:t>
            </w:r>
          </w:p>
        </w:tc>
        <w:tc>
          <w:tcPr>
            <w:tcW w:w="550" w:type="pct"/>
          </w:tcPr>
          <w:p w:rsidR="00716C16" w:rsidRPr="00DD6692" w:rsidRDefault="00716C16" w:rsidP="00CB77DC">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lang w:eastAsia="en-AU"/>
              </w:rPr>
            </w:pPr>
            <w:r w:rsidRPr="00DD6692">
              <w:rPr>
                <w:rFonts w:cstheme="minorHAnsi"/>
                <w:sz w:val="18"/>
                <w:szCs w:val="18"/>
              </w:rPr>
              <w:t>DSW B</w:t>
            </w:r>
          </w:p>
        </w:tc>
        <w:tc>
          <w:tcPr>
            <w:tcW w:w="550" w:type="pct"/>
          </w:tcPr>
          <w:p w:rsidR="00716C16" w:rsidRPr="00DD6692" w:rsidRDefault="00716C16" w:rsidP="00CB77DC">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DSW C</w:t>
            </w:r>
          </w:p>
        </w:tc>
        <w:tc>
          <w:tcPr>
            <w:tcW w:w="601" w:type="pct"/>
          </w:tcPr>
          <w:p w:rsidR="00716C16" w:rsidRPr="00DD6692" w:rsidRDefault="00716C16" w:rsidP="00CB77DC">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DSW D</w:t>
            </w:r>
          </w:p>
        </w:tc>
      </w:tr>
      <w:tr w:rsidR="009206DC" w:rsidRPr="00DD6692"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hideMark/>
          </w:tcPr>
          <w:p w:rsidR="009206DC" w:rsidRPr="00DD6692" w:rsidRDefault="009206DC" w:rsidP="009206DC">
            <w:pPr>
              <w:keepNext/>
              <w:spacing w:before="40" w:after="40" w:line="240" w:lineRule="atLeast"/>
              <w:rPr>
                <w:rFonts w:cstheme="minorHAnsi"/>
                <w:sz w:val="18"/>
                <w:szCs w:val="18"/>
              </w:rPr>
            </w:pPr>
            <w:r w:rsidRPr="00DD6692">
              <w:rPr>
                <w:rFonts w:cstheme="minorHAnsi"/>
                <w:sz w:val="18"/>
                <w:szCs w:val="18"/>
              </w:rPr>
              <w:t>Cumulative cost per hour, before on-costs</w:t>
            </w:r>
          </w:p>
        </w:tc>
        <w:tc>
          <w:tcPr>
            <w:tcW w:w="551" w:type="pct"/>
            <w:noWrap/>
            <w:hideMark/>
          </w:tcPr>
          <w:p w:rsidR="009206DC" w:rsidRPr="00DD6692" w:rsidRDefault="009206DC" w:rsidP="009206DC">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$37.67</w:t>
            </w:r>
          </w:p>
        </w:tc>
        <w:tc>
          <w:tcPr>
            <w:tcW w:w="550" w:type="pct"/>
          </w:tcPr>
          <w:p w:rsidR="009206DC" w:rsidRPr="00DD6692" w:rsidRDefault="009206DC" w:rsidP="009206DC">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sz w:val="18"/>
                <w:szCs w:val="18"/>
                <w:lang w:eastAsia="en-AU"/>
              </w:rPr>
            </w:pPr>
            <w:r w:rsidRPr="00DD6692">
              <w:rPr>
                <w:rFonts w:cstheme="minorHAnsi"/>
                <w:b/>
                <w:sz w:val="18"/>
                <w:szCs w:val="18"/>
              </w:rPr>
              <w:t xml:space="preserve"> $39.15 </w:t>
            </w:r>
          </w:p>
        </w:tc>
        <w:tc>
          <w:tcPr>
            <w:tcW w:w="550" w:type="pct"/>
          </w:tcPr>
          <w:p w:rsidR="009206DC" w:rsidRPr="00DD6692" w:rsidRDefault="009206DC" w:rsidP="009206DC">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$40.76</w:t>
            </w:r>
          </w:p>
        </w:tc>
        <w:tc>
          <w:tcPr>
            <w:tcW w:w="601" w:type="pct"/>
          </w:tcPr>
          <w:p w:rsidR="009206DC" w:rsidRPr="00DD6692" w:rsidRDefault="009206DC" w:rsidP="009206DC">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$49.17</w:t>
            </w:r>
          </w:p>
        </w:tc>
      </w:tr>
      <w:tr w:rsidR="009206DC" w:rsidRPr="00DD6692" w:rsidTr="00996565">
        <w:trPr>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hideMark/>
          </w:tcPr>
          <w:p w:rsidR="009206DC" w:rsidRPr="00DD6692" w:rsidRDefault="009206DC" w:rsidP="009206DC">
            <w:pPr>
              <w:spacing w:before="40" w:after="40" w:line="240" w:lineRule="atLeast"/>
              <w:rPr>
                <w:rFonts w:cstheme="minorHAnsi"/>
                <w:sz w:val="18"/>
                <w:szCs w:val="18"/>
              </w:rPr>
            </w:pPr>
            <w:r w:rsidRPr="00DD6692">
              <w:rPr>
                <w:rFonts w:cstheme="minorHAnsi"/>
                <w:sz w:val="18"/>
                <w:szCs w:val="18"/>
              </w:rPr>
              <w:t>Superannuation</w:t>
            </w:r>
          </w:p>
        </w:tc>
        <w:tc>
          <w:tcPr>
            <w:tcW w:w="551" w:type="pct"/>
            <w:noWrap/>
            <w:vAlign w:val="center"/>
            <w:hideMark/>
          </w:tcPr>
          <w:p w:rsidR="009206DC" w:rsidRPr="00DD6692"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550" w:type="pct"/>
            <w:vAlign w:val="center"/>
          </w:tcPr>
          <w:p w:rsidR="009206DC" w:rsidRPr="00DD6692"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18"/>
                <w:szCs w:val="18"/>
                <w:lang w:eastAsia="en-AU"/>
              </w:rPr>
            </w:pPr>
          </w:p>
        </w:tc>
        <w:tc>
          <w:tcPr>
            <w:tcW w:w="550" w:type="pct"/>
            <w:vAlign w:val="center"/>
          </w:tcPr>
          <w:p w:rsidR="009206DC" w:rsidRPr="00DD6692"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p>
        </w:tc>
        <w:tc>
          <w:tcPr>
            <w:tcW w:w="601" w:type="pct"/>
          </w:tcPr>
          <w:p w:rsidR="009206DC" w:rsidRPr="00DD6692"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p>
        </w:tc>
      </w:tr>
      <w:tr w:rsidR="00F25B7B" w:rsidRPr="00DD6692" w:rsidTr="00E041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rsidR="00F25B7B" w:rsidRPr="00DD6692" w:rsidRDefault="00F25B7B" w:rsidP="00F25B7B">
            <w:pPr>
              <w:spacing w:before="40" w:after="40" w:line="240" w:lineRule="atLeast"/>
              <w:ind w:left="593"/>
              <w:rPr>
                <w:rFonts w:cstheme="minorHAnsi"/>
                <w:b w:val="0"/>
                <w:sz w:val="18"/>
                <w:szCs w:val="18"/>
              </w:rPr>
            </w:pPr>
            <w:r w:rsidRPr="00DD6692">
              <w:rPr>
                <w:rFonts w:cstheme="minorHAnsi"/>
                <w:b w:val="0"/>
                <w:sz w:val="18"/>
                <w:szCs w:val="18"/>
              </w:rPr>
              <w:t>Superannuation Rate (%)</w:t>
            </w:r>
          </w:p>
        </w:tc>
        <w:tc>
          <w:tcPr>
            <w:tcW w:w="551" w:type="pct"/>
            <w:noWrap/>
            <w:vAlign w:val="center"/>
          </w:tcPr>
          <w:p w:rsidR="00F25B7B" w:rsidRPr="00DD6692" w:rsidRDefault="00F25B7B" w:rsidP="00F25B7B">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10.00%</w:t>
            </w:r>
          </w:p>
        </w:tc>
        <w:tc>
          <w:tcPr>
            <w:tcW w:w="550" w:type="pct"/>
          </w:tcPr>
          <w:p w:rsidR="00F25B7B" w:rsidRPr="00DD6692" w:rsidRDefault="00F25B7B" w:rsidP="00F25B7B">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10.00%</w:t>
            </w:r>
          </w:p>
        </w:tc>
        <w:tc>
          <w:tcPr>
            <w:tcW w:w="550" w:type="pct"/>
          </w:tcPr>
          <w:p w:rsidR="00F25B7B" w:rsidRPr="00DD6692" w:rsidRDefault="00F25B7B" w:rsidP="00F25B7B">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10.00%</w:t>
            </w:r>
          </w:p>
        </w:tc>
        <w:tc>
          <w:tcPr>
            <w:tcW w:w="601" w:type="pct"/>
          </w:tcPr>
          <w:p w:rsidR="00F25B7B" w:rsidRPr="00DD6692" w:rsidRDefault="00F25B7B" w:rsidP="00F25B7B">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10.00%</w:t>
            </w:r>
          </w:p>
        </w:tc>
      </w:tr>
      <w:tr w:rsidR="009206DC" w:rsidRPr="00DD6692" w:rsidTr="00996565">
        <w:trPr>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rsidR="009206DC" w:rsidRPr="00DD6692" w:rsidRDefault="009206DC" w:rsidP="009206DC">
            <w:pPr>
              <w:spacing w:before="40" w:after="40" w:line="240" w:lineRule="atLeast"/>
              <w:ind w:left="593"/>
              <w:rPr>
                <w:rFonts w:cstheme="minorHAnsi"/>
                <w:sz w:val="18"/>
                <w:szCs w:val="18"/>
              </w:rPr>
            </w:pPr>
            <w:r w:rsidRPr="00DD6692">
              <w:rPr>
                <w:rFonts w:cstheme="minorHAnsi"/>
                <w:sz w:val="18"/>
                <w:szCs w:val="18"/>
              </w:rPr>
              <w:t>Superannuation ($)</w:t>
            </w:r>
          </w:p>
        </w:tc>
        <w:tc>
          <w:tcPr>
            <w:tcW w:w="551" w:type="pct"/>
            <w:noWrap/>
            <w:vAlign w:val="center"/>
          </w:tcPr>
          <w:p w:rsidR="009206DC" w:rsidRPr="00DD6692"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$3.77</w:t>
            </w:r>
          </w:p>
        </w:tc>
        <w:tc>
          <w:tcPr>
            <w:tcW w:w="550" w:type="pct"/>
            <w:vAlign w:val="center"/>
          </w:tcPr>
          <w:p w:rsidR="009206DC" w:rsidRPr="00DD6692"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$3.92</w:t>
            </w:r>
          </w:p>
        </w:tc>
        <w:tc>
          <w:tcPr>
            <w:tcW w:w="550" w:type="pct"/>
            <w:vAlign w:val="center"/>
          </w:tcPr>
          <w:p w:rsidR="009206DC" w:rsidRPr="00DD6692"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$4.08</w:t>
            </w:r>
          </w:p>
        </w:tc>
        <w:tc>
          <w:tcPr>
            <w:tcW w:w="601" w:type="pct"/>
            <w:vAlign w:val="center"/>
          </w:tcPr>
          <w:p w:rsidR="009206DC" w:rsidRPr="00DD6692"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$4.92</w:t>
            </w:r>
          </w:p>
        </w:tc>
      </w:tr>
      <w:tr w:rsidR="009206DC" w:rsidRPr="00DD6692"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rsidR="009206DC" w:rsidRPr="00DD6692" w:rsidRDefault="009206DC" w:rsidP="009206DC">
            <w:pPr>
              <w:spacing w:before="40" w:after="40" w:line="240" w:lineRule="atLeast"/>
              <w:rPr>
                <w:rFonts w:cstheme="minorHAnsi"/>
                <w:sz w:val="18"/>
                <w:szCs w:val="18"/>
              </w:rPr>
            </w:pPr>
            <w:r w:rsidRPr="00DD6692">
              <w:rPr>
                <w:rFonts w:cstheme="minorHAnsi"/>
                <w:sz w:val="18"/>
                <w:szCs w:val="18"/>
              </w:rPr>
              <w:t>Workers Compensation</w:t>
            </w:r>
          </w:p>
        </w:tc>
        <w:tc>
          <w:tcPr>
            <w:tcW w:w="551" w:type="pct"/>
            <w:noWrap/>
            <w:vAlign w:val="center"/>
          </w:tcPr>
          <w:p w:rsidR="009206DC" w:rsidRPr="00DD6692" w:rsidRDefault="009206DC" w:rsidP="009206D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550" w:type="pct"/>
            <w:vAlign w:val="center"/>
          </w:tcPr>
          <w:p w:rsidR="009206DC" w:rsidRPr="00DD6692" w:rsidRDefault="009206DC" w:rsidP="009206D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550" w:type="pct"/>
            <w:vAlign w:val="center"/>
          </w:tcPr>
          <w:p w:rsidR="009206DC" w:rsidRPr="00DD6692" w:rsidRDefault="009206DC" w:rsidP="009206D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601" w:type="pct"/>
            <w:vAlign w:val="center"/>
          </w:tcPr>
          <w:p w:rsidR="009206DC" w:rsidRPr="00DD6692" w:rsidRDefault="009206DC" w:rsidP="009206D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9206DC" w:rsidRPr="00DD6692" w:rsidTr="00996565">
        <w:trPr>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rsidR="009206DC" w:rsidRPr="00DD6692" w:rsidRDefault="009206DC" w:rsidP="009206DC">
            <w:pPr>
              <w:spacing w:before="40" w:after="40" w:line="240" w:lineRule="atLeast"/>
              <w:ind w:left="593"/>
              <w:rPr>
                <w:rFonts w:cstheme="minorHAnsi"/>
                <w:b w:val="0"/>
                <w:sz w:val="18"/>
                <w:szCs w:val="18"/>
              </w:rPr>
            </w:pPr>
            <w:r w:rsidRPr="00DD6692">
              <w:rPr>
                <w:rFonts w:cstheme="minorHAnsi"/>
                <w:b w:val="0"/>
                <w:sz w:val="18"/>
                <w:szCs w:val="18"/>
              </w:rPr>
              <w:t>Premium Rate (%)</w:t>
            </w:r>
          </w:p>
        </w:tc>
        <w:tc>
          <w:tcPr>
            <w:tcW w:w="551" w:type="pct"/>
            <w:noWrap/>
            <w:vAlign w:val="center"/>
          </w:tcPr>
          <w:p w:rsidR="009206DC" w:rsidRPr="00DD6692"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1.7%</w:t>
            </w:r>
          </w:p>
        </w:tc>
        <w:tc>
          <w:tcPr>
            <w:tcW w:w="550" w:type="pct"/>
            <w:vAlign w:val="center"/>
          </w:tcPr>
          <w:p w:rsidR="009206DC" w:rsidRPr="00DD6692"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1.7%</w:t>
            </w:r>
          </w:p>
        </w:tc>
        <w:tc>
          <w:tcPr>
            <w:tcW w:w="550" w:type="pct"/>
            <w:vAlign w:val="center"/>
          </w:tcPr>
          <w:p w:rsidR="009206DC" w:rsidRPr="00DD6692"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1.7%</w:t>
            </w:r>
          </w:p>
        </w:tc>
        <w:tc>
          <w:tcPr>
            <w:tcW w:w="601" w:type="pct"/>
            <w:vAlign w:val="center"/>
          </w:tcPr>
          <w:p w:rsidR="009206DC" w:rsidRPr="00DD6692"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1.7%</w:t>
            </w:r>
          </w:p>
        </w:tc>
      </w:tr>
      <w:tr w:rsidR="009206DC" w:rsidRPr="00DD6692"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rsidR="009206DC" w:rsidRPr="00DD6692" w:rsidRDefault="009206DC" w:rsidP="009206DC">
            <w:pPr>
              <w:spacing w:before="40" w:after="40" w:line="240" w:lineRule="atLeast"/>
              <w:ind w:left="593"/>
              <w:rPr>
                <w:rFonts w:cstheme="minorHAnsi"/>
                <w:sz w:val="18"/>
                <w:szCs w:val="18"/>
              </w:rPr>
            </w:pPr>
            <w:r w:rsidRPr="00DD6692">
              <w:rPr>
                <w:rFonts w:cstheme="minorHAnsi"/>
                <w:sz w:val="18"/>
                <w:szCs w:val="18"/>
              </w:rPr>
              <w:t>Premium Cost ($)</w:t>
            </w:r>
          </w:p>
        </w:tc>
        <w:tc>
          <w:tcPr>
            <w:tcW w:w="551" w:type="pct"/>
            <w:noWrap/>
            <w:vAlign w:val="center"/>
          </w:tcPr>
          <w:p w:rsidR="009206DC" w:rsidRPr="00DD6692" w:rsidRDefault="009206DC" w:rsidP="009206D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$0.64</w:t>
            </w:r>
          </w:p>
        </w:tc>
        <w:tc>
          <w:tcPr>
            <w:tcW w:w="550" w:type="pct"/>
            <w:vAlign w:val="center"/>
          </w:tcPr>
          <w:p w:rsidR="009206DC" w:rsidRPr="00DD6692" w:rsidRDefault="009206DC" w:rsidP="009206D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$0.67</w:t>
            </w:r>
          </w:p>
        </w:tc>
        <w:tc>
          <w:tcPr>
            <w:tcW w:w="550" w:type="pct"/>
            <w:vAlign w:val="center"/>
          </w:tcPr>
          <w:p w:rsidR="009206DC" w:rsidRPr="00DD6692" w:rsidRDefault="009206DC" w:rsidP="009206D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$0.69</w:t>
            </w:r>
          </w:p>
        </w:tc>
        <w:tc>
          <w:tcPr>
            <w:tcW w:w="601" w:type="pct"/>
            <w:vAlign w:val="center"/>
          </w:tcPr>
          <w:p w:rsidR="009206DC" w:rsidRPr="00DD6692" w:rsidRDefault="009206DC" w:rsidP="009206D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$0.84</w:t>
            </w:r>
          </w:p>
        </w:tc>
      </w:tr>
      <w:tr w:rsidR="009206DC" w:rsidRPr="00DD6692" w:rsidTr="00996565">
        <w:trPr>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rsidR="009206DC" w:rsidRPr="00DD6692" w:rsidRDefault="009206DC" w:rsidP="009206DC">
            <w:pPr>
              <w:spacing w:before="40" w:after="40" w:line="240" w:lineRule="atLeast"/>
              <w:rPr>
                <w:rFonts w:cstheme="minorHAnsi"/>
                <w:sz w:val="18"/>
                <w:szCs w:val="18"/>
              </w:rPr>
            </w:pPr>
            <w:r w:rsidRPr="00DD6692">
              <w:rPr>
                <w:rFonts w:cstheme="minorHAnsi"/>
                <w:sz w:val="18"/>
                <w:szCs w:val="18"/>
              </w:rPr>
              <w:t>Employee Allowances</w:t>
            </w:r>
          </w:p>
        </w:tc>
        <w:tc>
          <w:tcPr>
            <w:tcW w:w="551" w:type="pct"/>
            <w:noWrap/>
            <w:vAlign w:val="center"/>
          </w:tcPr>
          <w:p w:rsidR="009206DC" w:rsidRPr="00DD6692"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p>
        </w:tc>
        <w:tc>
          <w:tcPr>
            <w:tcW w:w="550" w:type="pct"/>
            <w:vAlign w:val="center"/>
          </w:tcPr>
          <w:p w:rsidR="009206DC" w:rsidRPr="00DD6692"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p>
        </w:tc>
        <w:tc>
          <w:tcPr>
            <w:tcW w:w="550" w:type="pct"/>
            <w:vAlign w:val="center"/>
          </w:tcPr>
          <w:p w:rsidR="009206DC" w:rsidRPr="00DD6692"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p>
        </w:tc>
        <w:tc>
          <w:tcPr>
            <w:tcW w:w="601" w:type="pct"/>
            <w:vAlign w:val="center"/>
          </w:tcPr>
          <w:p w:rsidR="009206DC" w:rsidRPr="00DD6692"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p>
        </w:tc>
      </w:tr>
      <w:tr w:rsidR="009206DC" w:rsidRPr="00DD6692"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rsidR="009206DC" w:rsidRPr="00DD6692" w:rsidRDefault="009206DC" w:rsidP="009206DC">
            <w:pPr>
              <w:spacing w:before="40" w:after="40" w:line="240" w:lineRule="atLeast"/>
              <w:ind w:left="595"/>
              <w:rPr>
                <w:rFonts w:cstheme="minorHAnsi"/>
                <w:b w:val="0"/>
                <w:sz w:val="18"/>
                <w:szCs w:val="18"/>
              </w:rPr>
            </w:pPr>
            <w:r w:rsidRPr="00DD6692">
              <w:rPr>
                <w:rFonts w:cstheme="minorHAnsi"/>
                <w:b w:val="0"/>
                <w:sz w:val="18"/>
                <w:szCs w:val="18"/>
              </w:rPr>
              <w:t>Allowance Rate (%)</w:t>
            </w:r>
          </w:p>
        </w:tc>
        <w:tc>
          <w:tcPr>
            <w:tcW w:w="551" w:type="pct"/>
            <w:noWrap/>
            <w:vAlign w:val="center"/>
          </w:tcPr>
          <w:p w:rsidR="009206DC" w:rsidRPr="00DD6692" w:rsidRDefault="009206DC" w:rsidP="009206D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1.0%</w:t>
            </w:r>
          </w:p>
        </w:tc>
        <w:tc>
          <w:tcPr>
            <w:tcW w:w="550" w:type="pct"/>
            <w:vAlign w:val="center"/>
          </w:tcPr>
          <w:p w:rsidR="009206DC" w:rsidRPr="00DD6692" w:rsidRDefault="009206DC" w:rsidP="009206D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sz w:val="18"/>
                <w:szCs w:val="18"/>
              </w:rPr>
              <w:t>1.0%</w:t>
            </w:r>
          </w:p>
        </w:tc>
        <w:tc>
          <w:tcPr>
            <w:tcW w:w="550" w:type="pct"/>
            <w:vAlign w:val="center"/>
          </w:tcPr>
          <w:p w:rsidR="009206DC" w:rsidRPr="00DD6692" w:rsidRDefault="009206DC" w:rsidP="009206D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sz w:val="18"/>
                <w:szCs w:val="18"/>
              </w:rPr>
              <w:t>1.0%</w:t>
            </w:r>
          </w:p>
        </w:tc>
        <w:tc>
          <w:tcPr>
            <w:tcW w:w="601" w:type="pct"/>
            <w:vAlign w:val="center"/>
          </w:tcPr>
          <w:p w:rsidR="009206DC" w:rsidRPr="00DD6692" w:rsidRDefault="009206DC" w:rsidP="009206D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1.0%</w:t>
            </w:r>
          </w:p>
        </w:tc>
      </w:tr>
      <w:tr w:rsidR="009206DC" w:rsidRPr="00DD6692" w:rsidTr="00996565">
        <w:trPr>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rsidR="009206DC" w:rsidRPr="00DD6692" w:rsidRDefault="009206DC" w:rsidP="009206DC">
            <w:pPr>
              <w:spacing w:before="40" w:after="40" w:line="240" w:lineRule="atLeast"/>
              <w:ind w:left="595"/>
              <w:rPr>
                <w:rFonts w:cstheme="minorHAnsi"/>
                <w:sz w:val="18"/>
                <w:szCs w:val="18"/>
              </w:rPr>
            </w:pPr>
            <w:r w:rsidRPr="00DD6692">
              <w:rPr>
                <w:rFonts w:cstheme="minorHAnsi"/>
                <w:sz w:val="18"/>
                <w:szCs w:val="18"/>
              </w:rPr>
              <w:t>Allowance Cost ($)</w:t>
            </w:r>
          </w:p>
        </w:tc>
        <w:tc>
          <w:tcPr>
            <w:tcW w:w="551" w:type="pct"/>
            <w:noWrap/>
            <w:vAlign w:val="center"/>
          </w:tcPr>
          <w:p w:rsidR="009206DC" w:rsidRPr="00DD6692"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$0.31</w:t>
            </w:r>
          </w:p>
        </w:tc>
        <w:tc>
          <w:tcPr>
            <w:tcW w:w="550" w:type="pct"/>
            <w:vAlign w:val="center"/>
          </w:tcPr>
          <w:p w:rsidR="009206DC" w:rsidRPr="00DD6692"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$0.32</w:t>
            </w:r>
          </w:p>
        </w:tc>
        <w:tc>
          <w:tcPr>
            <w:tcW w:w="550" w:type="pct"/>
            <w:vAlign w:val="center"/>
          </w:tcPr>
          <w:p w:rsidR="009206DC" w:rsidRPr="00DD6692"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$0.33</w:t>
            </w:r>
          </w:p>
        </w:tc>
        <w:tc>
          <w:tcPr>
            <w:tcW w:w="601" w:type="pct"/>
            <w:vAlign w:val="center"/>
          </w:tcPr>
          <w:p w:rsidR="009206DC" w:rsidRPr="00DD6692"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$0.40</w:t>
            </w:r>
          </w:p>
        </w:tc>
      </w:tr>
      <w:tr w:rsidR="009206DC" w:rsidRPr="00DD6692"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rsidR="009206DC" w:rsidRPr="00DD6692" w:rsidRDefault="009206DC" w:rsidP="009206DC">
            <w:pPr>
              <w:spacing w:before="40" w:after="40" w:line="240" w:lineRule="atLeast"/>
              <w:rPr>
                <w:rFonts w:cstheme="minorHAnsi"/>
                <w:sz w:val="18"/>
                <w:szCs w:val="18"/>
              </w:rPr>
            </w:pPr>
            <w:bookmarkStart w:id="19" w:name="OLE_LINK2"/>
            <w:r w:rsidRPr="00DD6692">
              <w:rPr>
                <w:rFonts w:cstheme="minorHAnsi"/>
                <w:sz w:val="18"/>
                <w:szCs w:val="18"/>
              </w:rPr>
              <w:t>Cumulative cost per hour, after on-costs</w:t>
            </w:r>
            <w:bookmarkEnd w:id="19"/>
          </w:p>
        </w:tc>
        <w:tc>
          <w:tcPr>
            <w:tcW w:w="551" w:type="pct"/>
            <w:noWrap/>
            <w:vAlign w:val="center"/>
          </w:tcPr>
          <w:p w:rsidR="009206DC" w:rsidRPr="00DD6692" w:rsidRDefault="009206DC" w:rsidP="009206D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$42.38</w:t>
            </w:r>
          </w:p>
        </w:tc>
        <w:tc>
          <w:tcPr>
            <w:tcW w:w="550" w:type="pct"/>
            <w:vAlign w:val="center"/>
          </w:tcPr>
          <w:p w:rsidR="009206DC" w:rsidRPr="00DD6692" w:rsidRDefault="009206DC" w:rsidP="009206D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$44.05</w:t>
            </w:r>
          </w:p>
        </w:tc>
        <w:tc>
          <w:tcPr>
            <w:tcW w:w="550" w:type="pct"/>
            <w:vAlign w:val="center"/>
          </w:tcPr>
          <w:p w:rsidR="009206DC" w:rsidRPr="00DD6692" w:rsidRDefault="009206DC" w:rsidP="009206D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$45.86</w:t>
            </w:r>
          </w:p>
        </w:tc>
        <w:tc>
          <w:tcPr>
            <w:tcW w:w="601" w:type="pct"/>
            <w:vAlign w:val="center"/>
          </w:tcPr>
          <w:p w:rsidR="009206DC" w:rsidRPr="00DD6692" w:rsidRDefault="009206DC" w:rsidP="009206D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$55.33</w:t>
            </w:r>
          </w:p>
        </w:tc>
      </w:tr>
      <w:tr w:rsidR="009206DC" w:rsidRPr="00DD6692" w:rsidTr="00996565">
        <w:trPr>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rsidR="009206DC" w:rsidRPr="00DD6692" w:rsidRDefault="009206DC" w:rsidP="009206DC">
            <w:pPr>
              <w:spacing w:before="40" w:after="40" w:line="240" w:lineRule="atLeast"/>
              <w:rPr>
                <w:rFonts w:cstheme="minorHAnsi"/>
                <w:b w:val="0"/>
                <w:sz w:val="18"/>
                <w:szCs w:val="18"/>
              </w:rPr>
            </w:pPr>
            <w:r w:rsidRPr="00DD6692">
              <w:rPr>
                <w:rFonts w:cstheme="minorHAnsi"/>
                <w:b w:val="0"/>
                <w:sz w:val="18"/>
                <w:szCs w:val="18"/>
              </w:rPr>
              <w:t>Cumulative increase from standard hourly rate</w:t>
            </w:r>
          </w:p>
        </w:tc>
        <w:tc>
          <w:tcPr>
            <w:tcW w:w="551" w:type="pct"/>
            <w:noWrap/>
            <w:vAlign w:val="center"/>
          </w:tcPr>
          <w:p w:rsidR="009206DC" w:rsidRPr="00DD6692"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37.0%</w:t>
            </w:r>
          </w:p>
        </w:tc>
        <w:tc>
          <w:tcPr>
            <w:tcW w:w="550" w:type="pct"/>
            <w:vAlign w:val="center"/>
          </w:tcPr>
          <w:p w:rsidR="009206DC" w:rsidRPr="00DD6692"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37.0%</w:t>
            </w:r>
          </w:p>
        </w:tc>
        <w:tc>
          <w:tcPr>
            <w:tcW w:w="550" w:type="pct"/>
            <w:vAlign w:val="center"/>
          </w:tcPr>
          <w:p w:rsidR="009206DC" w:rsidRPr="00DD6692"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37.0%</w:t>
            </w:r>
          </w:p>
        </w:tc>
        <w:tc>
          <w:tcPr>
            <w:tcW w:w="601" w:type="pct"/>
            <w:vAlign w:val="center"/>
          </w:tcPr>
          <w:p w:rsidR="009206DC" w:rsidRPr="00DD6692" w:rsidRDefault="009206DC" w:rsidP="009206D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37.0%</w:t>
            </w:r>
          </w:p>
        </w:tc>
      </w:tr>
    </w:tbl>
    <w:p w:rsidR="00CD54AF" w:rsidRPr="00DD6692" w:rsidRDefault="00CD54AF" w:rsidP="00315545">
      <w:pPr>
        <w:pStyle w:val="Heading2"/>
      </w:pPr>
      <w:bookmarkStart w:id="20" w:name="_Ref18506181"/>
      <w:bookmarkStart w:id="21" w:name="_Toc91063496"/>
      <w:r w:rsidRPr="00DD6692">
        <w:t>Supervision costs</w:t>
      </w:r>
      <w:bookmarkEnd w:id="20"/>
      <w:bookmarkEnd w:id="21"/>
    </w:p>
    <w:p w:rsidR="00985170" w:rsidRPr="00DD6692" w:rsidRDefault="007E0EA7" w:rsidP="00B227D9">
      <w:r w:rsidRPr="00DD6692">
        <w:t xml:space="preserve">The </w:t>
      </w:r>
      <w:r w:rsidR="00E27A53" w:rsidRPr="00DD6692">
        <w:t>Cost Model</w:t>
      </w:r>
      <w:r w:rsidRPr="00DD6692">
        <w:t xml:space="preserve"> recognises that DSWs require support and supervision</w:t>
      </w:r>
      <w:r w:rsidR="00B658AF" w:rsidRPr="00DD6692">
        <w:t xml:space="preserve"> and assumes</w:t>
      </w:r>
      <w:r w:rsidRPr="00DD6692">
        <w:t xml:space="preserve"> that supervisors have the same shift loadings, leave entitlements and salary on-costs as the workers they manage, and that higher skilled workers require higher skilled supervisors. T</w:t>
      </w:r>
      <w:r w:rsidR="008E3AF9" w:rsidRPr="00DD6692">
        <w:t xml:space="preserve">he </w:t>
      </w:r>
      <w:r w:rsidR="00E27A53" w:rsidRPr="00DD6692">
        <w:t>Cost Model</w:t>
      </w:r>
      <w:r w:rsidR="008E3AF9" w:rsidRPr="00DD6692">
        <w:t xml:space="preserve"> </w:t>
      </w:r>
      <w:r w:rsidR="007751F4" w:rsidRPr="00DD6692">
        <w:t xml:space="preserve">also </w:t>
      </w:r>
      <w:r w:rsidR="008E3AF9" w:rsidRPr="00DD6692">
        <w:t xml:space="preserve">assumes a </w:t>
      </w:r>
      <w:r w:rsidR="007751F4" w:rsidRPr="00DD6692">
        <w:t xml:space="preserve">span of control (ratio of </w:t>
      </w:r>
      <w:r w:rsidR="008E3AF9" w:rsidRPr="00DD6692">
        <w:t xml:space="preserve">workers </w:t>
      </w:r>
      <w:r w:rsidR="00216517" w:rsidRPr="00DD6692">
        <w:t xml:space="preserve">per </w:t>
      </w:r>
      <w:r w:rsidR="008E3AF9" w:rsidRPr="00DD6692">
        <w:t>supervisor</w:t>
      </w:r>
      <w:r w:rsidR="007751F4" w:rsidRPr="00DD6692">
        <w:t>) of 1</w:t>
      </w:r>
      <w:r w:rsidR="007D2AC0" w:rsidRPr="00DD6692">
        <w:t>5</w:t>
      </w:r>
      <w:r w:rsidR="007751F4" w:rsidRPr="00DD6692">
        <w:t xml:space="preserve"> to 1</w:t>
      </w:r>
      <w:r w:rsidR="00711713" w:rsidRPr="00DD6692">
        <w:t>.</w:t>
      </w:r>
      <w:r w:rsidR="00711713" w:rsidRPr="00DD6692">
        <w:rPr>
          <w:rStyle w:val="FootnoteReference"/>
        </w:rPr>
        <w:footnoteReference w:id="18"/>
      </w:r>
    </w:p>
    <w:p w:rsidR="000C7183" w:rsidRPr="00DD6692" w:rsidRDefault="000C7183" w:rsidP="005147FD">
      <w:pPr>
        <w:pStyle w:val="Caption"/>
      </w:pPr>
      <w:bookmarkStart w:id="22" w:name="_Ref19026960"/>
      <w:r w:rsidRPr="00DD6692">
        <w:t xml:space="preserve">Table </w:t>
      </w:r>
      <w:fldSimple w:instr=" SEQ Table \* ARABIC ">
        <w:r w:rsidR="00DD6692">
          <w:rPr>
            <w:noProof/>
          </w:rPr>
          <w:t>5</w:t>
        </w:r>
      </w:fldSimple>
      <w:bookmarkEnd w:id="22"/>
      <w:r w:rsidRPr="00DD6692">
        <w:t xml:space="preserve">: </w:t>
      </w:r>
      <w:r w:rsidR="00216517" w:rsidRPr="00DD6692">
        <w:t>Impact of S</w:t>
      </w:r>
      <w:r w:rsidRPr="00DD6692">
        <w:t xml:space="preserve">upervision on </w:t>
      </w:r>
      <w:r w:rsidR="00216517" w:rsidRPr="00DD6692">
        <w:t xml:space="preserve">Cost per </w:t>
      </w:r>
      <w:r w:rsidR="0086773C" w:rsidRPr="00DD6692">
        <w:t>Worked</w:t>
      </w:r>
      <w:r w:rsidR="00CD68BE" w:rsidRPr="00DD6692">
        <w:t xml:space="preserve"> </w:t>
      </w:r>
      <w:r w:rsidR="00216517" w:rsidRPr="00DD6692">
        <w:t>Hour of a Permanent DSW</w:t>
      </w:r>
    </w:p>
    <w:tbl>
      <w:tblPr>
        <w:tblStyle w:val="GridTable4-Accent4"/>
        <w:tblW w:w="5000" w:type="pct"/>
        <w:tblLook w:val="04A0" w:firstRow="1" w:lastRow="0" w:firstColumn="1" w:lastColumn="0" w:noHBand="0" w:noVBand="1"/>
        <w:tblDescription w:val="Table 3: Impact of Leave on the Cost per Worked Hour of a Permanent DSW"/>
      </w:tblPr>
      <w:tblGrid>
        <w:gridCol w:w="4954"/>
        <w:gridCol w:w="994"/>
        <w:gridCol w:w="992"/>
        <w:gridCol w:w="992"/>
        <w:gridCol w:w="1084"/>
      </w:tblGrid>
      <w:tr w:rsidR="00716C16" w:rsidRPr="00DD6692" w:rsidTr="00716C16">
        <w:trPr>
          <w:cnfStyle w:val="100000000000" w:firstRow="1" w:lastRow="0" w:firstColumn="0" w:lastColumn="0" w:oddVBand="0" w:evenVBand="0" w:oddHBand="0" w:evenHBand="0" w:firstRowFirstColumn="0" w:firstRowLastColumn="0" w:lastRowFirstColumn="0" w:lastRowLastColumn="0"/>
          <w:trHeight w:val="289"/>
          <w:tblHeader/>
        </w:trPr>
        <w:tc>
          <w:tcPr>
            <w:cnfStyle w:val="001000000000" w:firstRow="0" w:lastRow="0" w:firstColumn="1" w:lastColumn="0" w:oddVBand="0" w:evenVBand="0" w:oddHBand="0" w:evenHBand="0" w:firstRowFirstColumn="0" w:firstRowLastColumn="0" w:lastRowFirstColumn="0" w:lastRowLastColumn="0"/>
            <w:tcW w:w="2747" w:type="pct"/>
            <w:hideMark/>
          </w:tcPr>
          <w:p w:rsidR="00716C16" w:rsidRPr="00DD6692" w:rsidRDefault="00716C16" w:rsidP="00CB77DC">
            <w:pPr>
              <w:spacing w:before="40" w:after="40" w:line="240" w:lineRule="atLeast"/>
              <w:rPr>
                <w:rFonts w:cstheme="minorHAnsi"/>
                <w:sz w:val="18"/>
                <w:szCs w:val="18"/>
              </w:rPr>
            </w:pPr>
          </w:p>
        </w:tc>
        <w:tc>
          <w:tcPr>
            <w:tcW w:w="551" w:type="pct"/>
            <w:hideMark/>
          </w:tcPr>
          <w:p w:rsidR="00716C16" w:rsidRPr="00DD6692" w:rsidRDefault="00716C16" w:rsidP="00CB77DC">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DSW A</w:t>
            </w:r>
          </w:p>
        </w:tc>
        <w:tc>
          <w:tcPr>
            <w:tcW w:w="550" w:type="pct"/>
          </w:tcPr>
          <w:p w:rsidR="00716C16" w:rsidRPr="00DD6692" w:rsidRDefault="00716C16" w:rsidP="00CB77DC">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lang w:eastAsia="en-AU"/>
              </w:rPr>
            </w:pPr>
            <w:r w:rsidRPr="00DD6692">
              <w:rPr>
                <w:rFonts w:cstheme="minorHAnsi"/>
                <w:sz w:val="18"/>
                <w:szCs w:val="18"/>
              </w:rPr>
              <w:t>DSW B</w:t>
            </w:r>
          </w:p>
        </w:tc>
        <w:tc>
          <w:tcPr>
            <w:tcW w:w="550" w:type="pct"/>
          </w:tcPr>
          <w:p w:rsidR="00716C16" w:rsidRPr="00DD6692" w:rsidRDefault="00716C16" w:rsidP="00CB77DC">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DSW C</w:t>
            </w:r>
          </w:p>
        </w:tc>
        <w:tc>
          <w:tcPr>
            <w:tcW w:w="601" w:type="pct"/>
          </w:tcPr>
          <w:p w:rsidR="00716C16" w:rsidRPr="00DD6692" w:rsidRDefault="00716C16" w:rsidP="00CB77DC">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DSW D</w:t>
            </w:r>
          </w:p>
        </w:tc>
      </w:tr>
      <w:tr w:rsidR="009206DC" w:rsidRPr="00DD6692"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7" w:type="pct"/>
            <w:hideMark/>
          </w:tcPr>
          <w:p w:rsidR="009206DC" w:rsidRPr="00DD6692" w:rsidRDefault="009206DC" w:rsidP="004C63FA">
            <w:pPr>
              <w:spacing w:before="40" w:after="40" w:line="240" w:lineRule="atLeast"/>
              <w:rPr>
                <w:rFonts w:cstheme="minorHAnsi"/>
                <w:sz w:val="18"/>
                <w:szCs w:val="18"/>
              </w:rPr>
            </w:pPr>
            <w:r w:rsidRPr="00DD6692">
              <w:rPr>
                <w:rFonts w:cstheme="minorHAnsi"/>
                <w:sz w:val="18"/>
                <w:szCs w:val="18"/>
              </w:rPr>
              <w:t>Cumulative cost per hour, before supervision</w:t>
            </w:r>
          </w:p>
        </w:tc>
        <w:tc>
          <w:tcPr>
            <w:tcW w:w="551" w:type="pct"/>
            <w:noWrap/>
            <w:vAlign w:val="center"/>
            <w:hideMark/>
          </w:tcPr>
          <w:p w:rsidR="009206DC" w:rsidRPr="00DD6692"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$42.38</w:t>
            </w:r>
          </w:p>
        </w:tc>
        <w:tc>
          <w:tcPr>
            <w:tcW w:w="550" w:type="pct"/>
            <w:vAlign w:val="center"/>
          </w:tcPr>
          <w:p w:rsidR="009206DC" w:rsidRPr="00DD6692"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$44.05</w:t>
            </w:r>
          </w:p>
        </w:tc>
        <w:tc>
          <w:tcPr>
            <w:tcW w:w="550" w:type="pct"/>
            <w:vAlign w:val="center"/>
          </w:tcPr>
          <w:p w:rsidR="009206DC" w:rsidRPr="00DD6692"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$45.86</w:t>
            </w:r>
          </w:p>
        </w:tc>
        <w:tc>
          <w:tcPr>
            <w:tcW w:w="601" w:type="pct"/>
            <w:vAlign w:val="center"/>
          </w:tcPr>
          <w:p w:rsidR="009206DC" w:rsidRPr="00DD6692"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$55.33</w:t>
            </w:r>
          </w:p>
        </w:tc>
      </w:tr>
      <w:tr w:rsidR="009206DC" w:rsidRPr="00DD6692" w:rsidTr="00996565">
        <w:trPr>
          <w:trHeight w:val="300"/>
        </w:trPr>
        <w:tc>
          <w:tcPr>
            <w:cnfStyle w:val="001000000000" w:firstRow="0" w:lastRow="0" w:firstColumn="1" w:lastColumn="0" w:oddVBand="0" w:evenVBand="0" w:oddHBand="0" w:evenHBand="0" w:firstRowFirstColumn="0" w:firstRowLastColumn="0" w:lastRowFirstColumn="0" w:lastRowLastColumn="0"/>
            <w:tcW w:w="2747" w:type="pct"/>
            <w:hideMark/>
          </w:tcPr>
          <w:p w:rsidR="009206DC" w:rsidRPr="00DD6692" w:rsidRDefault="009206DC" w:rsidP="004C63FA">
            <w:pPr>
              <w:spacing w:before="40" w:after="40" w:line="240" w:lineRule="atLeast"/>
              <w:rPr>
                <w:rFonts w:cstheme="minorHAnsi"/>
                <w:sz w:val="18"/>
                <w:szCs w:val="18"/>
              </w:rPr>
            </w:pPr>
            <w:r w:rsidRPr="00DD6692">
              <w:rPr>
                <w:rFonts w:cstheme="minorHAnsi"/>
                <w:sz w:val="18"/>
                <w:szCs w:val="18"/>
              </w:rPr>
              <w:t>Supervisor</w:t>
            </w:r>
          </w:p>
        </w:tc>
        <w:tc>
          <w:tcPr>
            <w:tcW w:w="551" w:type="pct"/>
            <w:noWrap/>
            <w:vAlign w:val="center"/>
          </w:tcPr>
          <w:p w:rsidR="009206DC" w:rsidRPr="00DD6692" w:rsidRDefault="009206DC" w:rsidP="004C63F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550" w:type="pct"/>
            <w:vAlign w:val="center"/>
          </w:tcPr>
          <w:p w:rsidR="009206DC" w:rsidRPr="00DD6692" w:rsidRDefault="009206DC" w:rsidP="004C63F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550" w:type="pct"/>
            <w:vAlign w:val="center"/>
          </w:tcPr>
          <w:p w:rsidR="009206DC" w:rsidRPr="00DD6692" w:rsidRDefault="009206DC" w:rsidP="004C63F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601" w:type="pct"/>
            <w:vAlign w:val="center"/>
          </w:tcPr>
          <w:p w:rsidR="009206DC" w:rsidRPr="00DD6692" w:rsidRDefault="009206DC" w:rsidP="004C63F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9206DC" w:rsidRPr="00DD6692"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rsidR="009206DC" w:rsidRPr="00DD6692" w:rsidRDefault="009206DC" w:rsidP="004C63FA">
            <w:pPr>
              <w:spacing w:before="40" w:after="40" w:line="240" w:lineRule="atLeast"/>
              <w:ind w:left="593"/>
              <w:rPr>
                <w:rFonts w:cstheme="minorHAnsi"/>
                <w:b w:val="0"/>
                <w:sz w:val="18"/>
                <w:szCs w:val="18"/>
              </w:rPr>
            </w:pPr>
            <w:r w:rsidRPr="00DD6692">
              <w:rPr>
                <w:rFonts w:cstheme="minorHAnsi"/>
                <w:b w:val="0"/>
                <w:sz w:val="18"/>
                <w:szCs w:val="18"/>
              </w:rPr>
              <w:t>Level of supervisor (SCHADS Equivalent)</w:t>
            </w:r>
          </w:p>
        </w:tc>
        <w:tc>
          <w:tcPr>
            <w:tcW w:w="551" w:type="pct"/>
            <w:noWrap/>
            <w:vAlign w:val="center"/>
          </w:tcPr>
          <w:p w:rsidR="009206DC" w:rsidRPr="00DD6692"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3.2</w:t>
            </w:r>
          </w:p>
        </w:tc>
        <w:tc>
          <w:tcPr>
            <w:tcW w:w="550" w:type="pct"/>
            <w:vAlign w:val="center"/>
          </w:tcPr>
          <w:p w:rsidR="009206DC" w:rsidRPr="00DD6692"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4.2</w:t>
            </w:r>
          </w:p>
        </w:tc>
        <w:tc>
          <w:tcPr>
            <w:tcW w:w="550" w:type="pct"/>
            <w:vAlign w:val="center"/>
          </w:tcPr>
          <w:p w:rsidR="009206DC" w:rsidRPr="00DD6692"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4.2</w:t>
            </w:r>
          </w:p>
        </w:tc>
        <w:tc>
          <w:tcPr>
            <w:tcW w:w="601" w:type="pct"/>
            <w:vAlign w:val="center"/>
          </w:tcPr>
          <w:p w:rsidR="009206DC" w:rsidRPr="00DD6692"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5.1</w:t>
            </w:r>
          </w:p>
        </w:tc>
      </w:tr>
      <w:tr w:rsidR="009206DC" w:rsidRPr="00DD6692" w:rsidTr="00996565">
        <w:trPr>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rsidR="009206DC" w:rsidRPr="00DD6692" w:rsidRDefault="009206DC" w:rsidP="004C63FA">
            <w:pPr>
              <w:spacing w:before="40" w:after="40" w:line="240" w:lineRule="atLeast"/>
              <w:ind w:left="593"/>
              <w:rPr>
                <w:rFonts w:cstheme="minorHAnsi"/>
                <w:b w:val="0"/>
                <w:sz w:val="18"/>
                <w:szCs w:val="18"/>
              </w:rPr>
            </w:pPr>
            <w:r w:rsidRPr="00DD6692">
              <w:rPr>
                <w:rFonts w:cstheme="minorHAnsi"/>
                <w:b w:val="0"/>
                <w:sz w:val="18"/>
                <w:szCs w:val="18"/>
              </w:rPr>
              <w:t>Base Salary</w:t>
            </w:r>
          </w:p>
        </w:tc>
        <w:tc>
          <w:tcPr>
            <w:tcW w:w="551" w:type="pct"/>
            <w:noWrap/>
            <w:vAlign w:val="center"/>
          </w:tcPr>
          <w:p w:rsidR="009206DC" w:rsidRPr="00DD6692" w:rsidRDefault="009206DC" w:rsidP="004C63F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$3</w:t>
            </w:r>
            <w:r w:rsidR="00A43F04" w:rsidRPr="00DD6692">
              <w:rPr>
                <w:rFonts w:cstheme="minorHAnsi"/>
                <w:sz w:val="18"/>
                <w:szCs w:val="18"/>
              </w:rPr>
              <w:t>3.48</w:t>
            </w:r>
          </w:p>
        </w:tc>
        <w:tc>
          <w:tcPr>
            <w:tcW w:w="550" w:type="pct"/>
            <w:vAlign w:val="center"/>
          </w:tcPr>
          <w:p w:rsidR="009206DC" w:rsidRPr="00DD6692" w:rsidRDefault="009206DC" w:rsidP="004C63F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w:t>
            </w:r>
            <w:r w:rsidR="00A43F04" w:rsidRPr="00DD6692">
              <w:rPr>
                <w:rFonts w:cstheme="minorHAnsi"/>
                <w:sz w:val="18"/>
                <w:szCs w:val="18"/>
              </w:rPr>
              <w:t>38.52</w:t>
            </w:r>
          </w:p>
        </w:tc>
        <w:tc>
          <w:tcPr>
            <w:tcW w:w="550" w:type="pct"/>
            <w:vAlign w:val="center"/>
          </w:tcPr>
          <w:p w:rsidR="009206DC" w:rsidRPr="00DD6692" w:rsidRDefault="009206DC" w:rsidP="004C63F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w:t>
            </w:r>
            <w:r w:rsidR="00A43F04" w:rsidRPr="00DD6692">
              <w:rPr>
                <w:rFonts w:cstheme="minorHAnsi"/>
                <w:sz w:val="18"/>
                <w:szCs w:val="18"/>
              </w:rPr>
              <w:t>38.52</w:t>
            </w:r>
          </w:p>
        </w:tc>
        <w:tc>
          <w:tcPr>
            <w:tcW w:w="601" w:type="pct"/>
            <w:vAlign w:val="center"/>
          </w:tcPr>
          <w:p w:rsidR="009206DC" w:rsidRPr="00DD6692" w:rsidRDefault="009206DC" w:rsidP="004C63F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$4</w:t>
            </w:r>
            <w:r w:rsidR="00A43F04" w:rsidRPr="00DD6692">
              <w:rPr>
                <w:rFonts w:cstheme="minorHAnsi"/>
                <w:sz w:val="18"/>
                <w:szCs w:val="18"/>
              </w:rPr>
              <w:t>2.94</w:t>
            </w:r>
          </w:p>
        </w:tc>
      </w:tr>
      <w:tr w:rsidR="009206DC" w:rsidRPr="00DD6692"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rsidR="009206DC" w:rsidRPr="00DD6692" w:rsidRDefault="009206DC" w:rsidP="004C63FA">
            <w:pPr>
              <w:spacing w:before="40" w:after="40" w:line="240" w:lineRule="atLeast"/>
              <w:ind w:left="593"/>
              <w:rPr>
                <w:rFonts w:cstheme="minorHAnsi"/>
                <w:b w:val="0"/>
                <w:sz w:val="18"/>
                <w:szCs w:val="18"/>
              </w:rPr>
            </w:pPr>
            <w:r w:rsidRPr="00DD6692">
              <w:rPr>
                <w:rFonts w:cstheme="minorHAnsi"/>
                <w:b w:val="0"/>
                <w:sz w:val="18"/>
                <w:szCs w:val="18"/>
              </w:rPr>
              <w:t>Leave costs</w:t>
            </w:r>
          </w:p>
        </w:tc>
        <w:tc>
          <w:tcPr>
            <w:tcW w:w="551" w:type="pct"/>
            <w:noWrap/>
            <w:vAlign w:val="center"/>
          </w:tcPr>
          <w:p w:rsidR="009206DC" w:rsidRPr="00DD6692"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w:t>
            </w:r>
            <w:r w:rsidR="00A43F04" w:rsidRPr="00DD6692">
              <w:rPr>
                <w:rFonts w:cstheme="minorHAnsi"/>
                <w:sz w:val="18"/>
                <w:szCs w:val="18"/>
              </w:rPr>
              <w:t>7.28</w:t>
            </w:r>
          </w:p>
        </w:tc>
        <w:tc>
          <w:tcPr>
            <w:tcW w:w="550" w:type="pct"/>
            <w:vAlign w:val="center"/>
          </w:tcPr>
          <w:p w:rsidR="009206DC" w:rsidRPr="00DD6692"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w:t>
            </w:r>
            <w:r w:rsidR="00A43F04" w:rsidRPr="00DD6692">
              <w:rPr>
                <w:rFonts w:cstheme="minorHAnsi"/>
                <w:sz w:val="18"/>
                <w:szCs w:val="18"/>
              </w:rPr>
              <w:t>8.38</w:t>
            </w:r>
          </w:p>
        </w:tc>
        <w:tc>
          <w:tcPr>
            <w:tcW w:w="550" w:type="pct"/>
            <w:vAlign w:val="center"/>
          </w:tcPr>
          <w:p w:rsidR="009206DC" w:rsidRPr="00DD6692"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w:t>
            </w:r>
            <w:r w:rsidR="00A43F04" w:rsidRPr="00DD6692">
              <w:rPr>
                <w:rFonts w:cstheme="minorHAnsi"/>
                <w:sz w:val="18"/>
                <w:szCs w:val="18"/>
              </w:rPr>
              <w:t>8.38</w:t>
            </w:r>
          </w:p>
        </w:tc>
        <w:tc>
          <w:tcPr>
            <w:tcW w:w="601" w:type="pct"/>
            <w:vAlign w:val="center"/>
          </w:tcPr>
          <w:p w:rsidR="009206DC" w:rsidRPr="00DD6692"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w:t>
            </w:r>
            <w:r w:rsidR="00A43F04" w:rsidRPr="00DD6692">
              <w:rPr>
                <w:rFonts w:cstheme="minorHAnsi"/>
                <w:sz w:val="18"/>
                <w:szCs w:val="18"/>
              </w:rPr>
              <w:t>9.34</w:t>
            </w:r>
          </w:p>
        </w:tc>
      </w:tr>
      <w:tr w:rsidR="009206DC" w:rsidRPr="00DD6692" w:rsidTr="00996565">
        <w:trPr>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rsidR="009206DC" w:rsidRPr="00DD6692" w:rsidRDefault="009206DC" w:rsidP="004C63FA">
            <w:pPr>
              <w:spacing w:before="40" w:after="40" w:line="240" w:lineRule="atLeast"/>
              <w:ind w:left="593"/>
              <w:rPr>
                <w:rFonts w:cstheme="minorHAnsi"/>
                <w:b w:val="0"/>
                <w:sz w:val="18"/>
                <w:szCs w:val="18"/>
              </w:rPr>
            </w:pPr>
            <w:r w:rsidRPr="00DD6692">
              <w:rPr>
                <w:rFonts w:cstheme="minorHAnsi"/>
                <w:b w:val="0"/>
                <w:sz w:val="18"/>
                <w:szCs w:val="18"/>
              </w:rPr>
              <w:t>Salary-on costs</w:t>
            </w:r>
          </w:p>
        </w:tc>
        <w:tc>
          <w:tcPr>
            <w:tcW w:w="551" w:type="pct"/>
            <w:noWrap/>
            <w:vAlign w:val="center"/>
          </w:tcPr>
          <w:p w:rsidR="009206DC" w:rsidRPr="00DD6692" w:rsidRDefault="009206DC" w:rsidP="004C63F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w:t>
            </w:r>
            <w:r w:rsidR="00A43F04" w:rsidRPr="00DD6692">
              <w:rPr>
                <w:rFonts w:cstheme="minorHAnsi"/>
                <w:sz w:val="18"/>
                <w:szCs w:val="18"/>
              </w:rPr>
              <w:t>5.10</w:t>
            </w:r>
          </w:p>
        </w:tc>
        <w:tc>
          <w:tcPr>
            <w:tcW w:w="550" w:type="pct"/>
            <w:vAlign w:val="center"/>
          </w:tcPr>
          <w:p w:rsidR="009206DC" w:rsidRPr="00DD6692" w:rsidRDefault="009206DC" w:rsidP="004C63F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$5.</w:t>
            </w:r>
            <w:r w:rsidR="00A43F04" w:rsidRPr="00DD6692">
              <w:rPr>
                <w:rFonts w:cstheme="minorHAnsi"/>
                <w:sz w:val="18"/>
                <w:szCs w:val="18"/>
              </w:rPr>
              <w:t>87</w:t>
            </w:r>
          </w:p>
        </w:tc>
        <w:tc>
          <w:tcPr>
            <w:tcW w:w="550" w:type="pct"/>
            <w:vAlign w:val="center"/>
          </w:tcPr>
          <w:p w:rsidR="009206DC" w:rsidRPr="00DD6692" w:rsidRDefault="009206DC" w:rsidP="004C63F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$5.</w:t>
            </w:r>
            <w:r w:rsidR="00A43F04" w:rsidRPr="00DD6692">
              <w:rPr>
                <w:rFonts w:cstheme="minorHAnsi"/>
                <w:sz w:val="18"/>
                <w:szCs w:val="18"/>
              </w:rPr>
              <w:t>87</w:t>
            </w:r>
          </w:p>
        </w:tc>
        <w:tc>
          <w:tcPr>
            <w:tcW w:w="601" w:type="pct"/>
            <w:vAlign w:val="center"/>
          </w:tcPr>
          <w:p w:rsidR="009206DC" w:rsidRPr="00DD6692" w:rsidRDefault="009206DC" w:rsidP="004C63F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w:t>
            </w:r>
            <w:r w:rsidR="00A43F04" w:rsidRPr="00DD6692">
              <w:rPr>
                <w:rFonts w:cstheme="minorHAnsi"/>
                <w:sz w:val="18"/>
                <w:szCs w:val="18"/>
              </w:rPr>
              <w:t>6.55</w:t>
            </w:r>
          </w:p>
        </w:tc>
      </w:tr>
      <w:tr w:rsidR="009206DC" w:rsidRPr="00DD6692"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rsidR="009206DC" w:rsidRPr="00DD6692" w:rsidRDefault="009206DC" w:rsidP="004C63FA">
            <w:pPr>
              <w:spacing w:before="40" w:after="40" w:line="240" w:lineRule="atLeast"/>
              <w:rPr>
                <w:rFonts w:cstheme="minorHAnsi"/>
                <w:b w:val="0"/>
                <w:sz w:val="18"/>
                <w:szCs w:val="18"/>
              </w:rPr>
            </w:pPr>
            <w:r w:rsidRPr="00DD6692">
              <w:rPr>
                <w:rFonts w:cstheme="minorHAnsi"/>
                <w:sz w:val="18"/>
                <w:szCs w:val="18"/>
              </w:rPr>
              <w:t>Span of control</w:t>
            </w:r>
          </w:p>
        </w:tc>
        <w:tc>
          <w:tcPr>
            <w:tcW w:w="551" w:type="pct"/>
            <w:noWrap/>
            <w:vAlign w:val="center"/>
          </w:tcPr>
          <w:p w:rsidR="009206DC" w:rsidRPr="00DD6692"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550" w:type="pct"/>
            <w:vAlign w:val="center"/>
          </w:tcPr>
          <w:p w:rsidR="009206DC" w:rsidRPr="00DD6692"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550" w:type="pct"/>
            <w:vAlign w:val="center"/>
          </w:tcPr>
          <w:p w:rsidR="009206DC" w:rsidRPr="00DD6692"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601" w:type="pct"/>
            <w:vAlign w:val="center"/>
          </w:tcPr>
          <w:p w:rsidR="009206DC" w:rsidRPr="00DD6692"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9206DC" w:rsidRPr="00DD6692" w:rsidTr="00996565">
        <w:trPr>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rsidR="009206DC" w:rsidRPr="00DD6692" w:rsidRDefault="009206DC" w:rsidP="004C63FA">
            <w:pPr>
              <w:spacing w:before="40" w:after="40" w:line="240" w:lineRule="atLeast"/>
              <w:ind w:left="593"/>
              <w:rPr>
                <w:rFonts w:cstheme="minorHAnsi"/>
                <w:b w:val="0"/>
                <w:sz w:val="18"/>
                <w:szCs w:val="18"/>
              </w:rPr>
            </w:pPr>
            <w:r w:rsidRPr="00DD6692">
              <w:rPr>
                <w:rFonts w:cstheme="minorHAnsi"/>
                <w:b w:val="0"/>
                <w:sz w:val="18"/>
                <w:szCs w:val="18"/>
              </w:rPr>
              <w:t>Span of control</w:t>
            </w:r>
          </w:p>
        </w:tc>
        <w:tc>
          <w:tcPr>
            <w:tcW w:w="551" w:type="pct"/>
            <w:noWrap/>
            <w:vAlign w:val="center"/>
          </w:tcPr>
          <w:p w:rsidR="009206DC" w:rsidRPr="00DD6692" w:rsidRDefault="009206DC" w:rsidP="004C63F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15</w:t>
            </w:r>
          </w:p>
        </w:tc>
        <w:tc>
          <w:tcPr>
            <w:tcW w:w="550" w:type="pct"/>
            <w:vAlign w:val="center"/>
          </w:tcPr>
          <w:p w:rsidR="009206DC" w:rsidRPr="00DD6692" w:rsidRDefault="009206DC" w:rsidP="004C63F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15</w:t>
            </w:r>
          </w:p>
        </w:tc>
        <w:tc>
          <w:tcPr>
            <w:tcW w:w="550" w:type="pct"/>
            <w:vAlign w:val="center"/>
          </w:tcPr>
          <w:p w:rsidR="009206DC" w:rsidRPr="00DD6692" w:rsidRDefault="009206DC" w:rsidP="004C63F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15</w:t>
            </w:r>
          </w:p>
        </w:tc>
        <w:tc>
          <w:tcPr>
            <w:tcW w:w="601" w:type="pct"/>
            <w:vAlign w:val="center"/>
          </w:tcPr>
          <w:p w:rsidR="009206DC" w:rsidRPr="00DD6692" w:rsidRDefault="009206DC" w:rsidP="004C63F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15</w:t>
            </w:r>
          </w:p>
        </w:tc>
      </w:tr>
      <w:tr w:rsidR="009206DC" w:rsidRPr="00DD6692"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rsidR="009206DC" w:rsidRPr="00DD6692" w:rsidRDefault="009206DC" w:rsidP="004C63FA">
            <w:pPr>
              <w:spacing w:before="40" w:after="40" w:line="240" w:lineRule="atLeast"/>
              <w:ind w:left="593"/>
              <w:rPr>
                <w:rFonts w:cstheme="minorHAnsi"/>
                <w:b w:val="0"/>
                <w:sz w:val="18"/>
                <w:szCs w:val="18"/>
              </w:rPr>
            </w:pPr>
            <w:r w:rsidRPr="00DD6692">
              <w:rPr>
                <w:rFonts w:cstheme="minorHAnsi"/>
                <w:b w:val="0"/>
                <w:sz w:val="18"/>
                <w:szCs w:val="18"/>
              </w:rPr>
              <w:t>Cost of supervision ($)</w:t>
            </w:r>
          </w:p>
        </w:tc>
        <w:tc>
          <w:tcPr>
            <w:tcW w:w="551" w:type="pct"/>
            <w:noWrap/>
            <w:vAlign w:val="center"/>
          </w:tcPr>
          <w:p w:rsidR="009206DC" w:rsidRPr="00DD6692"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w:t>
            </w:r>
            <w:r w:rsidR="00A43F04" w:rsidRPr="00DD6692">
              <w:rPr>
                <w:rFonts w:cstheme="minorHAnsi"/>
                <w:sz w:val="18"/>
                <w:szCs w:val="18"/>
              </w:rPr>
              <w:t>3.06</w:t>
            </w:r>
          </w:p>
        </w:tc>
        <w:tc>
          <w:tcPr>
            <w:tcW w:w="550" w:type="pct"/>
            <w:vAlign w:val="center"/>
          </w:tcPr>
          <w:p w:rsidR="009206DC" w:rsidRPr="00DD6692"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$3</w:t>
            </w:r>
            <w:r w:rsidR="00A43F04" w:rsidRPr="00DD6692">
              <w:rPr>
                <w:rFonts w:cstheme="minorHAnsi"/>
                <w:sz w:val="18"/>
                <w:szCs w:val="18"/>
              </w:rPr>
              <w:t>.52</w:t>
            </w:r>
          </w:p>
        </w:tc>
        <w:tc>
          <w:tcPr>
            <w:tcW w:w="550" w:type="pct"/>
            <w:vAlign w:val="center"/>
          </w:tcPr>
          <w:p w:rsidR="009206DC" w:rsidRPr="00DD6692"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$3.</w:t>
            </w:r>
            <w:r w:rsidR="00A43F04" w:rsidRPr="00DD6692">
              <w:rPr>
                <w:rFonts w:cstheme="minorHAnsi"/>
                <w:sz w:val="18"/>
                <w:szCs w:val="18"/>
              </w:rPr>
              <w:t>52</w:t>
            </w:r>
          </w:p>
        </w:tc>
        <w:tc>
          <w:tcPr>
            <w:tcW w:w="601" w:type="pct"/>
            <w:vAlign w:val="center"/>
          </w:tcPr>
          <w:p w:rsidR="009206DC" w:rsidRPr="00DD6692"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$3.</w:t>
            </w:r>
            <w:r w:rsidR="00A43F04" w:rsidRPr="00DD6692">
              <w:rPr>
                <w:rFonts w:cstheme="minorHAnsi"/>
                <w:sz w:val="18"/>
                <w:szCs w:val="18"/>
              </w:rPr>
              <w:t>92</w:t>
            </w:r>
          </w:p>
        </w:tc>
      </w:tr>
      <w:tr w:rsidR="009206DC" w:rsidRPr="00DD6692" w:rsidTr="00996565">
        <w:trPr>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rsidR="009206DC" w:rsidRPr="00DD6692" w:rsidRDefault="009206DC" w:rsidP="004C63FA">
            <w:pPr>
              <w:spacing w:before="40" w:after="40" w:line="240" w:lineRule="atLeast"/>
              <w:rPr>
                <w:rFonts w:cstheme="minorHAnsi"/>
                <w:sz w:val="18"/>
                <w:szCs w:val="18"/>
              </w:rPr>
            </w:pPr>
            <w:bookmarkStart w:id="23" w:name="OLE_LINK3"/>
            <w:bookmarkStart w:id="24" w:name="OLE_LINK4"/>
            <w:r w:rsidRPr="00DD6692">
              <w:rPr>
                <w:rFonts w:cstheme="minorHAnsi"/>
                <w:sz w:val="18"/>
                <w:szCs w:val="18"/>
              </w:rPr>
              <w:t>Cumulative cost per hour, after supervision</w:t>
            </w:r>
            <w:bookmarkEnd w:id="23"/>
            <w:bookmarkEnd w:id="24"/>
          </w:p>
        </w:tc>
        <w:tc>
          <w:tcPr>
            <w:tcW w:w="551" w:type="pct"/>
            <w:noWrap/>
            <w:vAlign w:val="center"/>
          </w:tcPr>
          <w:p w:rsidR="009206DC" w:rsidRPr="00DD6692" w:rsidRDefault="009206DC" w:rsidP="004C63F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w:t>
            </w:r>
            <w:r w:rsidR="00A43F04" w:rsidRPr="00DD6692">
              <w:rPr>
                <w:rFonts w:cstheme="minorHAnsi"/>
                <w:b/>
                <w:sz w:val="18"/>
                <w:szCs w:val="18"/>
              </w:rPr>
              <w:t>45.44</w:t>
            </w:r>
          </w:p>
        </w:tc>
        <w:tc>
          <w:tcPr>
            <w:tcW w:w="550" w:type="pct"/>
            <w:vAlign w:val="center"/>
          </w:tcPr>
          <w:p w:rsidR="009206DC" w:rsidRPr="00DD6692" w:rsidRDefault="009206DC" w:rsidP="004C63F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w:t>
            </w:r>
            <w:r w:rsidR="00A43F04" w:rsidRPr="00DD6692">
              <w:rPr>
                <w:rFonts w:cstheme="minorHAnsi"/>
                <w:b/>
                <w:sz w:val="18"/>
                <w:szCs w:val="18"/>
              </w:rPr>
              <w:t>47.57</w:t>
            </w:r>
          </w:p>
        </w:tc>
        <w:tc>
          <w:tcPr>
            <w:tcW w:w="550" w:type="pct"/>
            <w:vAlign w:val="center"/>
          </w:tcPr>
          <w:p w:rsidR="009206DC" w:rsidRPr="00DD6692" w:rsidRDefault="009206DC" w:rsidP="004C63F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w:t>
            </w:r>
            <w:r w:rsidR="00A43F04" w:rsidRPr="00DD6692">
              <w:rPr>
                <w:rFonts w:cstheme="minorHAnsi"/>
                <w:b/>
                <w:sz w:val="18"/>
                <w:szCs w:val="18"/>
              </w:rPr>
              <w:t>49.38</w:t>
            </w:r>
          </w:p>
        </w:tc>
        <w:tc>
          <w:tcPr>
            <w:tcW w:w="601" w:type="pct"/>
            <w:vAlign w:val="center"/>
          </w:tcPr>
          <w:p w:rsidR="009206DC" w:rsidRPr="00DD6692" w:rsidRDefault="009206DC" w:rsidP="004C63FA">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w:t>
            </w:r>
            <w:r w:rsidR="00A43F04" w:rsidRPr="00DD6692">
              <w:rPr>
                <w:rFonts w:cstheme="minorHAnsi"/>
                <w:b/>
                <w:sz w:val="18"/>
                <w:szCs w:val="18"/>
              </w:rPr>
              <w:t>59.25</w:t>
            </w:r>
          </w:p>
        </w:tc>
      </w:tr>
      <w:tr w:rsidR="009206DC" w:rsidRPr="00DD6692"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rsidR="009206DC" w:rsidRPr="00DD6692" w:rsidRDefault="009206DC" w:rsidP="004C63FA">
            <w:pPr>
              <w:spacing w:before="40" w:after="40" w:line="240" w:lineRule="atLeast"/>
              <w:rPr>
                <w:rFonts w:cstheme="minorHAnsi"/>
                <w:b w:val="0"/>
                <w:sz w:val="18"/>
                <w:szCs w:val="18"/>
              </w:rPr>
            </w:pPr>
            <w:r w:rsidRPr="00DD6692">
              <w:rPr>
                <w:rFonts w:cstheme="minorHAnsi"/>
                <w:b w:val="0"/>
                <w:sz w:val="18"/>
                <w:szCs w:val="18"/>
              </w:rPr>
              <w:t>Cumulative increase from standard hourly rate</w:t>
            </w:r>
          </w:p>
        </w:tc>
        <w:tc>
          <w:tcPr>
            <w:tcW w:w="551" w:type="pct"/>
            <w:noWrap/>
            <w:vAlign w:val="center"/>
          </w:tcPr>
          <w:p w:rsidR="009206DC" w:rsidRPr="00DD6692" w:rsidRDefault="00A43F04"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46.9</w:t>
            </w:r>
            <w:r w:rsidR="009206DC" w:rsidRPr="00DD6692">
              <w:rPr>
                <w:rFonts w:cstheme="minorHAnsi"/>
                <w:sz w:val="18"/>
                <w:szCs w:val="18"/>
              </w:rPr>
              <w:t>%</w:t>
            </w:r>
          </w:p>
        </w:tc>
        <w:tc>
          <w:tcPr>
            <w:tcW w:w="550" w:type="pct"/>
            <w:vAlign w:val="center"/>
          </w:tcPr>
          <w:p w:rsidR="009206DC" w:rsidRPr="00DD6692" w:rsidRDefault="00A43F04"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47.9</w:t>
            </w:r>
            <w:r w:rsidR="009206DC" w:rsidRPr="00DD6692">
              <w:rPr>
                <w:rFonts w:cstheme="minorHAnsi"/>
                <w:sz w:val="18"/>
                <w:szCs w:val="18"/>
              </w:rPr>
              <w:t>%</w:t>
            </w:r>
          </w:p>
        </w:tc>
        <w:tc>
          <w:tcPr>
            <w:tcW w:w="550" w:type="pct"/>
            <w:vAlign w:val="center"/>
          </w:tcPr>
          <w:p w:rsidR="009206DC" w:rsidRPr="00DD6692"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4</w:t>
            </w:r>
            <w:r w:rsidR="00A43F04" w:rsidRPr="00DD6692">
              <w:rPr>
                <w:rFonts w:cstheme="minorHAnsi"/>
                <w:sz w:val="18"/>
                <w:szCs w:val="18"/>
              </w:rPr>
              <w:t>7.5</w:t>
            </w:r>
            <w:r w:rsidRPr="00DD6692">
              <w:rPr>
                <w:rFonts w:cstheme="minorHAnsi"/>
                <w:sz w:val="18"/>
                <w:szCs w:val="18"/>
              </w:rPr>
              <w:t>%</w:t>
            </w:r>
          </w:p>
        </w:tc>
        <w:tc>
          <w:tcPr>
            <w:tcW w:w="601" w:type="pct"/>
            <w:vAlign w:val="center"/>
          </w:tcPr>
          <w:p w:rsidR="009206DC" w:rsidRPr="00DD6692" w:rsidRDefault="009206DC" w:rsidP="004C63FA">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4</w:t>
            </w:r>
            <w:r w:rsidR="00A43F04" w:rsidRPr="00DD6692">
              <w:rPr>
                <w:rFonts w:cstheme="minorHAnsi"/>
                <w:sz w:val="18"/>
                <w:szCs w:val="18"/>
              </w:rPr>
              <w:t>6.7</w:t>
            </w:r>
            <w:r w:rsidRPr="00DD6692">
              <w:rPr>
                <w:rFonts w:cstheme="minorHAnsi"/>
                <w:sz w:val="18"/>
                <w:szCs w:val="18"/>
              </w:rPr>
              <w:t>%</w:t>
            </w:r>
          </w:p>
        </w:tc>
      </w:tr>
    </w:tbl>
    <w:p w:rsidR="007519CD" w:rsidRPr="00DD6692" w:rsidRDefault="007519CD" w:rsidP="00315545">
      <w:pPr>
        <w:pStyle w:val="Heading2"/>
      </w:pPr>
      <w:bookmarkStart w:id="25" w:name="_Toc91063497"/>
      <w:r w:rsidRPr="00DD6692">
        <w:t>Permanent v Casual Workers</w:t>
      </w:r>
      <w:bookmarkEnd w:id="25"/>
    </w:p>
    <w:p w:rsidR="007519CD" w:rsidRPr="00DD6692" w:rsidRDefault="007519CD" w:rsidP="007519CD">
      <w:r w:rsidRPr="00DD6692">
        <w:t xml:space="preserve">The </w:t>
      </w:r>
      <w:r w:rsidR="00E27A53" w:rsidRPr="00DD6692">
        <w:t>Cost Model</w:t>
      </w:r>
      <w:r w:rsidRPr="00DD6692">
        <w:t xml:space="preserve"> assumes that </w:t>
      </w:r>
      <w:r w:rsidR="003D05DD" w:rsidRPr="00DD6692">
        <w:t>70</w:t>
      </w:r>
      <w:r w:rsidRPr="00DD6692">
        <w:t>% of the DSW workforce is permanently employed</w:t>
      </w:r>
      <w:r w:rsidR="00711713" w:rsidRPr="00DD6692">
        <w:t>.</w:t>
      </w:r>
      <w:r w:rsidR="00711713" w:rsidRPr="00DD6692">
        <w:rPr>
          <w:rStyle w:val="FootnoteReference"/>
        </w:rPr>
        <w:footnoteReference w:id="19"/>
      </w:r>
      <w:r w:rsidR="00711713" w:rsidRPr="00DD6692">
        <w:t xml:space="preserve"> </w:t>
      </w:r>
    </w:p>
    <w:p w:rsidR="007519CD" w:rsidRPr="00DD6692" w:rsidRDefault="007519CD" w:rsidP="007519CD">
      <w:pPr>
        <w:pStyle w:val="Caption"/>
      </w:pPr>
      <w:bookmarkStart w:id="26" w:name="_Ref19027201"/>
      <w:r w:rsidRPr="00DD6692">
        <w:t xml:space="preserve">Table </w:t>
      </w:r>
      <w:fldSimple w:instr=" SEQ Table \* ARABIC ">
        <w:r w:rsidR="00DD6692">
          <w:rPr>
            <w:noProof/>
          </w:rPr>
          <w:t>6</w:t>
        </w:r>
      </w:fldSimple>
      <w:bookmarkEnd w:id="26"/>
      <w:r w:rsidRPr="00DD6692">
        <w:t xml:space="preserve">: Impact of Casual Loading on the Cost per </w:t>
      </w:r>
      <w:r w:rsidR="0086773C" w:rsidRPr="00DD6692">
        <w:t>Worked</w:t>
      </w:r>
      <w:r w:rsidRPr="00DD6692">
        <w:t xml:space="preserve"> Hour of a DSW</w:t>
      </w:r>
    </w:p>
    <w:tbl>
      <w:tblPr>
        <w:tblStyle w:val="GridTable4-Accent4"/>
        <w:tblW w:w="5000" w:type="pct"/>
        <w:tblLook w:val="04A0" w:firstRow="1" w:lastRow="0" w:firstColumn="1" w:lastColumn="0" w:noHBand="0" w:noVBand="1"/>
        <w:tblDescription w:val="Table 3: Impact of Leave on the Cost per Worked Hour of a Permanent DSW"/>
      </w:tblPr>
      <w:tblGrid>
        <w:gridCol w:w="4956"/>
        <w:gridCol w:w="994"/>
        <w:gridCol w:w="992"/>
        <w:gridCol w:w="992"/>
        <w:gridCol w:w="1082"/>
      </w:tblGrid>
      <w:tr w:rsidR="00716C16" w:rsidRPr="00DD6692" w:rsidTr="00716C16">
        <w:trPr>
          <w:cnfStyle w:val="100000000000" w:firstRow="1" w:lastRow="0" w:firstColumn="0" w:lastColumn="0" w:oddVBand="0" w:evenVBand="0" w:oddHBand="0" w:evenHBand="0" w:firstRowFirstColumn="0" w:firstRowLastColumn="0" w:lastRowFirstColumn="0" w:lastRowLastColumn="0"/>
          <w:trHeight w:val="289"/>
          <w:tblHeader/>
        </w:trPr>
        <w:tc>
          <w:tcPr>
            <w:cnfStyle w:val="001000000000" w:firstRow="0" w:lastRow="0" w:firstColumn="1" w:lastColumn="0" w:oddVBand="0" w:evenVBand="0" w:oddHBand="0" w:evenHBand="0" w:firstRowFirstColumn="0" w:firstRowLastColumn="0" w:lastRowFirstColumn="0" w:lastRowLastColumn="0"/>
            <w:tcW w:w="2748" w:type="pct"/>
            <w:hideMark/>
          </w:tcPr>
          <w:p w:rsidR="00716C16" w:rsidRPr="00DD6692" w:rsidRDefault="00716C16" w:rsidP="00CB77DC">
            <w:pPr>
              <w:spacing w:before="40" w:after="40" w:line="240" w:lineRule="atLeast"/>
              <w:rPr>
                <w:rFonts w:cstheme="minorHAnsi"/>
                <w:sz w:val="18"/>
                <w:szCs w:val="18"/>
              </w:rPr>
            </w:pPr>
          </w:p>
        </w:tc>
        <w:tc>
          <w:tcPr>
            <w:tcW w:w="551" w:type="pct"/>
            <w:hideMark/>
          </w:tcPr>
          <w:p w:rsidR="00716C16" w:rsidRPr="00DD6692" w:rsidRDefault="00716C16" w:rsidP="00CB77DC">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DSW A</w:t>
            </w:r>
          </w:p>
        </w:tc>
        <w:tc>
          <w:tcPr>
            <w:tcW w:w="550" w:type="pct"/>
          </w:tcPr>
          <w:p w:rsidR="00716C16" w:rsidRPr="00DD6692" w:rsidRDefault="00716C16" w:rsidP="00CB77DC">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lang w:eastAsia="en-AU"/>
              </w:rPr>
            </w:pPr>
            <w:r w:rsidRPr="00DD6692">
              <w:rPr>
                <w:rFonts w:cstheme="minorHAnsi"/>
                <w:sz w:val="18"/>
                <w:szCs w:val="18"/>
              </w:rPr>
              <w:t>DSW B</w:t>
            </w:r>
          </w:p>
        </w:tc>
        <w:tc>
          <w:tcPr>
            <w:tcW w:w="550" w:type="pct"/>
          </w:tcPr>
          <w:p w:rsidR="00716C16" w:rsidRPr="00DD6692" w:rsidRDefault="00716C16" w:rsidP="00CB77DC">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DSW C</w:t>
            </w:r>
          </w:p>
        </w:tc>
        <w:tc>
          <w:tcPr>
            <w:tcW w:w="600" w:type="pct"/>
          </w:tcPr>
          <w:p w:rsidR="00716C16" w:rsidRPr="00DD6692" w:rsidRDefault="00716C16" w:rsidP="00CB77DC">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DSW D</w:t>
            </w:r>
          </w:p>
        </w:tc>
      </w:tr>
      <w:tr w:rsidR="00A43F04" w:rsidRPr="00DD6692"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hideMark/>
          </w:tcPr>
          <w:p w:rsidR="00A43F04" w:rsidRPr="00DD6692" w:rsidRDefault="00A43F04" w:rsidP="00A43F04">
            <w:pPr>
              <w:spacing w:before="40" w:after="40" w:line="240" w:lineRule="atLeast"/>
              <w:rPr>
                <w:rFonts w:cstheme="minorHAnsi"/>
                <w:sz w:val="18"/>
                <w:szCs w:val="18"/>
              </w:rPr>
            </w:pPr>
            <w:r w:rsidRPr="00DD6692">
              <w:rPr>
                <w:rFonts w:cstheme="minorHAnsi"/>
                <w:sz w:val="18"/>
                <w:szCs w:val="18"/>
              </w:rPr>
              <w:t>Cumulative cost per hour, at 100% permanent</w:t>
            </w:r>
          </w:p>
        </w:tc>
        <w:tc>
          <w:tcPr>
            <w:tcW w:w="551" w:type="pct"/>
            <w:noWrap/>
            <w:vAlign w:val="center"/>
            <w:hideMark/>
          </w:tcPr>
          <w:p w:rsidR="00A43F04" w:rsidRPr="00DD6692" w:rsidRDefault="00A43F04" w:rsidP="00A43F04">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$45.44</w:t>
            </w:r>
          </w:p>
        </w:tc>
        <w:tc>
          <w:tcPr>
            <w:tcW w:w="550" w:type="pct"/>
            <w:vAlign w:val="center"/>
          </w:tcPr>
          <w:p w:rsidR="00A43F04" w:rsidRPr="00DD6692" w:rsidRDefault="00A43F04" w:rsidP="00A43F04">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sz w:val="18"/>
                <w:szCs w:val="18"/>
                <w:lang w:eastAsia="en-AU"/>
              </w:rPr>
            </w:pPr>
            <w:r w:rsidRPr="00DD6692">
              <w:rPr>
                <w:rFonts w:cstheme="minorHAnsi"/>
                <w:b/>
                <w:sz w:val="18"/>
                <w:szCs w:val="18"/>
              </w:rPr>
              <w:t>$47.57</w:t>
            </w:r>
          </w:p>
        </w:tc>
        <w:tc>
          <w:tcPr>
            <w:tcW w:w="550" w:type="pct"/>
            <w:vAlign w:val="center"/>
          </w:tcPr>
          <w:p w:rsidR="00A43F04" w:rsidRPr="00DD6692" w:rsidRDefault="00A43F04" w:rsidP="00A43F04">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$49.38</w:t>
            </w:r>
          </w:p>
        </w:tc>
        <w:tc>
          <w:tcPr>
            <w:tcW w:w="600" w:type="pct"/>
            <w:vAlign w:val="center"/>
          </w:tcPr>
          <w:p w:rsidR="00A43F04" w:rsidRPr="00DD6692" w:rsidRDefault="00A43F04" w:rsidP="00A43F04">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$59.25</w:t>
            </w:r>
          </w:p>
        </w:tc>
      </w:tr>
      <w:tr w:rsidR="00A43F04" w:rsidRPr="00DD6692" w:rsidTr="00996565">
        <w:trPr>
          <w:trHeight w:val="300"/>
        </w:trPr>
        <w:tc>
          <w:tcPr>
            <w:cnfStyle w:val="001000000000" w:firstRow="0" w:lastRow="0" w:firstColumn="1" w:lastColumn="0" w:oddVBand="0" w:evenVBand="0" w:oddHBand="0" w:evenHBand="0" w:firstRowFirstColumn="0" w:firstRowLastColumn="0" w:lastRowFirstColumn="0" w:lastRowLastColumn="0"/>
            <w:tcW w:w="2748" w:type="pct"/>
            <w:hideMark/>
          </w:tcPr>
          <w:p w:rsidR="00A43F04" w:rsidRPr="00DD6692" w:rsidRDefault="00A43F04" w:rsidP="00A43F04">
            <w:pPr>
              <w:spacing w:before="40" w:after="40" w:line="240" w:lineRule="atLeast"/>
              <w:rPr>
                <w:rFonts w:cstheme="minorHAnsi"/>
                <w:b w:val="0"/>
                <w:sz w:val="18"/>
                <w:szCs w:val="18"/>
              </w:rPr>
            </w:pPr>
            <w:bookmarkStart w:id="27" w:name="OLE_LINK5"/>
            <w:r w:rsidRPr="00DD6692">
              <w:rPr>
                <w:rFonts w:cstheme="minorHAnsi"/>
                <w:b w:val="0"/>
                <w:sz w:val="18"/>
                <w:szCs w:val="18"/>
              </w:rPr>
              <w:t>Cumulative cost per hour, at 70% permanent</w:t>
            </w:r>
            <w:bookmarkEnd w:id="27"/>
          </w:p>
        </w:tc>
        <w:tc>
          <w:tcPr>
            <w:tcW w:w="551" w:type="pct"/>
            <w:noWrap/>
            <w:hideMark/>
          </w:tcPr>
          <w:p w:rsidR="00A43F04" w:rsidRPr="00DD6692" w:rsidRDefault="00A43F04" w:rsidP="00A43F04">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$45.98</w:t>
            </w:r>
          </w:p>
        </w:tc>
        <w:tc>
          <w:tcPr>
            <w:tcW w:w="550" w:type="pct"/>
          </w:tcPr>
          <w:p w:rsidR="00A43F04" w:rsidRPr="00DD6692" w:rsidRDefault="00A43F04" w:rsidP="00A43F04">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18"/>
                <w:szCs w:val="18"/>
                <w:lang w:eastAsia="en-AU"/>
              </w:rPr>
            </w:pPr>
            <w:r w:rsidRPr="00DD6692">
              <w:rPr>
                <w:rFonts w:cstheme="minorHAnsi"/>
                <w:bCs/>
                <w:color w:val="000000"/>
                <w:sz w:val="18"/>
                <w:szCs w:val="18"/>
                <w:lang w:eastAsia="en-AU"/>
              </w:rPr>
              <w:t>$48.14</w:t>
            </w:r>
          </w:p>
        </w:tc>
        <w:tc>
          <w:tcPr>
            <w:tcW w:w="550" w:type="pct"/>
          </w:tcPr>
          <w:p w:rsidR="00A43F04" w:rsidRPr="00DD6692" w:rsidRDefault="00A43F04" w:rsidP="00A43F04">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$49.97</w:t>
            </w:r>
          </w:p>
        </w:tc>
        <w:tc>
          <w:tcPr>
            <w:tcW w:w="600" w:type="pct"/>
          </w:tcPr>
          <w:p w:rsidR="00A43F04" w:rsidRPr="00DD6692" w:rsidRDefault="00A43F04" w:rsidP="00A43F04">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$59.96</w:t>
            </w:r>
          </w:p>
        </w:tc>
      </w:tr>
      <w:tr w:rsidR="00A43F04" w:rsidRPr="00DD6692"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vAlign w:val="center"/>
          </w:tcPr>
          <w:p w:rsidR="00A43F04" w:rsidRPr="00DD6692" w:rsidRDefault="00A43F04" w:rsidP="00A43F04">
            <w:pPr>
              <w:spacing w:before="40" w:after="40" w:line="240" w:lineRule="atLeast"/>
              <w:rPr>
                <w:rFonts w:cstheme="minorHAnsi"/>
                <w:sz w:val="18"/>
                <w:szCs w:val="18"/>
              </w:rPr>
            </w:pPr>
            <w:r w:rsidRPr="00DD6692">
              <w:rPr>
                <w:rFonts w:cstheme="minorHAnsi"/>
                <w:sz w:val="18"/>
                <w:szCs w:val="18"/>
              </w:rPr>
              <w:t>Effect of casual loading</w:t>
            </w:r>
          </w:p>
        </w:tc>
        <w:tc>
          <w:tcPr>
            <w:tcW w:w="551" w:type="pct"/>
            <w:noWrap/>
            <w:vAlign w:val="center"/>
          </w:tcPr>
          <w:p w:rsidR="00A43F04" w:rsidRPr="00DD6692" w:rsidRDefault="00A43F04" w:rsidP="00A43F04">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1.3%</w:t>
            </w:r>
          </w:p>
        </w:tc>
        <w:tc>
          <w:tcPr>
            <w:tcW w:w="550" w:type="pct"/>
            <w:vAlign w:val="center"/>
          </w:tcPr>
          <w:p w:rsidR="00A43F04" w:rsidRPr="00DD6692" w:rsidRDefault="00A43F04" w:rsidP="00A43F04">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1.3%</w:t>
            </w:r>
          </w:p>
        </w:tc>
        <w:tc>
          <w:tcPr>
            <w:tcW w:w="550" w:type="pct"/>
            <w:vAlign w:val="center"/>
          </w:tcPr>
          <w:p w:rsidR="00A43F04" w:rsidRPr="00DD6692" w:rsidRDefault="00A43F04" w:rsidP="00A43F04">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1.3%</w:t>
            </w:r>
          </w:p>
        </w:tc>
        <w:tc>
          <w:tcPr>
            <w:tcW w:w="600" w:type="pct"/>
            <w:vAlign w:val="center"/>
          </w:tcPr>
          <w:p w:rsidR="00A43F04" w:rsidRPr="00DD6692" w:rsidRDefault="00A43F04" w:rsidP="00A43F04">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1.3%</w:t>
            </w:r>
          </w:p>
        </w:tc>
      </w:tr>
      <w:tr w:rsidR="00A43F04" w:rsidRPr="00DD6692" w:rsidTr="00996565">
        <w:trPr>
          <w:trHeight w:val="300"/>
        </w:trPr>
        <w:tc>
          <w:tcPr>
            <w:cnfStyle w:val="001000000000" w:firstRow="0" w:lastRow="0" w:firstColumn="1" w:lastColumn="0" w:oddVBand="0" w:evenVBand="0" w:oddHBand="0" w:evenHBand="0" w:firstRowFirstColumn="0" w:firstRowLastColumn="0" w:lastRowFirstColumn="0" w:lastRowLastColumn="0"/>
            <w:tcW w:w="2748" w:type="pct"/>
            <w:vAlign w:val="center"/>
          </w:tcPr>
          <w:p w:rsidR="00A43F04" w:rsidRPr="00DD6692" w:rsidRDefault="00A43F04" w:rsidP="00A43F04">
            <w:pPr>
              <w:spacing w:before="40" w:after="40" w:line="240" w:lineRule="atLeast"/>
              <w:rPr>
                <w:rFonts w:cstheme="minorHAnsi"/>
                <w:b w:val="0"/>
                <w:sz w:val="18"/>
                <w:szCs w:val="18"/>
              </w:rPr>
            </w:pPr>
            <w:r w:rsidRPr="00DD6692">
              <w:rPr>
                <w:rFonts w:cstheme="minorHAnsi"/>
                <w:b w:val="0"/>
                <w:sz w:val="18"/>
                <w:szCs w:val="18"/>
              </w:rPr>
              <w:t>Cumulative increase from standard hourly rate</w:t>
            </w:r>
          </w:p>
        </w:tc>
        <w:tc>
          <w:tcPr>
            <w:tcW w:w="551" w:type="pct"/>
            <w:noWrap/>
            <w:vAlign w:val="center"/>
          </w:tcPr>
          <w:p w:rsidR="00A43F04" w:rsidRPr="00DD6692" w:rsidRDefault="00A43F04" w:rsidP="00A43F04">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48.6%</w:t>
            </w:r>
          </w:p>
        </w:tc>
        <w:tc>
          <w:tcPr>
            <w:tcW w:w="550" w:type="pct"/>
            <w:vAlign w:val="center"/>
          </w:tcPr>
          <w:p w:rsidR="00A43F04" w:rsidRPr="00DD6692" w:rsidRDefault="00A43F04" w:rsidP="00A43F04">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49.7%</w:t>
            </w:r>
          </w:p>
        </w:tc>
        <w:tc>
          <w:tcPr>
            <w:tcW w:w="550" w:type="pct"/>
            <w:vAlign w:val="center"/>
          </w:tcPr>
          <w:p w:rsidR="00A43F04" w:rsidRPr="00DD6692" w:rsidRDefault="0028091F" w:rsidP="00A43F04">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49.2</w:t>
            </w:r>
            <w:r w:rsidR="00A43F04" w:rsidRPr="00DD6692">
              <w:rPr>
                <w:rFonts w:cstheme="minorHAnsi"/>
                <w:sz w:val="18"/>
                <w:szCs w:val="18"/>
              </w:rPr>
              <w:t>%</w:t>
            </w:r>
          </w:p>
        </w:tc>
        <w:tc>
          <w:tcPr>
            <w:tcW w:w="600" w:type="pct"/>
            <w:vAlign w:val="center"/>
          </w:tcPr>
          <w:p w:rsidR="00A43F04" w:rsidRPr="00DD6692" w:rsidRDefault="0028091F" w:rsidP="00A43F04">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48.4</w:t>
            </w:r>
            <w:r w:rsidR="00A43F04" w:rsidRPr="00DD6692">
              <w:rPr>
                <w:rFonts w:cstheme="minorHAnsi"/>
                <w:sz w:val="18"/>
                <w:szCs w:val="18"/>
              </w:rPr>
              <w:t>%</w:t>
            </w:r>
          </w:p>
        </w:tc>
      </w:tr>
    </w:tbl>
    <w:p w:rsidR="00F52078" w:rsidRPr="00DD6692" w:rsidRDefault="00F52078" w:rsidP="00315545">
      <w:pPr>
        <w:pStyle w:val="Heading2"/>
      </w:pPr>
      <w:bookmarkStart w:id="28" w:name="_Toc91063498"/>
      <w:r w:rsidRPr="00DD6692">
        <w:t>Utilisation</w:t>
      </w:r>
      <w:bookmarkEnd w:id="28"/>
    </w:p>
    <w:p w:rsidR="004C63FA" w:rsidRPr="00DD6692" w:rsidRDefault="00227122" w:rsidP="00227122">
      <w:r w:rsidRPr="00DD6692">
        <w:t xml:space="preserve">The </w:t>
      </w:r>
      <w:r w:rsidR="00E27A53" w:rsidRPr="00DD6692">
        <w:t>Cost Model</w:t>
      </w:r>
      <w:r w:rsidR="00436C40" w:rsidRPr="00DD6692">
        <w:t xml:space="preserve"> recognises that not all worked</w:t>
      </w:r>
      <w:r w:rsidRPr="00DD6692">
        <w:t xml:space="preserve"> hours are billable. For example, the SCHADS Award provides that a DSW should have a ten minute paid break from work every four hours. DSWs also need to undertake training and attend to other issues.</w:t>
      </w:r>
      <w:r w:rsidR="00134E17" w:rsidRPr="00DD6692">
        <w:t xml:space="preserve"> </w:t>
      </w:r>
      <w:r w:rsidR="00CD7CF3" w:rsidRPr="00DD6692">
        <w:t xml:space="preserve">The </w:t>
      </w:r>
      <w:r w:rsidR="00E27A53" w:rsidRPr="00DD6692">
        <w:t>Cost Model</w:t>
      </w:r>
      <w:r w:rsidR="00CD7CF3" w:rsidRPr="00DD6692">
        <w:t xml:space="preserve"> assumes that higher skilled workers with more responsibilities may require more non-billable hours, to maintain their skills and deal with other issues.</w:t>
      </w:r>
      <w:r w:rsidR="00FF5A37" w:rsidRPr="00DD6692">
        <w:t xml:space="preserve"> Accordingly, the </w:t>
      </w:r>
      <w:r w:rsidR="00E27A53" w:rsidRPr="00DD6692">
        <w:t>Cost Model</w:t>
      </w:r>
      <w:r w:rsidR="00FF5A37" w:rsidRPr="00DD6692">
        <w:t xml:space="preserve"> sets the </w:t>
      </w:r>
      <w:r w:rsidR="00321FEE" w:rsidRPr="00DD6692">
        <w:t>utilisation level at 92</w:t>
      </w:r>
      <w:r w:rsidR="00625FD5" w:rsidRPr="00DD6692">
        <w:t>.0</w:t>
      </w:r>
      <w:r w:rsidR="00321FEE" w:rsidRPr="00DD6692">
        <w:t>% for</w:t>
      </w:r>
      <w:r w:rsidR="005147FD" w:rsidRPr="00DD6692">
        <w:t xml:space="preserve"> </w:t>
      </w:r>
      <w:r w:rsidR="00D12192" w:rsidRPr="00DD6692">
        <w:t>DSW A</w:t>
      </w:r>
      <w:r w:rsidR="00321FEE" w:rsidRPr="00DD6692">
        <w:t xml:space="preserve">s, </w:t>
      </w:r>
      <w:r w:rsidR="00625FD5" w:rsidRPr="00DD6692">
        <w:t>89</w:t>
      </w:r>
      <w:r w:rsidR="00E302D9" w:rsidRPr="00DD6692">
        <w:t xml:space="preserve">.0% for </w:t>
      </w:r>
      <w:r w:rsidR="00D12192" w:rsidRPr="00DD6692">
        <w:t>DSW B</w:t>
      </w:r>
      <w:r w:rsidR="00E302D9" w:rsidRPr="00DD6692">
        <w:t xml:space="preserve">s; </w:t>
      </w:r>
      <w:r w:rsidR="00321FEE" w:rsidRPr="00DD6692">
        <w:t xml:space="preserve">87.7% for </w:t>
      </w:r>
      <w:r w:rsidR="00D12192" w:rsidRPr="00DD6692">
        <w:t>DSW C</w:t>
      </w:r>
      <w:r w:rsidR="00321FEE" w:rsidRPr="00DD6692">
        <w:t>s</w:t>
      </w:r>
      <w:r w:rsidR="00E302D9" w:rsidRPr="00DD6692">
        <w:t xml:space="preserve">; and 80% for </w:t>
      </w:r>
      <w:r w:rsidR="00D12192" w:rsidRPr="00DD6692">
        <w:t>DSW D</w:t>
      </w:r>
      <w:r w:rsidR="00E302D9" w:rsidRPr="00DD6692">
        <w:t>s</w:t>
      </w:r>
      <w:r w:rsidR="00436C40" w:rsidRPr="00DD6692">
        <w:t>.</w:t>
      </w:r>
      <w:r w:rsidR="00436C40" w:rsidRPr="00DD6692">
        <w:rPr>
          <w:rStyle w:val="FootnoteReference"/>
        </w:rPr>
        <w:footnoteReference w:id="20"/>
      </w:r>
      <w:r w:rsidR="004C63FA" w:rsidRPr="00DD6692">
        <w:t xml:space="preserve"> </w:t>
      </w:r>
    </w:p>
    <w:p w:rsidR="00CD7CF3" w:rsidRPr="00DD6692" w:rsidRDefault="00CD7CF3" w:rsidP="00227122">
      <w:r w:rsidRPr="00DD6692">
        <w:t xml:space="preserve">The </w:t>
      </w:r>
      <w:r w:rsidR="00E27A53" w:rsidRPr="00DD6692">
        <w:t>Cost Model</w:t>
      </w:r>
      <w:r w:rsidRPr="00DD6692">
        <w:t xml:space="preserve"> assumes that supervisors have the same rate of non-billable hours as </w:t>
      </w:r>
      <w:r w:rsidR="006A50F1" w:rsidRPr="00DD6692">
        <w:t>DSWs.</w:t>
      </w:r>
    </w:p>
    <w:p w:rsidR="00CD68BE" w:rsidRPr="00DD6692" w:rsidRDefault="00F52078" w:rsidP="004C63FA">
      <w:pPr>
        <w:pStyle w:val="Caption"/>
      </w:pPr>
      <w:bookmarkStart w:id="29" w:name="_Ref19044855"/>
      <w:r w:rsidRPr="00DD6692">
        <w:t xml:space="preserve">Table </w:t>
      </w:r>
      <w:fldSimple w:instr=" SEQ Table \* ARABIC ">
        <w:r w:rsidR="00DD6692">
          <w:rPr>
            <w:noProof/>
          </w:rPr>
          <w:t>7</w:t>
        </w:r>
      </w:fldSimple>
      <w:bookmarkEnd w:id="29"/>
      <w:r w:rsidRPr="00DD6692">
        <w:t xml:space="preserve">: </w:t>
      </w:r>
      <w:r w:rsidR="00CD68BE" w:rsidRPr="00DD6692">
        <w:t>Impact of U</w:t>
      </w:r>
      <w:r w:rsidRPr="00DD6692">
        <w:t xml:space="preserve">tilisation on </w:t>
      </w:r>
      <w:r w:rsidR="00CD68BE" w:rsidRPr="00DD6692">
        <w:t>the Cost per Billable Hour of a DSW</w:t>
      </w:r>
    </w:p>
    <w:tbl>
      <w:tblPr>
        <w:tblStyle w:val="GridTable4-Accent4"/>
        <w:tblW w:w="5000" w:type="pct"/>
        <w:tblLook w:val="04A0" w:firstRow="1" w:lastRow="0" w:firstColumn="1" w:lastColumn="0" w:noHBand="0" w:noVBand="1"/>
        <w:tblDescription w:val="Table 3: Impact of Leave on the Cost per Worked Hour of a Permanent DSW"/>
      </w:tblPr>
      <w:tblGrid>
        <w:gridCol w:w="4956"/>
        <w:gridCol w:w="994"/>
        <w:gridCol w:w="992"/>
        <w:gridCol w:w="992"/>
        <w:gridCol w:w="1082"/>
      </w:tblGrid>
      <w:tr w:rsidR="00716C16" w:rsidRPr="00DD6692" w:rsidTr="00716C16">
        <w:trPr>
          <w:cnfStyle w:val="100000000000" w:firstRow="1" w:lastRow="0" w:firstColumn="0" w:lastColumn="0" w:oddVBand="0" w:evenVBand="0" w:oddHBand="0" w:evenHBand="0" w:firstRowFirstColumn="0" w:firstRowLastColumn="0" w:lastRowFirstColumn="0" w:lastRowLastColumn="0"/>
          <w:trHeight w:val="289"/>
          <w:tblHeader/>
        </w:trPr>
        <w:tc>
          <w:tcPr>
            <w:cnfStyle w:val="001000000000" w:firstRow="0" w:lastRow="0" w:firstColumn="1" w:lastColumn="0" w:oddVBand="0" w:evenVBand="0" w:oddHBand="0" w:evenHBand="0" w:firstRowFirstColumn="0" w:firstRowLastColumn="0" w:lastRowFirstColumn="0" w:lastRowLastColumn="0"/>
            <w:tcW w:w="2748" w:type="pct"/>
            <w:hideMark/>
          </w:tcPr>
          <w:p w:rsidR="00716C16" w:rsidRPr="00DD6692" w:rsidRDefault="00716C16" w:rsidP="004C63FA">
            <w:pPr>
              <w:keepNext/>
              <w:spacing w:before="40" w:after="40" w:line="240" w:lineRule="atLeast"/>
              <w:rPr>
                <w:rFonts w:cstheme="minorHAnsi"/>
                <w:sz w:val="18"/>
                <w:szCs w:val="18"/>
              </w:rPr>
            </w:pPr>
          </w:p>
        </w:tc>
        <w:tc>
          <w:tcPr>
            <w:tcW w:w="551" w:type="pct"/>
            <w:hideMark/>
          </w:tcPr>
          <w:p w:rsidR="00716C16" w:rsidRPr="00DD6692" w:rsidRDefault="00716C16" w:rsidP="004C63FA">
            <w:pPr>
              <w:keepNext/>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DSW A</w:t>
            </w:r>
          </w:p>
        </w:tc>
        <w:tc>
          <w:tcPr>
            <w:tcW w:w="550" w:type="pct"/>
          </w:tcPr>
          <w:p w:rsidR="00716C16" w:rsidRPr="00DD6692" w:rsidRDefault="00716C16" w:rsidP="004C63FA">
            <w:pPr>
              <w:keepNext/>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lang w:eastAsia="en-AU"/>
              </w:rPr>
            </w:pPr>
            <w:r w:rsidRPr="00DD6692">
              <w:rPr>
                <w:rFonts w:cstheme="minorHAnsi"/>
                <w:sz w:val="18"/>
                <w:szCs w:val="18"/>
              </w:rPr>
              <w:t>DSW B</w:t>
            </w:r>
          </w:p>
        </w:tc>
        <w:tc>
          <w:tcPr>
            <w:tcW w:w="550" w:type="pct"/>
          </w:tcPr>
          <w:p w:rsidR="00716C16" w:rsidRPr="00DD6692" w:rsidRDefault="00716C16" w:rsidP="004C63FA">
            <w:pPr>
              <w:keepNext/>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DSW C</w:t>
            </w:r>
          </w:p>
        </w:tc>
        <w:tc>
          <w:tcPr>
            <w:tcW w:w="600" w:type="pct"/>
          </w:tcPr>
          <w:p w:rsidR="00716C16" w:rsidRPr="00DD6692" w:rsidRDefault="00716C16" w:rsidP="004C63FA">
            <w:pPr>
              <w:keepNext/>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DSW D</w:t>
            </w:r>
          </w:p>
        </w:tc>
      </w:tr>
      <w:tr w:rsidR="00A43F04" w:rsidRPr="00DD6692"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hideMark/>
          </w:tcPr>
          <w:p w:rsidR="00A43F04" w:rsidRPr="00DD6692" w:rsidRDefault="00A43F04" w:rsidP="004C63FA">
            <w:pPr>
              <w:keepNext/>
              <w:spacing w:before="40" w:after="40" w:line="240" w:lineRule="atLeast"/>
              <w:rPr>
                <w:rFonts w:cstheme="minorHAnsi"/>
                <w:sz w:val="18"/>
                <w:szCs w:val="18"/>
              </w:rPr>
            </w:pPr>
            <w:r w:rsidRPr="00DD6692">
              <w:rPr>
                <w:rFonts w:cstheme="minorHAnsi"/>
                <w:sz w:val="18"/>
                <w:szCs w:val="18"/>
              </w:rPr>
              <w:t>Cumulative cost per hour, before utilisation</w:t>
            </w:r>
          </w:p>
        </w:tc>
        <w:tc>
          <w:tcPr>
            <w:tcW w:w="551" w:type="pct"/>
            <w:noWrap/>
            <w:hideMark/>
          </w:tcPr>
          <w:p w:rsidR="00A43F04" w:rsidRPr="00DD6692" w:rsidRDefault="00A43F04"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$45.98</w:t>
            </w:r>
          </w:p>
        </w:tc>
        <w:tc>
          <w:tcPr>
            <w:tcW w:w="550" w:type="pct"/>
          </w:tcPr>
          <w:p w:rsidR="00A43F04" w:rsidRPr="00DD6692" w:rsidRDefault="00A43F04"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bCs/>
                <w:color w:val="000000"/>
                <w:sz w:val="18"/>
                <w:szCs w:val="18"/>
                <w:lang w:eastAsia="en-AU"/>
              </w:rPr>
              <w:t>$48.14</w:t>
            </w:r>
          </w:p>
        </w:tc>
        <w:tc>
          <w:tcPr>
            <w:tcW w:w="550" w:type="pct"/>
          </w:tcPr>
          <w:p w:rsidR="00A43F04" w:rsidRPr="00DD6692" w:rsidRDefault="00A43F04"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$49.97</w:t>
            </w:r>
          </w:p>
        </w:tc>
        <w:tc>
          <w:tcPr>
            <w:tcW w:w="600" w:type="pct"/>
          </w:tcPr>
          <w:p w:rsidR="00A43F04" w:rsidRPr="00DD6692" w:rsidRDefault="00A43F04"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$59.96</w:t>
            </w:r>
          </w:p>
        </w:tc>
      </w:tr>
      <w:tr w:rsidR="00A43F04" w:rsidRPr="00DD6692" w:rsidTr="00996565">
        <w:trPr>
          <w:trHeight w:val="300"/>
        </w:trPr>
        <w:tc>
          <w:tcPr>
            <w:cnfStyle w:val="001000000000" w:firstRow="0" w:lastRow="0" w:firstColumn="1" w:lastColumn="0" w:oddVBand="0" w:evenVBand="0" w:oddHBand="0" w:evenHBand="0" w:firstRowFirstColumn="0" w:firstRowLastColumn="0" w:lastRowFirstColumn="0" w:lastRowLastColumn="0"/>
            <w:tcW w:w="2748" w:type="pct"/>
            <w:hideMark/>
          </w:tcPr>
          <w:p w:rsidR="00A43F04" w:rsidRPr="00DD6692" w:rsidRDefault="00A43F04" w:rsidP="004C63FA">
            <w:pPr>
              <w:keepNext/>
              <w:spacing w:before="40" w:after="40" w:line="240" w:lineRule="atLeast"/>
              <w:rPr>
                <w:rFonts w:cstheme="minorHAnsi"/>
                <w:sz w:val="18"/>
                <w:szCs w:val="18"/>
              </w:rPr>
            </w:pPr>
            <w:r w:rsidRPr="00DD6692">
              <w:rPr>
                <w:rFonts w:cstheme="minorHAnsi"/>
                <w:sz w:val="18"/>
                <w:szCs w:val="18"/>
              </w:rPr>
              <w:t>Utilisation rates</w:t>
            </w:r>
          </w:p>
        </w:tc>
        <w:tc>
          <w:tcPr>
            <w:tcW w:w="551" w:type="pct"/>
            <w:noWrap/>
          </w:tcPr>
          <w:p w:rsidR="00A43F04" w:rsidRPr="00DD6692" w:rsidRDefault="00A43F04"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550" w:type="pct"/>
          </w:tcPr>
          <w:p w:rsidR="00A43F04" w:rsidRPr="00DD6692" w:rsidRDefault="00A43F04"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550" w:type="pct"/>
          </w:tcPr>
          <w:p w:rsidR="00A43F04" w:rsidRPr="00DD6692" w:rsidRDefault="00A43F04"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600" w:type="pct"/>
          </w:tcPr>
          <w:p w:rsidR="00A43F04" w:rsidRPr="00DD6692" w:rsidRDefault="00A43F04"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A43F04" w:rsidRPr="00DD6692"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vAlign w:val="center"/>
          </w:tcPr>
          <w:p w:rsidR="00A43F04" w:rsidRPr="00DD6692" w:rsidRDefault="00A43F04" w:rsidP="004C63FA">
            <w:pPr>
              <w:keepNext/>
              <w:spacing w:before="40" w:after="40" w:line="240" w:lineRule="atLeast"/>
              <w:ind w:left="593"/>
              <w:rPr>
                <w:rFonts w:cstheme="minorHAnsi"/>
                <w:b w:val="0"/>
                <w:sz w:val="18"/>
                <w:szCs w:val="18"/>
              </w:rPr>
            </w:pPr>
            <w:r w:rsidRPr="00DD6692">
              <w:rPr>
                <w:rFonts w:cstheme="minorHAnsi"/>
                <w:b w:val="0"/>
                <w:sz w:val="18"/>
                <w:szCs w:val="18"/>
              </w:rPr>
              <w:t>Breaks</w:t>
            </w:r>
          </w:p>
        </w:tc>
        <w:tc>
          <w:tcPr>
            <w:tcW w:w="551" w:type="pct"/>
            <w:noWrap/>
            <w:vAlign w:val="center"/>
          </w:tcPr>
          <w:p w:rsidR="00A43F04" w:rsidRPr="00DD6692" w:rsidRDefault="00A43F04"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4.17%</w:t>
            </w:r>
          </w:p>
        </w:tc>
        <w:tc>
          <w:tcPr>
            <w:tcW w:w="550" w:type="pct"/>
            <w:vAlign w:val="center"/>
          </w:tcPr>
          <w:p w:rsidR="00A43F04" w:rsidRPr="00DD6692" w:rsidRDefault="00A43F04"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4.17%</w:t>
            </w:r>
          </w:p>
        </w:tc>
        <w:tc>
          <w:tcPr>
            <w:tcW w:w="550" w:type="pct"/>
            <w:vAlign w:val="center"/>
          </w:tcPr>
          <w:p w:rsidR="00A43F04" w:rsidRPr="00DD6692" w:rsidRDefault="00A43F04"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4.17%</w:t>
            </w:r>
          </w:p>
        </w:tc>
        <w:tc>
          <w:tcPr>
            <w:tcW w:w="600" w:type="pct"/>
            <w:vAlign w:val="center"/>
          </w:tcPr>
          <w:p w:rsidR="00A43F04" w:rsidRPr="00DD6692" w:rsidRDefault="00A43F04"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4.17%</w:t>
            </w:r>
          </w:p>
        </w:tc>
      </w:tr>
      <w:tr w:rsidR="00A43F04" w:rsidRPr="00DD6692" w:rsidTr="00996565">
        <w:trPr>
          <w:trHeight w:val="300"/>
        </w:trPr>
        <w:tc>
          <w:tcPr>
            <w:cnfStyle w:val="001000000000" w:firstRow="0" w:lastRow="0" w:firstColumn="1" w:lastColumn="0" w:oddVBand="0" w:evenVBand="0" w:oddHBand="0" w:evenHBand="0" w:firstRowFirstColumn="0" w:firstRowLastColumn="0" w:lastRowFirstColumn="0" w:lastRowLastColumn="0"/>
            <w:tcW w:w="2748" w:type="pct"/>
            <w:vAlign w:val="center"/>
          </w:tcPr>
          <w:p w:rsidR="00A43F04" w:rsidRPr="00DD6692" w:rsidRDefault="00A43F04" w:rsidP="004C63FA">
            <w:pPr>
              <w:keepNext/>
              <w:spacing w:before="40" w:after="40" w:line="240" w:lineRule="atLeast"/>
              <w:ind w:left="593"/>
              <w:rPr>
                <w:rFonts w:cstheme="minorHAnsi"/>
                <w:b w:val="0"/>
                <w:sz w:val="18"/>
                <w:szCs w:val="18"/>
              </w:rPr>
            </w:pPr>
            <w:r w:rsidRPr="00DD6692">
              <w:rPr>
                <w:rFonts w:cstheme="minorHAnsi"/>
                <w:b w:val="0"/>
                <w:sz w:val="18"/>
                <w:szCs w:val="18"/>
              </w:rPr>
              <w:t>Training</w:t>
            </w:r>
          </w:p>
        </w:tc>
        <w:tc>
          <w:tcPr>
            <w:tcW w:w="551" w:type="pct"/>
            <w:noWrap/>
            <w:vAlign w:val="center"/>
          </w:tcPr>
          <w:p w:rsidR="00A43F04" w:rsidRPr="00DD6692" w:rsidRDefault="00A43F04"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3.29%</w:t>
            </w:r>
          </w:p>
        </w:tc>
        <w:tc>
          <w:tcPr>
            <w:tcW w:w="550" w:type="pct"/>
            <w:vAlign w:val="center"/>
          </w:tcPr>
          <w:p w:rsidR="00A43F04" w:rsidRPr="00DD6692" w:rsidRDefault="00A43F04"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6.58%</w:t>
            </w:r>
          </w:p>
        </w:tc>
        <w:tc>
          <w:tcPr>
            <w:tcW w:w="550" w:type="pct"/>
            <w:vAlign w:val="center"/>
          </w:tcPr>
          <w:p w:rsidR="00A43F04" w:rsidRPr="00DD6692" w:rsidRDefault="00A43F04"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7.89%</w:t>
            </w:r>
          </w:p>
        </w:tc>
        <w:tc>
          <w:tcPr>
            <w:tcW w:w="600" w:type="pct"/>
            <w:vAlign w:val="center"/>
          </w:tcPr>
          <w:p w:rsidR="00A43F04" w:rsidRPr="00DD6692" w:rsidRDefault="00A43F04"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7.89%</w:t>
            </w:r>
          </w:p>
        </w:tc>
      </w:tr>
      <w:tr w:rsidR="00A43F04" w:rsidRPr="00DD6692"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vAlign w:val="center"/>
          </w:tcPr>
          <w:p w:rsidR="00A43F04" w:rsidRPr="00DD6692" w:rsidRDefault="00A43F04" w:rsidP="004C63FA">
            <w:pPr>
              <w:keepNext/>
              <w:spacing w:before="40" w:after="40" w:line="240" w:lineRule="atLeast"/>
              <w:ind w:left="593"/>
              <w:rPr>
                <w:rFonts w:cstheme="minorHAnsi"/>
                <w:b w:val="0"/>
                <w:sz w:val="18"/>
                <w:szCs w:val="18"/>
              </w:rPr>
            </w:pPr>
            <w:r w:rsidRPr="00DD6692">
              <w:rPr>
                <w:rFonts w:cstheme="minorHAnsi"/>
                <w:b w:val="0"/>
                <w:sz w:val="18"/>
                <w:szCs w:val="18"/>
              </w:rPr>
              <w:t>Other</w:t>
            </w:r>
          </w:p>
        </w:tc>
        <w:tc>
          <w:tcPr>
            <w:tcW w:w="551" w:type="pct"/>
            <w:noWrap/>
            <w:vAlign w:val="center"/>
          </w:tcPr>
          <w:p w:rsidR="00A43F04" w:rsidRPr="00DD6692" w:rsidRDefault="00A43F04"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0.54%</w:t>
            </w:r>
          </w:p>
        </w:tc>
        <w:tc>
          <w:tcPr>
            <w:tcW w:w="550" w:type="pct"/>
            <w:vAlign w:val="center"/>
          </w:tcPr>
          <w:p w:rsidR="00A43F04" w:rsidRPr="00DD6692" w:rsidRDefault="00A43F04"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0.25%</w:t>
            </w:r>
          </w:p>
        </w:tc>
        <w:tc>
          <w:tcPr>
            <w:tcW w:w="550" w:type="pct"/>
            <w:vAlign w:val="center"/>
          </w:tcPr>
          <w:p w:rsidR="00A43F04" w:rsidRPr="00DD6692" w:rsidRDefault="00A43F04"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0.24%</w:t>
            </w:r>
          </w:p>
        </w:tc>
        <w:tc>
          <w:tcPr>
            <w:tcW w:w="600" w:type="pct"/>
            <w:vAlign w:val="center"/>
          </w:tcPr>
          <w:p w:rsidR="00A43F04" w:rsidRPr="00DD6692" w:rsidRDefault="00A43F04"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7.94%</w:t>
            </w:r>
          </w:p>
        </w:tc>
      </w:tr>
      <w:tr w:rsidR="00A43F04" w:rsidRPr="00DD6692" w:rsidTr="00996565">
        <w:trPr>
          <w:trHeight w:val="300"/>
        </w:trPr>
        <w:tc>
          <w:tcPr>
            <w:cnfStyle w:val="001000000000" w:firstRow="0" w:lastRow="0" w:firstColumn="1" w:lastColumn="0" w:oddVBand="0" w:evenVBand="0" w:oddHBand="0" w:evenHBand="0" w:firstRowFirstColumn="0" w:firstRowLastColumn="0" w:lastRowFirstColumn="0" w:lastRowLastColumn="0"/>
            <w:tcW w:w="2748" w:type="pct"/>
            <w:vAlign w:val="center"/>
          </w:tcPr>
          <w:p w:rsidR="00A43F04" w:rsidRPr="00DD6692" w:rsidRDefault="00A43F04" w:rsidP="004C63FA">
            <w:pPr>
              <w:keepNext/>
              <w:spacing w:before="40" w:after="40" w:line="240" w:lineRule="atLeast"/>
              <w:ind w:left="593"/>
              <w:rPr>
                <w:rFonts w:cstheme="minorHAnsi"/>
                <w:sz w:val="18"/>
                <w:szCs w:val="18"/>
              </w:rPr>
            </w:pPr>
            <w:r w:rsidRPr="00DD6692">
              <w:rPr>
                <w:rFonts w:cstheme="minorHAnsi"/>
                <w:sz w:val="18"/>
                <w:szCs w:val="18"/>
              </w:rPr>
              <w:t>Total Utilisation (%)</w:t>
            </w:r>
          </w:p>
        </w:tc>
        <w:tc>
          <w:tcPr>
            <w:tcW w:w="551" w:type="pct"/>
            <w:noWrap/>
            <w:vAlign w:val="center"/>
          </w:tcPr>
          <w:p w:rsidR="00A43F04" w:rsidRPr="00DD6692" w:rsidRDefault="00A43F04"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92.0%</w:t>
            </w:r>
          </w:p>
        </w:tc>
        <w:tc>
          <w:tcPr>
            <w:tcW w:w="550" w:type="pct"/>
            <w:vAlign w:val="center"/>
          </w:tcPr>
          <w:p w:rsidR="00A43F04" w:rsidRPr="00DD6692" w:rsidRDefault="00A43F04"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89.0%</w:t>
            </w:r>
          </w:p>
        </w:tc>
        <w:tc>
          <w:tcPr>
            <w:tcW w:w="550" w:type="pct"/>
            <w:vAlign w:val="center"/>
          </w:tcPr>
          <w:p w:rsidR="00A43F04" w:rsidRPr="00DD6692" w:rsidRDefault="00A43F04"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87.7%</w:t>
            </w:r>
          </w:p>
        </w:tc>
        <w:tc>
          <w:tcPr>
            <w:tcW w:w="600" w:type="pct"/>
            <w:vAlign w:val="center"/>
          </w:tcPr>
          <w:p w:rsidR="00A43F04" w:rsidRPr="00DD6692" w:rsidRDefault="00A43F04"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80.0%</w:t>
            </w:r>
          </w:p>
        </w:tc>
      </w:tr>
      <w:tr w:rsidR="00A43F04" w:rsidRPr="00DD6692"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vAlign w:val="center"/>
          </w:tcPr>
          <w:p w:rsidR="00A43F04" w:rsidRPr="00DD6692" w:rsidRDefault="00A43F04" w:rsidP="004C63FA">
            <w:pPr>
              <w:keepNext/>
              <w:spacing w:before="40" w:after="40" w:line="240" w:lineRule="atLeast"/>
              <w:ind w:left="593"/>
              <w:rPr>
                <w:rFonts w:cstheme="minorHAnsi"/>
                <w:sz w:val="18"/>
                <w:szCs w:val="18"/>
              </w:rPr>
            </w:pPr>
            <w:r w:rsidRPr="00DD6692">
              <w:rPr>
                <w:rFonts w:cstheme="minorHAnsi"/>
                <w:sz w:val="18"/>
                <w:szCs w:val="18"/>
              </w:rPr>
              <w:t>Cost of utilisation ($)</w:t>
            </w:r>
          </w:p>
        </w:tc>
        <w:tc>
          <w:tcPr>
            <w:tcW w:w="551" w:type="pct"/>
            <w:noWrap/>
            <w:vAlign w:val="center"/>
          </w:tcPr>
          <w:p w:rsidR="00A43F04" w:rsidRPr="00DD6692" w:rsidRDefault="00A43F04"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$4.00</w:t>
            </w:r>
          </w:p>
        </w:tc>
        <w:tc>
          <w:tcPr>
            <w:tcW w:w="550" w:type="pct"/>
            <w:vAlign w:val="center"/>
          </w:tcPr>
          <w:p w:rsidR="00A43F04" w:rsidRPr="00DD6692" w:rsidRDefault="00A43F04"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$5.95</w:t>
            </w:r>
          </w:p>
        </w:tc>
        <w:tc>
          <w:tcPr>
            <w:tcW w:w="550" w:type="pct"/>
            <w:vAlign w:val="center"/>
          </w:tcPr>
          <w:p w:rsidR="00A43F04" w:rsidRPr="00DD6692" w:rsidRDefault="00A43F04"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$7.01</w:t>
            </w:r>
          </w:p>
        </w:tc>
        <w:tc>
          <w:tcPr>
            <w:tcW w:w="600" w:type="pct"/>
            <w:vAlign w:val="center"/>
          </w:tcPr>
          <w:p w:rsidR="00A43F04" w:rsidRPr="00DD6692" w:rsidRDefault="00A43F04"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$14.99</w:t>
            </w:r>
          </w:p>
        </w:tc>
      </w:tr>
      <w:tr w:rsidR="00A43F04" w:rsidRPr="00DD6692" w:rsidTr="00996565">
        <w:trPr>
          <w:trHeight w:val="300"/>
        </w:trPr>
        <w:tc>
          <w:tcPr>
            <w:cnfStyle w:val="001000000000" w:firstRow="0" w:lastRow="0" w:firstColumn="1" w:lastColumn="0" w:oddVBand="0" w:evenVBand="0" w:oddHBand="0" w:evenHBand="0" w:firstRowFirstColumn="0" w:firstRowLastColumn="0" w:lastRowFirstColumn="0" w:lastRowLastColumn="0"/>
            <w:tcW w:w="2748" w:type="pct"/>
            <w:vAlign w:val="center"/>
          </w:tcPr>
          <w:p w:rsidR="00A43F04" w:rsidRPr="00DD6692" w:rsidRDefault="00A43F04" w:rsidP="004C63FA">
            <w:pPr>
              <w:keepNext/>
              <w:spacing w:before="40" w:after="40" w:line="240" w:lineRule="atLeast"/>
              <w:rPr>
                <w:rFonts w:cstheme="minorHAnsi"/>
                <w:sz w:val="18"/>
                <w:szCs w:val="18"/>
              </w:rPr>
            </w:pPr>
            <w:r w:rsidRPr="00DD6692">
              <w:rPr>
                <w:rFonts w:cstheme="minorHAnsi"/>
                <w:sz w:val="18"/>
                <w:szCs w:val="18"/>
              </w:rPr>
              <w:t>Cumulative cost per hour, after utilisation</w:t>
            </w:r>
          </w:p>
        </w:tc>
        <w:tc>
          <w:tcPr>
            <w:tcW w:w="551" w:type="pct"/>
            <w:noWrap/>
            <w:vAlign w:val="center"/>
          </w:tcPr>
          <w:p w:rsidR="00A43F04" w:rsidRPr="00DD6692" w:rsidRDefault="00A43F04"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$49.98</w:t>
            </w:r>
          </w:p>
        </w:tc>
        <w:tc>
          <w:tcPr>
            <w:tcW w:w="550" w:type="pct"/>
            <w:vAlign w:val="center"/>
          </w:tcPr>
          <w:p w:rsidR="00A43F04" w:rsidRPr="00DD6692" w:rsidRDefault="00A43F04"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$54.09</w:t>
            </w:r>
          </w:p>
        </w:tc>
        <w:tc>
          <w:tcPr>
            <w:tcW w:w="550" w:type="pct"/>
            <w:vAlign w:val="center"/>
          </w:tcPr>
          <w:p w:rsidR="00A43F04" w:rsidRPr="00DD6692" w:rsidRDefault="00A43F04"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$56.98</w:t>
            </w:r>
          </w:p>
        </w:tc>
        <w:tc>
          <w:tcPr>
            <w:tcW w:w="600" w:type="pct"/>
            <w:vAlign w:val="center"/>
          </w:tcPr>
          <w:p w:rsidR="00A43F04" w:rsidRPr="00DD6692" w:rsidRDefault="00A43F04" w:rsidP="004C63FA">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$74.95</w:t>
            </w:r>
          </w:p>
        </w:tc>
      </w:tr>
      <w:tr w:rsidR="00A43F04" w:rsidRPr="00DD6692"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vAlign w:val="center"/>
          </w:tcPr>
          <w:p w:rsidR="00A43F04" w:rsidRPr="00DD6692" w:rsidRDefault="00A43F04" w:rsidP="004C63FA">
            <w:pPr>
              <w:keepNext/>
              <w:spacing w:before="40" w:after="40" w:line="240" w:lineRule="atLeast"/>
              <w:rPr>
                <w:rFonts w:cstheme="minorHAnsi"/>
                <w:b w:val="0"/>
                <w:sz w:val="18"/>
                <w:szCs w:val="18"/>
              </w:rPr>
            </w:pPr>
            <w:r w:rsidRPr="00DD6692">
              <w:rPr>
                <w:rFonts w:cstheme="minorHAnsi"/>
                <w:b w:val="0"/>
                <w:sz w:val="18"/>
                <w:szCs w:val="18"/>
              </w:rPr>
              <w:t>Cumulative increase from standard hourly rate</w:t>
            </w:r>
          </w:p>
        </w:tc>
        <w:tc>
          <w:tcPr>
            <w:tcW w:w="551" w:type="pct"/>
            <w:noWrap/>
            <w:vAlign w:val="center"/>
          </w:tcPr>
          <w:p w:rsidR="00A43F04" w:rsidRPr="00DD6692" w:rsidRDefault="00A43F04"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61.5%</w:t>
            </w:r>
          </w:p>
        </w:tc>
        <w:tc>
          <w:tcPr>
            <w:tcW w:w="550" w:type="pct"/>
            <w:vAlign w:val="center"/>
          </w:tcPr>
          <w:p w:rsidR="00A43F04" w:rsidRPr="00DD6692" w:rsidRDefault="00A43F04"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68.2%</w:t>
            </w:r>
          </w:p>
        </w:tc>
        <w:tc>
          <w:tcPr>
            <w:tcW w:w="550" w:type="pct"/>
            <w:vAlign w:val="center"/>
          </w:tcPr>
          <w:p w:rsidR="00A43F04" w:rsidRPr="00DD6692" w:rsidRDefault="00A43F04"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70.2%</w:t>
            </w:r>
          </w:p>
        </w:tc>
        <w:tc>
          <w:tcPr>
            <w:tcW w:w="600" w:type="pct"/>
            <w:vAlign w:val="center"/>
          </w:tcPr>
          <w:p w:rsidR="00A43F04" w:rsidRPr="00DD6692" w:rsidRDefault="00A43F04" w:rsidP="004C63FA">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85.6%</w:t>
            </w:r>
          </w:p>
        </w:tc>
      </w:tr>
    </w:tbl>
    <w:p w:rsidR="00B76D59" w:rsidRPr="00DD6692" w:rsidRDefault="00840413" w:rsidP="00315545">
      <w:pPr>
        <w:pStyle w:val="Heading2"/>
      </w:pPr>
      <w:bookmarkStart w:id="30" w:name="_Ref90498717"/>
      <w:bookmarkStart w:id="31" w:name="_Toc91063499"/>
      <w:r w:rsidRPr="00DD6692">
        <w:t>Overheads</w:t>
      </w:r>
      <w:bookmarkEnd w:id="30"/>
      <w:bookmarkEnd w:id="31"/>
    </w:p>
    <w:p w:rsidR="00AA2CA7" w:rsidRPr="00DD6692" w:rsidRDefault="00D65E52" w:rsidP="00AA2CA7">
      <w:r w:rsidRPr="00DD6692">
        <w:t xml:space="preserve">The </w:t>
      </w:r>
      <w:r w:rsidR="00E27A53" w:rsidRPr="00DD6692">
        <w:t>Cost Model</w:t>
      </w:r>
      <w:r w:rsidRPr="00DD6692">
        <w:t xml:space="preserve"> assumes that </w:t>
      </w:r>
      <w:r w:rsidR="006A50F1" w:rsidRPr="00DD6692">
        <w:t xml:space="preserve">corporate </w:t>
      </w:r>
      <w:r w:rsidRPr="00DD6692">
        <w:t>overheads are 1</w:t>
      </w:r>
      <w:r w:rsidR="00005261" w:rsidRPr="00DD6692">
        <w:t>2.0</w:t>
      </w:r>
      <w:r w:rsidR="00E302D9" w:rsidRPr="00DD6692">
        <w:t>% of direct costs (all those above)</w:t>
      </w:r>
      <w:r w:rsidR="00334EDE" w:rsidRPr="00DD6692">
        <w:rPr>
          <w:rStyle w:val="FootnoteReference"/>
        </w:rPr>
        <w:footnoteReference w:id="21"/>
      </w:r>
      <w:r w:rsidR="006B6DB5" w:rsidRPr="00DD6692">
        <w:t>.</w:t>
      </w:r>
      <w:r w:rsidR="00334EDE" w:rsidRPr="00DD6692">
        <w:t xml:space="preserve"> </w:t>
      </w:r>
    </w:p>
    <w:p w:rsidR="00AA2CA7" w:rsidRPr="00DD6692" w:rsidRDefault="00AA2CA7" w:rsidP="00AA2CA7">
      <w:r w:rsidRPr="00DD6692">
        <w:t>From 1 January 2022, the NDIA recognises a temporary COVID-19 overhead allowance for:</w:t>
      </w:r>
    </w:p>
    <w:p w:rsidR="00AA2CA7" w:rsidRPr="00DD6692" w:rsidRDefault="00AA2CA7" w:rsidP="00AA2CA7">
      <w:pPr>
        <w:pStyle w:val="DotPoint"/>
      </w:pPr>
      <w:r w:rsidRPr="00DD6692">
        <w:t>SIL and Group Supports with a temporary increase of 0.40</w:t>
      </w:r>
      <w:r w:rsidR="000839DB" w:rsidRPr="00DD6692">
        <w:t xml:space="preserve"> percentage points</w:t>
      </w:r>
      <w:r w:rsidRPr="00DD6692">
        <w:t>, and</w:t>
      </w:r>
    </w:p>
    <w:p w:rsidR="00AA2CA7" w:rsidRPr="00DD6692" w:rsidRDefault="00AA2CA7" w:rsidP="00AA2CA7">
      <w:pPr>
        <w:pStyle w:val="DotPoint"/>
      </w:pPr>
      <w:r w:rsidRPr="00DD6692">
        <w:t>other supports with a temporary increase of 0.25</w:t>
      </w:r>
      <w:r w:rsidR="000839DB" w:rsidRPr="00DD6692">
        <w:t xml:space="preserve"> percentage points</w:t>
      </w:r>
    </w:p>
    <w:p w:rsidR="00AA2CA7" w:rsidRPr="00DD6692" w:rsidRDefault="00496882" w:rsidP="00AA2CA7">
      <w:r w:rsidRPr="00DD6692">
        <w:t xml:space="preserve">The temporary </w:t>
      </w:r>
      <w:r w:rsidR="00DB36FF" w:rsidRPr="00DD6692">
        <w:t>overhead allowance</w:t>
      </w:r>
      <w:r w:rsidRPr="00DD6692">
        <w:t xml:space="preserve"> </w:t>
      </w:r>
      <w:r w:rsidR="00E4784A" w:rsidRPr="00DD6692">
        <w:t>realises the cost of PPE for the support worker and</w:t>
      </w:r>
      <w:r w:rsidR="00AA2CA7" w:rsidRPr="00DD6692">
        <w:t xml:space="preserve"> wi</w:t>
      </w:r>
      <w:r w:rsidR="000420FF" w:rsidRPr="00DD6692">
        <w:t>ll affect the price limits of 35</w:t>
      </w:r>
      <w:r w:rsidR="00AA2CA7" w:rsidRPr="00DD6692">
        <w:t>4 support items within the Cost Model.</w:t>
      </w:r>
    </w:p>
    <w:p w:rsidR="000C7183" w:rsidRPr="00DD6692" w:rsidRDefault="000C7183" w:rsidP="000457AF">
      <w:pPr>
        <w:pStyle w:val="Caption"/>
      </w:pPr>
      <w:bookmarkStart w:id="32" w:name="_Ref19045240"/>
      <w:r w:rsidRPr="00DD6692">
        <w:t xml:space="preserve">Table </w:t>
      </w:r>
      <w:fldSimple w:instr=" SEQ Table \* ARABIC ">
        <w:r w:rsidR="00DD6692">
          <w:rPr>
            <w:noProof/>
          </w:rPr>
          <w:t>8</w:t>
        </w:r>
      </w:fldSimple>
      <w:bookmarkEnd w:id="32"/>
      <w:r w:rsidRPr="00DD6692">
        <w:t xml:space="preserve">: Impact of </w:t>
      </w:r>
      <w:r w:rsidR="006A50F1" w:rsidRPr="00DD6692">
        <w:t>O</w:t>
      </w:r>
      <w:r w:rsidRPr="00DD6692">
        <w:t xml:space="preserve">verheads </w:t>
      </w:r>
      <w:r w:rsidR="006A50F1" w:rsidRPr="00DD6692">
        <w:t>on the Cost per Billable Hour of a DSW</w:t>
      </w:r>
    </w:p>
    <w:tbl>
      <w:tblPr>
        <w:tblStyle w:val="GridTable4-Accent4"/>
        <w:tblW w:w="5000" w:type="pct"/>
        <w:tblLook w:val="04A0" w:firstRow="1" w:lastRow="0" w:firstColumn="1" w:lastColumn="0" w:noHBand="0" w:noVBand="1"/>
        <w:tblDescription w:val="Table 3: Impact of Leave on the Cost per Worked Hour of a Permanent DSW"/>
      </w:tblPr>
      <w:tblGrid>
        <w:gridCol w:w="4455"/>
        <w:gridCol w:w="1140"/>
        <w:gridCol w:w="1140"/>
        <w:gridCol w:w="1141"/>
        <w:gridCol w:w="1140"/>
      </w:tblGrid>
      <w:tr w:rsidR="00716C16" w:rsidRPr="00DD6692" w:rsidTr="00996565">
        <w:trPr>
          <w:cnfStyle w:val="100000000000" w:firstRow="1" w:lastRow="0" w:firstColumn="0" w:lastColumn="0" w:oddVBand="0" w:evenVBand="0" w:oddHBand="0" w:evenHBand="0" w:firstRowFirstColumn="0" w:firstRowLastColumn="0" w:lastRowFirstColumn="0" w:lastRowLastColumn="0"/>
          <w:trHeight w:val="289"/>
          <w:tblHeader/>
        </w:trPr>
        <w:tc>
          <w:tcPr>
            <w:cnfStyle w:val="001000000000" w:firstRow="0" w:lastRow="0" w:firstColumn="1" w:lastColumn="0" w:oddVBand="0" w:evenVBand="0" w:oddHBand="0" w:evenHBand="0" w:firstRowFirstColumn="0" w:firstRowLastColumn="0" w:lastRowFirstColumn="0" w:lastRowLastColumn="0"/>
            <w:tcW w:w="2471" w:type="pct"/>
            <w:hideMark/>
          </w:tcPr>
          <w:p w:rsidR="00716C16" w:rsidRPr="00DD6692" w:rsidRDefault="00716C16" w:rsidP="00733273">
            <w:pPr>
              <w:spacing w:before="40" w:after="40" w:line="240" w:lineRule="atLeast"/>
              <w:rPr>
                <w:rFonts w:cstheme="minorHAnsi"/>
                <w:sz w:val="18"/>
                <w:szCs w:val="18"/>
              </w:rPr>
            </w:pPr>
          </w:p>
        </w:tc>
        <w:tc>
          <w:tcPr>
            <w:tcW w:w="632" w:type="pct"/>
            <w:hideMark/>
          </w:tcPr>
          <w:p w:rsidR="00716C16" w:rsidRPr="00DD6692" w:rsidRDefault="00716C16" w:rsidP="00733273">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DSW A</w:t>
            </w:r>
          </w:p>
        </w:tc>
        <w:tc>
          <w:tcPr>
            <w:tcW w:w="632" w:type="pct"/>
          </w:tcPr>
          <w:p w:rsidR="00716C16" w:rsidRPr="00DD6692" w:rsidRDefault="00716C16" w:rsidP="00733273">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lang w:eastAsia="en-AU"/>
              </w:rPr>
            </w:pPr>
            <w:r w:rsidRPr="00DD6692">
              <w:rPr>
                <w:rFonts w:cstheme="minorHAnsi"/>
                <w:sz w:val="18"/>
                <w:szCs w:val="18"/>
              </w:rPr>
              <w:t>DSW B</w:t>
            </w:r>
          </w:p>
        </w:tc>
        <w:tc>
          <w:tcPr>
            <w:tcW w:w="633" w:type="pct"/>
          </w:tcPr>
          <w:p w:rsidR="00716C16" w:rsidRPr="00DD6692" w:rsidRDefault="00716C16" w:rsidP="00733273">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DSW C</w:t>
            </w:r>
          </w:p>
        </w:tc>
        <w:tc>
          <w:tcPr>
            <w:tcW w:w="632" w:type="pct"/>
          </w:tcPr>
          <w:p w:rsidR="00716C16" w:rsidRPr="00DD6692" w:rsidRDefault="00716C16" w:rsidP="00733273">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DSW D</w:t>
            </w:r>
          </w:p>
        </w:tc>
      </w:tr>
      <w:tr w:rsidR="009B7E5A" w:rsidRPr="00DD6692"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71" w:type="pct"/>
            <w:hideMark/>
          </w:tcPr>
          <w:p w:rsidR="009B7E5A" w:rsidRPr="00DD6692" w:rsidRDefault="009B7E5A" w:rsidP="00733273">
            <w:pPr>
              <w:spacing w:before="40" w:after="40" w:line="240" w:lineRule="atLeast"/>
              <w:rPr>
                <w:rFonts w:cstheme="minorHAnsi"/>
                <w:sz w:val="18"/>
                <w:szCs w:val="18"/>
              </w:rPr>
            </w:pPr>
            <w:r w:rsidRPr="00DD6692">
              <w:rPr>
                <w:rFonts w:cstheme="minorHAnsi"/>
                <w:sz w:val="18"/>
                <w:szCs w:val="18"/>
              </w:rPr>
              <w:t>Cumulative cost per hour, before overheads</w:t>
            </w:r>
          </w:p>
        </w:tc>
        <w:tc>
          <w:tcPr>
            <w:tcW w:w="632" w:type="pct"/>
            <w:noWrap/>
            <w:vAlign w:val="center"/>
            <w:hideMark/>
          </w:tcPr>
          <w:p w:rsidR="009B7E5A" w:rsidRPr="00DD6692" w:rsidRDefault="009B7E5A" w:rsidP="00733273">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$49.98</w:t>
            </w:r>
          </w:p>
        </w:tc>
        <w:tc>
          <w:tcPr>
            <w:tcW w:w="632" w:type="pct"/>
            <w:vAlign w:val="center"/>
          </w:tcPr>
          <w:p w:rsidR="009B7E5A" w:rsidRPr="00DD6692" w:rsidRDefault="009B7E5A" w:rsidP="00733273">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$54.09</w:t>
            </w:r>
          </w:p>
        </w:tc>
        <w:tc>
          <w:tcPr>
            <w:tcW w:w="633" w:type="pct"/>
            <w:vAlign w:val="center"/>
          </w:tcPr>
          <w:p w:rsidR="009B7E5A" w:rsidRPr="00DD6692" w:rsidRDefault="009B7E5A" w:rsidP="00733273">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$56.98</w:t>
            </w:r>
          </w:p>
        </w:tc>
        <w:tc>
          <w:tcPr>
            <w:tcW w:w="632" w:type="pct"/>
            <w:vAlign w:val="center"/>
          </w:tcPr>
          <w:p w:rsidR="009B7E5A" w:rsidRPr="00DD6692" w:rsidRDefault="009B7E5A" w:rsidP="00733273">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$74.95</w:t>
            </w:r>
          </w:p>
        </w:tc>
      </w:tr>
      <w:tr w:rsidR="009B7E5A" w:rsidRPr="00DD6692" w:rsidTr="00996565">
        <w:trPr>
          <w:trHeight w:val="300"/>
        </w:trPr>
        <w:tc>
          <w:tcPr>
            <w:cnfStyle w:val="001000000000" w:firstRow="0" w:lastRow="0" w:firstColumn="1" w:lastColumn="0" w:oddVBand="0" w:evenVBand="0" w:oddHBand="0" w:evenHBand="0" w:firstRowFirstColumn="0" w:firstRowLastColumn="0" w:lastRowFirstColumn="0" w:lastRowLastColumn="0"/>
            <w:tcW w:w="2471" w:type="pct"/>
            <w:hideMark/>
          </w:tcPr>
          <w:p w:rsidR="009B7E5A" w:rsidRPr="00DD6692" w:rsidRDefault="009B7E5A" w:rsidP="00733273">
            <w:pPr>
              <w:spacing w:before="40" w:after="40" w:line="240" w:lineRule="atLeast"/>
              <w:rPr>
                <w:rFonts w:cstheme="minorHAnsi"/>
                <w:sz w:val="18"/>
                <w:szCs w:val="18"/>
              </w:rPr>
            </w:pPr>
            <w:r w:rsidRPr="00DD6692">
              <w:rPr>
                <w:rFonts w:cstheme="minorHAnsi"/>
                <w:sz w:val="18"/>
                <w:szCs w:val="18"/>
              </w:rPr>
              <w:t>Overhead</w:t>
            </w:r>
          </w:p>
        </w:tc>
        <w:tc>
          <w:tcPr>
            <w:tcW w:w="632" w:type="pct"/>
            <w:noWrap/>
          </w:tcPr>
          <w:p w:rsidR="009B7E5A" w:rsidRPr="00DD6692" w:rsidRDefault="009B7E5A" w:rsidP="00733273">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632" w:type="pct"/>
          </w:tcPr>
          <w:p w:rsidR="009B7E5A" w:rsidRPr="00DD6692" w:rsidRDefault="009B7E5A" w:rsidP="00733273">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633" w:type="pct"/>
          </w:tcPr>
          <w:p w:rsidR="009B7E5A" w:rsidRPr="00DD6692" w:rsidRDefault="009B7E5A" w:rsidP="00733273">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632" w:type="pct"/>
          </w:tcPr>
          <w:p w:rsidR="009B7E5A" w:rsidRPr="00DD6692" w:rsidRDefault="009B7E5A" w:rsidP="00733273">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9B7E5A" w:rsidRPr="00DD6692"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71" w:type="pct"/>
            <w:vAlign w:val="center"/>
          </w:tcPr>
          <w:p w:rsidR="009B7E5A" w:rsidRPr="00DD6692" w:rsidRDefault="009B7E5A" w:rsidP="00733273">
            <w:pPr>
              <w:spacing w:before="40" w:after="40" w:line="240" w:lineRule="atLeast"/>
              <w:ind w:left="593"/>
              <w:rPr>
                <w:rFonts w:cstheme="minorHAnsi"/>
                <w:sz w:val="18"/>
                <w:szCs w:val="18"/>
              </w:rPr>
            </w:pPr>
            <w:r w:rsidRPr="00DD6692">
              <w:rPr>
                <w:rFonts w:cstheme="minorHAnsi"/>
                <w:sz w:val="18"/>
                <w:szCs w:val="18"/>
              </w:rPr>
              <w:t>Overheads as a share of direct costs (%)</w:t>
            </w:r>
          </w:p>
        </w:tc>
        <w:tc>
          <w:tcPr>
            <w:tcW w:w="632" w:type="pct"/>
            <w:noWrap/>
            <w:vAlign w:val="center"/>
          </w:tcPr>
          <w:p w:rsidR="009B7E5A" w:rsidRPr="00DD6692" w:rsidRDefault="009B7E5A" w:rsidP="00733273">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12.0%</w:t>
            </w:r>
          </w:p>
        </w:tc>
        <w:tc>
          <w:tcPr>
            <w:tcW w:w="632" w:type="pct"/>
            <w:vAlign w:val="center"/>
          </w:tcPr>
          <w:p w:rsidR="009B7E5A" w:rsidRPr="00DD6692" w:rsidRDefault="009B7E5A" w:rsidP="00733273">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12.0%</w:t>
            </w:r>
          </w:p>
        </w:tc>
        <w:tc>
          <w:tcPr>
            <w:tcW w:w="633" w:type="pct"/>
            <w:vAlign w:val="center"/>
          </w:tcPr>
          <w:p w:rsidR="009B7E5A" w:rsidRPr="00DD6692" w:rsidRDefault="009B7E5A" w:rsidP="00733273">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12.0%</w:t>
            </w:r>
          </w:p>
        </w:tc>
        <w:tc>
          <w:tcPr>
            <w:tcW w:w="632" w:type="pct"/>
            <w:vAlign w:val="center"/>
          </w:tcPr>
          <w:p w:rsidR="009B7E5A" w:rsidRPr="00DD6692" w:rsidRDefault="009B7E5A" w:rsidP="00733273">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12.0%</w:t>
            </w:r>
          </w:p>
        </w:tc>
      </w:tr>
      <w:tr w:rsidR="00C02A97" w:rsidRPr="00DD6692" w:rsidTr="00C02A97">
        <w:trPr>
          <w:trHeight w:val="300"/>
        </w:trPr>
        <w:tc>
          <w:tcPr>
            <w:cnfStyle w:val="001000000000" w:firstRow="0" w:lastRow="0" w:firstColumn="1" w:lastColumn="0" w:oddVBand="0" w:evenVBand="0" w:oddHBand="0" w:evenHBand="0" w:firstRowFirstColumn="0" w:firstRowLastColumn="0" w:lastRowFirstColumn="0" w:lastRowLastColumn="0"/>
            <w:tcW w:w="2471" w:type="pct"/>
            <w:vAlign w:val="center"/>
          </w:tcPr>
          <w:p w:rsidR="00C02A97" w:rsidRPr="00DD6692" w:rsidRDefault="00C02A97" w:rsidP="00C02A97">
            <w:pPr>
              <w:pStyle w:val="ListParagraph"/>
              <w:numPr>
                <w:ilvl w:val="0"/>
                <w:numId w:val="0"/>
              </w:numPr>
              <w:spacing w:before="40" w:after="40" w:line="240" w:lineRule="atLeast"/>
              <w:ind w:left="881"/>
              <w:rPr>
                <w:rFonts w:cstheme="minorHAnsi"/>
                <w:sz w:val="18"/>
                <w:szCs w:val="18"/>
              </w:rPr>
            </w:pPr>
            <w:r w:rsidRPr="00DD6692">
              <w:rPr>
                <w:rFonts w:cstheme="minorHAnsi"/>
                <w:b w:val="0"/>
                <w:sz w:val="18"/>
                <w:szCs w:val="18"/>
              </w:rPr>
              <w:t>COVID Adjustment for SIL and Groups</w:t>
            </w:r>
          </w:p>
        </w:tc>
        <w:tc>
          <w:tcPr>
            <w:tcW w:w="632" w:type="pct"/>
            <w:noWrap/>
            <w:vAlign w:val="center"/>
          </w:tcPr>
          <w:p w:rsidR="00C02A97" w:rsidRPr="00DD6692" w:rsidRDefault="00C02A97" w:rsidP="00C02A97">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+0.40%</w:t>
            </w:r>
          </w:p>
        </w:tc>
        <w:tc>
          <w:tcPr>
            <w:tcW w:w="632" w:type="pct"/>
            <w:vAlign w:val="center"/>
          </w:tcPr>
          <w:p w:rsidR="00C02A97" w:rsidRPr="00DD6692" w:rsidRDefault="00C02A97" w:rsidP="00C02A97">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+0.40%</w:t>
            </w:r>
          </w:p>
        </w:tc>
        <w:tc>
          <w:tcPr>
            <w:tcW w:w="633" w:type="pct"/>
            <w:vAlign w:val="center"/>
          </w:tcPr>
          <w:p w:rsidR="00C02A97" w:rsidRPr="00DD6692" w:rsidRDefault="00C02A97" w:rsidP="00C02A97">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+0.40%</w:t>
            </w:r>
          </w:p>
        </w:tc>
        <w:tc>
          <w:tcPr>
            <w:tcW w:w="632" w:type="pct"/>
          </w:tcPr>
          <w:p w:rsidR="00C02A97" w:rsidRPr="00DD6692" w:rsidRDefault="00117BFB" w:rsidP="00C02A97">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w:t>
            </w:r>
          </w:p>
        </w:tc>
      </w:tr>
      <w:tr w:rsidR="00C02A97" w:rsidRPr="00DD6692" w:rsidTr="00C02A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71" w:type="pct"/>
            <w:vAlign w:val="center"/>
          </w:tcPr>
          <w:p w:rsidR="00C02A97" w:rsidRPr="00DD6692" w:rsidRDefault="00C02A97" w:rsidP="00C02A97">
            <w:pPr>
              <w:pStyle w:val="ListParagraph"/>
              <w:numPr>
                <w:ilvl w:val="0"/>
                <w:numId w:val="0"/>
              </w:numPr>
              <w:spacing w:before="40" w:after="40" w:line="240" w:lineRule="atLeast"/>
              <w:ind w:left="881"/>
              <w:rPr>
                <w:rFonts w:cstheme="minorHAnsi"/>
                <w:b w:val="0"/>
                <w:sz w:val="18"/>
                <w:szCs w:val="18"/>
              </w:rPr>
            </w:pPr>
            <w:r w:rsidRPr="00DD6692">
              <w:rPr>
                <w:rFonts w:cstheme="minorHAnsi"/>
                <w:b w:val="0"/>
                <w:sz w:val="18"/>
                <w:szCs w:val="18"/>
              </w:rPr>
              <w:t>COVID Adjustment for Other Core</w:t>
            </w:r>
          </w:p>
        </w:tc>
        <w:tc>
          <w:tcPr>
            <w:tcW w:w="632" w:type="pct"/>
            <w:noWrap/>
            <w:vAlign w:val="center"/>
          </w:tcPr>
          <w:p w:rsidR="00C02A97" w:rsidRPr="00DD6692" w:rsidRDefault="00C02A97" w:rsidP="00C02A97">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+0.25%</w:t>
            </w:r>
          </w:p>
        </w:tc>
        <w:tc>
          <w:tcPr>
            <w:tcW w:w="632" w:type="pct"/>
            <w:vAlign w:val="center"/>
          </w:tcPr>
          <w:p w:rsidR="00C02A97" w:rsidRPr="00DD6692" w:rsidRDefault="00C02A97" w:rsidP="00C02A97">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+0.25%</w:t>
            </w:r>
          </w:p>
        </w:tc>
        <w:tc>
          <w:tcPr>
            <w:tcW w:w="633" w:type="pct"/>
            <w:vAlign w:val="center"/>
          </w:tcPr>
          <w:p w:rsidR="00C02A97" w:rsidRPr="00DD6692" w:rsidRDefault="00C02A97" w:rsidP="00C02A97">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+0.25%</w:t>
            </w:r>
          </w:p>
        </w:tc>
        <w:tc>
          <w:tcPr>
            <w:tcW w:w="632" w:type="pct"/>
          </w:tcPr>
          <w:p w:rsidR="00C02A97" w:rsidRPr="00DD6692" w:rsidRDefault="00632495" w:rsidP="00C02A97">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w:t>
            </w:r>
          </w:p>
        </w:tc>
      </w:tr>
      <w:tr w:rsidR="000839DB" w:rsidRPr="00DD6692" w:rsidTr="00996565">
        <w:trPr>
          <w:trHeight w:val="300"/>
        </w:trPr>
        <w:tc>
          <w:tcPr>
            <w:cnfStyle w:val="001000000000" w:firstRow="0" w:lastRow="0" w:firstColumn="1" w:lastColumn="0" w:oddVBand="0" w:evenVBand="0" w:oddHBand="0" w:evenHBand="0" w:firstRowFirstColumn="0" w:firstRowLastColumn="0" w:lastRowFirstColumn="0" w:lastRowLastColumn="0"/>
            <w:tcW w:w="2471" w:type="pct"/>
            <w:vAlign w:val="center"/>
          </w:tcPr>
          <w:p w:rsidR="000839DB" w:rsidRPr="00DD6692" w:rsidRDefault="000839DB" w:rsidP="00733273">
            <w:pPr>
              <w:spacing w:before="40" w:after="40" w:line="240" w:lineRule="atLeast"/>
              <w:ind w:left="593"/>
              <w:rPr>
                <w:rFonts w:cstheme="minorHAnsi"/>
                <w:b w:val="0"/>
                <w:sz w:val="18"/>
                <w:szCs w:val="18"/>
              </w:rPr>
            </w:pPr>
            <w:r w:rsidRPr="00DD6692">
              <w:rPr>
                <w:rFonts w:cstheme="minorHAnsi"/>
                <w:b w:val="0"/>
                <w:sz w:val="18"/>
                <w:szCs w:val="18"/>
              </w:rPr>
              <w:t>Cost of overheads ($)</w:t>
            </w:r>
          </w:p>
        </w:tc>
        <w:tc>
          <w:tcPr>
            <w:tcW w:w="632" w:type="pct"/>
            <w:noWrap/>
            <w:vAlign w:val="center"/>
          </w:tcPr>
          <w:p w:rsidR="000839DB" w:rsidRPr="00DD6692" w:rsidRDefault="000839DB" w:rsidP="00733273">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632" w:type="pct"/>
            <w:vAlign w:val="center"/>
          </w:tcPr>
          <w:p w:rsidR="000839DB" w:rsidRPr="00DD6692" w:rsidRDefault="000839DB" w:rsidP="00733273">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633" w:type="pct"/>
            <w:vAlign w:val="center"/>
          </w:tcPr>
          <w:p w:rsidR="000839DB" w:rsidRPr="00DD6692" w:rsidRDefault="000839DB" w:rsidP="00733273">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632" w:type="pct"/>
            <w:vAlign w:val="center"/>
          </w:tcPr>
          <w:p w:rsidR="000839DB" w:rsidRPr="00DD6692" w:rsidRDefault="000839DB" w:rsidP="00117BFB">
            <w:pPr>
              <w:spacing w:before="40" w:after="40" w:line="240" w:lineRule="atLeast"/>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0839DB" w:rsidRPr="00DD6692"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71" w:type="pct"/>
            <w:vAlign w:val="center"/>
          </w:tcPr>
          <w:p w:rsidR="000839DB" w:rsidRPr="00DD6692" w:rsidRDefault="000839DB" w:rsidP="00733273">
            <w:pPr>
              <w:pStyle w:val="ListParagraph"/>
              <w:numPr>
                <w:ilvl w:val="0"/>
                <w:numId w:val="0"/>
              </w:numPr>
              <w:spacing w:before="40" w:after="40" w:line="240" w:lineRule="atLeast"/>
              <w:ind w:left="881"/>
              <w:rPr>
                <w:rFonts w:cstheme="minorHAnsi"/>
                <w:b w:val="0"/>
                <w:sz w:val="18"/>
                <w:szCs w:val="18"/>
              </w:rPr>
            </w:pPr>
            <w:r w:rsidRPr="00DD6692">
              <w:rPr>
                <w:rFonts w:cstheme="minorHAnsi"/>
                <w:b w:val="0"/>
                <w:sz w:val="18"/>
                <w:szCs w:val="18"/>
              </w:rPr>
              <w:t>SIL and Group Supports</w:t>
            </w:r>
          </w:p>
        </w:tc>
        <w:tc>
          <w:tcPr>
            <w:tcW w:w="632" w:type="pct"/>
            <w:noWrap/>
            <w:vAlign w:val="center"/>
          </w:tcPr>
          <w:p w:rsidR="000839DB" w:rsidRPr="00DD6692" w:rsidRDefault="000839DB" w:rsidP="00733273">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$6.20</w:t>
            </w:r>
          </w:p>
        </w:tc>
        <w:tc>
          <w:tcPr>
            <w:tcW w:w="632" w:type="pct"/>
            <w:vAlign w:val="center"/>
          </w:tcPr>
          <w:p w:rsidR="000839DB" w:rsidRPr="00DD6692" w:rsidRDefault="000839DB" w:rsidP="00733273">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$6.71</w:t>
            </w:r>
          </w:p>
        </w:tc>
        <w:tc>
          <w:tcPr>
            <w:tcW w:w="633" w:type="pct"/>
            <w:vAlign w:val="center"/>
          </w:tcPr>
          <w:p w:rsidR="000839DB" w:rsidRPr="00DD6692" w:rsidRDefault="000839DB" w:rsidP="00733273">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$7.06</w:t>
            </w:r>
          </w:p>
        </w:tc>
        <w:tc>
          <w:tcPr>
            <w:tcW w:w="632" w:type="pct"/>
            <w:vAlign w:val="center"/>
          </w:tcPr>
          <w:p w:rsidR="000839DB" w:rsidRPr="00DD6692" w:rsidRDefault="00632495" w:rsidP="00733273">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w:t>
            </w:r>
          </w:p>
        </w:tc>
      </w:tr>
      <w:tr w:rsidR="000839DB" w:rsidRPr="00DD6692" w:rsidTr="00996565">
        <w:trPr>
          <w:trHeight w:val="300"/>
        </w:trPr>
        <w:tc>
          <w:tcPr>
            <w:cnfStyle w:val="001000000000" w:firstRow="0" w:lastRow="0" w:firstColumn="1" w:lastColumn="0" w:oddVBand="0" w:evenVBand="0" w:oddHBand="0" w:evenHBand="0" w:firstRowFirstColumn="0" w:firstRowLastColumn="0" w:lastRowFirstColumn="0" w:lastRowLastColumn="0"/>
            <w:tcW w:w="2471" w:type="pct"/>
            <w:vAlign w:val="center"/>
          </w:tcPr>
          <w:p w:rsidR="000839DB" w:rsidRPr="00DD6692" w:rsidRDefault="000839DB" w:rsidP="00733273">
            <w:pPr>
              <w:pStyle w:val="ListParagraph"/>
              <w:numPr>
                <w:ilvl w:val="0"/>
                <w:numId w:val="0"/>
              </w:numPr>
              <w:spacing w:before="40" w:after="40" w:line="240" w:lineRule="atLeast"/>
              <w:ind w:left="881"/>
              <w:rPr>
                <w:rFonts w:cstheme="minorHAnsi"/>
                <w:b w:val="0"/>
                <w:sz w:val="18"/>
                <w:szCs w:val="18"/>
              </w:rPr>
            </w:pPr>
            <w:r w:rsidRPr="00DD6692">
              <w:rPr>
                <w:rFonts w:cstheme="minorHAnsi"/>
                <w:b w:val="0"/>
                <w:sz w:val="18"/>
                <w:szCs w:val="18"/>
              </w:rPr>
              <w:t>Other Core Supports</w:t>
            </w:r>
          </w:p>
        </w:tc>
        <w:tc>
          <w:tcPr>
            <w:tcW w:w="632" w:type="pct"/>
            <w:noWrap/>
            <w:vAlign w:val="center"/>
          </w:tcPr>
          <w:p w:rsidR="000839DB" w:rsidRPr="00DD6692" w:rsidRDefault="000839DB" w:rsidP="00733273">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$6.12</w:t>
            </w:r>
          </w:p>
        </w:tc>
        <w:tc>
          <w:tcPr>
            <w:tcW w:w="632" w:type="pct"/>
            <w:vAlign w:val="center"/>
          </w:tcPr>
          <w:p w:rsidR="000839DB" w:rsidRPr="00DD6692" w:rsidRDefault="000839DB" w:rsidP="00733273">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$6.63</w:t>
            </w:r>
          </w:p>
        </w:tc>
        <w:tc>
          <w:tcPr>
            <w:tcW w:w="633" w:type="pct"/>
            <w:vAlign w:val="center"/>
          </w:tcPr>
          <w:p w:rsidR="000839DB" w:rsidRPr="00DD6692" w:rsidRDefault="000839DB" w:rsidP="00733273">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$6.99</w:t>
            </w:r>
          </w:p>
        </w:tc>
        <w:tc>
          <w:tcPr>
            <w:tcW w:w="632" w:type="pct"/>
            <w:vAlign w:val="center"/>
          </w:tcPr>
          <w:p w:rsidR="000839DB" w:rsidRPr="00DD6692" w:rsidRDefault="00632495" w:rsidP="00733273">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w:t>
            </w:r>
          </w:p>
        </w:tc>
      </w:tr>
      <w:tr w:rsidR="000839DB" w:rsidRPr="00DD6692"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71" w:type="pct"/>
            <w:vAlign w:val="center"/>
          </w:tcPr>
          <w:p w:rsidR="000839DB" w:rsidRPr="00DD6692" w:rsidRDefault="000839DB" w:rsidP="00733273">
            <w:pPr>
              <w:pStyle w:val="ListParagraph"/>
              <w:numPr>
                <w:ilvl w:val="0"/>
                <w:numId w:val="0"/>
              </w:numPr>
              <w:spacing w:before="40" w:after="40" w:line="240" w:lineRule="atLeast"/>
              <w:ind w:left="881"/>
              <w:rPr>
                <w:rFonts w:cstheme="minorHAnsi"/>
                <w:sz w:val="18"/>
                <w:szCs w:val="18"/>
              </w:rPr>
            </w:pPr>
            <w:r w:rsidRPr="00DD6692">
              <w:rPr>
                <w:rFonts w:cstheme="minorHAnsi"/>
                <w:b w:val="0"/>
                <w:sz w:val="18"/>
                <w:szCs w:val="18"/>
              </w:rPr>
              <w:t>Without COVID Adjustment</w:t>
            </w:r>
          </w:p>
        </w:tc>
        <w:tc>
          <w:tcPr>
            <w:tcW w:w="632" w:type="pct"/>
            <w:noWrap/>
            <w:vAlign w:val="center"/>
          </w:tcPr>
          <w:p w:rsidR="000839DB" w:rsidRPr="00DD6692" w:rsidRDefault="000839DB" w:rsidP="00733273">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sz w:val="18"/>
                <w:szCs w:val="18"/>
              </w:rPr>
              <w:t>$6.00</w:t>
            </w:r>
          </w:p>
        </w:tc>
        <w:tc>
          <w:tcPr>
            <w:tcW w:w="632" w:type="pct"/>
            <w:vAlign w:val="center"/>
          </w:tcPr>
          <w:p w:rsidR="000839DB" w:rsidRPr="00DD6692" w:rsidRDefault="000839DB" w:rsidP="00733273">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sz w:val="18"/>
                <w:szCs w:val="18"/>
              </w:rPr>
              <w:t>$6.49</w:t>
            </w:r>
          </w:p>
        </w:tc>
        <w:tc>
          <w:tcPr>
            <w:tcW w:w="633" w:type="pct"/>
            <w:vAlign w:val="center"/>
          </w:tcPr>
          <w:p w:rsidR="000839DB" w:rsidRPr="00DD6692" w:rsidRDefault="000839DB" w:rsidP="00733273">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sz w:val="18"/>
                <w:szCs w:val="18"/>
              </w:rPr>
              <w:t>$6.84</w:t>
            </w:r>
          </w:p>
        </w:tc>
        <w:tc>
          <w:tcPr>
            <w:tcW w:w="632" w:type="pct"/>
            <w:vAlign w:val="center"/>
          </w:tcPr>
          <w:p w:rsidR="000839DB" w:rsidRPr="00DD6692" w:rsidRDefault="000839DB" w:rsidP="00733273">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sz w:val="18"/>
                <w:szCs w:val="18"/>
              </w:rPr>
              <w:t>$8.99</w:t>
            </w:r>
          </w:p>
        </w:tc>
      </w:tr>
      <w:tr w:rsidR="000839DB" w:rsidRPr="00DD6692" w:rsidTr="00996565">
        <w:trPr>
          <w:trHeight w:val="300"/>
        </w:trPr>
        <w:tc>
          <w:tcPr>
            <w:cnfStyle w:val="001000000000" w:firstRow="0" w:lastRow="0" w:firstColumn="1" w:lastColumn="0" w:oddVBand="0" w:evenVBand="0" w:oddHBand="0" w:evenHBand="0" w:firstRowFirstColumn="0" w:firstRowLastColumn="0" w:lastRowFirstColumn="0" w:lastRowLastColumn="0"/>
            <w:tcW w:w="2471" w:type="pct"/>
            <w:vAlign w:val="center"/>
          </w:tcPr>
          <w:p w:rsidR="000839DB" w:rsidRPr="00DD6692" w:rsidRDefault="000839DB" w:rsidP="00733273">
            <w:pPr>
              <w:spacing w:before="40" w:after="40" w:line="240" w:lineRule="atLeast"/>
              <w:rPr>
                <w:rFonts w:cstheme="minorHAnsi"/>
                <w:sz w:val="18"/>
                <w:szCs w:val="18"/>
              </w:rPr>
            </w:pPr>
            <w:r w:rsidRPr="00DD6692">
              <w:rPr>
                <w:rFonts w:cstheme="minorHAnsi"/>
                <w:sz w:val="18"/>
                <w:szCs w:val="18"/>
              </w:rPr>
              <w:t>Cumulative cost per hour, after overheads</w:t>
            </w:r>
          </w:p>
        </w:tc>
        <w:tc>
          <w:tcPr>
            <w:tcW w:w="632" w:type="pct"/>
            <w:noWrap/>
            <w:vAlign w:val="center"/>
          </w:tcPr>
          <w:p w:rsidR="000839DB" w:rsidRPr="00DD6692" w:rsidRDefault="000839DB" w:rsidP="00733273">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p>
        </w:tc>
        <w:tc>
          <w:tcPr>
            <w:tcW w:w="632" w:type="pct"/>
            <w:vAlign w:val="center"/>
          </w:tcPr>
          <w:p w:rsidR="000839DB" w:rsidRPr="00DD6692" w:rsidRDefault="000839DB" w:rsidP="00733273">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p>
        </w:tc>
        <w:tc>
          <w:tcPr>
            <w:tcW w:w="633" w:type="pct"/>
            <w:vAlign w:val="center"/>
          </w:tcPr>
          <w:p w:rsidR="000839DB" w:rsidRPr="00DD6692" w:rsidRDefault="000839DB" w:rsidP="00733273">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p>
        </w:tc>
        <w:tc>
          <w:tcPr>
            <w:tcW w:w="632" w:type="pct"/>
            <w:vAlign w:val="center"/>
          </w:tcPr>
          <w:p w:rsidR="000839DB" w:rsidRPr="00DD6692" w:rsidRDefault="000839DB" w:rsidP="00733273">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p>
        </w:tc>
      </w:tr>
      <w:tr w:rsidR="00D3202D" w:rsidRPr="00DD6692" w:rsidTr="003E02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71" w:type="pct"/>
            <w:vAlign w:val="center"/>
          </w:tcPr>
          <w:p w:rsidR="00D3202D" w:rsidRPr="00DD6692" w:rsidRDefault="00D3202D" w:rsidP="00D3202D">
            <w:pPr>
              <w:pStyle w:val="ListParagraph"/>
              <w:numPr>
                <w:ilvl w:val="0"/>
                <w:numId w:val="0"/>
              </w:numPr>
              <w:spacing w:before="40" w:after="40" w:line="240" w:lineRule="atLeast"/>
              <w:ind w:left="881"/>
              <w:rPr>
                <w:rFonts w:cstheme="minorHAnsi"/>
                <w:b w:val="0"/>
                <w:sz w:val="18"/>
                <w:szCs w:val="18"/>
              </w:rPr>
            </w:pPr>
            <w:r w:rsidRPr="00DD6692">
              <w:rPr>
                <w:rFonts w:cstheme="minorHAnsi"/>
                <w:b w:val="0"/>
                <w:sz w:val="18"/>
                <w:szCs w:val="18"/>
              </w:rPr>
              <w:t>SIL and Group Supports</w:t>
            </w:r>
          </w:p>
        </w:tc>
        <w:tc>
          <w:tcPr>
            <w:tcW w:w="632" w:type="pct"/>
            <w:noWrap/>
          </w:tcPr>
          <w:p w:rsidR="00D3202D" w:rsidRPr="00DD6692" w:rsidRDefault="00D3202D" w:rsidP="00D3202D">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 xml:space="preserve"> $56.18 </w:t>
            </w:r>
          </w:p>
        </w:tc>
        <w:tc>
          <w:tcPr>
            <w:tcW w:w="632" w:type="pct"/>
          </w:tcPr>
          <w:p w:rsidR="00D3202D" w:rsidRPr="00DD6692" w:rsidRDefault="00D3202D" w:rsidP="00D3202D">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 xml:space="preserve"> $60.79 </w:t>
            </w:r>
          </w:p>
        </w:tc>
        <w:tc>
          <w:tcPr>
            <w:tcW w:w="633" w:type="pct"/>
          </w:tcPr>
          <w:p w:rsidR="00D3202D" w:rsidRPr="00DD6692" w:rsidRDefault="00D3202D" w:rsidP="00D3202D">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 xml:space="preserve"> $64.04 </w:t>
            </w:r>
          </w:p>
        </w:tc>
        <w:tc>
          <w:tcPr>
            <w:tcW w:w="632" w:type="pct"/>
          </w:tcPr>
          <w:p w:rsidR="00D3202D" w:rsidRPr="00DD6692" w:rsidRDefault="00632495" w:rsidP="00D3202D">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w:t>
            </w:r>
          </w:p>
        </w:tc>
      </w:tr>
      <w:tr w:rsidR="00D3202D" w:rsidRPr="00DD6692" w:rsidTr="003E0214">
        <w:trPr>
          <w:trHeight w:val="300"/>
        </w:trPr>
        <w:tc>
          <w:tcPr>
            <w:cnfStyle w:val="001000000000" w:firstRow="0" w:lastRow="0" w:firstColumn="1" w:lastColumn="0" w:oddVBand="0" w:evenVBand="0" w:oddHBand="0" w:evenHBand="0" w:firstRowFirstColumn="0" w:firstRowLastColumn="0" w:lastRowFirstColumn="0" w:lastRowLastColumn="0"/>
            <w:tcW w:w="2471" w:type="pct"/>
            <w:vAlign w:val="center"/>
          </w:tcPr>
          <w:p w:rsidR="00D3202D" w:rsidRPr="00DD6692" w:rsidRDefault="00D3202D" w:rsidP="00D3202D">
            <w:pPr>
              <w:pStyle w:val="ListParagraph"/>
              <w:numPr>
                <w:ilvl w:val="0"/>
                <w:numId w:val="0"/>
              </w:numPr>
              <w:spacing w:before="40" w:after="40" w:line="240" w:lineRule="atLeast"/>
              <w:ind w:left="881"/>
              <w:rPr>
                <w:rFonts w:cstheme="minorHAnsi"/>
                <w:b w:val="0"/>
                <w:sz w:val="18"/>
                <w:szCs w:val="18"/>
              </w:rPr>
            </w:pPr>
            <w:r w:rsidRPr="00DD6692">
              <w:rPr>
                <w:rFonts w:cstheme="minorHAnsi"/>
                <w:b w:val="0"/>
                <w:sz w:val="18"/>
                <w:szCs w:val="18"/>
              </w:rPr>
              <w:t>Other Core Supports</w:t>
            </w:r>
          </w:p>
        </w:tc>
        <w:tc>
          <w:tcPr>
            <w:tcW w:w="632" w:type="pct"/>
            <w:noWrap/>
          </w:tcPr>
          <w:p w:rsidR="00D3202D" w:rsidRPr="00DD6692" w:rsidRDefault="00D3202D" w:rsidP="00D3202D">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 xml:space="preserve"> $56.10 </w:t>
            </w:r>
          </w:p>
        </w:tc>
        <w:tc>
          <w:tcPr>
            <w:tcW w:w="632" w:type="pct"/>
          </w:tcPr>
          <w:p w:rsidR="00D3202D" w:rsidRPr="00DD6692" w:rsidRDefault="00D3202D" w:rsidP="00D3202D">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 xml:space="preserve"> $60.71 </w:t>
            </w:r>
          </w:p>
        </w:tc>
        <w:tc>
          <w:tcPr>
            <w:tcW w:w="633" w:type="pct"/>
          </w:tcPr>
          <w:p w:rsidR="00D3202D" w:rsidRPr="00DD6692" w:rsidRDefault="00D3202D" w:rsidP="00D3202D">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 xml:space="preserve"> $63.95 </w:t>
            </w:r>
          </w:p>
        </w:tc>
        <w:tc>
          <w:tcPr>
            <w:tcW w:w="632" w:type="pct"/>
          </w:tcPr>
          <w:p w:rsidR="00D3202D" w:rsidRPr="00DD6692" w:rsidRDefault="00632495" w:rsidP="00D3202D">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w:t>
            </w:r>
          </w:p>
        </w:tc>
      </w:tr>
      <w:tr w:rsidR="00D3202D" w:rsidRPr="00DD6692" w:rsidTr="003E02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71" w:type="pct"/>
            <w:vAlign w:val="center"/>
          </w:tcPr>
          <w:p w:rsidR="00D3202D" w:rsidRPr="00DD6692" w:rsidRDefault="00D3202D" w:rsidP="00D3202D">
            <w:pPr>
              <w:pStyle w:val="ListParagraph"/>
              <w:numPr>
                <w:ilvl w:val="0"/>
                <w:numId w:val="0"/>
              </w:numPr>
              <w:spacing w:before="40" w:after="40" w:line="240" w:lineRule="atLeast"/>
              <w:ind w:left="881"/>
              <w:rPr>
                <w:rFonts w:cstheme="minorHAnsi"/>
                <w:sz w:val="18"/>
                <w:szCs w:val="18"/>
              </w:rPr>
            </w:pPr>
            <w:r w:rsidRPr="00DD6692">
              <w:rPr>
                <w:rFonts w:cstheme="minorHAnsi"/>
                <w:b w:val="0"/>
                <w:sz w:val="18"/>
                <w:szCs w:val="18"/>
              </w:rPr>
              <w:t>Without COVID Adjustment</w:t>
            </w:r>
          </w:p>
        </w:tc>
        <w:tc>
          <w:tcPr>
            <w:tcW w:w="632" w:type="pct"/>
            <w:noWrap/>
          </w:tcPr>
          <w:p w:rsidR="00D3202D" w:rsidRPr="00DD6692" w:rsidRDefault="00D3202D" w:rsidP="00D3202D">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 xml:space="preserve"> $55.98 </w:t>
            </w:r>
          </w:p>
        </w:tc>
        <w:tc>
          <w:tcPr>
            <w:tcW w:w="632" w:type="pct"/>
          </w:tcPr>
          <w:p w:rsidR="00D3202D" w:rsidRPr="00DD6692" w:rsidRDefault="00D3202D" w:rsidP="00D3202D">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 xml:space="preserve"> $60.58 </w:t>
            </w:r>
          </w:p>
        </w:tc>
        <w:tc>
          <w:tcPr>
            <w:tcW w:w="633" w:type="pct"/>
          </w:tcPr>
          <w:p w:rsidR="00D3202D" w:rsidRPr="00DD6692" w:rsidRDefault="00D3202D" w:rsidP="00D3202D">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 xml:space="preserve"> $63.81 </w:t>
            </w:r>
          </w:p>
        </w:tc>
        <w:tc>
          <w:tcPr>
            <w:tcW w:w="632" w:type="pct"/>
          </w:tcPr>
          <w:p w:rsidR="00D3202D" w:rsidRPr="00DD6692" w:rsidRDefault="00D3202D" w:rsidP="00D3202D">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 xml:space="preserve"> $83.94 </w:t>
            </w:r>
          </w:p>
        </w:tc>
      </w:tr>
      <w:tr w:rsidR="000839DB" w:rsidRPr="00DD6692" w:rsidTr="00996565">
        <w:trPr>
          <w:trHeight w:val="300"/>
        </w:trPr>
        <w:tc>
          <w:tcPr>
            <w:cnfStyle w:val="001000000000" w:firstRow="0" w:lastRow="0" w:firstColumn="1" w:lastColumn="0" w:oddVBand="0" w:evenVBand="0" w:oddHBand="0" w:evenHBand="0" w:firstRowFirstColumn="0" w:firstRowLastColumn="0" w:lastRowFirstColumn="0" w:lastRowLastColumn="0"/>
            <w:tcW w:w="2471" w:type="pct"/>
            <w:vAlign w:val="center"/>
          </w:tcPr>
          <w:p w:rsidR="000839DB" w:rsidRPr="00DD6692" w:rsidRDefault="000839DB" w:rsidP="00733273">
            <w:pPr>
              <w:spacing w:before="40" w:after="40" w:line="240" w:lineRule="atLeast"/>
              <w:rPr>
                <w:rFonts w:cstheme="minorHAnsi"/>
                <w:b w:val="0"/>
                <w:sz w:val="18"/>
                <w:szCs w:val="18"/>
              </w:rPr>
            </w:pPr>
            <w:r w:rsidRPr="00DD6692">
              <w:rPr>
                <w:rFonts w:cstheme="minorHAnsi"/>
                <w:b w:val="0"/>
                <w:sz w:val="18"/>
                <w:szCs w:val="18"/>
              </w:rPr>
              <w:t>Cumulative increase from standard hourly rate</w:t>
            </w:r>
          </w:p>
        </w:tc>
        <w:tc>
          <w:tcPr>
            <w:tcW w:w="632" w:type="pct"/>
            <w:noWrap/>
            <w:vAlign w:val="center"/>
          </w:tcPr>
          <w:p w:rsidR="000839DB" w:rsidRPr="00DD6692" w:rsidRDefault="000839DB" w:rsidP="00733273">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632" w:type="pct"/>
            <w:vAlign w:val="center"/>
          </w:tcPr>
          <w:p w:rsidR="000839DB" w:rsidRPr="00DD6692" w:rsidRDefault="000839DB" w:rsidP="00733273">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633" w:type="pct"/>
            <w:vAlign w:val="center"/>
          </w:tcPr>
          <w:p w:rsidR="000839DB" w:rsidRPr="00DD6692" w:rsidRDefault="000839DB" w:rsidP="00733273">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632" w:type="pct"/>
            <w:vAlign w:val="center"/>
          </w:tcPr>
          <w:p w:rsidR="000839DB" w:rsidRPr="00DD6692" w:rsidRDefault="000839DB" w:rsidP="00733273">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D3202D" w:rsidRPr="00DD6692" w:rsidTr="003E02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71" w:type="pct"/>
            <w:vAlign w:val="center"/>
          </w:tcPr>
          <w:p w:rsidR="00D3202D" w:rsidRPr="00DD6692" w:rsidRDefault="00D3202D" w:rsidP="00D3202D">
            <w:pPr>
              <w:pStyle w:val="ListParagraph"/>
              <w:numPr>
                <w:ilvl w:val="0"/>
                <w:numId w:val="0"/>
              </w:numPr>
              <w:spacing w:before="40" w:after="40" w:line="240" w:lineRule="atLeast"/>
              <w:ind w:left="881"/>
              <w:rPr>
                <w:rFonts w:cstheme="minorHAnsi"/>
                <w:b w:val="0"/>
                <w:sz w:val="18"/>
                <w:szCs w:val="18"/>
              </w:rPr>
            </w:pPr>
            <w:r w:rsidRPr="00DD6692">
              <w:rPr>
                <w:rFonts w:cstheme="minorHAnsi"/>
                <w:b w:val="0"/>
                <w:sz w:val="18"/>
                <w:szCs w:val="18"/>
              </w:rPr>
              <w:t>SIL and Group Supports</w:t>
            </w:r>
          </w:p>
        </w:tc>
        <w:tc>
          <w:tcPr>
            <w:tcW w:w="632" w:type="pct"/>
            <w:noWrap/>
          </w:tcPr>
          <w:p w:rsidR="00D3202D" w:rsidRPr="00DD6692" w:rsidRDefault="00BD5D67" w:rsidP="00D3202D">
            <w:pPr>
              <w:jc w:val="center"/>
              <w:cnfStyle w:val="000000100000" w:firstRow="0" w:lastRow="0" w:firstColumn="0" w:lastColumn="0" w:oddVBand="0" w:evenVBand="0" w:oddHBand="1" w:evenHBand="0" w:firstRowFirstColumn="0" w:firstRowLastColumn="0" w:lastRowFirstColumn="0" w:lastRowLastColumn="0"/>
              <w:rPr>
                <w:sz w:val="18"/>
              </w:rPr>
            </w:pPr>
            <w:r w:rsidRPr="00DD6692">
              <w:rPr>
                <w:sz w:val="18"/>
              </w:rPr>
              <w:t>81.6</w:t>
            </w:r>
            <w:r w:rsidR="00D3202D" w:rsidRPr="00DD6692">
              <w:rPr>
                <w:sz w:val="18"/>
              </w:rPr>
              <w:t>%</w:t>
            </w:r>
          </w:p>
        </w:tc>
        <w:tc>
          <w:tcPr>
            <w:tcW w:w="632" w:type="pct"/>
          </w:tcPr>
          <w:p w:rsidR="00D3202D" w:rsidRPr="00DD6692" w:rsidRDefault="00BD5D67" w:rsidP="00D3202D">
            <w:pPr>
              <w:jc w:val="center"/>
              <w:cnfStyle w:val="000000100000" w:firstRow="0" w:lastRow="0" w:firstColumn="0" w:lastColumn="0" w:oddVBand="0" w:evenVBand="0" w:oddHBand="1" w:evenHBand="0" w:firstRowFirstColumn="0" w:firstRowLastColumn="0" w:lastRowFirstColumn="0" w:lastRowLastColumn="0"/>
              <w:rPr>
                <w:sz w:val="18"/>
              </w:rPr>
            </w:pPr>
            <w:r w:rsidRPr="00DD6692">
              <w:rPr>
                <w:sz w:val="18"/>
              </w:rPr>
              <w:t>89.0</w:t>
            </w:r>
            <w:r w:rsidR="00D3202D" w:rsidRPr="00DD6692">
              <w:rPr>
                <w:sz w:val="18"/>
              </w:rPr>
              <w:t>%</w:t>
            </w:r>
          </w:p>
        </w:tc>
        <w:tc>
          <w:tcPr>
            <w:tcW w:w="633" w:type="pct"/>
          </w:tcPr>
          <w:p w:rsidR="00D3202D" w:rsidRPr="00DD6692" w:rsidRDefault="00BD5D67" w:rsidP="00D3202D">
            <w:pPr>
              <w:jc w:val="center"/>
              <w:cnfStyle w:val="000000100000" w:firstRow="0" w:lastRow="0" w:firstColumn="0" w:lastColumn="0" w:oddVBand="0" w:evenVBand="0" w:oddHBand="1" w:evenHBand="0" w:firstRowFirstColumn="0" w:firstRowLastColumn="0" w:lastRowFirstColumn="0" w:lastRowLastColumn="0"/>
              <w:rPr>
                <w:sz w:val="18"/>
              </w:rPr>
            </w:pPr>
            <w:r w:rsidRPr="00DD6692">
              <w:rPr>
                <w:sz w:val="18"/>
              </w:rPr>
              <w:t>91.3</w:t>
            </w:r>
            <w:r w:rsidR="00D3202D" w:rsidRPr="00DD6692">
              <w:rPr>
                <w:sz w:val="18"/>
              </w:rPr>
              <w:t>%</w:t>
            </w:r>
          </w:p>
        </w:tc>
        <w:tc>
          <w:tcPr>
            <w:tcW w:w="632" w:type="pct"/>
          </w:tcPr>
          <w:p w:rsidR="00D3202D" w:rsidRPr="00DD6692" w:rsidRDefault="00632495" w:rsidP="00D3202D">
            <w:pPr>
              <w:jc w:val="center"/>
              <w:cnfStyle w:val="000000100000" w:firstRow="0" w:lastRow="0" w:firstColumn="0" w:lastColumn="0" w:oddVBand="0" w:evenVBand="0" w:oddHBand="1" w:evenHBand="0" w:firstRowFirstColumn="0" w:firstRowLastColumn="0" w:lastRowFirstColumn="0" w:lastRowLastColumn="0"/>
              <w:rPr>
                <w:sz w:val="18"/>
              </w:rPr>
            </w:pPr>
            <w:r w:rsidRPr="00DD6692">
              <w:rPr>
                <w:sz w:val="18"/>
              </w:rPr>
              <w:t>-</w:t>
            </w:r>
          </w:p>
        </w:tc>
      </w:tr>
      <w:tr w:rsidR="00D3202D" w:rsidRPr="00DD6692" w:rsidTr="003E0214">
        <w:trPr>
          <w:trHeight w:val="300"/>
        </w:trPr>
        <w:tc>
          <w:tcPr>
            <w:cnfStyle w:val="001000000000" w:firstRow="0" w:lastRow="0" w:firstColumn="1" w:lastColumn="0" w:oddVBand="0" w:evenVBand="0" w:oddHBand="0" w:evenHBand="0" w:firstRowFirstColumn="0" w:firstRowLastColumn="0" w:lastRowFirstColumn="0" w:lastRowLastColumn="0"/>
            <w:tcW w:w="2471" w:type="pct"/>
            <w:vAlign w:val="center"/>
          </w:tcPr>
          <w:p w:rsidR="00D3202D" w:rsidRPr="00DD6692" w:rsidRDefault="00D3202D" w:rsidP="00D3202D">
            <w:pPr>
              <w:pStyle w:val="ListParagraph"/>
              <w:numPr>
                <w:ilvl w:val="0"/>
                <w:numId w:val="0"/>
              </w:numPr>
              <w:spacing w:before="40" w:after="40" w:line="240" w:lineRule="atLeast"/>
              <w:ind w:left="881"/>
              <w:rPr>
                <w:rFonts w:cstheme="minorHAnsi"/>
                <w:b w:val="0"/>
                <w:sz w:val="18"/>
                <w:szCs w:val="18"/>
              </w:rPr>
            </w:pPr>
            <w:r w:rsidRPr="00DD6692">
              <w:rPr>
                <w:rFonts w:cstheme="minorHAnsi"/>
                <w:b w:val="0"/>
                <w:sz w:val="18"/>
                <w:szCs w:val="18"/>
              </w:rPr>
              <w:t>Other Core Supports</w:t>
            </w:r>
          </w:p>
        </w:tc>
        <w:tc>
          <w:tcPr>
            <w:tcW w:w="632" w:type="pct"/>
            <w:noWrap/>
          </w:tcPr>
          <w:p w:rsidR="00D3202D" w:rsidRPr="00DD6692" w:rsidRDefault="00BD5D67" w:rsidP="00D3202D">
            <w:pPr>
              <w:jc w:val="center"/>
              <w:cnfStyle w:val="000000000000" w:firstRow="0" w:lastRow="0" w:firstColumn="0" w:lastColumn="0" w:oddVBand="0" w:evenVBand="0" w:oddHBand="0" w:evenHBand="0" w:firstRowFirstColumn="0" w:firstRowLastColumn="0" w:lastRowFirstColumn="0" w:lastRowLastColumn="0"/>
              <w:rPr>
                <w:sz w:val="18"/>
              </w:rPr>
            </w:pPr>
            <w:r w:rsidRPr="00DD6692">
              <w:rPr>
                <w:sz w:val="18"/>
              </w:rPr>
              <w:t>81.3</w:t>
            </w:r>
            <w:r w:rsidR="00D3202D" w:rsidRPr="00DD6692">
              <w:rPr>
                <w:sz w:val="18"/>
              </w:rPr>
              <w:t>%</w:t>
            </w:r>
          </w:p>
        </w:tc>
        <w:tc>
          <w:tcPr>
            <w:tcW w:w="632" w:type="pct"/>
          </w:tcPr>
          <w:p w:rsidR="00D3202D" w:rsidRPr="00DD6692" w:rsidRDefault="00BD5D67" w:rsidP="00D3202D">
            <w:pPr>
              <w:jc w:val="center"/>
              <w:cnfStyle w:val="000000000000" w:firstRow="0" w:lastRow="0" w:firstColumn="0" w:lastColumn="0" w:oddVBand="0" w:evenVBand="0" w:oddHBand="0" w:evenHBand="0" w:firstRowFirstColumn="0" w:firstRowLastColumn="0" w:lastRowFirstColumn="0" w:lastRowLastColumn="0"/>
              <w:rPr>
                <w:sz w:val="18"/>
              </w:rPr>
            </w:pPr>
            <w:r w:rsidRPr="00DD6692">
              <w:rPr>
                <w:sz w:val="18"/>
              </w:rPr>
              <w:t>88.8</w:t>
            </w:r>
            <w:r w:rsidR="00D3202D" w:rsidRPr="00DD6692">
              <w:rPr>
                <w:sz w:val="18"/>
              </w:rPr>
              <w:t>%</w:t>
            </w:r>
          </w:p>
        </w:tc>
        <w:tc>
          <w:tcPr>
            <w:tcW w:w="633" w:type="pct"/>
          </w:tcPr>
          <w:p w:rsidR="00D3202D" w:rsidRPr="00DD6692" w:rsidRDefault="00BD5D67" w:rsidP="00D3202D">
            <w:pPr>
              <w:jc w:val="center"/>
              <w:cnfStyle w:val="000000000000" w:firstRow="0" w:lastRow="0" w:firstColumn="0" w:lastColumn="0" w:oddVBand="0" w:evenVBand="0" w:oddHBand="0" w:evenHBand="0" w:firstRowFirstColumn="0" w:firstRowLastColumn="0" w:lastRowFirstColumn="0" w:lastRowLastColumn="0"/>
              <w:rPr>
                <w:sz w:val="18"/>
              </w:rPr>
            </w:pPr>
            <w:r w:rsidRPr="00DD6692">
              <w:rPr>
                <w:sz w:val="18"/>
              </w:rPr>
              <w:t>91.0</w:t>
            </w:r>
            <w:r w:rsidR="00D3202D" w:rsidRPr="00DD6692">
              <w:rPr>
                <w:sz w:val="18"/>
              </w:rPr>
              <w:t>%</w:t>
            </w:r>
          </w:p>
        </w:tc>
        <w:tc>
          <w:tcPr>
            <w:tcW w:w="632" w:type="pct"/>
          </w:tcPr>
          <w:p w:rsidR="00D3202D" w:rsidRPr="00DD6692" w:rsidRDefault="00632495" w:rsidP="00D3202D">
            <w:pPr>
              <w:jc w:val="center"/>
              <w:cnfStyle w:val="000000000000" w:firstRow="0" w:lastRow="0" w:firstColumn="0" w:lastColumn="0" w:oddVBand="0" w:evenVBand="0" w:oddHBand="0" w:evenHBand="0" w:firstRowFirstColumn="0" w:firstRowLastColumn="0" w:lastRowFirstColumn="0" w:lastRowLastColumn="0"/>
              <w:rPr>
                <w:sz w:val="18"/>
              </w:rPr>
            </w:pPr>
            <w:r w:rsidRPr="00DD6692">
              <w:rPr>
                <w:sz w:val="18"/>
              </w:rPr>
              <w:t>-</w:t>
            </w:r>
          </w:p>
        </w:tc>
      </w:tr>
      <w:tr w:rsidR="00E809C6" w:rsidRPr="00DD6692" w:rsidTr="003E02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71" w:type="pct"/>
            <w:vAlign w:val="center"/>
          </w:tcPr>
          <w:p w:rsidR="00E809C6" w:rsidRPr="00DD6692" w:rsidRDefault="00E809C6" w:rsidP="00E809C6">
            <w:pPr>
              <w:pStyle w:val="ListParagraph"/>
              <w:numPr>
                <w:ilvl w:val="0"/>
                <w:numId w:val="0"/>
              </w:numPr>
              <w:spacing w:before="40" w:after="40" w:line="240" w:lineRule="atLeast"/>
              <w:ind w:left="881"/>
              <w:rPr>
                <w:rFonts w:cstheme="minorHAnsi"/>
                <w:b w:val="0"/>
                <w:sz w:val="18"/>
                <w:szCs w:val="18"/>
              </w:rPr>
            </w:pPr>
            <w:r w:rsidRPr="00DD6692">
              <w:rPr>
                <w:rFonts w:cstheme="minorHAnsi"/>
                <w:b w:val="0"/>
                <w:sz w:val="18"/>
                <w:szCs w:val="18"/>
              </w:rPr>
              <w:t>Without COVID Adjustment</w:t>
            </w:r>
          </w:p>
        </w:tc>
        <w:tc>
          <w:tcPr>
            <w:tcW w:w="632" w:type="pct"/>
            <w:noWrap/>
          </w:tcPr>
          <w:p w:rsidR="00E809C6" w:rsidRPr="00DD6692" w:rsidRDefault="00BD5D67" w:rsidP="00D3202D">
            <w:pPr>
              <w:jc w:val="center"/>
              <w:cnfStyle w:val="000000100000" w:firstRow="0" w:lastRow="0" w:firstColumn="0" w:lastColumn="0" w:oddVBand="0" w:evenVBand="0" w:oddHBand="1" w:evenHBand="0" w:firstRowFirstColumn="0" w:firstRowLastColumn="0" w:lastRowFirstColumn="0" w:lastRowLastColumn="0"/>
              <w:rPr>
                <w:sz w:val="18"/>
              </w:rPr>
            </w:pPr>
            <w:r w:rsidRPr="00DD6692">
              <w:rPr>
                <w:sz w:val="18"/>
              </w:rPr>
              <w:t>80.9</w:t>
            </w:r>
            <w:r w:rsidR="00E809C6" w:rsidRPr="00DD6692">
              <w:rPr>
                <w:sz w:val="18"/>
              </w:rPr>
              <w:t>%</w:t>
            </w:r>
          </w:p>
        </w:tc>
        <w:tc>
          <w:tcPr>
            <w:tcW w:w="632" w:type="pct"/>
          </w:tcPr>
          <w:p w:rsidR="00E809C6" w:rsidRPr="00DD6692" w:rsidRDefault="00BD5D67" w:rsidP="00D3202D">
            <w:pPr>
              <w:jc w:val="center"/>
              <w:cnfStyle w:val="000000100000" w:firstRow="0" w:lastRow="0" w:firstColumn="0" w:lastColumn="0" w:oddVBand="0" w:evenVBand="0" w:oddHBand="1" w:evenHBand="0" w:firstRowFirstColumn="0" w:firstRowLastColumn="0" w:lastRowFirstColumn="0" w:lastRowLastColumn="0"/>
              <w:rPr>
                <w:sz w:val="18"/>
              </w:rPr>
            </w:pPr>
            <w:r w:rsidRPr="00DD6692">
              <w:rPr>
                <w:sz w:val="18"/>
              </w:rPr>
              <w:t>88.4</w:t>
            </w:r>
            <w:r w:rsidR="00E809C6" w:rsidRPr="00DD6692">
              <w:rPr>
                <w:sz w:val="18"/>
              </w:rPr>
              <w:t>%</w:t>
            </w:r>
          </w:p>
        </w:tc>
        <w:tc>
          <w:tcPr>
            <w:tcW w:w="633" w:type="pct"/>
          </w:tcPr>
          <w:p w:rsidR="00E809C6" w:rsidRPr="00DD6692" w:rsidRDefault="00BD5D67" w:rsidP="00D3202D">
            <w:pPr>
              <w:jc w:val="center"/>
              <w:cnfStyle w:val="000000100000" w:firstRow="0" w:lastRow="0" w:firstColumn="0" w:lastColumn="0" w:oddVBand="0" w:evenVBand="0" w:oddHBand="1" w:evenHBand="0" w:firstRowFirstColumn="0" w:firstRowLastColumn="0" w:lastRowFirstColumn="0" w:lastRowLastColumn="0"/>
              <w:rPr>
                <w:sz w:val="18"/>
              </w:rPr>
            </w:pPr>
            <w:r w:rsidRPr="00DD6692">
              <w:rPr>
                <w:sz w:val="18"/>
              </w:rPr>
              <w:t>90.6</w:t>
            </w:r>
            <w:r w:rsidR="00E809C6" w:rsidRPr="00DD6692">
              <w:rPr>
                <w:sz w:val="18"/>
              </w:rPr>
              <w:t>%</w:t>
            </w:r>
          </w:p>
        </w:tc>
        <w:tc>
          <w:tcPr>
            <w:tcW w:w="632" w:type="pct"/>
          </w:tcPr>
          <w:p w:rsidR="00E809C6" w:rsidRPr="00DD6692" w:rsidRDefault="00BD5D67" w:rsidP="00632495">
            <w:pPr>
              <w:jc w:val="center"/>
              <w:cnfStyle w:val="000000100000" w:firstRow="0" w:lastRow="0" w:firstColumn="0" w:lastColumn="0" w:oddVBand="0" w:evenVBand="0" w:oddHBand="1" w:evenHBand="0" w:firstRowFirstColumn="0" w:firstRowLastColumn="0" w:lastRowFirstColumn="0" w:lastRowLastColumn="0"/>
              <w:rPr>
                <w:sz w:val="18"/>
              </w:rPr>
            </w:pPr>
            <w:r w:rsidRPr="00DD6692">
              <w:rPr>
                <w:sz w:val="18"/>
              </w:rPr>
              <w:t>107.8</w:t>
            </w:r>
            <w:r w:rsidR="00632495" w:rsidRPr="00DD6692">
              <w:rPr>
                <w:sz w:val="18"/>
              </w:rPr>
              <w:t>%</w:t>
            </w:r>
          </w:p>
        </w:tc>
      </w:tr>
    </w:tbl>
    <w:p w:rsidR="00840413" w:rsidRPr="00DD6692" w:rsidRDefault="00BA539B" w:rsidP="00315545">
      <w:pPr>
        <w:pStyle w:val="Heading2"/>
      </w:pPr>
      <w:bookmarkStart w:id="33" w:name="_Ref90498726"/>
      <w:bookmarkStart w:id="34" w:name="_Toc91063500"/>
      <w:r w:rsidRPr="00DD6692">
        <w:t>Margin</w:t>
      </w:r>
      <w:r w:rsidR="00211A14" w:rsidRPr="00DD6692">
        <w:t>s</w:t>
      </w:r>
      <w:bookmarkEnd w:id="33"/>
      <w:bookmarkEnd w:id="34"/>
    </w:p>
    <w:p w:rsidR="00496D32" w:rsidRPr="00DD6692" w:rsidRDefault="00373C5D" w:rsidP="00B227D9">
      <w:r w:rsidRPr="00DD6692">
        <w:t xml:space="preserve">The </w:t>
      </w:r>
      <w:r w:rsidR="00E27A53" w:rsidRPr="00DD6692">
        <w:t>Cost Model</w:t>
      </w:r>
      <w:r w:rsidRPr="00DD6692">
        <w:t xml:space="preserve"> assumes a 2% </w:t>
      </w:r>
      <w:r w:rsidR="00E41E33" w:rsidRPr="00DD6692">
        <w:t xml:space="preserve">margin on other costs. This equates to </w:t>
      </w:r>
      <w:r w:rsidRPr="00DD6692">
        <w:t xml:space="preserve">a rate of return of 8% against </w:t>
      </w:r>
      <w:r w:rsidR="00E41E33" w:rsidRPr="00DD6692">
        <w:t>working capital</w:t>
      </w:r>
      <w:r w:rsidR="00523D6C" w:rsidRPr="00DD6692">
        <w:t>,</w:t>
      </w:r>
      <w:r w:rsidR="00E41E33" w:rsidRPr="00DD6692">
        <w:t xml:space="preserve"> equivalent to three month’s</w:t>
      </w:r>
      <w:r w:rsidRPr="00DD6692">
        <w:t xml:space="preserve"> wages</w:t>
      </w:r>
      <w:r w:rsidR="00E41E33" w:rsidRPr="00DD6692">
        <w:t xml:space="preserve"> and entitlements</w:t>
      </w:r>
      <w:r w:rsidRPr="00DD6692">
        <w:t>.</w:t>
      </w:r>
      <w:r w:rsidR="009C5501" w:rsidRPr="00DD6692">
        <w:t xml:space="preserve"> </w:t>
      </w:r>
    </w:p>
    <w:p w:rsidR="00B658AF" w:rsidRPr="00DD6692" w:rsidRDefault="000C7183" w:rsidP="00B658AF">
      <w:pPr>
        <w:pStyle w:val="Caption"/>
      </w:pPr>
      <w:bookmarkStart w:id="35" w:name="_Ref19047348"/>
      <w:r w:rsidRPr="00DD6692">
        <w:t xml:space="preserve">Table </w:t>
      </w:r>
      <w:fldSimple w:instr=" SEQ Table \* ARABIC ">
        <w:r w:rsidR="00DD6692">
          <w:rPr>
            <w:noProof/>
          </w:rPr>
          <w:t>9</w:t>
        </w:r>
      </w:fldSimple>
      <w:bookmarkEnd w:id="35"/>
      <w:r w:rsidRPr="00DD6692">
        <w:t xml:space="preserve">: </w:t>
      </w:r>
      <w:r w:rsidR="00B658AF" w:rsidRPr="00DD6692">
        <w:t>Impact of M</w:t>
      </w:r>
      <w:r w:rsidRPr="00DD6692">
        <w:t xml:space="preserve">argins </w:t>
      </w:r>
      <w:r w:rsidR="00B658AF" w:rsidRPr="00DD6692">
        <w:t>on the Cost per Billable Hour of a DSW</w:t>
      </w:r>
    </w:p>
    <w:tbl>
      <w:tblPr>
        <w:tblStyle w:val="GridTable4-Accent4"/>
        <w:tblW w:w="5000" w:type="pct"/>
        <w:tblLook w:val="04A0" w:firstRow="1" w:lastRow="0" w:firstColumn="1" w:lastColumn="0" w:noHBand="0" w:noVBand="1"/>
        <w:tblDescription w:val="Table 9: Impact of Margins on the Cost per Billable Hour of a DSW"/>
      </w:tblPr>
      <w:tblGrid>
        <w:gridCol w:w="4797"/>
        <w:gridCol w:w="963"/>
        <w:gridCol w:w="1086"/>
        <w:gridCol w:w="1086"/>
        <w:gridCol w:w="1084"/>
      </w:tblGrid>
      <w:tr w:rsidR="00716C16" w:rsidRPr="00DD6692" w:rsidTr="00864828">
        <w:trPr>
          <w:cnfStyle w:val="100000000000" w:firstRow="1" w:lastRow="0" w:firstColumn="0" w:lastColumn="0" w:oddVBand="0" w:evenVBand="0" w:oddHBand="0" w:evenHBand="0" w:firstRowFirstColumn="0" w:firstRowLastColumn="0" w:lastRowFirstColumn="0" w:lastRowLastColumn="0"/>
          <w:trHeight w:val="289"/>
          <w:tblHeader/>
        </w:trPr>
        <w:tc>
          <w:tcPr>
            <w:cnfStyle w:val="001000000000" w:firstRow="0" w:lastRow="0" w:firstColumn="1" w:lastColumn="0" w:oddVBand="0" w:evenVBand="0" w:oddHBand="0" w:evenHBand="0" w:firstRowFirstColumn="0" w:firstRowLastColumn="0" w:lastRowFirstColumn="0" w:lastRowLastColumn="0"/>
            <w:tcW w:w="2660" w:type="pct"/>
            <w:hideMark/>
          </w:tcPr>
          <w:p w:rsidR="00716C16" w:rsidRPr="00DD6692" w:rsidRDefault="00716C16" w:rsidP="00716C16">
            <w:pPr>
              <w:spacing w:before="40" w:after="40" w:line="240" w:lineRule="atLeast"/>
              <w:rPr>
                <w:rFonts w:cstheme="minorHAnsi"/>
                <w:sz w:val="18"/>
                <w:szCs w:val="18"/>
              </w:rPr>
            </w:pPr>
          </w:p>
        </w:tc>
        <w:tc>
          <w:tcPr>
            <w:tcW w:w="534" w:type="pct"/>
            <w:hideMark/>
          </w:tcPr>
          <w:p w:rsidR="00716C16" w:rsidRPr="00DD6692" w:rsidRDefault="00716C16" w:rsidP="00716C16">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DSW A</w:t>
            </w:r>
          </w:p>
        </w:tc>
        <w:tc>
          <w:tcPr>
            <w:tcW w:w="602" w:type="pct"/>
          </w:tcPr>
          <w:p w:rsidR="00716C16" w:rsidRPr="00DD6692" w:rsidRDefault="00716C16" w:rsidP="00716C16">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lang w:eastAsia="en-AU"/>
              </w:rPr>
            </w:pPr>
            <w:r w:rsidRPr="00DD6692">
              <w:rPr>
                <w:rFonts w:cstheme="minorHAnsi"/>
                <w:sz w:val="18"/>
                <w:szCs w:val="18"/>
              </w:rPr>
              <w:t>DSW B</w:t>
            </w:r>
          </w:p>
        </w:tc>
        <w:tc>
          <w:tcPr>
            <w:tcW w:w="602" w:type="pct"/>
          </w:tcPr>
          <w:p w:rsidR="00716C16" w:rsidRPr="00DD6692" w:rsidRDefault="00716C16" w:rsidP="00716C16">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DSW C</w:t>
            </w:r>
          </w:p>
        </w:tc>
        <w:tc>
          <w:tcPr>
            <w:tcW w:w="601" w:type="pct"/>
          </w:tcPr>
          <w:p w:rsidR="00716C16" w:rsidRPr="00DD6692" w:rsidRDefault="00716C16" w:rsidP="00716C16">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DSW D</w:t>
            </w:r>
          </w:p>
        </w:tc>
      </w:tr>
      <w:tr w:rsidR="00873108" w:rsidRPr="00DD6692" w:rsidTr="008648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0" w:type="pct"/>
            <w:hideMark/>
          </w:tcPr>
          <w:p w:rsidR="00873108" w:rsidRPr="00DD6692" w:rsidRDefault="00873108" w:rsidP="00873108">
            <w:pPr>
              <w:spacing w:before="40" w:after="40" w:line="240" w:lineRule="atLeast"/>
              <w:rPr>
                <w:rFonts w:cstheme="minorHAnsi"/>
                <w:sz w:val="18"/>
                <w:szCs w:val="18"/>
              </w:rPr>
            </w:pPr>
            <w:r w:rsidRPr="00DD6692">
              <w:rPr>
                <w:rFonts w:cstheme="minorHAnsi"/>
                <w:sz w:val="18"/>
                <w:szCs w:val="18"/>
              </w:rPr>
              <w:t>Cumulative cost per hour, before margin</w:t>
            </w:r>
          </w:p>
        </w:tc>
        <w:tc>
          <w:tcPr>
            <w:tcW w:w="534" w:type="pct"/>
            <w:noWrap/>
            <w:vAlign w:val="center"/>
          </w:tcPr>
          <w:p w:rsidR="00873108" w:rsidRPr="00DD6692" w:rsidRDefault="00873108" w:rsidP="00873108">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p>
        </w:tc>
        <w:tc>
          <w:tcPr>
            <w:tcW w:w="602" w:type="pct"/>
            <w:vAlign w:val="center"/>
          </w:tcPr>
          <w:p w:rsidR="00873108" w:rsidRPr="00DD6692" w:rsidRDefault="00873108" w:rsidP="00873108">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p>
        </w:tc>
        <w:tc>
          <w:tcPr>
            <w:tcW w:w="602" w:type="pct"/>
            <w:vAlign w:val="center"/>
          </w:tcPr>
          <w:p w:rsidR="00873108" w:rsidRPr="00DD6692" w:rsidRDefault="00873108" w:rsidP="00873108">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p>
        </w:tc>
        <w:tc>
          <w:tcPr>
            <w:tcW w:w="601" w:type="pct"/>
            <w:vAlign w:val="center"/>
          </w:tcPr>
          <w:p w:rsidR="00873108" w:rsidRPr="00DD6692" w:rsidRDefault="00873108" w:rsidP="00873108">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p>
        </w:tc>
      </w:tr>
      <w:tr w:rsidR="00864828" w:rsidRPr="00DD6692" w:rsidTr="00864828">
        <w:trPr>
          <w:trHeight w:val="300"/>
        </w:trPr>
        <w:tc>
          <w:tcPr>
            <w:cnfStyle w:val="001000000000" w:firstRow="0" w:lastRow="0" w:firstColumn="1" w:lastColumn="0" w:oddVBand="0" w:evenVBand="0" w:oddHBand="0" w:evenHBand="0" w:firstRowFirstColumn="0" w:firstRowLastColumn="0" w:lastRowFirstColumn="0" w:lastRowLastColumn="0"/>
            <w:tcW w:w="2660" w:type="pct"/>
            <w:vAlign w:val="center"/>
          </w:tcPr>
          <w:p w:rsidR="00864828" w:rsidRPr="00DD6692" w:rsidRDefault="00864828" w:rsidP="00864828">
            <w:pPr>
              <w:pStyle w:val="ListParagraph"/>
              <w:keepNext/>
              <w:numPr>
                <w:ilvl w:val="0"/>
                <w:numId w:val="0"/>
              </w:numPr>
              <w:spacing w:before="40" w:after="40" w:line="240" w:lineRule="atLeast"/>
              <w:ind w:left="881"/>
              <w:rPr>
                <w:rFonts w:cstheme="minorHAnsi"/>
                <w:b w:val="0"/>
                <w:sz w:val="18"/>
                <w:szCs w:val="18"/>
              </w:rPr>
            </w:pPr>
            <w:r w:rsidRPr="00DD6692">
              <w:rPr>
                <w:rFonts w:cstheme="minorHAnsi"/>
                <w:b w:val="0"/>
                <w:sz w:val="18"/>
                <w:szCs w:val="18"/>
              </w:rPr>
              <w:t>SIL and Group Supports</w:t>
            </w:r>
          </w:p>
        </w:tc>
        <w:tc>
          <w:tcPr>
            <w:tcW w:w="534" w:type="pct"/>
            <w:noWrap/>
          </w:tcPr>
          <w:p w:rsidR="00864828" w:rsidRPr="00DD6692" w:rsidRDefault="00864828" w:rsidP="00864828">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 xml:space="preserve"> $56.18 </w:t>
            </w:r>
          </w:p>
        </w:tc>
        <w:tc>
          <w:tcPr>
            <w:tcW w:w="602" w:type="pct"/>
          </w:tcPr>
          <w:p w:rsidR="00864828" w:rsidRPr="00DD6692" w:rsidRDefault="00864828" w:rsidP="00864828">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 xml:space="preserve"> $60.79 </w:t>
            </w:r>
          </w:p>
        </w:tc>
        <w:tc>
          <w:tcPr>
            <w:tcW w:w="602" w:type="pct"/>
          </w:tcPr>
          <w:p w:rsidR="00864828" w:rsidRPr="00DD6692" w:rsidRDefault="00864828" w:rsidP="00864828">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 xml:space="preserve"> $64.04 </w:t>
            </w:r>
          </w:p>
        </w:tc>
        <w:tc>
          <w:tcPr>
            <w:tcW w:w="601" w:type="pct"/>
          </w:tcPr>
          <w:p w:rsidR="00864828" w:rsidRPr="00DD6692" w:rsidRDefault="00632495" w:rsidP="00864828">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w:t>
            </w:r>
          </w:p>
        </w:tc>
      </w:tr>
      <w:tr w:rsidR="00864828" w:rsidRPr="00DD6692" w:rsidTr="008648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0" w:type="pct"/>
            <w:vAlign w:val="center"/>
          </w:tcPr>
          <w:p w:rsidR="00864828" w:rsidRPr="00DD6692" w:rsidRDefault="00864828" w:rsidP="00864828">
            <w:pPr>
              <w:pStyle w:val="ListParagraph"/>
              <w:keepNext/>
              <w:numPr>
                <w:ilvl w:val="0"/>
                <w:numId w:val="0"/>
              </w:numPr>
              <w:spacing w:before="40" w:after="40" w:line="240" w:lineRule="atLeast"/>
              <w:ind w:left="881"/>
              <w:rPr>
                <w:rFonts w:cstheme="minorHAnsi"/>
                <w:b w:val="0"/>
                <w:sz w:val="18"/>
                <w:szCs w:val="18"/>
              </w:rPr>
            </w:pPr>
            <w:r w:rsidRPr="00DD6692">
              <w:rPr>
                <w:rFonts w:cstheme="minorHAnsi"/>
                <w:b w:val="0"/>
                <w:sz w:val="18"/>
                <w:szCs w:val="18"/>
              </w:rPr>
              <w:t>Other Core Supports</w:t>
            </w:r>
          </w:p>
        </w:tc>
        <w:tc>
          <w:tcPr>
            <w:tcW w:w="534" w:type="pct"/>
            <w:noWrap/>
          </w:tcPr>
          <w:p w:rsidR="00864828" w:rsidRPr="00DD6692" w:rsidRDefault="00864828" w:rsidP="00864828">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 xml:space="preserve"> $56.10 </w:t>
            </w:r>
          </w:p>
        </w:tc>
        <w:tc>
          <w:tcPr>
            <w:tcW w:w="602" w:type="pct"/>
          </w:tcPr>
          <w:p w:rsidR="00864828" w:rsidRPr="00DD6692" w:rsidRDefault="00864828" w:rsidP="00864828">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 xml:space="preserve"> $60.71 </w:t>
            </w:r>
          </w:p>
        </w:tc>
        <w:tc>
          <w:tcPr>
            <w:tcW w:w="602" w:type="pct"/>
          </w:tcPr>
          <w:p w:rsidR="00864828" w:rsidRPr="00DD6692" w:rsidRDefault="00864828" w:rsidP="00864828">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 xml:space="preserve"> $63.95 </w:t>
            </w:r>
          </w:p>
        </w:tc>
        <w:tc>
          <w:tcPr>
            <w:tcW w:w="601" w:type="pct"/>
          </w:tcPr>
          <w:p w:rsidR="00864828" w:rsidRPr="00DD6692" w:rsidRDefault="00632495" w:rsidP="00864828">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w:t>
            </w:r>
          </w:p>
        </w:tc>
      </w:tr>
      <w:tr w:rsidR="00864828" w:rsidRPr="00DD6692" w:rsidTr="00864828">
        <w:trPr>
          <w:trHeight w:val="300"/>
        </w:trPr>
        <w:tc>
          <w:tcPr>
            <w:cnfStyle w:val="001000000000" w:firstRow="0" w:lastRow="0" w:firstColumn="1" w:lastColumn="0" w:oddVBand="0" w:evenVBand="0" w:oddHBand="0" w:evenHBand="0" w:firstRowFirstColumn="0" w:firstRowLastColumn="0" w:lastRowFirstColumn="0" w:lastRowLastColumn="0"/>
            <w:tcW w:w="2660" w:type="pct"/>
            <w:vAlign w:val="center"/>
          </w:tcPr>
          <w:p w:rsidR="00864828" w:rsidRPr="00DD6692" w:rsidRDefault="00864828" w:rsidP="00864828">
            <w:pPr>
              <w:pStyle w:val="ListParagraph"/>
              <w:keepNext/>
              <w:numPr>
                <w:ilvl w:val="0"/>
                <w:numId w:val="0"/>
              </w:numPr>
              <w:spacing w:before="40" w:after="40" w:line="240" w:lineRule="atLeast"/>
              <w:ind w:left="881"/>
              <w:rPr>
                <w:rFonts w:cstheme="minorHAnsi"/>
                <w:b w:val="0"/>
                <w:sz w:val="18"/>
                <w:szCs w:val="18"/>
              </w:rPr>
            </w:pPr>
            <w:r w:rsidRPr="00DD6692">
              <w:rPr>
                <w:rFonts w:cstheme="minorHAnsi"/>
                <w:b w:val="0"/>
                <w:sz w:val="18"/>
                <w:szCs w:val="18"/>
              </w:rPr>
              <w:t>Without COVID Adjustment</w:t>
            </w:r>
          </w:p>
        </w:tc>
        <w:tc>
          <w:tcPr>
            <w:tcW w:w="534" w:type="pct"/>
            <w:noWrap/>
          </w:tcPr>
          <w:p w:rsidR="00864828" w:rsidRPr="00DD6692" w:rsidRDefault="00864828" w:rsidP="00864828">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 xml:space="preserve"> $55.98 </w:t>
            </w:r>
          </w:p>
        </w:tc>
        <w:tc>
          <w:tcPr>
            <w:tcW w:w="602" w:type="pct"/>
          </w:tcPr>
          <w:p w:rsidR="00864828" w:rsidRPr="00DD6692" w:rsidRDefault="00864828" w:rsidP="00864828">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 xml:space="preserve"> $60.58 </w:t>
            </w:r>
          </w:p>
        </w:tc>
        <w:tc>
          <w:tcPr>
            <w:tcW w:w="602" w:type="pct"/>
          </w:tcPr>
          <w:p w:rsidR="00864828" w:rsidRPr="00DD6692" w:rsidRDefault="00864828" w:rsidP="00864828">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 xml:space="preserve"> $63.81 </w:t>
            </w:r>
          </w:p>
        </w:tc>
        <w:tc>
          <w:tcPr>
            <w:tcW w:w="601" w:type="pct"/>
          </w:tcPr>
          <w:p w:rsidR="00864828" w:rsidRPr="00DD6692" w:rsidRDefault="00864828" w:rsidP="00864828">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 xml:space="preserve"> $83.94 </w:t>
            </w:r>
          </w:p>
        </w:tc>
      </w:tr>
      <w:tr w:rsidR="00733273" w:rsidRPr="00DD6692" w:rsidTr="008648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0" w:type="pct"/>
            <w:hideMark/>
          </w:tcPr>
          <w:p w:rsidR="00733273" w:rsidRPr="00DD6692" w:rsidRDefault="00733273" w:rsidP="00733273">
            <w:pPr>
              <w:spacing w:before="40" w:after="40" w:line="240" w:lineRule="atLeast"/>
              <w:rPr>
                <w:rFonts w:cstheme="minorHAnsi"/>
                <w:sz w:val="18"/>
                <w:szCs w:val="18"/>
              </w:rPr>
            </w:pPr>
            <w:r w:rsidRPr="00DD6692">
              <w:rPr>
                <w:rFonts w:cstheme="minorHAnsi"/>
                <w:sz w:val="18"/>
                <w:szCs w:val="18"/>
              </w:rPr>
              <w:t>Margin</w:t>
            </w:r>
          </w:p>
        </w:tc>
        <w:tc>
          <w:tcPr>
            <w:tcW w:w="534" w:type="pct"/>
            <w:noWrap/>
          </w:tcPr>
          <w:p w:rsidR="00733273" w:rsidRPr="00DD6692" w:rsidRDefault="00733273" w:rsidP="00733273">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602" w:type="pct"/>
          </w:tcPr>
          <w:p w:rsidR="00733273" w:rsidRPr="00DD6692" w:rsidRDefault="00733273" w:rsidP="00733273">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602" w:type="pct"/>
          </w:tcPr>
          <w:p w:rsidR="00733273" w:rsidRPr="00DD6692" w:rsidRDefault="00733273" w:rsidP="00733273">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601" w:type="pct"/>
          </w:tcPr>
          <w:p w:rsidR="00733273" w:rsidRPr="00DD6692" w:rsidRDefault="00733273" w:rsidP="00733273">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733273" w:rsidRPr="00DD6692" w:rsidTr="00864828">
        <w:trPr>
          <w:trHeight w:val="300"/>
        </w:trPr>
        <w:tc>
          <w:tcPr>
            <w:cnfStyle w:val="001000000000" w:firstRow="0" w:lastRow="0" w:firstColumn="1" w:lastColumn="0" w:oddVBand="0" w:evenVBand="0" w:oddHBand="0" w:evenHBand="0" w:firstRowFirstColumn="0" w:firstRowLastColumn="0" w:lastRowFirstColumn="0" w:lastRowLastColumn="0"/>
            <w:tcW w:w="2660" w:type="pct"/>
            <w:vAlign w:val="center"/>
          </w:tcPr>
          <w:p w:rsidR="00733273" w:rsidRPr="00DD6692" w:rsidRDefault="00733273" w:rsidP="00733273">
            <w:pPr>
              <w:spacing w:before="40" w:after="40" w:line="240" w:lineRule="atLeast"/>
              <w:ind w:left="593"/>
              <w:rPr>
                <w:rFonts w:cstheme="minorHAnsi"/>
                <w:b w:val="0"/>
                <w:sz w:val="18"/>
                <w:szCs w:val="18"/>
              </w:rPr>
            </w:pPr>
            <w:r w:rsidRPr="00DD6692">
              <w:rPr>
                <w:rFonts w:cstheme="minorHAnsi"/>
                <w:b w:val="0"/>
                <w:sz w:val="18"/>
                <w:szCs w:val="18"/>
              </w:rPr>
              <w:t>Margin as a share of other costs (%)</w:t>
            </w:r>
          </w:p>
        </w:tc>
        <w:tc>
          <w:tcPr>
            <w:tcW w:w="534" w:type="pct"/>
            <w:noWrap/>
            <w:vAlign w:val="center"/>
          </w:tcPr>
          <w:p w:rsidR="00733273" w:rsidRPr="00DD6692" w:rsidRDefault="00733273" w:rsidP="00733273">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2.0%</w:t>
            </w:r>
          </w:p>
        </w:tc>
        <w:tc>
          <w:tcPr>
            <w:tcW w:w="602" w:type="pct"/>
            <w:vAlign w:val="center"/>
          </w:tcPr>
          <w:p w:rsidR="00733273" w:rsidRPr="00DD6692" w:rsidRDefault="00733273" w:rsidP="00733273">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2.0%</w:t>
            </w:r>
          </w:p>
        </w:tc>
        <w:tc>
          <w:tcPr>
            <w:tcW w:w="602" w:type="pct"/>
            <w:vAlign w:val="center"/>
          </w:tcPr>
          <w:p w:rsidR="00733273" w:rsidRPr="00DD6692" w:rsidRDefault="00733273" w:rsidP="00733273">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2.0%</w:t>
            </w:r>
          </w:p>
        </w:tc>
        <w:tc>
          <w:tcPr>
            <w:tcW w:w="601" w:type="pct"/>
            <w:vAlign w:val="center"/>
          </w:tcPr>
          <w:p w:rsidR="00733273" w:rsidRPr="00DD6692" w:rsidRDefault="00733273" w:rsidP="00733273">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2.0%</w:t>
            </w:r>
          </w:p>
        </w:tc>
      </w:tr>
      <w:tr w:rsidR="00733273" w:rsidRPr="00DD6692" w:rsidTr="008648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0" w:type="pct"/>
            <w:vAlign w:val="center"/>
          </w:tcPr>
          <w:p w:rsidR="00733273" w:rsidRPr="00DD6692" w:rsidRDefault="00733273" w:rsidP="00733273">
            <w:pPr>
              <w:spacing w:before="40" w:after="40" w:line="240" w:lineRule="atLeast"/>
              <w:ind w:left="593"/>
              <w:rPr>
                <w:rFonts w:cstheme="minorHAnsi"/>
                <w:b w:val="0"/>
                <w:sz w:val="18"/>
                <w:szCs w:val="18"/>
              </w:rPr>
            </w:pPr>
            <w:r w:rsidRPr="00DD6692">
              <w:rPr>
                <w:rFonts w:cstheme="minorHAnsi"/>
                <w:b w:val="0"/>
                <w:sz w:val="18"/>
                <w:szCs w:val="18"/>
              </w:rPr>
              <w:t>Cost of margin ($)</w:t>
            </w:r>
          </w:p>
        </w:tc>
        <w:tc>
          <w:tcPr>
            <w:tcW w:w="534" w:type="pct"/>
            <w:noWrap/>
            <w:vAlign w:val="center"/>
          </w:tcPr>
          <w:p w:rsidR="00733273" w:rsidRPr="00DD6692" w:rsidRDefault="00733273" w:rsidP="00733273">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602" w:type="pct"/>
            <w:vAlign w:val="center"/>
          </w:tcPr>
          <w:p w:rsidR="00733273" w:rsidRPr="00DD6692" w:rsidRDefault="00733273" w:rsidP="00733273">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602" w:type="pct"/>
            <w:vAlign w:val="center"/>
          </w:tcPr>
          <w:p w:rsidR="00733273" w:rsidRPr="00DD6692" w:rsidRDefault="00733273" w:rsidP="00733273">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601" w:type="pct"/>
            <w:vAlign w:val="center"/>
          </w:tcPr>
          <w:p w:rsidR="00733273" w:rsidRPr="00DD6692" w:rsidRDefault="00733273" w:rsidP="00733273">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3A7092" w:rsidRPr="00DD6692" w:rsidTr="00864828">
        <w:trPr>
          <w:trHeight w:val="300"/>
        </w:trPr>
        <w:tc>
          <w:tcPr>
            <w:cnfStyle w:val="001000000000" w:firstRow="0" w:lastRow="0" w:firstColumn="1" w:lastColumn="0" w:oddVBand="0" w:evenVBand="0" w:oddHBand="0" w:evenHBand="0" w:firstRowFirstColumn="0" w:firstRowLastColumn="0" w:lastRowFirstColumn="0" w:lastRowLastColumn="0"/>
            <w:tcW w:w="2660" w:type="pct"/>
            <w:vAlign w:val="center"/>
          </w:tcPr>
          <w:p w:rsidR="003A7092" w:rsidRPr="00DD6692" w:rsidRDefault="003A7092" w:rsidP="003A7092">
            <w:pPr>
              <w:pStyle w:val="ListParagraph"/>
              <w:keepNext/>
              <w:numPr>
                <w:ilvl w:val="0"/>
                <w:numId w:val="0"/>
              </w:numPr>
              <w:spacing w:before="40" w:after="40" w:line="240" w:lineRule="atLeast"/>
              <w:ind w:left="881"/>
              <w:rPr>
                <w:rFonts w:cstheme="minorHAnsi"/>
                <w:b w:val="0"/>
                <w:sz w:val="18"/>
                <w:szCs w:val="18"/>
              </w:rPr>
            </w:pPr>
            <w:r w:rsidRPr="00DD6692">
              <w:rPr>
                <w:rFonts w:cstheme="minorHAnsi"/>
                <w:b w:val="0"/>
                <w:sz w:val="18"/>
                <w:szCs w:val="18"/>
              </w:rPr>
              <w:t>SIL and Group Supports</w:t>
            </w:r>
          </w:p>
        </w:tc>
        <w:tc>
          <w:tcPr>
            <w:tcW w:w="534" w:type="pct"/>
            <w:noWrap/>
            <w:vAlign w:val="center"/>
          </w:tcPr>
          <w:p w:rsidR="003A7092" w:rsidRPr="00DD6692" w:rsidRDefault="003A7092" w:rsidP="003A7092">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sz w:val="18"/>
                <w:szCs w:val="18"/>
              </w:rPr>
              <w:t>$1.12</w:t>
            </w:r>
          </w:p>
        </w:tc>
        <w:tc>
          <w:tcPr>
            <w:tcW w:w="602" w:type="pct"/>
            <w:vAlign w:val="center"/>
          </w:tcPr>
          <w:p w:rsidR="003A7092" w:rsidRPr="00DD6692" w:rsidRDefault="003A7092" w:rsidP="003A7092">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$1.22</w:t>
            </w:r>
          </w:p>
        </w:tc>
        <w:tc>
          <w:tcPr>
            <w:tcW w:w="602" w:type="pct"/>
          </w:tcPr>
          <w:p w:rsidR="003A7092" w:rsidRPr="00DD6692" w:rsidRDefault="003A7092" w:rsidP="003A7092">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$1.28</w:t>
            </w:r>
          </w:p>
        </w:tc>
        <w:tc>
          <w:tcPr>
            <w:tcW w:w="601" w:type="pct"/>
          </w:tcPr>
          <w:p w:rsidR="003A7092" w:rsidRPr="00DD6692" w:rsidRDefault="00632495" w:rsidP="003A7092">
            <w:pPr>
              <w:jc w:val="center"/>
              <w:cnfStyle w:val="000000000000" w:firstRow="0" w:lastRow="0" w:firstColumn="0" w:lastColumn="0" w:oddVBand="0" w:evenVBand="0" w:oddHBand="0" w:evenHBand="0" w:firstRowFirstColumn="0" w:firstRowLastColumn="0" w:lastRowFirstColumn="0" w:lastRowLastColumn="0"/>
            </w:pPr>
            <w:r w:rsidRPr="00DD6692">
              <w:t>-</w:t>
            </w:r>
          </w:p>
        </w:tc>
      </w:tr>
      <w:tr w:rsidR="003A7092" w:rsidRPr="00DD6692" w:rsidTr="008648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0" w:type="pct"/>
            <w:vAlign w:val="center"/>
          </w:tcPr>
          <w:p w:rsidR="003A7092" w:rsidRPr="00DD6692" w:rsidRDefault="003A7092" w:rsidP="003A7092">
            <w:pPr>
              <w:pStyle w:val="ListParagraph"/>
              <w:keepNext/>
              <w:numPr>
                <w:ilvl w:val="0"/>
                <w:numId w:val="0"/>
              </w:numPr>
              <w:spacing w:before="40" w:after="40" w:line="240" w:lineRule="atLeast"/>
              <w:ind w:left="881"/>
              <w:rPr>
                <w:rFonts w:cstheme="minorHAnsi"/>
                <w:b w:val="0"/>
                <w:sz w:val="18"/>
                <w:szCs w:val="18"/>
              </w:rPr>
            </w:pPr>
            <w:r w:rsidRPr="00DD6692">
              <w:rPr>
                <w:rFonts w:cstheme="minorHAnsi"/>
                <w:b w:val="0"/>
                <w:sz w:val="18"/>
                <w:szCs w:val="18"/>
              </w:rPr>
              <w:t>Other Core Supports</w:t>
            </w:r>
          </w:p>
        </w:tc>
        <w:tc>
          <w:tcPr>
            <w:tcW w:w="534" w:type="pct"/>
            <w:noWrap/>
            <w:vAlign w:val="center"/>
          </w:tcPr>
          <w:p w:rsidR="003A7092" w:rsidRPr="00DD6692" w:rsidRDefault="003A7092" w:rsidP="003A7092">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sz w:val="18"/>
                <w:szCs w:val="18"/>
              </w:rPr>
              <w:t>$1.12</w:t>
            </w:r>
          </w:p>
        </w:tc>
        <w:tc>
          <w:tcPr>
            <w:tcW w:w="602" w:type="pct"/>
            <w:vAlign w:val="center"/>
          </w:tcPr>
          <w:p w:rsidR="003A7092" w:rsidRPr="00DD6692" w:rsidRDefault="003A7092" w:rsidP="003A7092">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$1.21</w:t>
            </w:r>
          </w:p>
        </w:tc>
        <w:tc>
          <w:tcPr>
            <w:tcW w:w="602" w:type="pct"/>
          </w:tcPr>
          <w:p w:rsidR="003A7092" w:rsidRPr="00DD6692" w:rsidRDefault="003A7092" w:rsidP="003A7092">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$1.28</w:t>
            </w:r>
          </w:p>
        </w:tc>
        <w:tc>
          <w:tcPr>
            <w:tcW w:w="601" w:type="pct"/>
          </w:tcPr>
          <w:p w:rsidR="003A7092" w:rsidRPr="00DD6692" w:rsidRDefault="00632495" w:rsidP="003A7092">
            <w:pPr>
              <w:jc w:val="center"/>
              <w:cnfStyle w:val="000000100000" w:firstRow="0" w:lastRow="0" w:firstColumn="0" w:lastColumn="0" w:oddVBand="0" w:evenVBand="0" w:oddHBand="1" w:evenHBand="0" w:firstRowFirstColumn="0" w:firstRowLastColumn="0" w:lastRowFirstColumn="0" w:lastRowLastColumn="0"/>
            </w:pPr>
            <w:r w:rsidRPr="00DD6692">
              <w:t>-</w:t>
            </w:r>
          </w:p>
        </w:tc>
      </w:tr>
      <w:tr w:rsidR="00733273" w:rsidRPr="00DD6692" w:rsidTr="00864828">
        <w:trPr>
          <w:trHeight w:val="300"/>
        </w:trPr>
        <w:tc>
          <w:tcPr>
            <w:cnfStyle w:val="001000000000" w:firstRow="0" w:lastRow="0" w:firstColumn="1" w:lastColumn="0" w:oddVBand="0" w:evenVBand="0" w:oddHBand="0" w:evenHBand="0" w:firstRowFirstColumn="0" w:firstRowLastColumn="0" w:lastRowFirstColumn="0" w:lastRowLastColumn="0"/>
            <w:tcW w:w="2660" w:type="pct"/>
            <w:vAlign w:val="center"/>
          </w:tcPr>
          <w:p w:rsidR="00733273" w:rsidRPr="00DD6692" w:rsidRDefault="00733273" w:rsidP="00733273">
            <w:pPr>
              <w:pStyle w:val="ListParagraph"/>
              <w:keepNext/>
              <w:numPr>
                <w:ilvl w:val="0"/>
                <w:numId w:val="0"/>
              </w:numPr>
              <w:spacing w:before="40" w:after="40" w:line="240" w:lineRule="atLeast"/>
              <w:ind w:left="881"/>
              <w:rPr>
                <w:rFonts w:cstheme="minorHAnsi"/>
                <w:b w:val="0"/>
                <w:sz w:val="18"/>
                <w:szCs w:val="18"/>
              </w:rPr>
            </w:pPr>
            <w:r w:rsidRPr="00DD6692">
              <w:rPr>
                <w:rFonts w:cstheme="minorHAnsi"/>
                <w:b w:val="0"/>
                <w:sz w:val="18"/>
                <w:szCs w:val="18"/>
              </w:rPr>
              <w:t>Without COVID Adjustment</w:t>
            </w:r>
          </w:p>
        </w:tc>
        <w:tc>
          <w:tcPr>
            <w:tcW w:w="534" w:type="pct"/>
            <w:noWrap/>
            <w:vAlign w:val="center"/>
          </w:tcPr>
          <w:p w:rsidR="00733273" w:rsidRPr="00DD6692" w:rsidRDefault="00733273" w:rsidP="00733273">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$1.12</w:t>
            </w:r>
          </w:p>
        </w:tc>
        <w:tc>
          <w:tcPr>
            <w:tcW w:w="602" w:type="pct"/>
            <w:vAlign w:val="center"/>
          </w:tcPr>
          <w:p w:rsidR="00733273" w:rsidRPr="00DD6692" w:rsidRDefault="00733273" w:rsidP="00733273">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$1.21</w:t>
            </w:r>
          </w:p>
        </w:tc>
        <w:tc>
          <w:tcPr>
            <w:tcW w:w="602" w:type="pct"/>
            <w:vAlign w:val="center"/>
          </w:tcPr>
          <w:p w:rsidR="00733273" w:rsidRPr="00DD6692" w:rsidRDefault="00733273" w:rsidP="00733273">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$1.28</w:t>
            </w:r>
          </w:p>
        </w:tc>
        <w:tc>
          <w:tcPr>
            <w:tcW w:w="601" w:type="pct"/>
            <w:vAlign w:val="center"/>
          </w:tcPr>
          <w:p w:rsidR="00733273" w:rsidRPr="00DD6692" w:rsidRDefault="00733273" w:rsidP="00733273">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$1.68</w:t>
            </w:r>
          </w:p>
        </w:tc>
      </w:tr>
      <w:tr w:rsidR="00733273" w:rsidRPr="00DD6692" w:rsidTr="008648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0" w:type="pct"/>
            <w:vAlign w:val="center"/>
          </w:tcPr>
          <w:p w:rsidR="00733273" w:rsidRPr="00DD6692" w:rsidRDefault="00733273" w:rsidP="00733273">
            <w:pPr>
              <w:spacing w:before="40" w:after="40" w:line="240" w:lineRule="atLeast"/>
              <w:rPr>
                <w:rFonts w:cstheme="minorHAnsi"/>
                <w:sz w:val="18"/>
                <w:szCs w:val="18"/>
              </w:rPr>
            </w:pPr>
            <w:bookmarkStart w:id="36" w:name="OLE_LINK6"/>
            <w:r w:rsidRPr="00DD6692">
              <w:rPr>
                <w:rFonts w:cstheme="minorHAnsi"/>
                <w:sz w:val="18"/>
                <w:szCs w:val="18"/>
              </w:rPr>
              <w:t>Cumulative cost per hour, after margin</w:t>
            </w:r>
            <w:bookmarkEnd w:id="36"/>
          </w:p>
        </w:tc>
        <w:tc>
          <w:tcPr>
            <w:tcW w:w="534" w:type="pct"/>
            <w:noWrap/>
            <w:vAlign w:val="center"/>
          </w:tcPr>
          <w:p w:rsidR="00733273" w:rsidRPr="00DD6692" w:rsidRDefault="00733273" w:rsidP="00733273">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p>
        </w:tc>
        <w:tc>
          <w:tcPr>
            <w:tcW w:w="602" w:type="pct"/>
            <w:vAlign w:val="center"/>
          </w:tcPr>
          <w:p w:rsidR="00733273" w:rsidRPr="00DD6692" w:rsidRDefault="00733273" w:rsidP="00733273">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p>
        </w:tc>
        <w:tc>
          <w:tcPr>
            <w:tcW w:w="602" w:type="pct"/>
            <w:vAlign w:val="center"/>
          </w:tcPr>
          <w:p w:rsidR="00733273" w:rsidRPr="00DD6692" w:rsidRDefault="00733273" w:rsidP="00733273">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p>
        </w:tc>
        <w:tc>
          <w:tcPr>
            <w:tcW w:w="601" w:type="pct"/>
            <w:vAlign w:val="center"/>
          </w:tcPr>
          <w:p w:rsidR="00733273" w:rsidRPr="00DD6692" w:rsidRDefault="00733273" w:rsidP="00733273">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p>
        </w:tc>
      </w:tr>
      <w:tr w:rsidR="003A7092" w:rsidRPr="00DD6692" w:rsidTr="00864828">
        <w:trPr>
          <w:trHeight w:val="300"/>
        </w:trPr>
        <w:tc>
          <w:tcPr>
            <w:cnfStyle w:val="001000000000" w:firstRow="0" w:lastRow="0" w:firstColumn="1" w:lastColumn="0" w:oddVBand="0" w:evenVBand="0" w:oddHBand="0" w:evenHBand="0" w:firstRowFirstColumn="0" w:firstRowLastColumn="0" w:lastRowFirstColumn="0" w:lastRowLastColumn="0"/>
            <w:tcW w:w="2660" w:type="pct"/>
            <w:vAlign w:val="center"/>
          </w:tcPr>
          <w:p w:rsidR="003A7092" w:rsidRPr="00DD6692" w:rsidRDefault="003A7092" w:rsidP="003A7092">
            <w:pPr>
              <w:pStyle w:val="ListParagraph"/>
              <w:keepNext/>
              <w:numPr>
                <w:ilvl w:val="0"/>
                <w:numId w:val="0"/>
              </w:numPr>
              <w:spacing w:before="40" w:after="40" w:line="240" w:lineRule="atLeast"/>
              <w:ind w:left="881"/>
              <w:rPr>
                <w:rFonts w:cstheme="minorHAnsi"/>
                <w:sz w:val="18"/>
                <w:szCs w:val="18"/>
              </w:rPr>
            </w:pPr>
            <w:r w:rsidRPr="00DD6692">
              <w:rPr>
                <w:rFonts w:cstheme="minorHAnsi"/>
                <w:sz w:val="18"/>
                <w:szCs w:val="18"/>
              </w:rPr>
              <w:t>SIL and Group Supports</w:t>
            </w:r>
          </w:p>
        </w:tc>
        <w:tc>
          <w:tcPr>
            <w:tcW w:w="534" w:type="pct"/>
            <w:noWrap/>
          </w:tcPr>
          <w:p w:rsidR="003A7092" w:rsidRPr="00DD6692" w:rsidRDefault="003A7092" w:rsidP="003A7092">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$57.30</w:t>
            </w:r>
          </w:p>
        </w:tc>
        <w:tc>
          <w:tcPr>
            <w:tcW w:w="602" w:type="pct"/>
          </w:tcPr>
          <w:p w:rsidR="003A7092" w:rsidRPr="00DD6692" w:rsidRDefault="003A7092" w:rsidP="003A7092">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$62.01</w:t>
            </w:r>
          </w:p>
        </w:tc>
        <w:tc>
          <w:tcPr>
            <w:tcW w:w="602" w:type="pct"/>
          </w:tcPr>
          <w:p w:rsidR="003A7092" w:rsidRPr="00DD6692" w:rsidRDefault="003A7092" w:rsidP="003A7092">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$65.32</w:t>
            </w:r>
          </w:p>
        </w:tc>
        <w:tc>
          <w:tcPr>
            <w:tcW w:w="601" w:type="pct"/>
          </w:tcPr>
          <w:p w:rsidR="003A7092" w:rsidRPr="00DD6692" w:rsidRDefault="00632495" w:rsidP="003A7092">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w:t>
            </w:r>
          </w:p>
        </w:tc>
      </w:tr>
      <w:tr w:rsidR="003A7092" w:rsidRPr="00DD6692" w:rsidTr="008648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0" w:type="pct"/>
            <w:vAlign w:val="center"/>
          </w:tcPr>
          <w:p w:rsidR="003A7092" w:rsidRPr="00DD6692" w:rsidRDefault="003A7092" w:rsidP="003A7092">
            <w:pPr>
              <w:pStyle w:val="ListParagraph"/>
              <w:keepNext/>
              <w:numPr>
                <w:ilvl w:val="0"/>
                <w:numId w:val="0"/>
              </w:numPr>
              <w:spacing w:before="40" w:after="40" w:line="240" w:lineRule="atLeast"/>
              <w:ind w:left="881"/>
              <w:rPr>
                <w:rFonts w:cstheme="minorHAnsi"/>
                <w:sz w:val="18"/>
                <w:szCs w:val="18"/>
              </w:rPr>
            </w:pPr>
            <w:r w:rsidRPr="00DD6692">
              <w:rPr>
                <w:rFonts w:cstheme="minorHAnsi"/>
                <w:sz w:val="18"/>
                <w:szCs w:val="18"/>
              </w:rPr>
              <w:t>Other Core Supports</w:t>
            </w:r>
          </w:p>
        </w:tc>
        <w:tc>
          <w:tcPr>
            <w:tcW w:w="534" w:type="pct"/>
            <w:noWrap/>
          </w:tcPr>
          <w:p w:rsidR="003A7092" w:rsidRPr="00DD6692" w:rsidRDefault="003A7092" w:rsidP="003A7092">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$57.23</w:t>
            </w:r>
          </w:p>
        </w:tc>
        <w:tc>
          <w:tcPr>
            <w:tcW w:w="602" w:type="pct"/>
          </w:tcPr>
          <w:p w:rsidR="003A7092" w:rsidRPr="00DD6692" w:rsidRDefault="003A7092" w:rsidP="003A7092">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$61.92</w:t>
            </w:r>
          </w:p>
        </w:tc>
        <w:tc>
          <w:tcPr>
            <w:tcW w:w="602" w:type="pct"/>
          </w:tcPr>
          <w:p w:rsidR="003A7092" w:rsidRPr="00DD6692" w:rsidRDefault="003A7092" w:rsidP="003A7092">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$65.23</w:t>
            </w:r>
          </w:p>
        </w:tc>
        <w:tc>
          <w:tcPr>
            <w:tcW w:w="601" w:type="pct"/>
          </w:tcPr>
          <w:p w:rsidR="003A7092" w:rsidRPr="00DD6692" w:rsidRDefault="00632495" w:rsidP="003A7092">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D6692">
              <w:rPr>
                <w:rFonts w:cstheme="minorHAnsi"/>
                <w:b/>
                <w:sz w:val="18"/>
                <w:szCs w:val="18"/>
              </w:rPr>
              <w:t>-</w:t>
            </w:r>
          </w:p>
        </w:tc>
      </w:tr>
      <w:tr w:rsidR="00733273" w:rsidRPr="00DD6692" w:rsidTr="00864828">
        <w:trPr>
          <w:trHeight w:val="300"/>
        </w:trPr>
        <w:tc>
          <w:tcPr>
            <w:cnfStyle w:val="001000000000" w:firstRow="0" w:lastRow="0" w:firstColumn="1" w:lastColumn="0" w:oddVBand="0" w:evenVBand="0" w:oddHBand="0" w:evenHBand="0" w:firstRowFirstColumn="0" w:firstRowLastColumn="0" w:lastRowFirstColumn="0" w:lastRowLastColumn="0"/>
            <w:tcW w:w="2660" w:type="pct"/>
            <w:vAlign w:val="center"/>
          </w:tcPr>
          <w:p w:rsidR="00733273" w:rsidRPr="00DD6692" w:rsidRDefault="00733273" w:rsidP="00733273">
            <w:pPr>
              <w:pStyle w:val="ListParagraph"/>
              <w:keepNext/>
              <w:numPr>
                <w:ilvl w:val="0"/>
                <w:numId w:val="0"/>
              </w:numPr>
              <w:spacing w:before="40" w:after="40" w:line="240" w:lineRule="atLeast"/>
              <w:ind w:left="881"/>
              <w:rPr>
                <w:rFonts w:cstheme="minorHAnsi"/>
                <w:sz w:val="18"/>
                <w:szCs w:val="18"/>
              </w:rPr>
            </w:pPr>
            <w:r w:rsidRPr="00DD6692">
              <w:rPr>
                <w:rFonts w:cstheme="minorHAnsi"/>
                <w:sz w:val="18"/>
                <w:szCs w:val="18"/>
              </w:rPr>
              <w:t>Without COVID Adjustment</w:t>
            </w:r>
          </w:p>
        </w:tc>
        <w:tc>
          <w:tcPr>
            <w:tcW w:w="534" w:type="pct"/>
            <w:noWrap/>
            <w:vAlign w:val="center"/>
          </w:tcPr>
          <w:p w:rsidR="00733273" w:rsidRPr="00DD6692" w:rsidRDefault="00733273" w:rsidP="003A7092">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$57.10</w:t>
            </w:r>
          </w:p>
        </w:tc>
        <w:tc>
          <w:tcPr>
            <w:tcW w:w="602" w:type="pct"/>
            <w:vAlign w:val="center"/>
          </w:tcPr>
          <w:p w:rsidR="00733273" w:rsidRPr="00DD6692" w:rsidRDefault="00733273" w:rsidP="003A7092">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$61.79</w:t>
            </w:r>
          </w:p>
        </w:tc>
        <w:tc>
          <w:tcPr>
            <w:tcW w:w="602" w:type="pct"/>
            <w:vAlign w:val="center"/>
          </w:tcPr>
          <w:p w:rsidR="00733273" w:rsidRPr="00DD6692" w:rsidRDefault="00733273" w:rsidP="003A7092">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$65.09</w:t>
            </w:r>
          </w:p>
        </w:tc>
        <w:tc>
          <w:tcPr>
            <w:tcW w:w="601" w:type="pct"/>
            <w:vAlign w:val="center"/>
          </w:tcPr>
          <w:p w:rsidR="00733273" w:rsidRPr="00DD6692" w:rsidRDefault="00733273" w:rsidP="003A7092">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D6692">
              <w:rPr>
                <w:rFonts w:cstheme="minorHAnsi"/>
                <w:b/>
                <w:sz w:val="18"/>
                <w:szCs w:val="18"/>
              </w:rPr>
              <w:t>$85.61</w:t>
            </w:r>
          </w:p>
        </w:tc>
      </w:tr>
      <w:tr w:rsidR="00733273" w:rsidRPr="00DD6692" w:rsidTr="008648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0" w:type="pct"/>
            <w:vAlign w:val="center"/>
          </w:tcPr>
          <w:p w:rsidR="00733273" w:rsidRPr="00DD6692" w:rsidRDefault="00733273" w:rsidP="00733273">
            <w:pPr>
              <w:spacing w:before="40" w:after="40" w:line="240" w:lineRule="atLeast"/>
              <w:rPr>
                <w:rFonts w:cstheme="minorHAnsi"/>
                <w:b w:val="0"/>
                <w:sz w:val="18"/>
                <w:szCs w:val="18"/>
              </w:rPr>
            </w:pPr>
            <w:r w:rsidRPr="00DD6692">
              <w:rPr>
                <w:rFonts w:cstheme="minorHAnsi"/>
                <w:b w:val="0"/>
                <w:sz w:val="18"/>
                <w:szCs w:val="18"/>
              </w:rPr>
              <w:t>Cumulative increase from standard hourly rate</w:t>
            </w:r>
          </w:p>
        </w:tc>
        <w:tc>
          <w:tcPr>
            <w:tcW w:w="534" w:type="pct"/>
            <w:noWrap/>
            <w:vAlign w:val="center"/>
          </w:tcPr>
          <w:p w:rsidR="00733273" w:rsidRPr="00DD6692" w:rsidRDefault="00733273" w:rsidP="00733273">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602" w:type="pct"/>
            <w:vAlign w:val="center"/>
          </w:tcPr>
          <w:p w:rsidR="00733273" w:rsidRPr="00DD6692" w:rsidRDefault="00733273" w:rsidP="00733273">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602" w:type="pct"/>
            <w:vAlign w:val="center"/>
          </w:tcPr>
          <w:p w:rsidR="00733273" w:rsidRPr="00DD6692" w:rsidRDefault="00733273" w:rsidP="00733273">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601" w:type="pct"/>
            <w:vAlign w:val="center"/>
          </w:tcPr>
          <w:p w:rsidR="00733273" w:rsidRPr="00DD6692" w:rsidRDefault="00733273" w:rsidP="00733273">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3A7092" w:rsidRPr="00DD6692" w:rsidTr="00864828">
        <w:trPr>
          <w:trHeight w:val="300"/>
        </w:trPr>
        <w:tc>
          <w:tcPr>
            <w:cnfStyle w:val="001000000000" w:firstRow="0" w:lastRow="0" w:firstColumn="1" w:lastColumn="0" w:oddVBand="0" w:evenVBand="0" w:oddHBand="0" w:evenHBand="0" w:firstRowFirstColumn="0" w:firstRowLastColumn="0" w:lastRowFirstColumn="0" w:lastRowLastColumn="0"/>
            <w:tcW w:w="2660" w:type="pct"/>
            <w:vAlign w:val="center"/>
          </w:tcPr>
          <w:p w:rsidR="003A7092" w:rsidRPr="00DD6692" w:rsidRDefault="003A7092" w:rsidP="003A7092">
            <w:pPr>
              <w:pStyle w:val="ListParagraph"/>
              <w:keepNext/>
              <w:numPr>
                <w:ilvl w:val="0"/>
                <w:numId w:val="0"/>
              </w:numPr>
              <w:spacing w:before="40" w:after="40" w:line="240" w:lineRule="atLeast"/>
              <w:ind w:left="881"/>
              <w:rPr>
                <w:rFonts w:cstheme="minorHAnsi"/>
                <w:b w:val="0"/>
                <w:sz w:val="18"/>
                <w:szCs w:val="18"/>
              </w:rPr>
            </w:pPr>
            <w:r w:rsidRPr="00DD6692">
              <w:rPr>
                <w:rFonts w:cstheme="minorHAnsi"/>
                <w:b w:val="0"/>
                <w:sz w:val="18"/>
                <w:szCs w:val="18"/>
              </w:rPr>
              <w:t>SIL and Group Supports</w:t>
            </w:r>
          </w:p>
        </w:tc>
        <w:tc>
          <w:tcPr>
            <w:tcW w:w="534" w:type="pct"/>
            <w:noWrap/>
          </w:tcPr>
          <w:p w:rsidR="003A7092" w:rsidRPr="00DD6692" w:rsidRDefault="00BD5D67" w:rsidP="003A7092">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85.2</w:t>
            </w:r>
            <w:r w:rsidR="003A7092" w:rsidRPr="00DD6692">
              <w:rPr>
                <w:rFonts w:cstheme="minorHAnsi"/>
                <w:sz w:val="18"/>
                <w:szCs w:val="18"/>
              </w:rPr>
              <w:t>%</w:t>
            </w:r>
          </w:p>
        </w:tc>
        <w:tc>
          <w:tcPr>
            <w:tcW w:w="602" w:type="pct"/>
          </w:tcPr>
          <w:p w:rsidR="003A7092" w:rsidRPr="00DD6692" w:rsidRDefault="00BD5D67" w:rsidP="003A7092">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92.8</w:t>
            </w:r>
            <w:r w:rsidR="003A7092" w:rsidRPr="00DD6692">
              <w:rPr>
                <w:rFonts w:cstheme="minorHAnsi"/>
                <w:sz w:val="18"/>
                <w:szCs w:val="18"/>
              </w:rPr>
              <w:t>%</w:t>
            </w:r>
          </w:p>
        </w:tc>
        <w:tc>
          <w:tcPr>
            <w:tcW w:w="602" w:type="pct"/>
          </w:tcPr>
          <w:p w:rsidR="003A7092" w:rsidRPr="00DD6692" w:rsidRDefault="00BD5D67" w:rsidP="003A7092">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95.1</w:t>
            </w:r>
            <w:r w:rsidR="003A7092" w:rsidRPr="00DD6692">
              <w:rPr>
                <w:rFonts w:cstheme="minorHAnsi"/>
                <w:sz w:val="18"/>
                <w:szCs w:val="18"/>
              </w:rPr>
              <w:t>%</w:t>
            </w:r>
          </w:p>
        </w:tc>
        <w:tc>
          <w:tcPr>
            <w:tcW w:w="601" w:type="pct"/>
          </w:tcPr>
          <w:p w:rsidR="003A7092" w:rsidRPr="00DD6692" w:rsidRDefault="00632495" w:rsidP="003A7092">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w:t>
            </w:r>
          </w:p>
        </w:tc>
      </w:tr>
      <w:tr w:rsidR="003A7092" w:rsidRPr="00DD6692" w:rsidTr="008648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0" w:type="pct"/>
            <w:vAlign w:val="center"/>
          </w:tcPr>
          <w:p w:rsidR="003A7092" w:rsidRPr="00DD6692" w:rsidRDefault="003A7092" w:rsidP="003A7092">
            <w:pPr>
              <w:pStyle w:val="ListParagraph"/>
              <w:keepNext/>
              <w:numPr>
                <w:ilvl w:val="0"/>
                <w:numId w:val="0"/>
              </w:numPr>
              <w:spacing w:before="40" w:after="40" w:line="240" w:lineRule="atLeast"/>
              <w:ind w:left="881"/>
              <w:rPr>
                <w:rFonts w:cstheme="minorHAnsi"/>
                <w:b w:val="0"/>
                <w:sz w:val="18"/>
                <w:szCs w:val="18"/>
              </w:rPr>
            </w:pPr>
            <w:r w:rsidRPr="00DD6692">
              <w:rPr>
                <w:rFonts w:cstheme="minorHAnsi"/>
                <w:b w:val="0"/>
                <w:sz w:val="18"/>
                <w:szCs w:val="18"/>
              </w:rPr>
              <w:t>Other Core Supports</w:t>
            </w:r>
          </w:p>
        </w:tc>
        <w:tc>
          <w:tcPr>
            <w:tcW w:w="534" w:type="pct"/>
            <w:noWrap/>
          </w:tcPr>
          <w:p w:rsidR="003A7092" w:rsidRPr="00DD6692" w:rsidRDefault="00BD5D67" w:rsidP="003A7092">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85.0</w:t>
            </w:r>
            <w:r w:rsidR="003A7092" w:rsidRPr="00DD6692">
              <w:rPr>
                <w:rFonts w:cstheme="minorHAnsi"/>
                <w:sz w:val="18"/>
                <w:szCs w:val="18"/>
              </w:rPr>
              <w:t>%</w:t>
            </w:r>
          </w:p>
        </w:tc>
        <w:tc>
          <w:tcPr>
            <w:tcW w:w="602" w:type="pct"/>
          </w:tcPr>
          <w:p w:rsidR="003A7092" w:rsidRPr="00DD6692" w:rsidRDefault="00DD6692" w:rsidP="003A7092">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92.6</w:t>
            </w:r>
            <w:r w:rsidR="003A7092" w:rsidRPr="00DD6692">
              <w:rPr>
                <w:rFonts w:cstheme="minorHAnsi"/>
                <w:sz w:val="18"/>
                <w:szCs w:val="18"/>
              </w:rPr>
              <w:t>%</w:t>
            </w:r>
          </w:p>
        </w:tc>
        <w:tc>
          <w:tcPr>
            <w:tcW w:w="602" w:type="pct"/>
          </w:tcPr>
          <w:p w:rsidR="003A7092" w:rsidRPr="00DD6692" w:rsidRDefault="00BD5D67" w:rsidP="003A7092">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94.8</w:t>
            </w:r>
            <w:r w:rsidR="003A7092" w:rsidRPr="00DD6692">
              <w:rPr>
                <w:rFonts w:cstheme="minorHAnsi"/>
                <w:sz w:val="18"/>
                <w:szCs w:val="18"/>
              </w:rPr>
              <w:t>%</w:t>
            </w:r>
          </w:p>
        </w:tc>
        <w:tc>
          <w:tcPr>
            <w:tcW w:w="601" w:type="pct"/>
          </w:tcPr>
          <w:p w:rsidR="003A7092" w:rsidRPr="00DD6692" w:rsidRDefault="00632495" w:rsidP="003A7092">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D6692">
              <w:rPr>
                <w:rFonts w:cstheme="minorHAnsi"/>
                <w:sz w:val="18"/>
                <w:szCs w:val="18"/>
              </w:rPr>
              <w:t>-</w:t>
            </w:r>
          </w:p>
        </w:tc>
      </w:tr>
      <w:tr w:rsidR="003A7092" w:rsidRPr="00DD6692" w:rsidTr="00864828">
        <w:trPr>
          <w:trHeight w:val="300"/>
        </w:trPr>
        <w:tc>
          <w:tcPr>
            <w:cnfStyle w:val="001000000000" w:firstRow="0" w:lastRow="0" w:firstColumn="1" w:lastColumn="0" w:oddVBand="0" w:evenVBand="0" w:oddHBand="0" w:evenHBand="0" w:firstRowFirstColumn="0" w:firstRowLastColumn="0" w:lastRowFirstColumn="0" w:lastRowLastColumn="0"/>
            <w:tcW w:w="2660" w:type="pct"/>
            <w:vAlign w:val="center"/>
          </w:tcPr>
          <w:p w:rsidR="003A7092" w:rsidRPr="00DD6692" w:rsidRDefault="003A7092" w:rsidP="003A7092">
            <w:pPr>
              <w:pStyle w:val="ListParagraph"/>
              <w:keepNext/>
              <w:numPr>
                <w:ilvl w:val="0"/>
                <w:numId w:val="0"/>
              </w:numPr>
              <w:spacing w:before="40" w:after="40" w:line="240" w:lineRule="atLeast"/>
              <w:ind w:left="881"/>
              <w:rPr>
                <w:rFonts w:cstheme="minorHAnsi"/>
                <w:b w:val="0"/>
                <w:sz w:val="18"/>
                <w:szCs w:val="18"/>
              </w:rPr>
            </w:pPr>
            <w:r w:rsidRPr="00DD6692">
              <w:rPr>
                <w:rFonts w:cstheme="minorHAnsi"/>
                <w:b w:val="0"/>
                <w:sz w:val="18"/>
                <w:szCs w:val="18"/>
              </w:rPr>
              <w:t>Without COVID Adjustment</w:t>
            </w:r>
          </w:p>
        </w:tc>
        <w:tc>
          <w:tcPr>
            <w:tcW w:w="534" w:type="pct"/>
            <w:noWrap/>
          </w:tcPr>
          <w:p w:rsidR="003A7092" w:rsidRPr="00DD6692" w:rsidRDefault="00DD6692" w:rsidP="003A7092">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84.5</w:t>
            </w:r>
            <w:r w:rsidR="003A7092" w:rsidRPr="00DD6692">
              <w:rPr>
                <w:rFonts w:cstheme="minorHAnsi"/>
                <w:sz w:val="18"/>
                <w:szCs w:val="18"/>
              </w:rPr>
              <w:t>%</w:t>
            </w:r>
          </w:p>
        </w:tc>
        <w:tc>
          <w:tcPr>
            <w:tcW w:w="602" w:type="pct"/>
          </w:tcPr>
          <w:p w:rsidR="003A7092" w:rsidRPr="00DD6692" w:rsidRDefault="00BD5D67" w:rsidP="003A7092">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92.1</w:t>
            </w:r>
            <w:r w:rsidR="003A7092" w:rsidRPr="00DD6692">
              <w:rPr>
                <w:rFonts w:cstheme="minorHAnsi"/>
                <w:sz w:val="18"/>
                <w:szCs w:val="18"/>
              </w:rPr>
              <w:t>%</w:t>
            </w:r>
          </w:p>
        </w:tc>
        <w:tc>
          <w:tcPr>
            <w:tcW w:w="602" w:type="pct"/>
          </w:tcPr>
          <w:p w:rsidR="003A7092" w:rsidRPr="00DD6692" w:rsidRDefault="00BD5D67" w:rsidP="003A7092">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94.4</w:t>
            </w:r>
            <w:r w:rsidR="003A7092" w:rsidRPr="00DD6692">
              <w:rPr>
                <w:rFonts w:cstheme="minorHAnsi"/>
                <w:sz w:val="18"/>
                <w:szCs w:val="18"/>
              </w:rPr>
              <w:t>%</w:t>
            </w:r>
          </w:p>
        </w:tc>
        <w:tc>
          <w:tcPr>
            <w:tcW w:w="601" w:type="pct"/>
          </w:tcPr>
          <w:p w:rsidR="003A7092" w:rsidRPr="00DD6692" w:rsidRDefault="00BD5D67" w:rsidP="003A7092">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D6692">
              <w:rPr>
                <w:rFonts w:cstheme="minorHAnsi"/>
                <w:sz w:val="18"/>
                <w:szCs w:val="18"/>
              </w:rPr>
              <w:t>112.0</w:t>
            </w:r>
            <w:r w:rsidR="003A7092" w:rsidRPr="00DD6692">
              <w:rPr>
                <w:rFonts w:cstheme="minorHAnsi"/>
                <w:sz w:val="18"/>
                <w:szCs w:val="18"/>
              </w:rPr>
              <w:t>%</w:t>
            </w:r>
          </w:p>
        </w:tc>
      </w:tr>
    </w:tbl>
    <w:p w:rsidR="00A50A5A" w:rsidRPr="00DD6692" w:rsidRDefault="00A50A5A" w:rsidP="00A50A5A">
      <w:pPr>
        <w:pStyle w:val="Heading2"/>
        <w:sectPr w:rsidR="00A50A5A" w:rsidRPr="00DD6692" w:rsidSect="00A54E47">
          <w:pgSz w:w="11906" w:h="16838" w:code="9"/>
          <w:pgMar w:top="1440" w:right="1440" w:bottom="1440" w:left="1440" w:header="709" w:footer="709" w:gutter="0"/>
          <w:cols w:space="708"/>
          <w:titlePg/>
          <w:docGrid w:linePitch="360"/>
        </w:sectPr>
      </w:pPr>
    </w:p>
    <w:p w:rsidR="00A50A5A" w:rsidRPr="00DD6692" w:rsidRDefault="009206DC" w:rsidP="00A50A5A">
      <w:pPr>
        <w:pStyle w:val="Heading1"/>
      </w:pPr>
      <w:bookmarkStart w:id="37" w:name="_Toc91063501"/>
      <w:r w:rsidRPr="00DD6692">
        <w:t>Accommodation</w:t>
      </w:r>
      <w:r w:rsidR="00A50A5A" w:rsidRPr="00DD6692">
        <w:t xml:space="preserve"> </w:t>
      </w:r>
      <w:r w:rsidRPr="00DD6692">
        <w:t>Cost Amounts</w:t>
      </w:r>
      <w:bookmarkEnd w:id="37"/>
    </w:p>
    <w:p w:rsidR="00103152" w:rsidRPr="00DD6692" w:rsidRDefault="00103152" w:rsidP="00103152">
      <w:r w:rsidRPr="00DD6692">
        <w:t xml:space="preserve">These amounts are indexed on 1 July each year in line with movements in the increase in the Consumer Price Index over the 12 months to </w:t>
      </w:r>
      <w:r w:rsidR="004C63FA" w:rsidRPr="00DD6692">
        <w:t>the end of the preceding March.</w:t>
      </w:r>
    </w:p>
    <w:p w:rsidR="00A50A5A" w:rsidRPr="00DD6692" w:rsidRDefault="00A50A5A" w:rsidP="00A50A5A">
      <w:pPr>
        <w:pStyle w:val="Heading2"/>
      </w:pPr>
      <w:bookmarkStart w:id="38" w:name="_Toc91063502"/>
      <w:r w:rsidRPr="00DD6692">
        <w:t>Centre Based Capital Amount</w:t>
      </w:r>
      <w:bookmarkEnd w:id="38"/>
    </w:p>
    <w:p w:rsidR="00A50A5A" w:rsidRPr="00DD6692" w:rsidRDefault="00A50A5A" w:rsidP="00A50A5A">
      <w:r w:rsidRPr="00DD6692">
        <w:t>When a support item (“the primary support”) in the Assistance with Social, Economic and Community Participation Support Category is delivered in a facility (Centre), by a provider in one of the following Registration Groups:</w:t>
      </w:r>
    </w:p>
    <w:p w:rsidR="00A50A5A" w:rsidRPr="00DD6692" w:rsidRDefault="00A50A5A" w:rsidP="00103152">
      <w:pPr>
        <w:pStyle w:val="ListParagraph"/>
        <w:numPr>
          <w:ilvl w:val="0"/>
          <w:numId w:val="8"/>
        </w:numPr>
      </w:pPr>
      <w:r w:rsidRPr="00DD6692">
        <w:t>High Intensity Daily Personal Activities (0104);</w:t>
      </w:r>
    </w:p>
    <w:p w:rsidR="00A50A5A" w:rsidRPr="00DD6692" w:rsidRDefault="00A50A5A" w:rsidP="00103152">
      <w:pPr>
        <w:pStyle w:val="ListParagraph"/>
        <w:numPr>
          <w:ilvl w:val="0"/>
          <w:numId w:val="8"/>
        </w:numPr>
      </w:pPr>
      <w:r w:rsidRPr="00DD6692">
        <w:t>Specialised Supported Employment (0133); and</w:t>
      </w:r>
    </w:p>
    <w:p w:rsidR="00A50A5A" w:rsidRPr="00DD6692" w:rsidRDefault="00A50A5A" w:rsidP="00103152">
      <w:pPr>
        <w:pStyle w:val="ListParagraph"/>
        <w:numPr>
          <w:ilvl w:val="0"/>
          <w:numId w:val="8"/>
        </w:numPr>
      </w:pPr>
      <w:r w:rsidRPr="00DD6692">
        <w:t>Group and Centre Based Activities (0136)</w:t>
      </w:r>
    </w:p>
    <w:p w:rsidR="00A50A5A" w:rsidRPr="00DD6692" w:rsidRDefault="00A50A5A" w:rsidP="00A50A5A">
      <w:r w:rsidRPr="00DD6692">
        <w:t xml:space="preserve">then the provider can claim an additional amount for the costs of running and maintaining the facility through the relevant Centre Capital Cost support item. </w:t>
      </w:r>
    </w:p>
    <w:p w:rsidR="00A50A5A" w:rsidRPr="00DD6692" w:rsidRDefault="00A50A5A" w:rsidP="00A50A5A">
      <w:r w:rsidRPr="00DD6692">
        <w:t>If the primary support is being delivered to a group of participants, then the provider can claim up to price limit of the relevant Centre Capital Cost support item in respect of each of the participants for each hour of the support.</w:t>
      </w:r>
    </w:p>
    <w:p w:rsidR="00A50A5A" w:rsidRPr="00DD6692" w:rsidRDefault="00A50A5A" w:rsidP="00A50A5A">
      <w:r w:rsidRPr="00DD6692">
        <w:t>When a support is delivered partially in a Centre and partially in the Community, and the Centre is available at all time during the support if required, then providers can claim up to the price limit for the relevant Centre Capital Cost support item in respect of each of the participants for each hour of the entire period of the support.</w:t>
      </w:r>
    </w:p>
    <w:p w:rsidR="00A50A5A" w:rsidRPr="00DD6692" w:rsidRDefault="00A50A5A" w:rsidP="00A50A5A">
      <w:r w:rsidRPr="00DD6692">
        <w:t>In 2021-22</w:t>
      </w:r>
      <w:r w:rsidR="00C222C8" w:rsidRPr="00DD6692">
        <w:t>,</w:t>
      </w:r>
      <w:r w:rsidRPr="00DD6692">
        <w:t xml:space="preserve"> the Centre Based Capital Amount is $2.17.</w:t>
      </w:r>
    </w:p>
    <w:p w:rsidR="00A50A5A" w:rsidRPr="00DD6692" w:rsidRDefault="00C222C8" w:rsidP="00A50A5A">
      <w:pPr>
        <w:pStyle w:val="Heading2"/>
      </w:pPr>
      <w:bookmarkStart w:id="39" w:name="_Ref75514832"/>
      <w:bookmarkStart w:id="40" w:name="_Toc91063503"/>
      <w:r w:rsidRPr="00DD6692">
        <w:t>Short</w:t>
      </w:r>
      <w:r w:rsidR="00A50A5A" w:rsidRPr="00DD6692">
        <w:t xml:space="preserve"> Term Accommodation Amount</w:t>
      </w:r>
      <w:bookmarkEnd w:id="39"/>
      <w:bookmarkEnd w:id="40"/>
    </w:p>
    <w:p w:rsidR="00C222C8" w:rsidRPr="00DD6692" w:rsidRDefault="00C222C8" w:rsidP="00A50A5A">
      <w:r w:rsidRPr="00DD6692">
        <w:t>The short term accommodation amount has three components</w:t>
      </w:r>
    </w:p>
    <w:p w:rsidR="00C222C8" w:rsidRPr="00DD6692" w:rsidRDefault="00C222C8" w:rsidP="00103152">
      <w:pPr>
        <w:pStyle w:val="ListParagraph"/>
        <w:numPr>
          <w:ilvl w:val="0"/>
          <w:numId w:val="8"/>
        </w:numPr>
      </w:pPr>
      <w:r w:rsidRPr="00DD6692">
        <w:t>Short Term Accommodation Labour Component, which covers the costs of the disability support workers providing support;</w:t>
      </w:r>
    </w:p>
    <w:p w:rsidR="00C222C8" w:rsidRPr="00DD6692" w:rsidRDefault="00C222C8" w:rsidP="00103152">
      <w:pPr>
        <w:pStyle w:val="ListParagraph"/>
        <w:numPr>
          <w:ilvl w:val="0"/>
          <w:numId w:val="8"/>
        </w:numPr>
      </w:pPr>
      <w:r w:rsidRPr="00DD6692">
        <w:t xml:space="preserve">Short Term Accommodation Capital Component, which covers the capital costs of the support; and </w:t>
      </w:r>
    </w:p>
    <w:p w:rsidR="00C222C8" w:rsidRPr="00DD6692" w:rsidRDefault="00C222C8" w:rsidP="00103152">
      <w:pPr>
        <w:pStyle w:val="ListParagraph"/>
        <w:numPr>
          <w:ilvl w:val="0"/>
          <w:numId w:val="8"/>
        </w:numPr>
      </w:pPr>
      <w:r w:rsidRPr="00DD6692">
        <w:t>Short Term Accommodation Hotel Component, which covers costs like food, heating, cleaning etc</w:t>
      </w:r>
      <w:r w:rsidR="004C63FA" w:rsidRPr="00DD6692">
        <w:t>.</w:t>
      </w:r>
      <w:r w:rsidRPr="00DD6692">
        <w:t xml:space="preserve"> associated with the support.</w:t>
      </w:r>
    </w:p>
    <w:p w:rsidR="00C222C8" w:rsidRPr="00DD6692" w:rsidRDefault="00C222C8" w:rsidP="00C222C8">
      <w:r w:rsidRPr="00DD6692">
        <w:t>In 2021-22, the latter two components are as follows:</w:t>
      </w:r>
    </w:p>
    <w:p w:rsidR="00103152" w:rsidRPr="00DD6692" w:rsidRDefault="00103152" w:rsidP="00103152">
      <w:pPr>
        <w:pStyle w:val="ListParagraph"/>
        <w:numPr>
          <w:ilvl w:val="0"/>
          <w:numId w:val="8"/>
        </w:numPr>
      </w:pPr>
      <w:r w:rsidRPr="00DD6692">
        <w:t xml:space="preserve">Short Term Accommodation Capital Component = $130.49 per day </w:t>
      </w:r>
    </w:p>
    <w:p w:rsidR="00103152" w:rsidRPr="00DD6692" w:rsidRDefault="00103152" w:rsidP="00103152">
      <w:pPr>
        <w:pStyle w:val="ListParagraph"/>
        <w:numPr>
          <w:ilvl w:val="0"/>
          <w:numId w:val="8"/>
        </w:numPr>
      </w:pPr>
      <w:r w:rsidRPr="00DD6692">
        <w:t>Short Term Accommodation Hotel Component = $52.92 per day</w:t>
      </w:r>
    </w:p>
    <w:p w:rsidR="00103152" w:rsidRPr="00DD6692" w:rsidRDefault="00103152" w:rsidP="00103152">
      <w:pPr>
        <w:pStyle w:val="Heading2"/>
      </w:pPr>
      <w:bookmarkStart w:id="41" w:name="_Toc91063504"/>
      <w:r w:rsidRPr="00DD6692">
        <w:t>Medium Term Accommodation Amount</w:t>
      </w:r>
      <w:bookmarkEnd w:id="41"/>
    </w:p>
    <w:p w:rsidR="00A50A5A" w:rsidRPr="00DD6692" w:rsidRDefault="00103152" w:rsidP="00C222C8">
      <w:r w:rsidRPr="00DD6692">
        <w:t>This amount is equal to the Short Term Accommodation Capital Component.</w:t>
      </w:r>
    </w:p>
    <w:p w:rsidR="00A50A5A" w:rsidRPr="00DD6692" w:rsidRDefault="00A50A5A" w:rsidP="00A50A5A">
      <w:pPr>
        <w:sectPr w:rsidR="00A50A5A" w:rsidRPr="00DD6692" w:rsidSect="00F7051C">
          <w:pgSz w:w="11906" w:h="16838" w:code="9"/>
          <w:pgMar w:top="1440" w:right="1440" w:bottom="1440" w:left="1440" w:header="709" w:footer="709" w:gutter="0"/>
          <w:cols w:space="708"/>
          <w:docGrid w:linePitch="360"/>
        </w:sectPr>
      </w:pPr>
    </w:p>
    <w:p w:rsidR="00ED5403" w:rsidRPr="00DD6692" w:rsidRDefault="00ED5403" w:rsidP="00ED5403">
      <w:pPr>
        <w:pStyle w:val="Heading1"/>
      </w:pPr>
      <w:bookmarkStart w:id="42" w:name="_Toc91063505"/>
      <w:r w:rsidRPr="00DD6692">
        <w:t>Price Limits Determined by the Cost Model</w:t>
      </w:r>
      <w:bookmarkEnd w:id="42"/>
    </w:p>
    <w:p w:rsidR="00AC5E2D" w:rsidRPr="00DD6692" w:rsidRDefault="00AC5E2D" w:rsidP="00AC5E2D">
      <w:r w:rsidRPr="00DD6692">
        <w:t xml:space="preserve">The following Table sets out how the price limits for each relevant NDIS support item is related to the NDIA’s estimates of the efficient costs of delivering supports. Further information can be found in the NDIA’s </w:t>
      </w:r>
      <w:r w:rsidR="00716C16" w:rsidRPr="00DD6692">
        <w:rPr>
          <w:i/>
        </w:rPr>
        <w:t>NDIS</w:t>
      </w:r>
      <w:r w:rsidR="00716C16" w:rsidRPr="00DD6692">
        <w:t xml:space="preserve"> </w:t>
      </w:r>
      <w:r w:rsidR="00716C16" w:rsidRPr="00DD6692">
        <w:rPr>
          <w:i/>
        </w:rPr>
        <w:t>Pricing Arrangements and Price Limits 202</w:t>
      </w:r>
      <w:r w:rsidRPr="00DD6692">
        <w:rPr>
          <w:i/>
        </w:rPr>
        <w:t>1</w:t>
      </w:r>
      <w:r w:rsidR="00BF0BCB" w:rsidRPr="00DD6692">
        <w:rPr>
          <w:i/>
        </w:rPr>
        <w:t xml:space="preserve">-22 </w:t>
      </w:r>
      <w:r w:rsidR="00BF0BCB" w:rsidRPr="00DD6692">
        <w:t xml:space="preserve">on the </w:t>
      </w:r>
      <w:hyperlink r:id="rId18" w:history="1">
        <w:r w:rsidR="00BF0BCB" w:rsidRPr="00DD6692">
          <w:rPr>
            <w:rStyle w:val="Hyperlink"/>
          </w:rPr>
          <w:t>NDIS website</w:t>
        </w:r>
      </w:hyperlink>
      <w:r w:rsidR="00BF0BCB" w:rsidRPr="00DD6692">
        <w:t>.</w:t>
      </w:r>
    </w:p>
    <w:tbl>
      <w:tblPr>
        <w:tblStyle w:val="GridTable4-Accent4"/>
        <w:tblW w:w="5000" w:type="pct"/>
        <w:tblLook w:val="04A0" w:firstRow="1" w:lastRow="0" w:firstColumn="1" w:lastColumn="0" w:noHBand="0" w:noVBand="1"/>
        <w:tblDescription w:val=" Price Limits Determined by the Cost Model. All NDIS supports that are determined or derived from the DSW Model."/>
      </w:tblPr>
      <w:tblGrid>
        <w:gridCol w:w="1980"/>
        <w:gridCol w:w="5670"/>
        <w:gridCol w:w="2268"/>
        <w:gridCol w:w="786"/>
        <w:gridCol w:w="2085"/>
        <w:gridCol w:w="1159"/>
      </w:tblGrid>
      <w:tr w:rsidR="00AE0D61" w:rsidRPr="00DD6692" w:rsidTr="0031554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AE0D61" w:rsidRPr="00DD6692" w:rsidRDefault="00DC3ED7" w:rsidP="00AE0D61">
            <w:pPr>
              <w:spacing w:before="0"/>
              <w:rPr>
                <w:rFonts w:ascii="Calibri" w:eastAsia="Times New Roman" w:hAnsi="Calibri" w:cs="Calibri"/>
                <w:sz w:val="16"/>
                <w:szCs w:val="16"/>
                <w:lang w:eastAsia="en-AU"/>
              </w:rPr>
            </w:pPr>
            <w:r w:rsidRPr="00DD6692">
              <w:rPr>
                <w:rFonts w:ascii="Calibri" w:eastAsia="Times New Roman" w:hAnsi="Calibri" w:cs="Calibri"/>
                <w:sz w:val="16"/>
                <w:szCs w:val="16"/>
                <w:lang w:eastAsia="en-AU"/>
              </w:rPr>
              <w:t>Sup</w:t>
            </w:r>
            <w:r w:rsidR="00AE0D61" w:rsidRPr="00DD6692">
              <w:rPr>
                <w:rFonts w:ascii="Calibri" w:eastAsia="Times New Roman" w:hAnsi="Calibri" w:cs="Calibri"/>
                <w:sz w:val="16"/>
                <w:szCs w:val="16"/>
                <w:lang w:eastAsia="en-AU"/>
              </w:rPr>
              <w:t>port Item Number</w:t>
            </w:r>
          </w:p>
        </w:tc>
        <w:tc>
          <w:tcPr>
            <w:tcW w:w="5670" w:type="dxa"/>
            <w:noWrap/>
            <w:vAlign w:val="center"/>
            <w:hideMark/>
          </w:tcPr>
          <w:p w:rsidR="00AE0D61" w:rsidRPr="00DD6692" w:rsidRDefault="00AE0D61" w:rsidP="00AE0D61">
            <w:pPr>
              <w:spacing w:before="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DD6692">
              <w:rPr>
                <w:rFonts w:ascii="Calibri" w:eastAsia="Times New Roman" w:hAnsi="Calibri" w:cs="Calibri"/>
                <w:sz w:val="16"/>
                <w:szCs w:val="16"/>
                <w:lang w:eastAsia="en-AU"/>
              </w:rPr>
              <w:t>Support Item Name</w:t>
            </w:r>
          </w:p>
        </w:tc>
        <w:tc>
          <w:tcPr>
            <w:tcW w:w="2268" w:type="dxa"/>
            <w:noWrap/>
            <w:vAlign w:val="center"/>
            <w:hideMark/>
          </w:tcPr>
          <w:p w:rsidR="00AE0D61" w:rsidRPr="00DD6692" w:rsidRDefault="00AE0D61" w:rsidP="00AE0D61">
            <w:pPr>
              <w:spacing w:before="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DD6692">
              <w:rPr>
                <w:rFonts w:ascii="Calibri" w:eastAsia="Times New Roman" w:hAnsi="Calibri" w:cs="Calibri"/>
                <w:sz w:val="16"/>
                <w:szCs w:val="16"/>
                <w:lang w:eastAsia="en-AU"/>
              </w:rPr>
              <w:t>Methodology</w:t>
            </w:r>
          </w:p>
        </w:tc>
        <w:tc>
          <w:tcPr>
            <w:tcW w:w="786" w:type="dxa"/>
            <w:noWrap/>
            <w:vAlign w:val="center"/>
            <w:hideMark/>
          </w:tcPr>
          <w:p w:rsidR="00AE0D61" w:rsidRPr="00DD6692" w:rsidRDefault="00AE0D61" w:rsidP="00AE0D61">
            <w:pPr>
              <w:spacing w:before="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DD6692">
              <w:rPr>
                <w:rFonts w:ascii="Calibri" w:eastAsia="Times New Roman" w:hAnsi="Calibri" w:cs="Calibri"/>
                <w:sz w:val="16"/>
                <w:szCs w:val="16"/>
                <w:lang w:eastAsia="en-AU"/>
              </w:rPr>
              <w:t>Basic Model</w:t>
            </w:r>
          </w:p>
        </w:tc>
        <w:tc>
          <w:tcPr>
            <w:tcW w:w="2085" w:type="dxa"/>
            <w:vAlign w:val="center"/>
            <w:hideMark/>
          </w:tcPr>
          <w:p w:rsidR="00AE0D61" w:rsidRPr="00DD6692" w:rsidRDefault="00AE0D61" w:rsidP="00AE0D61">
            <w:pPr>
              <w:spacing w:before="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DD6692">
              <w:rPr>
                <w:rFonts w:ascii="Calibri" w:eastAsia="Times New Roman" w:hAnsi="Calibri" w:cs="Calibri"/>
                <w:sz w:val="16"/>
                <w:szCs w:val="16"/>
                <w:lang w:eastAsia="en-AU"/>
              </w:rPr>
              <w:t>Loading</w:t>
            </w:r>
          </w:p>
        </w:tc>
        <w:tc>
          <w:tcPr>
            <w:tcW w:w="1159" w:type="dxa"/>
            <w:noWrap/>
            <w:vAlign w:val="center"/>
            <w:hideMark/>
          </w:tcPr>
          <w:p w:rsidR="00AE0D61" w:rsidRPr="00DD6692" w:rsidRDefault="00AE0D61" w:rsidP="00AE0D61">
            <w:pPr>
              <w:spacing w:before="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DD6692">
              <w:rPr>
                <w:rFonts w:ascii="Calibri" w:eastAsia="Times New Roman" w:hAnsi="Calibri" w:cs="Calibri"/>
                <w:sz w:val="16"/>
                <w:szCs w:val="16"/>
                <w:lang w:eastAsia="en-AU"/>
              </w:rPr>
              <w:t>Adjustment</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01_002_0107_1_1</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Standard - Weekday Night</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Night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DD6692">
              <w:rPr>
                <w:rFonts w:ascii="Calibri" w:hAnsi="Calibri" w:cs="Calibri"/>
                <w:sz w:val="16"/>
                <w:szCs w:val="16"/>
              </w:rPr>
              <w:t xml:space="preserve">See </w:t>
            </w:r>
            <w:r w:rsidRPr="00DD6692">
              <w:rPr>
                <w:rFonts w:ascii="Calibri" w:eastAsia="Times New Roman" w:hAnsi="Calibri" w:cs="Calibri"/>
                <w:color w:val="000000"/>
                <w:sz w:val="16"/>
                <w:szCs w:val="16"/>
                <w:lang w:eastAsia="en-AU"/>
              </w:rPr>
              <w:t>Note</w:t>
            </w:r>
            <w:r w:rsidRPr="00DD6692">
              <w:rPr>
                <w:rFonts w:ascii="Calibri" w:hAnsi="Calibri" w:cs="Calibri"/>
                <w:sz w:val="16"/>
                <w:szCs w:val="16"/>
              </w:rPr>
              <w:t xml:space="preserve"> 0.1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01_002_0107_1_1_T</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Standard - Weekday Night - TTP</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Night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01_010_0107_1_1</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Night-Time Sleepover</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2.1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01_011_0107_1_1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Standard - Weekday Daytime</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01_011_0107_1_1_T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Standard - Weekday Daytime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01_012_0107_1_1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Standard - Public Holiday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01_012_0107_1_1_T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Standard - Public Holiday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01_013_0107_1_1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Standard - Saturday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01_013_0107_1_1_T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Standard - Saturday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01_014_0107_1_1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Standard - Sunday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01_014_0107_1_1_T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Standard - Sunday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01_015_0107_1_1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Standard - Weekday Evening</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01_015_0107_1_1_T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Standard - Weekday Evening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01_045_0115_1_1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STA And Assistance (Inc. Respite) - 1:4 - Weekday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4.2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01_049_0104_1_1</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Establishment Fee For Personal Care/Participation</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3.1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01_049_0107_1_1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Establishment Fee For Personal Care/Participation</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3.1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01_051_0115_1_1</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STA And Assistance (Inc. Respite) - 1:4 - Saturday</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4.2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01_052_0115_1_1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STA And Assistance (Inc. Respite) - 1:4 - Sunday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4.2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01_053_0115_1_1</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STA And Assistance (Inc. Respite) - 1:4 - Public Holiday</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4.2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01_054_0115_1_1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STA And Assistance (Inc. Respite) - 1:2 - Weekday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4.2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01_055_0115_1_1</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STA And Assistance (Inc. Respite) - 1:2 - Saturday</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4.2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01_056_0115_1_1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STA And Assistance (Inc. Respite) - 1:2 - Sunday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4.2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01_057_0115_1_1</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STA And Assistance (Inc. Respite) - 1:2 - Public Holiday</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4.2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01_058_0115_1_1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STA And Assistance (Inc. Respite) - 1:1 - Weekday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4.2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01_059_0115_1_1</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STA And Assistance (Inc. Respite) - 1:1 - Saturday</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4.2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01_060_0115_1_1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STA And Assistance (Inc. Respite) - 1:1 - Sunday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4.2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01_061_0115_1_1</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STA And Assistance (Inc. Respite) - 1:1 - Public Holiday</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4.2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01_062_0115_1_1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STA And Assistance (Inc. Respite) - 1:3 - Weekday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4.2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01_063_0115_1_1</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STA And Assistance (Inc. Respite) - 1:3 - Saturday</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4.2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01_064_0115_1_1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STA And Assistance (Inc. Respite) - 1:3 - Sunday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4.2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01_065_0115_1_1</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STA And Assistance (Inc. Respite) - 1:3 - Public Holiday</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4.2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01_134_0117_8_1</w:t>
            </w:r>
          </w:p>
        </w:tc>
        <w:tc>
          <w:tcPr>
            <w:tcW w:w="5670" w:type="dxa"/>
            <w:noWrap/>
            <w:vAlign w:val="center"/>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Self-Management Capacity Building</w:t>
            </w:r>
          </w:p>
        </w:tc>
        <w:tc>
          <w:tcPr>
            <w:tcW w:w="2268" w:type="dxa"/>
            <w:noWrap/>
            <w:vAlign w:val="center"/>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C</w:t>
            </w:r>
          </w:p>
        </w:tc>
        <w:tc>
          <w:tcPr>
            <w:tcW w:w="2085" w:type="dxa"/>
            <w:noWrap/>
            <w:vAlign w:val="center"/>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01_200_0115_1_1</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in a STA - Weekday Daytime</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01_201_0115_1_1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in a STA - Weekday Evening</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01_202_0115_1_1</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in a STA - Saturday</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01_203_0115_1_1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in a STA - Sunday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01_204_0115_1_1</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in a STA - Public Holiday</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01_205_0115_1_1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in a STA - Weekday Night</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Night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01_300_0104_1_1</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Level 1 - Weekday Daytime</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01_300_0104_1_1_T</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Level 1 - Weekday Daytime - TTP</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01_301_0104_1_1</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Level 1 - Weekday Evening</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01_301_0104_1_1_T</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Level 1 - Weekday Evening - TTP</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01_302_0104_1_1</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Level 1 - Saturday</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01_302_0104_1_1_T</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Level 1 - Saturday - TTP</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01_303_0104_1_1</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Level 1 - Sunday</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01_303_0104_1_1_T</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Level 1 - Sunday - TTP</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01_304_0104_1_1</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Level 1 - Public Holiday</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01_304_0104_1_1_T</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Level 1 - Public Holiday - TTP</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01_305_0104_1_1</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Level 1 - Weekday Night</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Night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01_305_0104_1_1_T</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Level 1 - Weekday Night - TTP</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Night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01_400_0104_1_1</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Level 2 - Weekday Daytime</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01_400_0104_1_1_T</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Level 2 - Weekday Daytime - TTP</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01_401_0104_1_1</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Level 2 - Weekday Evening</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01_401_0104_1_1_T</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Level 2 - Weekday Evening - TTP</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01_402_0104_1_1</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Level 2 - Saturday</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01_402_0104_1_1_T</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Level 2 - Saturday - TTP</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01_403_0104_1_1</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Level 2 - Sunday</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01_403_0104_1_1_T</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Level 2 - Sunday - TTP</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01_404_0104_1_1</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Level 2 - Public Holiday</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01_404_0104_1_1_T</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Level 2 - Public Holiday - TTP</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01_405_0104_1_1</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Level 2 - Weekday Night</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Night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01_405_0104_1_1_T</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Level 2 - Weekday Night - TTP</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Night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01_500_0104_1_1</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Level 3 - Weekday Daytime</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C</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01_500_0104_1_1_T</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Level 3 - Weekday Daytime - TTP</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C</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01_501_0104_1_1</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Level 3 - Weekday Evening</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C</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01_501_0104_1_1_T</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Level 3 - Weekday Evening - TTP</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C</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01_502_0104_1_1</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Level 3 - Saturday</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C</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01_502_0104_1_1_T</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Level 3 - Saturday - TTP</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C</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01_503_0104_1_1</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Level 3 - Sunday</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C</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01_503_0104_1_1_T</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Level 3 - Sunday - TTP</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C</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01_504_0104_1_1</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Level 3 - Public Holiday</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C</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01_504_0104_1_1_T</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Level 3 - Public Holiday - TTP</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C</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01_505_0104_1_1</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Level 3 - Weekday Night</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C</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Night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01_505_0104_1_1_T</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Self-Care Activities - Level 3 - Weekday Night - TTP</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C</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Night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01_801_0115_1_1</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in Supported Independent Living - Standard - Weekday Daytime</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01_802_0115_1_1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in Supported Independent Living - Standard - Weekday Evening</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01_803_0115_1_1</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in Supported Independent Living - Standard - Weekday Night</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Night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01_804_0115_1_1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in Supported Independent Living - Standard - Saturday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01_805_0115_1_1</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in Supported Independent Living - Standard - Sunday</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01_806_0115_1_1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in Supported Independent Living - Standard - Public Holiday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01_811_0115_1_1</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in Supported Independent Living - High Intensity - Weekday Daytime</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01_812_0115_1_1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in Supported Independent Living - High Intensity - Weekday Evening</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01_813_0115_1_1</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in Supported Independent Living - High Intensity - Weekday Night</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Night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01_814_0115_1_1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in Supported Independent Living - High Intensity - Saturday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01_815_0115_1_1</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in Supported Independent Living - High Intensity - Sunday</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01_816_0115_1_1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in Supported Independent Living - High Intensity - Public Holiday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01_832_0115_1_1</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in Supported Independent Living - Night-Time Sleepover</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2.2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04_049_0104_1_1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Establishment Fee For Personal Care/Participation</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3.1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04_049_0125_1_1</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Establishment Fee For Personal Care/Participation</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3.1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04_049_0133_5_1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Establishment Fee For Personal Care/Participation</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3.1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04_049_0136_1_1</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Establishment Fee For Personal Care/Participation</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3.1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04_102_0125_6_1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Access Community Social And Rec Activities - Standard - Public Holiday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04_102_0125_6_1_T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Access Community Social And Rec Activities - Public Holiday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04_102_0136_6_1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 Standard - Weekday Daytime</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04_102_0136_6_1_T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 Standard - Weekday Daytime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04_103_0125_6_1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Access Community Social And Rec Activities - Standard - Weekday Evening</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04_103_0125_6_1_T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Access Community Social And Rec Activities - Standard - Weekday Evening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04_103_0136_6_1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 Standard - Weekday Evening</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04_103_0136_6_1_T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 Standard - Weekday Evening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04_104_0125_6_1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Access Community Social And Rec Activities - Weekday Daytime</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04_104_0125_6_1_T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Access Community Social And Rec Activities - Weekday Daytime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04_104_0136_6_1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 Standard - Saturday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04_104_0136_6_1_T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 Standard - Saturday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04_105_0125_6_1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Access Community Social And Rec Activities - Standard - Saturday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04_105_0125_6_1_T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Access Community Social And Rec Activities - Standard - Saturday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04_105_0136_6_1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 Standard - Sunday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04_105_0136_6_1_T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 Standard - Sunday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04_106_0125_6_1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Access Community Social And Rec Activities - Standard - Sunday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04_106_0125_6_1_T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Access Community Social And Rec Activities - Standard - Sunday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04_106_0136_6_1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 Standard - Public Holiday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04_106_0136_6_1_T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 Standard - Public Holiday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04_111_0136_6_1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- 1:2 - Standard - Weekday Daytime</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04_111_0136_6_1_T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- 1:2 - Standard - Weekday Daytime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04_112_0136_6_1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- 1:2 - Standard - Saturday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04_112_0136_6_1_T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- 1:2 - Standard - Saturday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04_113_0136_6_1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- 1:2 - Standard - Sunday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04_113_0136_6_1_T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- 1:2 - Standard - Sunday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04_114_0136_6_1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- 1:2 - Standard - Weekday Afternoon</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04_114_0136_6_1_T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- 1:2 - Standard - Weekday Afternoon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04_116_0104_6_1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- 1:2 - Complex - Weekday Daytime</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04_116_0104_6_1_T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- 1:2 - Complex - Weekday Daytime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04_117_0104_6_1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- 1:2 - Complex - Saturday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04_117_0104_6_1_T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- 1:2 - Complex - Saturday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04_118_0104_6_1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- 1:2 - Complex - Sunday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04_118_0104_6_1_T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- 1:2 - Complex - Sunday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04_119_0104_6_1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- 1:2 - Complex - Weekday Afternoon</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04_119_0104_6_1_T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- 1:2 - Complex - Weekday Afternoon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04_120_0136_6_1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- 1:3 - Standard - Weekday Daytime</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04_120_0136_6_1_T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- 1:3 - Standard - Weekday Daytime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04_121_0136_6_1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- 1:3 - Standard - Saturday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04_121_0136_6_1_T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- 1:3 - Standard - Saturday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04_122_0136_6_1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- 1:3 - Standard - Sunday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04_122_0136_6_1_T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- 1:3 - Standard - Sunday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04_123_0136_6_1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- 1:3 - Standard - Weekday Afternoon</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04_123_0136_6_1_T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- 1:3 - Standard - Weekday Afternoon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04_124_0104_6_1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- 1:3 - Complex - Weekday Daytime</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04_124_0104_6_1_T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- 1:3 - Complex - Weekday Daytime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04_125_0104_6_1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- 1:3 - Complex - Saturday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04_125_0104_6_1_T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- 1:3 - Complex - Saturday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04_126_0104_6_1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- 1:3 - Complex - Sunday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04_126_0104_6_1_T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- 1:3 - Complex - Sunday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04_127_0104_6_1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- 1:3 - Complex - Weekday Afternoon</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04_127_0104_6_1_T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- 1:3 - Complex - Weekday Afternoon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04_128_0136_6_1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- 1:2 - Standard - Public Holiday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04_128_0136_6_1_T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- 1:2 - Standard - Public Holiday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04_129_0136_6_1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- 1:3 - Standard - Public Holiday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04_129_0136_6_1_T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- 1:3 - Standard - Public Holiday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04_130_0104_6_1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- 1:2 - Complex - Public Holiday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04_130_0104_6_1_T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- 1:2 - Complex - Public Holiday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04_131_0104_6_1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- 1:3 - Complex - Public Holiday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04_131_0104_6_1_T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- 1:3 - Complex - Public Holiday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04_136_0136_6_1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- 1:4 - Standard - Weekday Daytime</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04_136_0136_6_1_T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- 1:4 - Standard - Weekday Daytime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04_137_0136_6_1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- 1:4 - Standard - Weekday Afternoon</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04_137_0136_6_1_T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- 1:4 - Standard - Weekday Afternoon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04_138_0136_6_1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- 1:4 - Standard - Saturday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04_138_0136_6_1_T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- 1:4 - Standard - Saturday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04_139_0136_6_1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- 1:4 - Standard - Sunday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04_139_0136_6_1_T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- 1:4 - Standard - Sunday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04_140_0136_6_1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- 1:4 - Standard - Public Holiday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04_140_0136_6_1_T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- 1:4 - Standard - Public Holiday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04_141_0136_6_1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- 1:5 - Standard - Weekday Daytime</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04_141_0136_6_1_T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- 1:5 - Standard - Weekday Daytime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04_142_0136_6_1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- 1:5 - Standard - Weekday Afternoon</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04_142_0136_6_1_T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- 1:5 - Standard - Weekday Afternoon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04_143_0136_6_1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- 1:5 - Standard - Saturday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04_143_0136_6_1_T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- 1:5 - Standard - Saturday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04_144_0136_6_1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- 1:5 - Standard - Sunday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04_144_0136_6_1_T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- 1:5 - Standard - Sunday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04_145_0136_6_1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- 1:5 - Standard - Public Holiday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04_145_0136_6_1_T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- 1:5 - Standard - Public Holiday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04_146_0104_6_1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- 1:4 - Complex - Weekday Daytime</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04_146_0104_6_1_T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- 1:4 - Complex - Weekday Daytime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04_147_0104_6_1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- 1:4 - Complex - Weekday Afternoon</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04_147_0104_6_1_T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- 1:4 - Complex - Weekday Afternoon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04_148_0104_6_1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- 1:4 - Complex - Saturday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04_148_0104_6_1_T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- 1:4 - Complex - Saturday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04_149_0104_6_1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- 1:4 - Complex - Sunday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04_149_0104_6_1_T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- 1:4 - Complex - Sunday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04_150_0104_6_1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- 1:4 - Complex - Public Holiday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04_150_0104_6_1_T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- 1:4 - Complex - Public Holiday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04_151_0104_6_1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- 1:5 - Complex - Weekday Daytime</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04_151_0104_6_1_T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- 1:5 - Complex - Weekday Daytime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04_152_0104_6_1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- 1:5 - Complex - Weekday Afternoon</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04_152_0104_6_1_T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- 1:5 - Complex - Weekday Afternoon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04_153_0104_6_1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- 1:5 - Complex - Saturday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04_153_0104_6_1_T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- 1:5 - Complex - Saturday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04_154_0104_6_1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- 1:5 - Complex - Sunday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04_154_0104_6_1_T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- 1:5 - Complex - Sunday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04_155_0104_6_1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- 1:5 - Complex - Public Holiday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04_155_0104_6_1_T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The Community - 1:5 - Complex - Public Holiday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04_160_0136_6_1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- 1:1 - Standard - Weekday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04_160_0136_6_1_T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- 1:1 - Standard - Weekday Daytime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04_161_0136_6_1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- 1:1 - Standard - Weekday Afternoon</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04_161_0136_6_1_T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- 1:1 - Standard - Weekday Afternoon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04_162_0136_6_1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- 1:1 - Standard - Saturday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04_162_0136_6_1_T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- 1:1 - Standard - Saturday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04_163_0136_6_1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- 1:1 - Standard - Sunday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04_163_0136_6_1_T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- 1:1 - Standard - Sunday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04_164_0136_6_1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- 1:1 - Standard - Public Holiday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04_164_0136_6_1_T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- 1:1 - Standard - Public Holiday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04_165_0136_6_1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- 1:2 - Standard - Weekday Daytime</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04_165_0136_6_1_T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- 1:2 - Standard - Weekday Daytime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04_166_0136_6_1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- 1:2 - Standard - Weekday Afternoon</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04_166_0136_6_1_T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- 1:2 - Standard - Weekday Afternoon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04_167_0136_6_1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- 1:2 - Standard - Saturday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04_167_0136_6_1_T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- 1:2 - Standard - Saturday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04_168_0136_6_1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- 1:2 - Standard - Sunday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04_168_0136_6_1_T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- 1:2 - Standard - Sunday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04_169_0136_6_1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- 1:2 - Standard - Public Holiday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04_169_0136_6_1_T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- 1:2 - Standard - Public Holiday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04_170_0136_6_1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- 1:3 - Standard - Weekday Daytime</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04_170_0136_6_1_T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- 1:3 - Standard - Weekday Daytime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04_171_0136_6_1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- 1:3 - Standard - Weekday Afternoon</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04_171_0136_6_1_T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- 1:3 - Standard - Weekday Afternoon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04_172_0136_6_1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- 1:3 - Standard - Saturday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04_172_0136_6_1_T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- 1:3 - Standard - Saturday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04_173_0136_6_1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- 1:3 - Standard - Sunday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04_173_0136_6_1_T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- 1:3 - Standard - Sunday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04_174_0136_6_1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- 1:3 - Standard - Public Holiday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04_174_0136_6_1_T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- 1:3 - Standard - Public Holiday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04_175_0136_6_1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- 1:4 - Standard - Weekday Daytime</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04_175_0136_6_1_T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- 1:4 - Standard - Weekday Daytime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04_176_0136_6_1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- 1:4 - Standard - Weekday Afternoon</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04_176_0136_6_1_T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- 1:4 - Standard - Weekday Afternoon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04_177_0136_6_1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- 1:4 - Standard - Saturday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04_177_0136_6_1_T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- 1:4 - Standard - Saturday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04_178_0136_6_1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- 1:4 - Standard - Sunday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04_178_0136_6_1_T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- 1:4 - Standard - Sunday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04_179_0136_6_1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- 1:4 - Standard - Public Holiday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04_179_0136_6_1_T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- 1:4 - Standard - Public Holiday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04_180_0136_6_1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- 1:5 - Standard - Weekday Daytime</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04_180_0136_6_1_T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- 1:5 - Standard - Weekday Daytime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04_181_0136_6_1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- 1:5 - Standard - Weekday Afternoon</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04_181_0136_6_1_T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- 1:5 - Standard - Weekday Afternoon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04_182_0136_6_1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- 1:5 - Standard - Saturday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04_182_0136_6_1_T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- 1:5 - Standard - Saturday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04_183_0136_6_1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- 1:5 - Standard - Sunday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04_183_0136_6_1_T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- 1:5 - Standard - Sunday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04_184_0136_6_1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- 1:5 - Standard - Public Holiday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04_184_0136_6_1_T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- 1:5 - Standard - Public Holiday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04_185_0104_6_1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- 1:1 - Complex - Weekday Daytime</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04_185_0104_6_1_T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- 1:1 - Complex - Weekday Daytime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04_186_0104_6_1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- 1:1 - Complex - Weekday Afternoon</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04_186_0104_6_1_T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- 1:1 - Complex - Weekday Afternoon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04_187_0104_6_1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- 1:1 - Complex - Saturday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04_187_0104_6_1_T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- 1:1 - Complex - Saturday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04_188_0104_6_1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- 1:1 - Complex - Sunday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04_188_0104_6_1_T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- 1:1 - Complex - Sunday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04_189_0104_6_1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- 1:1 - Complex - Public Holiday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04_189_0104_6_1_T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- 1:1 - Complex - Public Holiday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04_190_0104_6_1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- 1:2 - Complex - Weekday Daytime</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04_190_0104_6_1_T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- 1:2 - Complex - Weekday Daytime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04_191_0104_6_1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- 1:2 - Complex - Weekday Afternoon</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04_191_0104_6_1_T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- 1:2 - Complex - Weekday Afternoon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04_192_0104_6_1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- 1:2 - Complex - Saturday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04_192_0104_6_1_T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- 1:2 - Complex - Saturday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04_193_0104_6_1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- 1:2 - Complex - Sunday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04_193_0104_6_1_T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- 1:2 - Complex - Sunday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04_194_0104_6_1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- 1:2 - Complex - Public Holiday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04_194_0104_6_1_T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- 1:2 - Complex - Public Holiday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04_195_0104_6_1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- 1:3 - Complex - Weekday Daytime</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04_195_0104_6_1_T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- 1:3 - Complex - Weekday Daytime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04_196_0104_6_1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- 1:3 - Complex - Weekday Afternoon</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04_196_0104_6_1_T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- 1:3 - Complex - Weekday Afternoon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04_197_0104_6_1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- 1:3 - Complex - Saturday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04_197_0104_6_1_T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- 1:3 - Complex - Saturday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04_198_0104_6_1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- 1:3 - Complex - Sunday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04_198_0104_6_1_T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- 1:3 - Complex - Sunday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04_199_0104_6_1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- 1:3 - Complex - Public Holiday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04_199_0104_6_1_T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- 1:3 - Complex - Public Holiday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04_200_0104_6_1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- 1:4 - Complex - Weekday Daytime</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04_200_0104_6_1_T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- 1:4 - Complex - Weekday Daytime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04_201_0104_6_1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- 1:4 - Complex - Weekday Afternoon</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04_201_0104_6_1_T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- 1:4 - Complex - Weekday Afternoon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04_202_0104_6_1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- 1:4 - Complex - Saturday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04_202_0104_6_1_T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- 1:4 - Complex - Saturday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04_203_0104_6_1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- 1:4 - Complex - Sunday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04_203_0104_6_1_T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- 1:4 - Complex - Sunday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04_204_0104_6_1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- 1:4 - Complex - Public Holiday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04_204_0104_6_1_T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- 1:4 - Complex - Public Holiday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04_205_0104_6_1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- 1:5 - Complex - Weekday Daytime</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04_205_0104_6_1_T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- 1:5 - Complex - Weekday Daytime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04_206_0104_6_1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- 1:5 - Complex - Weekday Afternoon</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04_206_0104_6_1_T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- 1:5 - Complex - Weekday Afternoon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04_207_0104_6_1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- 1:5 - Complex - Saturday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04_207_0104_6_1_T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- 1:5 - Complex - Saturday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04_208_0104_6_1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- 1:5 - Complex - Sunday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04_208_0104_6_1_T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- 1:5 - Complex - Sunday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04_209_0104_6_1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- 1:5 - Complex - Public Holiday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04_209_0104_6_1_T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In A Centre - 1:5 - Complex - Public Holiday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5.2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04_300_0104_1_1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Access Community Social And Rec Activities - Level 1 - Weekday Daytime</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04_300_0104_1_1_T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Access Community Social And Rec Activities - Level 1 - Weekday Daytime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04_301_0104_1_1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Access Community Social And Rec Activities - Level 1 - Weekday Evening</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04_301_0104_1_1_T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Access Community Social And Rec Activities - Level 1 - Weekday Evening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04_302_0104_1_1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Access Community Social And Rec Activities - Level 1 - Saturday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04_302_0104_1_1_T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Access Community Social And Rec Activities - Level 1 - Saturday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04_303_0104_1_1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Access Community Social And Rec Activities - Level 1 - Sunday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04_303_0104_1_1_T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Access Community Social And Rec Activities - Level 1 - Sunday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04_304_0104_1_1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Access Community Social And Rec Activities - Level 1 - Public Holiday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04_304_0104_1_1_T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Access Community Social And Rec Activities - Level 1 - Public Holiday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04_400_0104_1_1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Access Community Social And Rec Activities - Level 2 - Weekday Daytime</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04_400_0104_1_1_T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Access Community Social And Rec Activities - Level 2 - Weekday Daytime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04_401_0104_1_1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Access Community Social And Rec Activities - Level 2 - Weekday Evening</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04_401_0104_1_1_T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Access Community Social And Rec Activities - Level 2 - Weekday Evening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04_402_0104_1_1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Access Community Social And Rec Activities - Level 2 - Saturday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04_402_0104_1_1_T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Access Community Social And Rec Activities - Level 2 - Saturday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04_403_0104_1_1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Access Community Social And Rec Activities - Level 2 - Sunday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04_403_0104_1_1_T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Access Community Social And Rec Activities - Level 2 - Sunday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04_404_0104_1_1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Access Community Social And Rec Activities - Level 2 - Public Holiday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04_404_0104_1_1_T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Access Community Social And Rec Activities - Level 2 - Public Holiday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04_500_0104_1_1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Access Community Social And Rec Activities - Level 3 - Weekday Daytime</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C</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04_500_0104_1_1_T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Access Community Social And Rec Activities - Level 3 - Weekday Daytime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C</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04_501_0104_1_1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Access Community Social And Rec Activities - Level 3 - Weekday Evening</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C</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04_501_0104_1_1_T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Access Community Social And Rec Activities - Level 3 - Weekday Evening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C</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04_502_0104_1_1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Access Community Social And Rec Activities - Level 3 - Saturday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C</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04_502_0104_1_1_T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Access Community Social And Rec Activities - Level 3 - Saturday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C</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04_503_0104_1_1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Access Community Social And Rec Activities - Level 3 - Sunday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C</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04_503_0104_1_1_T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Access Community Social And Rec Activities - Level 3 - Sunday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C</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04_504_0104_1_1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Access Community Social And Rec Activities - Level 3 - Public Holiday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C</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04_504_0104_1_1_T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Access Community Social And Rec Activities - Level 3 - Public Holiday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C</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1.1</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04_600_0104_6_1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 High Intensity - Weekday Daytime</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04_600_0104_6_1_T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 High Intensity - Weekday Daytime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04_601_0104_6_1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 High Intensity - Weekday Evening</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04_601_0104_6_1_T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 High Intensity - Weekday Evening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04_602_0104_6_1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 High Intensity - Saturday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04_602_0104_6_1_T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 High Intensity - Saturday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04_603_0104_6_1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 High Intensity - Sunday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04_603_0104_6_1_T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 High Intensity - Sunday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04_604_0104_6_1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 High Intensity - Public Holiday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04_604_0104_6_1_T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Group Activities - High Intensity - Public Holiday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B</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04_801_0133_5_1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Supports in Employment - Weekday Daytime</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04_801_0133_5_1_T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Supports in Employment - Weekday Daytime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04_802_0133_5_1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Supports In Employment - Weekday Evening</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04_802_0133_5_1_T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Supports In Employment - Weekday Evening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04_803_0133_5_1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Supports In Employment - Saturday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04_803_0133_5_1_T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Supports In Employment - Saturday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04_804_0133_5_1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Supports In Employment - Sunday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04_804_0133_5_1_T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Supports In Employment - Sunday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04_805_0133_5_1</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Supports In Employment - Public Holiday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04_805_0133_5_1_T</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Supports In Employment - Public Holiday - TTP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Derived from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07_001_0106_8_3</w:t>
            </w:r>
          </w:p>
        </w:tc>
        <w:tc>
          <w:tcPr>
            <w:tcW w:w="5670" w:type="dxa"/>
            <w:noWrap/>
            <w:vAlign w:val="center"/>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Level 1: Support Connection</w:t>
            </w:r>
          </w:p>
        </w:tc>
        <w:tc>
          <w:tcPr>
            <w:tcW w:w="2268" w:type="dxa"/>
            <w:noWrap/>
            <w:vAlign w:val="center"/>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C</w:t>
            </w:r>
          </w:p>
        </w:tc>
        <w:tc>
          <w:tcPr>
            <w:tcW w:w="2085" w:type="dxa"/>
            <w:noWrap/>
            <w:vAlign w:val="center"/>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07_003_0117_8_3</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CB and Training in Plan and Financial Management by a Support Coordinator</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C</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07_101_0106_6_3</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Psychosocial Recovery Coaching - Weekday Daytime</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D</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07_102_0106_6_3</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Psychosocial Recovery Coaching - Weekday Evening</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D</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07_103_0106_6_3</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Psychosocial Recovery Coaching - Weekday Night</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D</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Night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07_104_0106_6_3</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Psychosocial Recovery Coaching - Saturday</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D</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07_105_0106_6_3</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Psychosocial Recovery Coaching - Sunday</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D</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07_106_0106_6_3</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Psychosocial Recovery Coaching - Public Holiday</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D</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08_005_0106_2_3</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Accommodation And Tenancy Obligations</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C</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09_006_0106_6_3</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Life Transition Planning Incl. Mentoring Peer-Support And Indiv Skill Develop</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C</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09_009_0117_6_3</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Skills Development And Training</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C</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10_016_0102_5_3</w:t>
            </w:r>
          </w:p>
        </w:tc>
        <w:tc>
          <w:tcPr>
            <w:tcW w:w="5670" w:type="dxa"/>
            <w:noWrap/>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16"/>
                <w:szCs w:val="16"/>
                <w:lang w:eastAsia="en-AU"/>
              </w:rPr>
            </w:pPr>
            <w:r w:rsidRPr="00DD6692">
              <w:rPr>
                <w:rFonts w:ascii="Calibri" w:eastAsia="Times New Roman" w:hAnsi="Calibri" w:cs="Calibri"/>
                <w:bCs/>
                <w:color w:val="000000"/>
                <w:sz w:val="16"/>
                <w:szCs w:val="16"/>
                <w:lang w:eastAsia="en-AU"/>
              </w:rPr>
              <w:t>Employment Support</w:t>
            </w:r>
          </w:p>
        </w:tc>
        <w:tc>
          <w:tcPr>
            <w:tcW w:w="2268" w:type="dxa"/>
            <w:noWrap/>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16"/>
                <w:szCs w:val="16"/>
                <w:lang w:eastAsia="en-AU"/>
              </w:rPr>
            </w:pPr>
            <w:r w:rsidRPr="00DD6692">
              <w:rPr>
                <w:rFonts w:ascii="Calibri" w:eastAsia="Times New Roman" w:hAnsi="Calibri" w:cs="Calibri"/>
                <w:bCs/>
                <w:color w:val="000000"/>
                <w:sz w:val="16"/>
                <w:szCs w:val="16"/>
                <w:lang w:eastAsia="en-AU"/>
              </w:rPr>
              <w:t>Determined by DSW model</w:t>
            </w:r>
          </w:p>
        </w:tc>
        <w:tc>
          <w:tcPr>
            <w:tcW w:w="786" w:type="dxa"/>
            <w:noWrap/>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16"/>
                <w:szCs w:val="16"/>
                <w:lang w:eastAsia="en-AU"/>
              </w:rPr>
            </w:pPr>
            <w:r w:rsidRPr="00DD6692">
              <w:rPr>
                <w:rFonts w:ascii="Calibri" w:eastAsia="Times New Roman" w:hAnsi="Calibri" w:cs="Calibri"/>
                <w:bCs/>
                <w:color w:val="000000"/>
                <w:sz w:val="16"/>
                <w:szCs w:val="16"/>
                <w:lang w:eastAsia="en-AU"/>
              </w:rPr>
              <w:t>DSW C</w:t>
            </w:r>
          </w:p>
        </w:tc>
        <w:tc>
          <w:tcPr>
            <w:tcW w:w="2085" w:type="dxa"/>
            <w:noWrap/>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16"/>
                <w:szCs w:val="16"/>
                <w:lang w:eastAsia="en-AU"/>
              </w:rPr>
            </w:pPr>
          </w:p>
        </w:tc>
        <w:tc>
          <w:tcPr>
            <w:tcW w:w="1159" w:type="dxa"/>
            <w:noWrap/>
            <w:vAlign w:val="center"/>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10_801_0133_5_1_D</w:t>
            </w:r>
          </w:p>
        </w:tc>
        <w:tc>
          <w:tcPr>
            <w:tcW w:w="5670" w:type="dxa"/>
            <w:noWrap/>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Supports in Employment - Weekday Daytime</w:t>
            </w:r>
          </w:p>
        </w:tc>
        <w:tc>
          <w:tcPr>
            <w:tcW w:w="2268" w:type="dxa"/>
            <w:noWrap/>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10_801_0133_5_1_T_D</w:t>
            </w:r>
          </w:p>
        </w:tc>
        <w:tc>
          <w:tcPr>
            <w:tcW w:w="5670" w:type="dxa"/>
            <w:noWrap/>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16"/>
                <w:szCs w:val="16"/>
                <w:lang w:eastAsia="en-AU"/>
              </w:rPr>
            </w:pPr>
            <w:r w:rsidRPr="00DD6692">
              <w:rPr>
                <w:rFonts w:ascii="Calibri" w:eastAsia="Times New Roman" w:hAnsi="Calibri" w:cs="Calibri"/>
                <w:bCs/>
                <w:color w:val="000000"/>
                <w:sz w:val="16"/>
                <w:szCs w:val="16"/>
                <w:lang w:eastAsia="en-AU"/>
              </w:rPr>
              <w:t>Supports in Employment - Weekday Daytime - TTP</w:t>
            </w:r>
          </w:p>
        </w:tc>
        <w:tc>
          <w:tcPr>
            <w:tcW w:w="2268" w:type="dxa"/>
            <w:noWrap/>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16"/>
                <w:szCs w:val="16"/>
                <w:lang w:eastAsia="en-AU"/>
              </w:rPr>
            </w:pPr>
            <w:r w:rsidRPr="00DD6692">
              <w:rPr>
                <w:rFonts w:ascii="Calibri" w:eastAsia="Times New Roman" w:hAnsi="Calibri" w:cs="Calibri"/>
                <w:bCs/>
                <w:color w:val="000000"/>
                <w:sz w:val="16"/>
                <w:szCs w:val="16"/>
                <w:lang w:eastAsia="en-AU"/>
              </w:rPr>
              <w:t>Derived from DSW Model</w:t>
            </w:r>
          </w:p>
        </w:tc>
        <w:tc>
          <w:tcPr>
            <w:tcW w:w="786" w:type="dxa"/>
            <w:noWrap/>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16"/>
                <w:szCs w:val="16"/>
                <w:lang w:eastAsia="en-AU"/>
              </w:rPr>
            </w:pPr>
            <w:r w:rsidRPr="00DD6692">
              <w:rPr>
                <w:rFonts w:ascii="Calibri" w:eastAsia="Times New Roman" w:hAnsi="Calibri" w:cs="Calibri"/>
                <w:bCs/>
                <w:color w:val="000000"/>
                <w:sz w:val="16"/>
                <w:szCs w:val="16"/>
                <w:lang w:eastAsia="en-AU"/>
              </w:rPr>
              <w:t>DSW A</w:t>
            </w:r>
          </w:p>
        </w:tc>
        <w:tc>
          <w:tcPr>
            <w:tcW w:w="2085" w:type="dxa"/>
            <w:noWrap/>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16"/>
                <w:szCs w:val="16"/>
                <w:lang w:eastAsia="en-AU"/>
              </w:rPr>
            </w:pPr>
          </w:p>
        </w:tc>
        <w:tc>
          <w:tcPr>
            <w:tcW w:w="1159" w:type="dxa"/>
            <w:noWrap/>
            <w:vAlign w:val="center"/>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10_802_0133_5_1_D</w:t>
            </w:r>
          </w:p>
        </w:tc>
        <w:tc>
          <w:tcPr>
            <w:tcW w:w="5670" w:type="dxa"/>
            <w:noWrap/>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Supports In Employment - Weekday Evening</w:t>
            </w:r>
          </w:p>
        </w:tc>
        <w:tc>
          <w:tcPr>
            <w:tcW w:w="2268" w:type="dxa"/>
            <w:noWrap/>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Evening Loading</w:t>
            </w:r>
          </w:p>
        </w:tc>
        <w:tc>
          <w:tcPr>
            <w:tcW w:w="1159" w:type="dxa"/>
            <w:noWrap/>
            <w:vAlign w:val="center"/>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10_802_0133_5_1_T_D</w:t>
            </w:r>
          </w:p>
        </w:tc>
        <w:tc>
          <w:tcPr>
            <w:tcW w:w="5670" w:type="dxa"/>
            <w:noWrap/>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16"/>
                <w:szCs w:val="16"/>
                <w:lang w:eastAsia="en-AU"/>
              </w:rPr>
            </w:pPr>
            <w:r w:rsidRPr="00DD6692">
              <w:rPr>
                <w:rFonts w:ascii="Calibri" w:eastAsia="Times New Roman" w:hAnsi="Calibri" w:cs="Calibri"/>
                <w:bCs/>
                <w:color w:val="000000"/>
                <w:sz w:val="16"/>
                <w:szCs w:val="16"/>
                <w:lang w:eastAsia="en-AU"/>
              </w:rPr>
              <w:t>Supports In Employment - Weekday Evening - TTP</w:t>
            </w:r>
          </w:p>
        </w:tc>
        <w:tc>
          <w:tcPr>
            <w:tcW w:w="2268" w:type="dxa"/>
            <w:noWrap/>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16"/>
                <w:szCs w:val="16"/>
                <w:lang w:eastAsia="en-AU"/>
              </w:rPr>
            </w:pPr>
            <w:r w:rsidRPr="00DD6692">
              <w:rPr>
                <w:rFonts w:ascii="Calibri" w:eastAsia="Times New Roman" w:hAnsi="Calibri" w:cs="Calibri"/>
                <w:bCs/>
                <w:color w:val="000000"/>
                <w:sz w:val="16"/>
                <w:szCs w:val="16"/>
                <w:lang w:eastAsia="en-AU"/>
              </w:rPr>
              <w:t>Derived from DSW Model</w:t>
            </w:r>
          </w:p>
        </w:tc>
        <w:tc>
          <w:tcPr>
            <w:tcW w:w="786" w:type="dxa"/>
            <w:noWrap/>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16"/>
                <w:szCs w:val="16"/>
                <w:lang w:eastAsia="en-AU"/>
              </w:rPr>
            </w:pPr>
            <w:r w:rsidRPr="00DD6692">
              <w:rPr>
                <w:rFonts w:ascii="Calibri" w:eastAsia="Times New Roman" w:hAnsi="Calibri" w:cs="Calibri"/>
                <w:bCs/>
                <w:color w:val="000000"/>
                <w:sz w:val="16"/>
                <w:szCs w:val="16"/>
                <w:lang w:eastAsia="en-AU"/>
              </w:rPr>
              <w:t>DSW A</w:t>
            </w:r>
          </w:p>
        </w:tc>
        <w:tc>
          <w:tcPr>
            <w:tcW w:w="2085" w:type="dxa"/>
            <w:noWrap/>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16"/>
                <w:szCs w:val="16"/>
                <w:lang w:eastAsia="en-AU"/>
              </w:rPr>
            </w:pPr>
            <w:r w:rsidRPr="00DD6692">
              <w:rPr>
                <w:rFonts w:ascii="Calibri" w:eastAsia="Times New Roman" w:hAnsi="Calibri" w:cs="Calibri"/>
                <w:bCs/>
                <w:color w:val="000000"/>
                <w:sz w:val="16"/>
                <w:szCs w:val="16"/>
                <w:lang w:eastAsia="en-AU"/>
              </w:rPr>
              <w:t>Evening Loading</w:t>
            </w:r>
          </w:p>
        </w:tc>
        <w:tc>
          <w:tcPr>
            <w:tcW w:w="1159" w:type="dxa"/>
            <w:noWrap/>
            <w:vAlign w:val="center"/>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10_803_0133_5_1_D</w:t>
            </w:r>
          </w:p>
        </w:tc>
        <w:tc>
          <w:tcPr>
            <w:tcW w:w="5670" w:type="dxa"/>
            <w:noWrap/>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Supports In Employment - Saturday</w:t>
            </w:r>
          </w:p>
        </w:tc>
        <w:tc>
          <w:tcPr>
            <w:tcW w:w="2268" w:type="dxa"/>
            <w:noWrap/>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Saturday Loading</w:t>
            </w:r>
          </w:p>
        </w:tc>
        <w:tc>
          <w:tcPr>
            <w:tcW w:w="1159" w:type="dxa"/>
            <w:noWrap/>
            <w:vAlign w:val="center"/>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10_803_0133_5_1_T_D</w:t>
            </w:r>
          </w:p>
        </w:tc>
        <w:tc>
          <w:tcPr>
            <w:tcW w:w="5670" w:type="dxa"/>
            <w:noWrap/>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16"/>
                <w:szCs w:val="16"/>
                <w:lang w:eastAsia="en-AU"/>
              </w:rPr>
            </w:pPr>
            <w:r w:rsidRPr="00DD6692">
              <w:rPr>
                <w:rFonts w:ascii="Calibri" w:eastAsia="Times New Roman" w:hAnsi="Calibri" w:cs="Calibri"/>
                <w:bCs/>
                <w:color w:val="000000"/>
                <w:sz w:val="16"/>
                <w:szCs w:val="16"/>
                <w:lang w:eastAsia="en-AU"/>
              </w:rPr>
              <w:t>Supports In Employment - Saturday - TTP</w:t>
            </w:r>
          </w:p>
        </w:tc>
        <w:tc>
          <w:tcPr>
            <w:tcW w:w="2268" w:type="dxa"/>
            <w:noWrap/>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16"/>
                <w:szCs w:val="16"/>
                <w:lang w:eastAsia="en-AU"/>
              </w:rPr>
            </w:pPr>
            <w:r w:rsidRPr="00DD6692">
              <w:rPr>
                <w:rFonts w:ascii="Calibri" w:eastAsia="Times New Roman" w:hAnsi="Calibri" w:cs="Calibri"/>
                <w:bCs/>
                <w:color w:val="000000"/>
                <w:sz w:val="16"/>
                <w:szCs w:val="16"/>
                <w:lang w:eastAsia="en-AU"/>
              </w:rPr>
              <w:t>Derived from DSW Model</w:t>
            </w:r>
          </w:p>
        </w:tc>
        <w:tc>
          <w:tcPr>
            <w:tcW w:w="786" w:type="dxa"/>
            <w:noWrap/>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16"/>
                <w:szCs w:val="16"/>
                <w:lang w:eastAsia="en-AU"/>
              </w:rPr>
            </w:pPr>
            <w:r w:rsidRPr="00DD6692">
              <w:rPr>
                <w:rFonts w:ascii="Calibri" w:eastAsia="Times New Roman" w:hAnsi="Calibri" w:cs="Calibri"/>
                <w:bCs/>
                <w:color w:val="000000"/>
                <w:sz w:val="16"/>
                <w:szCs w:val="16"/>
                <w:lang w:eastAsia="en-AU"/>
              </w:rPr>
              <w:t>DSW A</w:t>
            </w:r>
          </w:p>
        </w:tc>
        <w:tc>
          <w:tcPr>
            <w:tcW w:w="2085" w:type="dxa"/>
            <w:noWrap/>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16"/>
                <w:szCs w:val="16"/>
                <w:lang w:eastAsia="en-AU"/>
              </w:rPr>
            </w:pPr>
            <w:r w:rsidRPr="00DD6692">
              <w:rPr>
                <w:rFonts w:ascii="Calibri" w:eastAsia="Times New Roman" w:hAnsi="Calibri" w:cs="Calibri"/>
                <w:bCs/>
                <w:color w:val="000000"/>
                <w:sz w:val="16"/>
                <w:szCs w:val="16"/>
                <w:lang w:eastAsia="en-AU"/>
              </w:rPr>
              <w:t>Saturday Loading</w:t>
            </w:r>
          </w:p>
        </w:tc>
        <w:tc>
          <w:tcPr>
            <w:tcW w:w="1159" w:type="dxa"/>
            <w:noWrap/>
            <w:vAlign w:val="center"/>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10_804_0133_5_1_D</w:t>
            </w:r>
          </w:p>
        </w:tc>
        <w:tc>
          <w:tcPr>
            <w:tcW w:w="5670" w:type="dxa"/>
            <w:noWrap/>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Supports In Employment - Sunday</w:t>
            </w:r>
          </w:p>
        </w:tc>
        <w:tc>
          <w:tcPr>
            <w:tcW w:w="2268" w:type="dxa"/>
            <w:noWrap/>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Sunday Loading</w:t>
            </w:r>
          </w:p>
        </w:tc>
        <w:tc>
          <w:tcPr>
            <w:tcW w:w="1159" w:type="dxa"/>
            <w:noWrap/>
            <w:vAlign w:val="center"/>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10_804_0133_5_1_T_D</w:t>
            </w:r>
          </w:p>
        </w:tc>
        <w:tc>
          <w:tcPr>
            <w:tcW w:w="5670" w:type="dxa"/>
            <w:noWrap/>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16"/>
                <w:szCs w:val="16"/>
                <w:lang w:eastAsia="en-AU"/>
              </w:rPr>
            </w:pPr>
            <w:r w:rsidRPr="00DD6692">
              <w:rPr>
                <w:rFonts w:ascii="Calibri" w:eastAsia="Times New Roman" w:hAnsi="Calibri" w:cs="Calibri"/>
                <w:bCs/>
                <w:color w:val="000000"/>
                <w:sz w:val="16"/>
                <w:szCs w:val="16"/>
                <w:lang w:eastAsia="en-AU"/>
              </w:rPr>
              <w:t>Supports In Employment - Sunday - TTP</w:t>
            </w:r>
          </w:p>
        </w:tc>
        <w:tc>
          <w:tcPr>
            <w:tcW w:w="2268" w:type="dxa"/>
            <w:noWrap/>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16"/>
                <w:szCs w:val="16"/>
                <w:lang w:eastAsia="en-AU"/>
              </w:rPr>
            </w:pPr>
            <w:r w:rsidRPr="00DD6692">
              <w:rPr>
                <w:rFonts w:ascii="Calibri" w:eastAsia="Times New Roman" w:hAnsi="Calibri" w:cs="Calibri"/>
                <w:bCs/>
                <w:color w:val="000000"/>
                <w:sz w:val="16"/>
                <w:szCs w:val="16"/>
                <w:lang w:eastAsia="en-AU"/>
              </w:rPr>
              <w:t>Derived from DSW Model</w:t>
            </w:r>
          </w:p>
        </w:tc>
        <w:tc>
          <w:tcPr>
            <w:tcW w:w="786" w:type="dxa"/>
            <w:noWrap/>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16"/>
                <w:szCs w:val="16"/>
                <w:lang w:eastAsia="en-AU"/>
              </w:rPr>
            </w:pPr>
            <w:r w:rsidRPr="00DD6692">
              <w:rPr>
                <w:rFonts w:ascii="Calibri" w:eastAsia="Times New Roman" w:hAnsi="Calibri" w:cs="Calibri"/>
                <w:bCs/>
                <w:color w:val="000000"/>
                <w:sz w:val="16"/>
                <w:szCs w:val="16"/>
                <w:lang w:eastAsia="en-AU"/>
              </w:rPr>
              <w:t>DSW A</w:t>
            </w:r>
          </w:p>
        </w:tc>
        <w:tc>
          <w:tcPr>
            <w:tcW w:w="2085" w:type="dxa"/>
            <w:noWrap/>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16"/>
                <w:szCs w:val="16"/>
                <w:lang w:eastAsia="en-AU"/>
              </w:rPr>
            </w:pPr>
            <w:r w:rsidRPr="00DD6692">
              <w:rPr>
                <w:rFonts w:ascii="Calibri" w:eastAsia="Times New Roman" w:hAnsi="Calibri" w:cs="Calibri"/>
                <w:bCs/>
                <w:color w:val="000000"/>
                <w:sz w:val="16"/>
                <w:szCs w:val="16"/>
                <w:lang w:eastAsia="en-AU"/>
              </w:rPr>
              <w:t>Sunday Loading</w:t>
            </w:r>
          </w:p>
        </w:tc>
        <w:tc>
          <w:tcPr>
            <w:tcW w:w="1159" w:type="dxa"/>
            <w:noWrap/>
            <w:vAlign w:val="center"/>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10_805_0133_5_1_D</w:t>
            </w:r>
          </w:p>
        </w:tc>
        <w:tc>
          <w:tcPr>
            <w:tcW w:w="5670" w:type="dxa"/>
            <w:noWrap/>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Supports In Employment - Public Holiday</w:t>
            </w:r>
          </w:p>
        </w:tc>
        <w:tc>
          <w:tcPr>
            <w:tcW w:w="2268" w:type="dxa"/>
            <w:noWrap/>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Public Holiday Loading</w:t>
            </w:r>
          </w:p>
        </w:tc>
        <w:tc>
          <w:tcPr>
            <w:tcW w:w="1159" w:type="dxa"/>
            <w:noWrap/>
            <w:vAlign w:val="center"/>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0.2</w:t>
            </w: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10_805_0133_5_1_T_D</w:t>
            </w:r>
          </w:p>
        </w:tc>
        <w:tc>
          <w:tcPr>
            <w:tcW w:w="5670" w:type="dxa"/>
            <w:noWrap/>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16"/>
                <w:szCs w:val="16"/>
                <w:lang w:eastAsia="en-AU"/>
              </w:rPr>
            </w:pPr>
            <w:r w:rsidRPr="00DD6692">
              <w:rPr>
                <w:rFonts w:ascii="Calibri" w:eastAsia="Times New Roman" w:hAnsi="Calibri" w:cs="Calibri"/>
                <w:bCs/>
                <w:color w:val="000000"/>
                <w:sz w:val="16"/>
                <w:szCs w:val="16"/>
                <w:lang w:eastAsia="en-AU"/>
              </w:rPr>
              <w:t>Supports In Employment - Public Holiday - TTP</w:t>
            </w:r>
          </w:p>
        </w:tc>
        <w:tc>
          <w:tcPr>
            <w:tcW w:w="2268" w:type="dxa"/>
            <w:noWrap/>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16"/>
                <w:szCs w:val="16"/>
                <w:lang w:eastAsia="en-AU"/>
              </w:rPr>
            </w:pPr>
            <w:r w:rsidRPr="00DD6692">
              <w:rPr>
                <w:rFonts w:ascii="Calibri" w:eastAsia="Times New Roman" w:hAnsi="Calibri" w:cs="Calibri"/>
                <w:bCs/>
                <w:color w:val="000000"/>
                <w:sz w:val="16"/>
                <w:szCs w:val="16"/>
                <w:lang w:eastAsia="en-AU"/>
              </w:rPr>
              <w:t>Derived from DSW Model</w:t>
            </w:r>
          </w:p>
        </w:tc>
        <w:tc>
          <w:tcPr>
            <w:tcW w:w="786" w:type="dxa"/>
            <w:noWrap/>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16"/>
                <w:szCs w:val="16"/>
                <w:lang w:eastAsia="en-AU"/>
              </w:rPr>
            </w:pPr>
            <w:r w:rsidRPr="00DD6692">
              <w:rPr>
                <w:rFonts w:ascii="Calibri" w:eastAsia="Times New Roman" w:hAnsi="Calibri" w:cs="Calibri"/>
                <w:bCs/>
                <w:color w:val="000000"/>
                <w:sz w:val="16"/>
                <w:szCs w:val="16"/>
                <w:lang w:eastAsia="en-AU"/>
              </w:rPr>
              <w:t>DSW A</w:t>
            </w:r>
          </w:p>
        </w:tc>
        <w:tc>
          <w:tcPr>
            <w:tcW w:w="2085" w:type="dxa"/>
            <w:noWrap/>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sz w:val="16"/>
                <w:szCs w:val="16"/>
                <w:lang w:eastAsia="en-AU"/>
              </w:rPr>
            </w:pPr>
            <w:r w:rsidRPr="00DD6692">
              <w:rPr>
                <w:rFonts w:ascii="Calibri" w:eastAsia="Times New Roman" w:hAnsi="Calibri" w:cs="Calibri"/>
                <w:bCs/>
                <w:color w:val="000000"/>
                <w:sz w:val="16"/>
                <w:szCs w:val="16"/>
                <w:lang w:eastAsia="en-AU"/>
              </w:rPr>
              <w:t>Public Holiday Loading</w:t>
            </w:r>
          </w:p>
        </w:tc>
        <w:tc>
          <w:tcPr>
            <w:tcW w:w="1159" w:type="dxa"/>
            <w:noWrap/>
            <w:vAlign w:val="center"/>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1.2</w:t>
            </w: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11_024_0117_7_3</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Individual Social Skills Development</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C</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13_030_0102_4_3</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Transition Through School And To Further Education</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C</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14_031_0127_8_3</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CB and Training in Plan and Financial Management by a Plan Manager</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C</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15_035_0106_1_3</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Assistance With Decision Making Daily Planning and Budgeting</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E96E04" w:rsidRPr="00DD6692" w:rsidTr="00E96E04">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15_037_0117_1_3</w:t>
            </w:r>
          </w:p>
        </w:tc>
        <w:tc>
          <w:tcPr>
            <w:tcW w:w="5670"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Individual Skill Development And Training Including Public Transport Training</w:t>
            </w:r>
          </w:p>
        </w:tc>
        <w:tc>
          <w:tcPr>
            <w:tcW w:w="2268"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A</w:t>
            </w:r>
          </w:p>
        </w:tc>
        <w:tc>
          <w:tcPr>
            <w:tcW w:w="2085" w:type="dxa"/>
            <w:noWrap/>
            <w:vAlign w:val="center"/>
            <w:hideMark/>
          </w:tcPr>
          <w:p w:rsidR="00E96E04" w:rsidRPr="00DD6692" w:rsidRDefault="00E96E04" w:rsidP="00E96E0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E96E04" w:rsidRPr="00DD6692" w:rsidTr="00E96E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rsidR="00E96E04" w:rsidRPr="00DD6692" w:rsidRDefault="00E96E04" w:rsidP="00E96E04">
            <w:pPr>
              <w:spacing w:before="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15_038_0117_1_3</w:t>
            </w:r>
          </w:p>
        </w:tc>
        <w:tc>
          <w:tcPr>
            <w:tcW w:w="5670"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Training For Carers/Parents</w:t>
            </w:r>
          </w:p>
        </w:tc>
        <w:tc>
          <w:tcPr>
            <w:tcW w:w="2268"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Determined by DSW model</w:t>
            </w:r>
          </w:p>
        </w:tc>
        <w:tc>
          <w:tcPr>
            <w:tcW w:w="786"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DSW C</w:t>
            </w:r>
          </w:p>
        </w:tc>
        <w:tc>
          <w:tcPr>
            <w:tcW w:w="2085" w:type="dxa"/>
            <w:noWrap/>
            <w:vAlign w:val="center"/>
            <w:hideMark/>
          </w:tcPr>
          <w:p w:rsidR="00E96E04" w:rsidRPr="00DD6692" w:rsidRDefault="00E96E04" w:rsidP="00E96E0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rsidR="00E96E04" w:rsidRPr="00DD6692" w:rsidRDefault="00E96E04" w:rsidP="0052532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DD6692">
              <w:rPr>
                <w:rFonts w:ascii="Calibri" w:eastAsia="Times New Roman" w:hAnsi="Calibri" w:cs="Calibri"/>
                <w:color w:val="000000"/>
                <w:sz w:val="16"/>
                <w:szCs w:val="16"/>
                <w:lang w:eastAsia="en-AU"/>
              </w:rPr>
              <w:t>See Note 0.1</w:t>
            </w:r>
          </w:p>
        </w:tc>
      </w:tr>
    </w:tbl>
    <w:p w:rsidR="00DC0A5C" w:rsidRPr="00DD6692" w:rsidRDefault="00DC0A5C" w:rsidP="00315545">
      <w:pPr>
        <w:pStyle w:val="Heading2"/>
        <w:sectPr w:rsidR="00DC0A5C" w:rsidRPr="00DD6692" w:rsidSect="00AE0D61">
          <w:pgSz w:w="16838" w:h="11906" w:orient="landscape" w:code="9"/>
          <w:pgMar w:top="1440" w:right="1440" w:bottom="1440" w:left="1440" w:header="709" w:footer="709" w:gutter="0"/>
          <w:cols w:space="708"/>
          <w:titlePg/>
          <w:docGrid w:linePitch="360"/>
        </w:sectPr>
      </w:pPr>
    </w:p>
    <w:p w:rsidR="00315545" w:rsidRPr="00DD6692" w:rsidRDefault="00315545" w:rsidP="00315545">
      <w:pPr>
        <w:pStyle w:val="Heading2"/>
      </w:pPr>
      <w:bookmarkStart w:id="43" w:name="_Toc91063506"/>
      <w:r w:rsidRPr="00DD6692">
        <w:t>Notes</w:t>
      </w:r>
      <w:bookmarkEnd w:id="43"/>
    </w:p>
    <w:p w:rsidR="00AA2CA7" w:rsidRPr="00DD6692" w:rsidRDefault="00496882" w:rsidP="00733273">
      <w:pPr>
        <w:pStyle w:val="Heading3"/>
        <w:numPr>
          <w:ilvl w:val="0"/>
          <w:numId w:val="11"/>
        </w:numPr>
        <w:ind w:left="284" w:hanging="284"/>
      </w:pPr>
      <w:bookmarkStart w:id="44" w:name="_Toc91063507"/>
      <w:r w:rsidRPr="00DD6692">
        <w:t>Standard rates</w:t>
      </w:r>
      <w:bookmarkEnd w:id="44"/>
    </w:p>
    <w:p w:rsidR="00496882" w:rsidRPr="00DD6692" w:rsidRDefault="00496882" w:rsidP="0048768C">
      <w:pPr>
        <w:rPr>
          <w:rFonts w:ascii="Arial" w:eastAsia="Calibri" w:hAnsi="Arial" w:cs="Arial"/>
          <w:szCs w:val="24"/>
        </w:rPr>
      </w:pPr>
      <w:r w:rsidRPr="00DD6692">
        <w:rPr>
          <w:rFonts w:ascii="Arial" w:eastAsia="Calibri" w:hAnsi="Arial" w:cs="Arial"/>
          <w:szCs w:val="24"/>
        </w:rPr>
        <w:t xml:space="preserve">Note 0.1 </w:t>
      </w:r>
      <w:r w:rsidR="00733273" w:rsidRPr="00DD6692">
        <w:rPr>
          <w:rFonts w:ascii="Arial" w:eastAsia="Calibri" w:hAnsi="Arial" w:cs="Arial"/>
          <w:szCs w:val="24"/>
        </w:rPr>
        <w:t>increases the</w:t>
      </w:r>
      <w:r w:rsidRPr="00DD6692">
        <w:rPr>
          <w:rFonts w:ascii="Arial" w:eastAsia="Calibri" w:hAnsi="Arial" w:cs="Arial"/>
          <w:szCs w:val="24"/>
        </w:rPr>
        <w:t xml:space="preserve"> overhead allowance </w:t>
      </w:r>
      <w:r w:rsidR="00733273" w:rsidRPr="00DD6692">
        <w:rPr>
          <w:rFonts w:ascii="Arial" w:eastAsia="Calibri" w:hAnsi="Arial" w:cs="Arial"/>
          <w:szCs w:val="24"/>
        </w:rPr>
        <w:t>by 0.25 percentage points</w:t>
      </w:r>
    </w:p>
    <w:p w:rsidR="00496882" w:rsidRPr="00DD6692" w:rsidRDefault="00496882" w:rsidP="0048768C">
      <w:pPr>
        <w:rPr>
          <w:rFonts w:ascii="Arial" w:eastAsia="Calibri" w:hAnsi="Arial" w:cs="Arial"/>
          <w:szCs w:val="24"/>
        </w:rPr>
      </w:pPr>
      <w:r w:rsidRPr="00DD6692">
        <w:rPr>
          <w:rFonts w:ascii="Arial" w:eastAsia="Calibri" w:hAnsi="Arial" w:cs="Arial"/>
          <w:szCs w:val="24"/>
        </w:rPr>
        <w:t xml:space="preserve">Note 0.2 </w:t>
      </w:r>
      <w:r w:rsidR="00733273" w:rsidRPr="00DD6692">
        <w:rPr>
          <w:rFonts w:ascii="Arial" w:eastAsia="Calibri" w:hAnsi="Arial" w:cs="Arial"/>
          <w:szCs w:val="24"/>
        </w:rPr>
        <w:t xml:space="preserve">increases the </w:t>
      </w:r>
      <w:r w:rsidR="0048768C" w:rsidRPr="00DD6692">
        <w:rPr>
          <w:rFonts w:ascii="Arial" w:eastAsia="Calibri" w:hAnsi="Arial" w:cs="Arial"/>
          <w:szCs w:val="24"/>
        </w:rPr>
        <w:t xml:space="preserve">overhead </w:t>
      </w:r>
      <w:r w:rsidR="00733273" w:rsidRPr="00DD6692">
        <w:rPr>
          <w:rFonts w:ascii="Arial" w:eastAsia="Calibri" w:hAnsi="Arial" w:cs="Arial"/>
          <w:szCs w:val="24"/>
        </w:rPr>
        <w:t>allowance by 0.40 percentage points</w:t>
      </w:r>
    </w:p>
    <w:p w:rsidR="00AE0D61" w:rsidRPr="00DD6692" w:rsidRDefault="00AE0D61" w:rsidP="00733273">
      <w:pPr>
        <w:pStyle w:val="Heading3"/>
        <w:numPr>
          <w:ilvl w:val="0"/>
          <w:numId w:val="11"/>
        </w:numPr>
        <w:ind w:left="284" w:hanging="284"/>
      </w:pPr>
      <w:bookmarkStart w:id="45" w:name="_Toc91063508"/>
      <w:r w:rsidRPr="00DD6692">
        <w:t>Temporary Transformation Payment</w:t>
      </w:r>
      <w:r w:rsidR="00CD53B0" w:rsidRPr="00DD6692">
        <w:t xml:space="preserve"> (TTP)</w:t>
      </w:r>
      <w:bookmarkEnd w:id="45"/>
    </w:p>
    <w:p w:rsidR="00325407" w:rsidRPr="00DD6692" w:rsidRDefault="0080661E" w:rsidP="0080661E">
      <w:pPr>
        <w:rPr>
          <w:rStyle w:val="Bodytext-GuideChar"/>
          <w:rFonts w:eastAsiaTheme="minorHAnsi"/>
        </w:rPr>
      </w:pPr>
      <w:r w:rsidRPr="00DD6692">
        <w:rPr>
          <w:rStyle w:val="Bodytext-GuideChar"/>
          <w:rFonts w:eastAsiaTheme="minorHAnsi"/>
        </w:rPr>
        <w:t xml:space="preserve">The </w:t>
      </w:r>
      <w:r w:rsidR="00716C16" w:rsidRPr="00DD6692">
        <w:rPr>
          <w:rFonts w:ascii="Arial" w:eastAsia="Calibri" w:hAnsi="Arial" w:cs="Arial"/>
          <w:szCs w:val="24"/>
        </w:rPr>
        <w:t>2021-22</w:t>
      </w:r>
      <w:r w:rsidR="00D54BD6" w:rsidRPr="00DD6692">
        <w:rPr>
          <w:rFonts w:ascii="Arial" w:eastAsia="Calibri" w:hAnsi="Arial" w:cs="Arial"/>
          <w:szCs w:val="24"/>
        </w:rPr>
        <w:t xml:space="preserve"> </w:t>
      </w:r>
      <w:r w:rsidRPr="00DD6692">
        <w:rPr>
          <w:rStyle w:val="Bodytext-GuideChar"/>
          <w:rFonts w:eastAsiaTheme="minorHAnsi"/>
        </w:rPr>
        <w:t xml:space="preserve">price limit for each TTP </w:t>
      </w:r>
      <w:r w:rsidR="00325407" w:rsidRPr="00DD6692">
        <w:rPr>
          <w:rStyle w:val="Bodytext-GuideChar"/>
          <w:rFonts w:eastAsiaTheme="minorHAnsi"/>
        </w:rPr>
        <w:t xml:space="preserve">support </w:t>
      </w:r>
      <w:r w:rsidRPr="00DD6692">
        <w:rPr>
          <w:rStyle w:val="Bodytext-GuideChar"/>
          <w:rFonts w:eastAsiaTheme="minorHAnsi"/>
        </w:rPr>
        <w:t xml:space="preserve">item is higher than the price limit for the </w:t>
      </w:r>
      <w:r w:rsidR="00325407" w:rsidRPr="00DD6692">
        <w:rPr>
          <w:rStyle w:val="Bodytext-GuideChar"/>
          <w:rFonts w:eastAsiaTheme="minorHAnsi"/>
        </w:rPr>
        <w:t xml:space="preserve">equivalent </w:t>
      </w:r>
      <w:r w:rsidRPr="00DD6692">
        <w:rPr>
          <w:rStyle w:val="Bodytext-GuideChar"/>
          <w:rFonts w:eastAsiaTheme="minorHAnsi"/>
        </w:rPr>
        <w:t xml:space="preserve">non-TTP item. </w:t>
      </w:r>
      <w:r w:rsidR="00325407" w:rsidRPr="00DD6692">
        <w:rPr>
          <w:rStyle w:val="Bodytext-GuideChar"/>
          <w:rFonts w:eastAsiaTheme="minorHAnsi"/>
        </w:rPr>
        <w:t xml:space="preserve">In </w:t>
      </w:r>
      <w:r w:rsidR="00716C16" w:rsidRPr="00DD6692">
        <w:rPr>
          <w:rStyle w:val="Bodytext-GuideChar"/>
          <w:rFonts w:eastAsiaTheme="minorHAnsi"/>
        </w:rPr>
        <w:t>2021-22</w:t>
      </w:r>
      <w:r w:rsidR="00CD53B0" w:rsidRPr="00DD6692">
        <w:rPr>
          <w:rStyle w:val="Bodytext-GuideChar"/>
          <w:rFonts w:eastAsiaTheme="minorHAnsi"/>
        </w:rPr>
        <w:t>,</w:t>
      </w:r>
      <w:r w:rsidR="00325407" w:rsidRPr="00DD6692">
        <w:rPr>
          <w:rStyle w:val="Bodytext-GuideChar"/>
          <w:rFonts w:eastAsiaTheme="minorHAnsi"/>
        </w:rPr>
        <w:t xml:space="preserve"> the TTP additional amount is equal to </w:t>
      </w:r>
      <w:r w:rsidR="00716C16" w:rsidRPr="00DD6692">
        <w:rPr>
          <w:rStyle w:val="Bodytext-GuideChar"/>
          <w:rFonts w:eastAsiaTheme="minorHAnsi"/>
        </w:rPr>
        <w:t>4.5</w:t>
      </w:r>
      <w:r w:rsidR="00325407" w:rsidRPr="00DD6692">
        <w:rPr>
          <w:rStyle w:val="Bodytext-GuideChar"/>
          <w:rFonts w:eastAsiaTheme="minorHAnsi"/>
        </w:rPr>
        <w:t xml:space="preserve"> per cent of the </w:t>
      </w:r>
      <w:r w:rsidR="0048768C" w:rsidRPr="00DD6692">
        <w:rPr>
          <w:rStyle w:val="Bodytext-GuideChar"/>
          <w:rFonts w:eastAsiaTheme="minorHAnsi"/>
        </w:rPr>
        <w:t xml:space="preserve">relevant </w:t>
      </w:r>
      <w:r w:rsidR="00D12192" w:rsidRPr="00DD6692">
        <w:rPr>
          <w:rStyle w:val="Bodytext-GuideChar"/>
          <w:rFonts w:eastAsiaTheme="minorHAnsi"/>
        </w:rPr>
        <w:t>DSW A</w:t>
      </w:r>
      <w:r w:rsidR="00325407" w:rsidRPr="00DD6692">
        <w:rPr>
          <w:rStyle w:val="Bodytext-GuideChar"/>
          <w:rFonts w:eastAsiaTheme="minorHAnsi"/>
        </w:rPr>
        <w:t xml:space="preserve"> Cost for each time of day and day of week.</w:t>
      </w:r>
    </w:p>
    <w:p w:rsidR="00890E49" w:rsidRPr="00DD6692" w:rsidRDefault="00890E49" w:rsidP="00103152">
      <w:pPr>
        <w:pStyle w:val="Heading3"/>
        <w:numPr>
          <w:ilvl w:val="0"/>
          <w:numId w:val="11"/>
        </w:numPr>
        <w:ind w:left="284" w:hanging="284"/>
      </w:pPr>
      <w:bookmarkStart w:id="46" w:name="_Toc44490853"/>
      <w:bookmarkStart w:id="47" w:name="_Toc41159086"/>
      <w:bookmarkStart w:id="48" w:name="_Toc91063509"/>
      <w:r w:rsidRPr="00DD6692">
        <w:t>Assistance with Self Care Activities - Night-Time Sleepover Support</w:t>
      </w:r>
      <w:bookmarkEnd w:id="46"/>
      <w:bookmarkEnd w:id="47"/>
      <w:bookmarkEnd w:id="48"/>
    </w:p>
    <w:p w:rsidR="00325407" w:rsidRPr="00DD6692" w:rsidRDefault="00890E49" w:rsidP="00AE0D61">
      <w:r w:rsidRPr="00DD6692">
        <w:t xml:space="preserve">The price limit for </w:t>
      </w:r>
      <w:r w:rsidR="00325407" w:rsidRPr="00DD6692">
        <w:t>these</w:t>
      </w:r>
      <w:r w:rsidRPr="00DD6692">
        <w:t xml:space="preserve"> support item</w:t>
      </w:r>
      <w:r w:rsidR="00325407" w:rsidRPr="00DD6692">
        <w:t>s</w:t>
      </w:r>
      <w:r w:rsidRPr="00DD6692">
        <w:t xml:space="preserve"> is </w:t>
      </w:r>
      <w:r w:rsidR="0080661E" w:rsidRPr="00DD6692">
        <w:t xml:space="preserve">equal to </w:t>
      </w:r>
      <w:r w:rsidR="005A0CF6" w:rsidRPr="00DD6692">
        <w:t xml:space="preserve">the </w:t>
      </w:r>
      <w:r w:rsidR="00D54BD6" w:rsidRPr="00DD6692">
        <w:t xml:space="preserve">SCHADS Award </w:t>
      </w:r>
      <w:r w:rsidR="005A0CF6" w:rsidRPr="00DD6692">
        <w:t>Sleepover Allowance</w:t>
      </w:r>
      <w:r w:rsidR="00D54BD6" w:rsidRPr="00DD6692">
        <w:rPr>
          <w:rStyle w:val="FootnoteReference"/>
        </w:rPr>
        <w:footnoteReference w:id="22"/>
      </w:r>
      <w:r w:rsidR="005A0CF6" w:rsidRPr="00DD6692">
        <w:t xml:space="preserve"> </w:t>
      </w:r>
      <w:r w:rsidR="00D54BD6" w:rsidRPr="00DD6692">
        <w:t xml:space="preserve">plus </w:t>
      </w:r>
      <w:r w:rsidR="005A0CF6" w:rsidRPr="00DD6692">
        <w:t xml:space="preserve">three times </w:t>
      </w:r>
      <w:r w:rsidR="00325407" w:rsidRPr="00DD6692">
        <w:t xml:space="preserve">the </w:t>
      </w:r>
      <w:r w:rsidR="0048768C" w:rsidRPr="00DD6692">
        <w:t xml:space="preserve">relevant </w:t>
      </w:r>
      <w:r w:rsidR="00D12192" w:rsidRPr="00DD6692">
        <w:t>DSW A</w:t>
      </w:r>
      <w:r w:rsidR="00325407" w:rsidRPr="00DD6692">
        <w:t xml:space="preserve"> Night Cost.</w:t>
      </w:r>
    </w:p>
    <w:p w:rsidR="00AE0D61" w:rsidRPr="00DD6692" w:rsidRDefault="00315545" w:rsidP="00103152">
      <w:pPr>
        <w:pStyle w:val="Heading3"/>
        <w:numPr>
          <w:ilvl w:val="0"/>
          <w:numId w:val="11"/>
        </w:numPr>
        <w:ind w:left="284" w:hanging="284"/>
      </w:pPr>
      <w:bookmarkStart w:id="49" w:name="_Toc91063510"/>
      <w:r w:rsidRPr="00DD6692">
        <w:t>Establishment Fee f</w:t>
      </w:r>
      <w:r w:rsidR="00AE0D61" w:rsidRPr="00DD6692">
        <w:t>or Personal Care/Participation</w:t>
      </w:r>
      <w:bookmarkEnd w:id="49"/>
    </w:p>
    <w:p w:rsidR="0048768C" w:rsidRPr="00DD6692" w:rsidRDefault="00F55A39" w:rsidP="0048768C">
      <w:r w:rsidRPr="00DD6692">
        <w:t>The</w:t>
      </w:r>
      <w:r w:rsidR="00315545" w:rsidRPr="00DD6692">
        <w:t xml:space="preserve"> price limit for this support </w:t>
      </w:r>
      <w:r w:rsidR="00325407" w:rsidRPr="00DD6692">
        <w:t xml:space="preserve">item </w:t>
      </w:r>
      <w:r w:rsidR="00315545" w:rsidRPr="00DD6692">
        <w:t>is</w:t>
      </w:r>
      <w:r w:rsidRPr="00DD6692">
        <w:t xml:space="preserve"> 10 times the </w:t>
      </w:r>
      <w:r w:rsidR="0048768C" w:rsidRPr="00DD6692">
        <w:t xml:space="preserve">relevant </w:t>
      </w:r>
      <w:r w:rsidR="00D12192" w:rsidRPr="00DD6692">
        <w:t>DSW A</w:t>
      </w:r>
      <w:r w:rsidRPr="00DD6692">
        <w:t xml:space="preserve"> </w:t>
      </w:r>
      <w:r w:rsidR="00325407" w:rsidRPr="00DD6692">
        <w:t>Weekday Cost</w:t>
      </w:r>
      <w:r w:rsidR="00315545" w:rsidRPr="00DD6692">
        <w:t>.</w:t>
      </w:r>
    </w:p>
    <w:p w:rsidR="00AE0D61" w:rsidRPr="00DD6692" w:rsidRDefault="0076217E" w:rsidP="00103152">
      <w:pPr>
        <w:pStyle w:val="Heading3"/>
        <w:numPr>
          <w:ilvl w:val="0"/>
          <w:numId w:val="11"/>
        </w:numPr>
        <w:ind w:left="284" w:hanging="284"/>
      </w:pPr>
      <w:bookmarkStart w:id="50" w:name="_Toc91063511"/>
      <w:r w:rsidRPr="00DD6692">
        <w:t>Short Term</w:t>
      </w:r>
      <w:r w:rsidR="00A73FA9" w:rsidRPr="00DD6692">
        <w:t xml:space="preserve"> Accommodati</w:t>
      </w:r>
      <w:r w:rsidRPr="00DD6692">
        <w:t>on and A</w:t>
      </w:r>
      <w:r w:rsidR="00AE0D61" w:rsidRPr="00DD6692">
        <w:t>ssistance (including</w:t>
      </w:r>
      <w:r w:rsidRPr="00DD6692">
        <w:t xml:space="preserve"> the </w:t>
      </w:r>
      <w:r w:rsidR="00AE0D61" w:rsidRPr="00DD6692">
        <w:t>respite</w:t>
      </w:r>
      <w:r w:rsidRPr="00DD6692">
        <w:t xml:space="preserve"> care</w:t>
      </w:r>
      <w:r w:rsidR="00AE0D61" w:rsidRPr="00DD6692">
        <w:t>)</w:t>
      </w:r>
      <w:bookmarkEnd w:id="50"/>
    </w:p>
    <w:p w:rsidR="00093FC9" w:rsidRPr="00DD6692" w:rsidRDefault="00315545" w:rsidP="0076217E">
      <w:pPr>
        <w:rPr>
          <w:rFonts w:ascii="Arial" w:eastAsia="Calibri" w:hAnsi="Arial" w:cs="Arial"/>
          <w:szCs w:val="24"/>
        </w:rPr>
      </w:pPr>
      <w:r w:rsidRPr="00DD6692">
        <w:rPr>
          <w:rFonts w:ascii="Arial" w:eastAsia="Calibri" w:hAnsi="Arial" w:cs="Arial"/>
          <w:szCs w:val="24"/>
        </w:rPr>
        <w:t xml:space="preserve">The </w:t>
      </w:r>
      <w:r w:rsidR="00D12192" w:rsidRPr="00DD6692">
        <w:rPr>
          <w:rFonts w:ascii="Arial" w:eastAsia="Calibri" w:hAnsi="Arial" w:cs="Arial"/>
          <w:szCs w:val="24"/>
        </w:rPr>
        <w:t xml:space="preserve">daily </w:t>
      </w:r>
      <w:r w:rsidRPr="00DD6692">
        <w:rPr>
          <w:rFonts w:ascii="Arial" w:eastAsia="Calibri" w:hAnsi="Arial" w:cs="Arial"/>
          <w:szCs w:val="24"/>
        </w:rPr>
        <w:t xml:space="preserve">price limits for </w:t>
      </w:r>
      <w:r w:rsidR="00D54BD6" w:rsidRPr="00DD6692">
        <w:rPr>
          <w:rFonts w:ascii="Arial" w:eastAsia="Calibri" w:hAnsi="Arial" w:cs="Arial"/>
          <w:szCs w:val="24"/>
        </w:rPr>
        <w:t>each 1:n</w:t>
      </w:r>
      <w:r w:rsidRPr="00DD6692">
        <w:rPr>
          <w:rFonts w:ascii="Arial" w:eastAsia="Calibri" w:hAnsi="Arial" w:cs="Arial"/>
          <w:szCs w:val="24"/>
        </w:rPr>
        <w:t xml:space="preserve"> </w:t>
      </w:r>
      <w:r w:rsidR="00D54BD6" w:rsidRPr="00DD6692">
        <w:rPr>
          <w:rFonts w:ascii="Arial" w:eastAsia="Calibri" w:hAnsi="Arial" w:cs="Arial"/>
          <w:szCs w:val="24"/>
        </w:rPr>
        <w:t>weekday support item is the sum of</w:t>
      </w:r>
      <w:r w:rsidR="00D12192" w:rsidRPr="00DD6692">
        <w:rPr>
          <w:rFonts w:ascii="Arial" w:eastAsia="Calibri" w:hAnsi="Arial" w:cs="Arial"/>
          <w:szCs w:val="24"/>
        </w:rPr>
        <w:t xml:space="preserve"> the following amounts:</w:t>
      </w:r>
    </w:p>
    <w:p w:rsidR="00103152" w:rsidRPr="00DD6692" w:rsidRDefault="00103152" w:rsidP="00093FC9">
      <w:pPr>
        <w:pStyle w:val="DotPoint"/>
      </w:pPr>
      <w:r w:rsidRPr="00DD6692">
        <w:rPr>
          <w:rFonts w:ascii="Arial" w:hAnsi="Arial" w:cs="Arial"/>
        </w:rPr>
        <w:t xml:space="preserve">The short term accommodation capital component (see page </w:t>
      </w:r>
      <w:r w:rsidRPr="00DD6692">
        <w:rPr>
          <w:rFonts w:ascii="Arial" w:hAnsi="Arial" w:cs="Arial"/>
        </w:rPr>
        <w:fldChar w:fldCharType="begin"/>
      </w:r>
      <w:r w:rsidRPr="00DD6692">
        <w:rPr>
          <w:rFonts w:ascii="Arial" w:hAnsi="Arial" w:cs="Arial"/>
        </w:rPr>
        <w:instrText xml:space="preserve"> PAGEREF _Ref75514832 \h </w:instrText>
      </w:r>
      <w:r w:rsidRPr="00DD6692">
        <w:rPr>
          <w:rFonts w:ascii="Arial" w:hAnsi="Arial" w:cs="Arial"/>
        </w:rPr>
      </w:r>
      <w:r w:rsidRPr="00DD6692">
        <w:rPr>
          <w:rFonts w:ascii="Arial" w:hAnsi="Arial" w:cs="Arial"/>
        </w:rPr>
        <w:fldChar w:fldCharType="separate"/>
      </w:r>
      <w:r w:rsidR="00DD6692">
        <w:rPr>
          <w:rFonts w:ascii="Arial" w:hAnsi="Arial" w:cs="Arial"/>
          <w:noProof/>
        </w:rPr>
        <w:t>13</w:t>
      </w:r>
      <w:r w:rsidRPr="00DD6692">
        <w:rPr>
          <w:rFonts w:ascii="Arial" w:hAnsi="Arial" w:cs="Arial"/>
        </w:rPr>
        <w:fldChar w:fldCharType="end"/>
      </w:r>
      <w:r w:rsidRPr="00DD6692">
        <w:rPr>
          <w:rFonts w:ascii="Arial" w:hAnsi="Arial" w:cs="Arial"/>
        </w:rPr>
        <w:t>);</w:t>
      </w:r>
    </w:p>
    <w:p w:rsidR="0076217E" w:rsidRPr="00DD6692" w:rsidRDefault="00103152" w:rsidP="00093FC9">
      <w:pPr>
        <w:pStyle w:val="DotPoint"/>
      </w:pPr>
      <w:r w:rsidRPr="00DD6692">
        <w:rPr>
          <w:rFonts w:ascii="Arial" w:hAnsi="Arial" w:cs="Arial"/>
        </w:rPr>
        <w:t xml:space="preserve">The short term accommodation hotel component (see page </w:t>
      </w:r>
      <w:r w:rsidRPr="00DD6692">
        <w:rPr>
          <w:rFonts w:ascii="Arial" w:hAnsi="Arial" w:cs="Arial"/>
        </w:rPr>
        <w:fldChar w:fldCharType="begin"/>
      </w:r>
      <w:r w:rsidRPr="00DD6692">
        <w:rPr>
          <w:rFonts w:ascii="Arial" w:hAnsi="Arial" w:cs="Arial"/>
        </w:rPr>
        <w:instrText xml:space="preserve"> PAGEREF _Ref75514832 \h </w:instrText>
      </w:r>
      <w:r w:rsidRPr="00DD6692">
        <w:rPr>
          <w:rFonts w:ascii="Arial" w:hAnsi="Arial" w:cs="Arial"/>
        </w:rPr>
      </w:r>
      <w:r w:rsidRPr="00DD6692">
        <w:rPr>
          <w:rFonts w:ascii="Arial" w:hAnsi="Arial" w:cs="Arial"/>
        </w:rPr>
        <w:fldChar w:fldCharType="separate"/>
      </w:r>
      <w:r w:rsidR="00DD6692">
        <w:rPr>
          <w:rFonts w:ascii="Arial" w:hAnsi="Arial" w:cs="Arial"/>
          <w:noProof/>
        </w:rPr>
        <w:t>13</w:t>
      </w:r>
      <w:r w:rsidRPr="00DD6692">
        <w:rPr>
          <w:rFonts w:ascii="Arial" w:hAnsi="Arial" w:cs="Arial"/>
        </w:rPr>
        <w:fldChar w:fldCharType="end"/>
      </w:r>
      <w:r w:rsidRPr="00DD6692">
        <w:rPr>
          <w:rFonts w:ascii="Arial" w:hAnsi="Arial" w:cs="Arial"/>
        </w:rPr>
        <w:t>);</w:t>
      </w:r>
    </w:p>
    <w:p w:rsidR="00093FC9" w:rsidRPr="00DD6692" w:rsidRDefault="00D54BD6" w:rsidP="00093FC9">
      <w:pPr>
        <w:pStyle w:val="DotPoint"/>
      </w:pPr>
      <w:r w:rsidRPr="00DD6692">
        <w:t xml:space="preserve">1/n times </w:t>
      </w:r>
      <w:r w:rsidR="00093FC9" w:rsidRPr="00DD6692">
        <w:t xml:space="preserve">8 times the </w:t>
      </w:r>
      <w:r w:rsidR="0048768C" w:rsidRPr="00DD6692">
        <w:t xml:space="preserve">relevant </w:t>
      </w:r>
      <w:r w:rsidR="00D12192" w:rsidRPr="00DD6692">
        <w:t>DSW B</w:t>
      </w:r>
      <w:r w:rsidR="00093FC9" w:rsidRPr="00DD6692">
        <w:t xml:space="preserve"> Daytime </w:t>
      </w:r>
      <w:r w:rsidR="00D12192" w:rsidRPr="00DD6692">
        <w:t>hourly price limit</w:t>
      </w:r>
      <w:r w:rsidR="00093FC9" w:rsidRPr="00DD6692">
        <w:t>;</w:t>
      </w:r>
    </w:p>
    <w:p w:rsidR="00093FC9" w:rsidRPr="00DD6692" w:rsidRDefault="00D54BD6" w:rsidP="00093FC9">
      <w:pPr>
        <w:pStyle w:val="DotPoint"/>
      </w:pPr>
      <w:r w:rsidRPr="00DD6692">
        <w:t xml:space="preserve">1/n times </w:t>
      </w:r>
      <w:r w:rsidR="00093FC9" w:rsidRPr="00DD6692">
        <w:t xml:space="preserve">8 times the </w:t>
      </w:r>
      <w:r w:rsidR="0048768C" w:rsidRPr="00DD6692">
        <w:t xml:space="preserve">relevant </w:t>
      </w:r>
      <w:r w:rsidR="00D12192" w:rsidRPr="00DD6692">
        <w:t>DSW B</w:t>
      </w:r>
      <w:r w:rsidR="00093FC9" w:rsidRPr="00DD6692">
        <w:t xml:space="preserve"> Weekday Evening </w:t>
      </w:r>
      <w:r w:rsidR="00D12192" w:rsidRPr="00DD6692">
        <w:t>hourly price limit</w:t>
      </w:r>
      <w:r w:rsidR="00093FC9" w:rsidRPr="00DD6692">
        <w:t>;</w:t>
      </w:r>
    </w:p>
    <w:p w:rsidR="00093FC9" w:rsidRPr="00DD6692" w:rsidRDefault="00D54BD6" w:rsidP="00093FC9">
      <w:pPr>
        <w:pStyle w:val="DotPoint"/>
      </w:pPr>
      <w:r w:rsidRPr="00DD6692">
        <w:t xml:space="preserve">1/n times </w:t>
      </w:r>
      <w:r w:rsidR="00093FC9" w:rsidRPr="00DD6692">
        <w:t xml:space="preserve">8 times the </w:t>
      </w:r>
      <w:r w:rsidR="0048768C" w:rsidRPr="00DD6692">
        <w:t xml:space="preserve">relevant </w:t>
      </w:r>
      <w:r w:rsidR="00D12192" w:rsidRPr="00DD6692">
        <w:t>DSW B</w:t>
      </w:r>
      <w:r w:rsidR="00093FC9" w:rsidRPr="00DD6692">
        <w:t xml:space="preserve"> Weekday Night </w:t>
      </w:r>
      <w:r w:rsidR="00D12192" w:rsidRPr="00DD6692">
        <w:t>hourly price limit</w:t>
      </w:r>
      <w:r w:rsidR="00093FC9" w:rsidRPr="00DD6692">
        <w:t>.</w:t>
      </w:r>
    </w:p>
    <w:p w:rsidR="00D54BD6" w:rsidRPr="00DD6692" w:rsidRDefault="00D54BD6" w:rsidP="00D54BD6">
      <w:pPr>
        <w:rPr>
          <w:rFonts w:ascii="Arial" w:eastAsia="Calibri" w:hAnsi="Arial" w:cs="Arial"/>
          <w:szCs w:val="24"/>
        </w:rPr>
      </w:pPr>
      <w:r w:rsidRPr="00DD6692">
        <w:rPr>
          <w:rFonts w:ascii="Arial" w:eastAsia="Calibri" w:hAnsi="Arial" w:cs="Arial"/>
          <w:szCs w:val="24"/>
        </w:rPr>
        <w:t xml:space="preserve">The </w:t>
      </w:r>
      <w:r w:rsidR="00716C16" w:rsidRPr="00DD6692">
        <w:rPr>
          <w:rFonts w:ascii="Arial" w:eastAsia="Calibri" w:hAnsi="Arial" w:cs="Arial"/>
          <w:szCs w:val="24"/>
        </w:rPr>
        <w:t>2021-22</w:t>
      </w:r>
      <w:r w:rsidRPr="00DD6692">
        <w:rPr>
          <w:rFonts w:ascii="Arial" w:eastAsia="Calibri" w:hAnsi="Arial" w:cs="Arial"/>
          <w:szCs w:val="24"/>
        </w:rPr>
        <w:t xml:space="preserve"> </w:t>
      </w:r>
      <w:r w:rsidR="00D12192" w:rsidRPr="00DD6692">
        <w:rPr>
          <w:rFonts w:ascii="Arial" w:eastAsia="Calibri" w:hAnsi="Arial" w:cs="Arial"/>
          <w:szCs w:val="24"/>
        </w:rPr>
        <w:t xml:space="preserve">daily </w:t>
      </w:r>
      <w:r w:rsidRPr="00DD6692">
        <w:rPr>
          <w:rFonts w:ascii="Arial" w:eastAsia="Calibri" w:hAnsi="Arial" w:cs="Arial"/>
          <w:szCs w:val="24"/>
        </w:rPr>
        <w:t>price limits for each 1:n Saturday support item is the sum of</w:t>
      </w:r>
      <w:r w:rsidR="00D12192" w:rsidRPr="00DD6692">
        <w:rPr>
          <w:rFonts w:ascii="Arial" w:eastAsia="Calibri" w:hAnsi="Arial" w:cs="Arial"/>
          <w:szCs w:val="24"/>
        </w:rPr>
        <w:t xml:space="preserve"> the following amounts:</w:t>
      </w:r>
    </w:p>
    <w:p w:rsidR="00103152" w:rsidRPr="00DD6692" w:rsidRDefault="00103152" w:rsidP="00103152">
      <w:pPr>
        <w:pStyle w:val="DotPoint"/>
      </w:pPr>
      <w:r w:rsidRPr="00DD6692">
        <w:rPr>
          <w:rFonts w:ascii="Arial" w:hAnsi="Arial" w:cs="Arial"/>
        </w:rPr>
        <w:t xml:space="preserve">The short term accommodation capital component (see page </w:t>
      </w:r>
      <w:r w:rsidRPr="00DD6692">
        <w:rPr>
          <w:rFonts w:ascii="Arial" w:hAnsi="Arial" w:cs="Arial"/>
        </w:rPr>
        <w:fldChar w:fldCharType="begin"/>
      </w:r>
      <w:r w:rsidRPr="00DD6692">
        <w:rPr>
          <w:rFonts w:ascii="Arial" w:hAnsi="Arial" w:cs="Arial"/>
        </w:rPr>
        <w:instrText xml:space="preserve"> PAGEREF _Ref75514832 \h </w:instrText>
      </w:r>
      <w:r w:rsidRPr="00DD6692">
        <w:rPr>
          <w:rFonts w:ascii="Arial" w:hAnsi="Arial" w:cs="Arial"/>
        </w:rPr>
      </w:r>
      <w:r w:rsidRPr="00DD6692">
        <w:rPr>
          <w:rFonts w:ascii="Arial" w:hAnsi="Arial" w:cs="Arial"/>
        </w:rPr>
        <w:fldChar w:fldCharType="separate"/>
      </w:r>
      <w:r w:rsidR="00DD6692">
        <w:rPr>
          <w:rFonts w:ascii="Arial" w:hAnsi="Arial" w:cs="Arial"/>
          <w:noProof/>
        </w:rPr>
        <w:t>13</w:t>
      </w:r>
      <w:r w:rsidRPr="00DD6692">
        <w:rPr>
          <w:rFonts w:ascii="Arial" w:hAnsi="Arial" w:cs="Arial"/>
        </w:rPr>
        <w:fldChar w:fldCharType="end"/>
      </w:r>
      <w:r w:rsidRPr="00DD6692">
        <w:rPr>
          <w:rFonts w:ascii="Arial" w:hAnsi="Arial" w:cs="Arial"/>
        </w:rPr>
        <w:t>);</w:t>
      </w:r>
    </w:p>
    <w:p w:rsidR="00103152" w:rsidRPr="00DD6692" w:rsidRDefault="00103152" w:rsidP="00103152">
      <w:pPr>
        <w:pStyle w:val="DotPoint"/>
      </w:pPr>
      <w:r w:rsidRPr="00DD6692">
        <w:rPr>
          <w:rFonts w:ascii="Arial" w:hAnsi="Arial" w:cs="Arial"/>
        </w:rPr>
        <w:t xml:space="preserve">The short term accommodation hotel component (see page </w:t>
      </w:r>
      <w:r w:rsidRPr="00DD6692">
        <w:rPr>
          <w:rFonts w:ascii="Arial" w:hAnsi="Arial" w:cs="Arial"/>
        </w:rPr>
        <w:fldChar w:fldCharType="begin"/>
      </w:r>
      <w:r w:rsidRPr="00DD6692">
        <w:rPr>
          <w:rFonts w:ascii="Arial" w:hAnsi="Arial" w:cs="Arial"/>
        </w:rPr>
        <w:instrText xml:space="preserve"> PAGEREF _Ref75514832 \h </w:instrText>
      </w:r>
      <w:r w:rsidRPr="00DD6692">
        <w:rPr>
          <w:rFonts w:ascii="Arial" w:hAnsi="Arial" w:cs="Arial"/>
        </w:rPr>
      </w:r>
      <w:r w:rsidRPr="00DD6692">
        <w:rPr>
          <w:rFonts w:ascii="Arial" w:hAnsi="Arial" w:cs="Arial"/>
        </w:rPr>
        <w:fldChar w:fldCharType="separate"/>
      </w:r>
      <w:r w:rsidR="00DD6692">
        <w:rPr>
          <w:rFonts w:ascii="Arial" w:hAnsi="Arial" w:cs="Arial"/>
          <w:noProof/>
        </w:rPr>
        <w:t>13</w:t>
      </w:r>
      <w:r w:rsidRPr="00DD6692">
        <w:rPr>
          <w:rFonts w:ascii="Arial" w:hAnsi="Arial" w:cs="Arial"/>
        </w:rPr>
        <w:fldChar w:fldCharType="end"/>
      </w:r>
      <w:r w:rsidRPr="00DD6692">
        <w:rPr>
          <w:rFonts w:ascii="Arial" w:hAnsi="Arial" w:cs="Arial"/>
        </w:rPr>
        <w:t>);</w:t>
      </w:r>
    </w:p>
    <w:p w:rsidR="00D54BD6" w:rsidRPr="00DD6692" w:rsidRDefault="00D54BD6" w:rsidP="00D54BD6">
      <w:pPr>
        <w:pStyle w:val="DotPoint"/>
      </w:pPr>
      <w:r w:rsidRPr="00DD6692">
        <w:t xml:space="preserve">1/n times 24 times the </w:t>
      </w:r>
      <w:r w:rsidR="0048768C" w:rsidRPr="00DD6692">
        <w:t xml:space="preserve">relevant </w:t>
      </w:r>
      <w:r w:rsidR="00D12192" w:rsidRPr="00DD6692">
        <w:t>DSW B</w:t>
      </w:r>
      <w:r w:rsidRPr="00DD6692">
        <w:t xml:space="preserve"> Saturday </w:t>
      </w:r>
      <w:r w:rsidR="00D12192" w:rsidRPr="00DD6692">
        <w:t>hourly price limit</w:t>
      </w:r>
      <w:r w:rsidRPr="00DD6692">
        <w:t>.</w:t>
      </w:r>
    </w:p>
    <w:p w:rsidR="00D54BD6" w:rsidRPr="00DD6692" w:rsidRDefault="00D54BD6" w:rsidP="00D54BD6">
      <w:pPr>
        <w:rPr>
          <w:rFonts w:ascii="Arial" w:eastAsia="Calibri" w:hAnsi="Arial" w:cs="Arial"/>
          <w:szCs w:val="24"/>
        </w:rPr>
      </w:pPr>
      <w:r w:rsidRPr="00DD6692">
        <w:rPr>
          <w:rFonts w:ascii="Arial" w:eastAsia="Calibri" w:hAnsi="Arial" w:cs="Arial"/>
          <w:szCs w:val="24"/>
        </w:rPr>
        <w:t xml:space="preserve">The </w:t>
      </w:r>
      <w:r w:rsidR="00716C16" w:rsidRPr="00DD6692">
        <w:rPr>
          <w:rFonts w:ascii="Arial" w:eastAsia="Calibri" w:hAnsi="Arial" w:cs="Arial"/>
          <w:szCs w:val="24"/>
        </w:rPr>
        <w:t>2021-22</w:t>
      </w:r>
      <w:r w:rsidRPr="00DD6692">
        <w:rPr>
          <w:rFonts w:ascii="Arial" w:eastAsia="Calibri" w:hAnsi="Arial" w:cs="Arial"/>
          <w:szCs w:val="24"/>
        </w:rPr>
        <w:t xml:space="preserve"> </w:t>
      </w:r>
      <w:r w:rsidR="00D12192" w:rsidRPr="00DD6692">
        <w:rPr>
          <w:rFonts w:ascii="Arial" w:eastAsia="Calibri" w:hAnsi="Arial" w:cs="Arial"/>
          <w:szCs w:val="24"/>
        </w:rPr>
        <w:t xml:space="preserve">daily </w:t>
      </w:r>
      <w:r w:rsidRPr="00DD6692">
        <w:rPr>
          <w:rFonts w:ascii="Arial" w:eastAsia="Calibri" w:hAnsi="Arial" w:cs="Arial"/>
          <w:szCs w:val="24"/>
        </w:rPr>
        <w:t>price limits for each 1:n Sunday support item is the sum of</w:t>
      </w:r>
      <w:r w:rsidR="00D12192" w:rsidRPr="00DD6692">
        <w:rPr>
          <w:rFonts w:ascii="Arial" w:eastAsia="Calibri" w:hAnsi="Arial" w:cs="Arial"/>
          <w:szCs w:val="24"/>
        </w:rPr>
        <w:t xml:space="preserve"> the following amounts:</w:t>
      </w:r>
    </w:p>
    <w:p w:rsidR="00103152" w:rsidRPr="00DD6692" w:rsidRDefault="00103152" w:rsidP="00103152">
      <w:pPr>
        <w:pStyle w:val="DotPoint"/>
      </w:pPr>
      <w:r w:rsidRPr="00DD6692">
        <w:rPr>
          <w:rFonts w:ascii="Arial" w:hAnsi="Arial" w:cs="Arial"/>
        </w:rPr>
        <w:t xml:space="preserve">The short term accommodation capital component (see page </w:t>
      </w:r>
      <w:r w:rsidRPr="00DD6692">
        <w:rPr>
          <w:rFonts w:ascii="Arial" w:hAnsi="Arial" w:cs="Arial"/>
        </w:rPr>
        <w:fldChar w:fldCharType="begin"/>
      </w:r>
      <w:r w:rsidRPr="00DD6692">
        <w:rPr>
          <w:rFonts w:ascii="Arial" w:hAnsi="Arial" w:cs="Arial"/>
        </w:rPr>
        <w:instrText xml:space="preserve"> PAGEREF _Ref75514832 \h </w:instrText>
      </w:r>
      <w:r w:rsidRPr="00DD6692">
        <w:rPr>
          <w:rFonts w:ascii="Arial" w:hAnsi="Arial" w:cs="Arial"/>
        </w:rPr>
      </w:r>
      <w:r w:rsidRPr="00DD6692">
        <w:rPr>
          <w:rFonts w:ascii="Arial" w:hAnsi="Arial" w:cs="Arial"/>
        </w:rPr>
        <w:fldChar w:fldCharType="separate"/>
      </w:r>
      <w:r w:rsidR="00DD6692">
        <w:rPr>
          <w:rFonts w:ascii="Arial" w:hAnsi="Arial" w:cs="Arial"/>
          <w:noProof/>
        </w:rPr>
        <w:t>13</w:t>
      </w:r>
      <w:r w:rsidRPr="00DD6692">
        <w:rPr>
          <w:rFonts w:ascii="Arial" w:hAnsi="Arial" w:cs="Arial"/>
        </w:rPr>
        <w:fldChar w:fldCharType="end"/>
      </w:r>
      <w:r w:rsidRPr="00DD6692">
        <w:rPr>
          <w:rFonts w:ascii="Arial" w:hAnsi="Arial" w:cs="Arial"/>
        </w:rPr>
        <w:t>);</w:t>
      </w:r>
    </w:p>
    <w:p w:rsidR="00103152" w:rsidRPr="00DD6692" w:rsidRDefault="00103152" w:rsidP="00103152">
      <w:pPr>
        <w:pStyle w:val="DotPoint"/>
      </w:pPr>
      <w:r w:rsidRPr="00DD6692">
        <w:rPr>
          <w:rFonts w:ascii="Arial" w:hAnsi="Arial" w:cs="Arial"/>
        </w:rPr>
        <w:t xml:space="preserve">The short term accommodation hotel component (see page </w:t>
      </w:r>
      <w:r w:rsidRPr="00DD6692">
        <w:rPr>
          <w:rFonts w:ascii="Arial" w:hAnsi="Arial" w:cs="Arial"/>
        </w:rPr>
        <w:fldChar w:fldCharType="begin"/>
      </w:r>
      <w:r w:rsidRPr="00DD6692">
        <w:rPr>
          <w:rFonts w:ascii="Arial" w:hAnsi="Arial" w:cs="Arial"/>
        </w:rPr>
        <w:instrText xml:space="preserve"> PAGEREF _Ref75514832 \h </w:instrText>
      </w:r>
      <w:r w:rsidRPr="00DD6692">
        <w:rPr>
          <w:rFonts w:ascii="Arial" w:hAnsi="Arial" w:cs="Arial"/>
        </w:rPr>
      </w:r>
      <w:r w:rsidRPr="00DD6692">
        <w:rPr>
          <w:rFonts w:ascii="Arial" w:hAnsi="Arial" w:cs="Arial"/>
        </w:rPr>
        <w:fldChar w:fldCharType="separate"/>
      </w:r>
      <w:r w:rsidR="00DD6692">
        <w:rPr>
          <w:rFonts w:ascii="Arial" w:hAnsi="Arial" w:cs="Arial"/>
          <w:noProof/>
        </w:rPr>
        <w:t>13</w:t>
      </w:r>
      <w:r w:rsidRPr="00DD6692">
        <w:rPr>
          <w:rFonts w:ascii="Arial" w:hAnsi="Arial" w:cs="Arial"/>
        </w:rPr>
        <w:fldChar w:fldCharType="end"/>
      </w:r>
      <w:r w:rsidRPr="00DD6692">
        <w:rPr>
          <w:rFonts w:ascii="Arial" w:hAnsi="Arial" w:cs="Arial"/>
        </w:rPr>
        <w:t>);</w:t>
      </w:r>
    </w:p>
    <w:p w:rsidR="00D54BD6" w:rsidRPr="00DD6692" w:rsidRDefault="00D54BD6" w:rsidP="00D54BD6">
      <w:pPr>
        <w:pStyle w:val="DotPoint"/>
      </w:pPr>
      <w:r w:rsidRPr="00DD6692">
        <w:t xml:space="preserve">1/n times 24 times the </w:t>
      </w:r>
      <w:r w:rsidR="0048768C" w:rsidRPr="00DD6692">
        <w:t xml:space="preserve">relevant </w:t>
      </w:r>
      <w:r w:rsidR="00D12192" w:rsidRPr="00DD6692">
        <w:t>DSW B</w:t>
      </w:r>
      <w:r w:rsidRPr="00DD6692">
        <w:t xml:space="preserve"> Sunday </w:t>
      </w:r>
      <w:r w:rsidR="00D12192" w:rsidRPr="00DD6692">
        <w:t>hourly price limit</w:t>
      </w:r>
      <w:r w:rsidRPr="00DD6692">
        <w:t>.</w:t>
      </w:r>
    </w:p>
    <w:p w:rsidR="00D54BD6" w:rsidRPr="00DD6692" w:rsidRDefault="00D54BD6" w:rsidP="00D54BD6">
      <w:pPr>
        <w:rPr>
          <w:rFonts w:ascii="Arial" w:eastAsia="Calibri" w:hAnsi="Arial" w:cs="Arial"/>
          <w:szCs w:val="24"/>
        </w:rPr>
      </w:pPr>
      <w:r w:rsidRPr="00DD6692">
        <w:rPr>
          <w:rFonts w:ascii="Arial" w:eastAsia="Calibri" w:hAnsi="Arial" w:cs="Arial"/>
          <w:szCs w:val="24"/>
        </w:rPr>
        <w:t xml:space="preserve">The </w:t>
      </w:r>
      <w:r w:rsidR="00716C16" w:rsidRPr="00DD6692">
        <w:rPr>
          <w:rFonts w:ascii="Arial" w:eastAsia="Calibri" w:hAnsi="Arial" w:cs="Arial"/>
          <w:szCs w:val="24"/>
        </w:rPr>
        <w:t>2021-22</w:t>
      </w:r>
      <w:r w:rsidRPr="00DD6692">
        <w:rPr>
          <w:rFonts w:ascii="Arial" w:eastAsia="Calibri" w:hAnsi="Arial" w:cs="Arial"/>
          <w:szCs w:val="24"/>
        </w:rPr>
        <w:t xml:space="preserve"> </w:t>
      </w:r>
      <w:r w:rsidR="00D12192" w:rsidRPr="00DD6692">
        <w:rPr>
          <w:rFonts w:ascii="Arial" w:eastAsia="Calibri" w:hAnsi="Arial" w:cs="Arial"/>
          <w:szCs w:val="24"/>
        </w:rPr>
        <w:t xml:space="preserve">daily </w:t>
      </w:r>
      <w:r w:rsidRPr="00DD6692">
        <w:rPr>
          <w:rFonts w:ascii="Arial" w:eastAsia="Calibri" w:hAnsi="Arial" w:cs="Arial"/>
          <w:szCs w:val="24"/>
        </w:rPr>
        <w:t>price limits for each 1:n Public Holiday support item is the sum of</w:t>
      </w:r>
      <w:r w:rsidR="00D12192" w:rsidRPr="00DD6692">
        <w:rPr>
          <w:rFonts w:ascii="Arial" w:eastAsia="Calibri" w:hAnsi="Arial" w:cs="Arial"/>
          <w:szCs w:val="24"/>
        </w:rPr>
        <w:t xml:space="preserve"> the following amounts:</w:t>
      </w:r>
    </w:p>
    <w:p w:rsidR="00103152" w:rsidRPr="00DD6692" w:rsidRDefault="00103152" w:rsidP="00103152">
      <w:pPr>
        <w:pStyle w:val="DotPoint"/>
      </w:pPr>
      <w:r w:rsidRPr="00DD6692">
        <w:rPr>
          <w:rFonts w:ascii="Arial" w:hAnsi="Arial" w:cs="Arial"/>
        </w:rPr>
        <w:t xml:space="preserve">The short term accommodation capital component (see page </w:t>
      </w:r>
      <w:r w:rsidRPr="00DD6692">
        <w:rPr>
          <w:rFonts w:ascii="Arial" w:hAnsi="Arial" w:cs="Arial"/>
        </w:rPr>
        <w:fldChar w:fldCharType="begin"/>
      </w:r>
      <w:r w:rsidRPr="00DD6692">
        <w:rPr>
          <w:rFonts w:ascii="Arial" w:hAnsi="Arial" w:cs="Arial"/>
        </w:rPr>
        <w:instrText xml:space="preserve"> PAGEREF _Ref75514832 \h </w:instrText>
      </w:r>
      <w:r w:rsidRPr="00DD6692">
        <w:rPr>
          <w:rFonts w:ascii="Arial" w:hAnsi="Arial" w:cs="Arial"/>
        </w:rPr>
      </w:r>
      <w:r w:rsidRPr="00DD6692">
        <w:rPr>
          <w:rFonts w:ascii="Arial" w:hAnsi="Arial" w:cs="Arial"/>
        </w:rPr>
        <w:fldChar w:fldCharType="separate"/>
      </w:r>
      <w:r w:rsidR="00DD6692">
        <w:rPr>
          <w:rFonts w:ascii="Arial" w:hAnsi="Arial" w:cs="Arial"/>
          <w:noProof/>
        </w:rPr>
        <w:t>13</w:t>
      </w:r>
      <w:r w:rsidRPr="00DD6692">
        <w:rPr>
          <w:rFonts w:ascii="Arial" w:hAnsi="Arial" w:cs="Arial"/>
        </w:rPr>
        <w:fldChar w:fldCharType="end"/>
      </w:r>
      <w:r w:rsidRPr="00DD6692">
        <w:rPr>
          <w:rFonts w:ascii="Arial" w:hAnsi="Arial" w:cs="Arial"/>
        </w:rPr>
        <w:t>);</w:t>
      </w:r>
    </w:p>
    <w:p w:rsidR="00103152" w:rsidRPr="00DD6692" w:rsidRDefault="00103152" w:rsidP="00103152">
      <w:pPr>
        <w:pStyle w:val="DotPoint"/>
      </w:pPr>
      <w:r w:rsidRPr="00DD6692">
        <w:rPr>
          <w:rFonts w:ascii="Arial" w:hAnsi="Arial" w:cs="Arial"/>
        </w:rPr>
        <w:t xml:space="preserve">The short term accommodation hotel component (see page </w:t>
      </w:r>
      <w:r w:rsidRPr="00DD6692">
        <w:rPr>
          <w:rFonts w:ascii="Arial" w:hAnsi="Arial" w:cs="Arial"/>
        </w:rPr>
        <w:fldChar w:fldCharType="begin"/>
      </w:r>
      <w:r w:rsidRPr="00DD6692">
        <w:rPr>
          <w:rFonts w:ascii="Arial" w:hAnsi="Arial" w:cs="Arial"/>
        </w:rPr>
        <w:instrText xml:space="preserve"> PAGEREF _Ref75514832 \h </w:instrText>
      </w:r>
      <w:r w:rsidRPr="00DD6692">
        <w:rPr>
          <w:rFonts w:ascii="Arial" w:hAnsi="Arial" w:cs="Arial"/>
        </w:rPr>
      </w:r>
      <w:r w:rsidRPr="00DD6692">
        <w:rPr>
          <w:rFonts w:ascii="Arial" w:hAnsi="Arial" w:cs="Arial"/>
        </w:rPr>
        <w:fldChar w:fldCharType="separate"/>
      </w:r>
      <w:r w:rsidR="00DD6692">
        <w:rPr>
          <w:rFonts w:ascii="Arial" w:hAnsi="Arial" w:cs="Arial"/>
          <w:noProof/>
        </w:rPr>
        <w:t>13</w:t>
      </w:r>
      <w:r w:rsidRPr="00DD6692">
        <w:rPr>
          <w:rFonts w:ascii="Arial" w:hAnsi="Arial" w:cs="Arial"/>
        </w:rPr>
        <w:fldChar w:fldCharType="end"/>
      </w:r>
      <w:r w:rsidRPr="00DD6692">
        <w:rPr>
          <w:rFonts w:ascii="Arial" w:hAnsi="Arial" w:cs="Arial"/>
        </w:rPr>
        <w:t>);</w:t>
      </w:r>
    </w:p>
    <w:p w:rsidR="00D54BD6" w:rsidRPr="00DD6692" w:rsidRDefault="00D54BD6" w:rsidP="00D54BD6">
      <w:pPr>
        <w:pStyle w:val="DotPoint"/>
      </w:pPr>
      <w:r w:rsidRPr="00DD6692">
        <w:t xml:space="preserve">1/n times 24 times the </w:t>
      </w:r>
      <w:r w:rsidR="0048768C" w:rsidRPr="00DD6692">
        <w:t xml:space="preserve">relevant </w:t>
      </w:r>
      <w:r w:rsidR="00D12192" w:rsidRPr="00DD6692">
        <w:t>DSW B</w:t>
      </w:r>
      <w:r w:rsidRPr="00DD6692">
        <w:t xml:space="preserve"> Public Holiday </w:t>
      </w:r>
      <w:r w:rsidR="00D12192" w:rsidRPr="00DD6692">
        <w:t>hourly price limit</w:t>
      </w:r>
      <w:r w:rsidRPr="00DD6692">
        <w:t>.</w:t>
      </w:r>
    </w:p>
    <w:p w:rsidR="00AE0D61" w:rsidRPr="00DD6692" w:rsidRDefault="00AE0D61" w:rsidP="00103152">
      <w:pPr>
        <w:pStyle w:val="Heading3"/>
        <w:numPr>
          <w:ilvl w:val="0"/>
          <w:numId w:val="11"/>
        </w:numPr>
        <w:ind w:left="284" w:hanging="284"/>
      </w:pPr>
      <w:bookmarkStart w:id="51" w:name="_Toc91063512"/>
      <w:r w:rsidRPr="00DD6692">
        <w:t>Group Activities</w:t>
      </w:r>
      <w:r w:rsidR="00093FC9" w:rsidRPr="00DD6692">
        <w:t xml:space="preserve"> (Transitional Arrangement)</w:t>
      </w:r>
      <w:bookmarkEnd w:id="51"/>
    </w:p>
    <w:p w:rsidR="00093FC9" w:rsidRPr="00DD6692" w:rsidRDefault="00093FC9" w:rsidP="00093FC9">
      <w:r w:rsidRPr="00DD6692">
        <w:t>The price limit</w:t>
      </w:r>
      <w:r w:rsidR="00C47581" w:rsidRPr="00DD6692">
        <w:t>s</w:t>
      </w:r>
      <w:r w:rsidRPr="00DD6692">
        <w:t xml:space="preserve"> for community-based group supports apply to each hour of support and are based on the price limit</w:t>
      </w:r>
      <w:r w:rsidR="00C47581" w:rsidRPr="00DD6692">
        <w:t>s</w:t>
      </w:r>
      <w:r w:rsidRPr="00DD6692">
        <w:t xml:space="preserve"> of the relevant 1:1 community participation support (for each level of support and</w:t>
      </w:r>
      <w:r w:rsidR="00D54BD6" w:rsidRPr="00DD6692">
        <w:t xml:space="preserve"> time of day and day of week). If t</w:t>
      </w:r>
      <w:r w:rsidRPr="00DD6692">
        <w:t>he price limit for the relevant 1:1 support is P then the price limit P</w:t>
      </w:r>
      <w:r w:rsidRPr="00DD6692">
        <w:rPr>
          <w:vertAlign w:val="subscript"/>
        </w:rPr>
        <w:t>n</w:t>
      </w:r>
      <w:r w:rsidRPr="00DD6692">
        <w:t xml:space="preserve"> for the 1:n community based support is given by the following formulae:</w:t>
      </w:r>
    </w:p>
    <w:p w:rsidR="00093FC9" w:rsidRPr="00DD6692" w:rsidRDefault="00DD6692" w:rsidP="00093FC9">
      <w:pPr>
        <w:jc w:val="center"/>
      </w:pPr>
      <m:oMathPara>
        <m:oMath>
          <m:sSub>
            <m:sSubPr>
              <m:ctrlPr>
                <w:rPr>
                  <w:rFonts w:ascii="Cambria Math" w:hAnsi="Cambria Math"/>
                  <w:i/>
                </w:rPr>
              </m:ctrlPr>
            </m:sSubPr>
            <m:e>
              <m:r>
                <w:rPr>
                  <w:rFonts w:ascii="Cambria Math" w:hAnsi="Cambria Math"/>
                </w:rPr>
                <m:t>P</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P+</m:t>
              </m:r>
              <m:d>
                <m:dPr>
                  <m:ctrlPr>
                    <w:rPr>
                      <w:rFonts w:ascii="Cambria Math" w:hAnsi="Cambria Math"/>
                      <w:i/>
                    </w:rPr>
                  </m:ctrlPr>
                </m:dPr>
                <m:e>
                  <m:r>
                    <w:rPr>
                      <w:rFonts w:ascii="Cambria Math" w:hAnsi="Cambria Math"/>
                    </w:rPr>
                    <m:t>n-1</m:t>
                  </m:r>
                </m:e>
              </m:d>
              <m:r>
                <w:rPr>
                  <w:rFonts w:ascii="Cambria Math" w:hAnsi="Cambria Math"/>
                </w:rPr>
                <m:t>×0.12×P</m:t>
              </m:r>
            </m:num>
            <m:den>
              <m:r>
                <w:rPr>
                  <w:rFonts w:ascii="Cambria Math" w:hAnsi="Cambria Math"/>
                </w:rPr>
                <m:t>n</m:t>
              </m:r>
            </m:den>
          </m:f>
        </m:oMath>
      </m:oMathPara>
    </w:p>
    <w:p w:rsidR="00093FC9" w:rsidRPr="00DD6692" w:rsidRDefault="00093FC9" w:rsidP="00093FC9">
      <w:r w:rsidRPr="00DD6692">
        <w:t xml:space="preserve">For each additional person in the group (after the first) an additional 12% of the 1:1 price limit (essentially seven minutes) is added to the hourly </w:t>
      </w:r>
      <w:r w:rsidR="00D54BD6" w:rsidRPr="00DD6692">
        <w:t>price limit.</w:t>
      </w:r>
    </w:p>
    <w:p w:rsidR="00093FC9" w:rsidRPr="00DD6692" w:rsidRDefault="00093FC9" w:rsidP="00093FC9">
      <w:r w:rsidRPr="00DD6692">
        <w:t xml:space="preserve">The </w:t>
      </w:r>
      <w:r w:rsidR="00103152" w:rsidRPr="00DD6692">
        <w:t xml:space="preserve">hourly transitional </w:t>
      </w:r>
      <w:r w:rsidRPr="00DD6692">
        <w:t xml:space="preserve">price limit for </w:t>
      </w:r>
      <w:r w:rsidR="00103152" w:rsidRPr="00DD6692">
        <w:t>a centre-based group support is</w:t>
      </w:r>
      <w:r w:rsidRPr="00DD6692">
        <w:t xml:space="preserve"> calculated by adding </w:t>
      </w:r>
      <w:r w:rsidR="00103152" w:rsidRPr="00DD6692">
        <w:t xml:space="preserve">the hourly Centre Based Capital Amount (see page </w:t>
      </w:r>
      <w:r w:rsidR="00103152" w:rsidRPr="00DD6692">
        <w:fldChar w:fldCharType="begin"/>
      </w:r>
      <w:r w:rsidR="00103152" w:rsidRPr="00DD6692">
        <w:instrText xml:space="preserve"> PAGEREF _Ref75514832 \h </w:instrText>
      </w:r>
      <w:r w:rsidR="00103152" w:rsidRPr="00DD6692">
        <w:fldChar w:fldCharType="separate"/>
      </w:r>
      <w:r w:rsidR="00DD6692">
        <w:rPr>
          <w:noProof/>
        </w:rPr>
        <w:t>13</w:t>
      </w:r>
      <w:r w:rsidR="00103152" w:rsidRPr="00DD6692">
        <w:fldChar w:fldCharType="end"/>
      </w:r>
      <w:r w:rsidR="00103152" w:rsidRPr="00DD6692">
        <w:t xml:space="preserve">) </w:t>
      </w:r>
      <w:r w:rsidRPr="00DD6692">
        <w:t xml:space="preserve">to the </w:t>
      </w:r>
      <w:r w:rsidR="00103152" w:rsidRPr="00DD6692">
        <w:t xml:space="preserve">hourly transitional price limit for the </w:t>
      </w:r>
      <w:r w:rsidRPr="00DD6692">
        <w:t>relevant community</w:t>
      </w:r>
      <w:r w:rsidR="00103152" w:rsidRPr="00DD6692">
        <w:t xml:space="preserve"> based group support.</w:t>
      </w:r>
    </w:p>
    <w:p w:rsidR="00496882" w:rsidRPr="00DD6692" w:rsidRDefault="00496882" w:rsidP="00093FC9"/>
    <w:p w:rsidR="00101B5E" w:rsidRPr="00DD6692" w:rsidRDefault="00101B5E" w:rsidP="007230A7"/>
    <w:p w:rsidR="00101B5E" w:rsidRPr="00DD6692" w:rsidRDefault="00101B5E" w:rsidP="007230A7"/>
    <w:p w:rsidR="00DC0A5C" w:rsidRPr="00DD6692" w:rsidRDefault="00DC0A5C" w:rsidP="00DD25B2">
      <w:pPr>
        <w:pStyle w:val="Heading1"/>
        <w:ind w:left="284" w:hanging="284"/>
        <w:sectPr w:rsidR="00DC0A5C" w:rsidRPr="00DD6692" w:rsidSect="00DC0A5C">
          <w:pgSz w:w="11906" w:h="16838" w:code="9"/>
          <w:pgMar w:top="1440" w:right="1440" w:bottom="1440" w:left="1440" w:header="709" w:footer="709" w:gutter="0"/>
          <w:cols w:space="708"/>
          <w:titlePg/>
          <w:docGrid w:linePitch="360"/>
        </w:sectPr>
      </w:pPr>
    </w:p>
    <w:p w:rsidR="0097268F" w:rsidRPr="00DD6692" w:rsidRDefault="00101B5E" w:rsidP="00DD25B2">
      <w:pPr>
        <w:pStyle w:val="Heading1"/>
        <w:ind w:left="284" w:hanging="284"/>
      </w:pPr>
      <w:bookmarkStart w:id="52" w:name="_Toc91063513"/>
      <w:r w:rsidRPr="00DD6692">
        <w:t xml:space="preserve">Appendix 1 </w:t>
      </w:r>
      <w:r w:rsidR="0097268F" w:rsidRPr="00DD6692">
        <w:t>–</w:t>
      </w:r>
      <w:r w:rsidRPr="00DD6692">
        <w:t xml:space="preserve"> Footnotes</w:t>
      </w:r>
      <w:bookmarkEnd w:id="52"/>
    </w:p>
    <w:p w:rsidR="00C56F54" w:rsidRPr="00DD6692" w:rsidRDefault="00DD25B2" w:rsidP="00C56F54">
      <w:pPr>
        <w:ind w:left="567" w:hanging="567"/>
      </w:pPr>
      <w:r w:rsidRPr="00DD6692">
        <w:t xml:space="preserve">1. </w:t>
      </w:r>
      <w:r w:rsidRPr="00DD6692">
        <w:tab/>
      </w:r>
      <w:r w:rsidR="00C56F54" w:rsidRPr="00DD6692">
        <w:t xml:space="preserve">NDIA. (2019). </w:t>
      </w:r>
      <w:r w:rsidR="00C56F54" w:rsidRPr="00DD6692">
        <w:rPr>
          <w:i/>
        </w:rPr>
        <w:t>National Disability Insurance Scheme Pricing Strategy</w:t>
      </w:r>
      <w:r w:rsidR="00C56F54" w:rsidRPr="00DD6692">
        <w:t xml:space="preserve">. </w:t>
      </w:r>
      <w:hyperlink r:id="rId19" w:history="1">
        <w:r w:rsidR="00C56F54" w:rsidRPr="00DD6692">
          <w:rPr>
            <w:rStyle w:val="Hyperlink"/>
          </w:rPr>
          <w:t>https://www.ndis.gov.au/media/1820/download</w:t>
        </w:r>
      </w:hyperlink>
      <w:r w:rsidR="00C56F54" w:rsidRPr="00DD6692">
        <w:t xml:space="preserve"> </w:t>
      </w:r>
    </w:p>
    <w:p w:rsidR="00C56F54" w:rsidRPr="00DD6692" w:rsidRDefault="00C56F54" w:rsidP="00C56F54">
      <w:pPr>
        <w:ind w:left="567" w:hanging="567"/>
      </w:pPr>
      <w:r w:rsidRPr="00DD6692">
        <w:t>2.</w:t>
      </w:r>
      <w:r w:rsidRPr="00DD6692">
        <w:tab/>
        <w:t xml:space="preserve">National Disability Insurance Agency. (2020). </w:t>
      </w:r>
      <w:r w:rsidRPr="00DD6692">
        <w:rPr>
          <w:i/>
        </w:rPr>
        <w:t>Report of the National Disability Insurance Scheme Annual Pricing Review 2020-21.</w:t>
      </w:r>
      <w:r w:rsidRPr="00DD6692">
        <w:t xml:space="preserve"> </w:t>
      </w:r>
      <w:hyperlink r:id="rId20" w:history="1">
        <w:r w:rsidRPr="00DD6692">
          <w:rPr>
            <w:rStyle w:val="Hyperlink"/>
          </w:rPr>
          <w:t>https://www.ndis.gov.au/media/2413/download</w:t>
        </w:r>
      </w:hyperlink>
      <w:r w:rsidRPr="00DD6692">
        <w:t xml:space="preserve"> </w:t>
      </w:r>
    </w:p>
    <w:p w:rsidR="00DD25B2" w:rsidRPr="00DD6692" w:rsidRDefault="00C56F54" w:rsidP="00C56F54">
      <w:pPr>
        <w:ind w:left="567" w:hanging="567"/>
      </w:pPr>
      <w:r w:rsidRPr="00DD6692">
        <w:t>3.</w:t>
      </w:r>
      <w:r w:rsidRPr="00DD6692">
        <w:tab/>
      </w:r>
      <w:r w:rsidR="00DD25B2" w:rsidRPr="00DD6692">
        <w:t>The NDIA considers that it is appropriate to estimate the cost structure of overall efficient (25th percentile) providers by reference to the 25th percentile of all providers’ performance against each of the key parameters because there is little collinearity observed between the parameters in the TTP Benchmarking Survey results. The determinant of the Pearson product-moment correlation coefficient matrix (see below) is 87.1%.</w:t>
      </w:r>
    </w:p>
    <w:tbl>
      <w:tblPr>
        <w:tblStyle w:val="GridTable4-Accent4"/>
        <w:tblW w:w="4170" w:type="pct"/>
        <w:jc w:val="center"/>
        <w:tblLook w:val="0420" w:firstRow="1" w:lastRow="0" w:firstColumn="0" w:lastColumn="0" w:noHBand="0" w:noVBand="1"/>
        <w:tblDescription w:val="Appropriate Estimate of Cost Structure"/>
      </w:tblPr>
      <w:tblGrid>
        <w:gridCol w:w="924"/>
        <w:gridCol w:w="1357"/>
        <w:gridCol w:w="1008"/>
        <w:gridCol w:w="1379"/>
        <w:gridCol w:w="1590"/>
        <w:gridCol w:w="1379"/>
        <w:gridCol w:w="1379"/>
      </w:tblGrid>
      <w:tr w:rsidR="00DD25B2" w:rsidRPr="00DD6692" w:rsidTr="00DD25B2">
        <w:trPr>
          <w:cnfStyle w:val="100000000000" w:firstRow="1" w:lastRow="0" w:firstColumn="0" w:lastColumn="0" w:oddVBand="0" w:evenVBand="0" w:oddHBand="0" w:evenHBand="0" w:firstRowFirstColumn="0" w:firstRowLastColumn="0" w:lastRowFirstColumn="0" w:lastRowLastColumn="0"/>
          <w:trHeight w:val="225"/>
          <w:tblHeader/>
          <w:jc w:val="center"/>
        </w:trPr>
        <w:tc>
          <w:tcPr>
            <w:tcW w:w="1080" w:type="dxa"/>
            <w:noWrap/>
            <w:hideMark/>
          </w:tcPr>
          <w:p w:rsidR="00DD25B2" w:rsidRPr="00DD6692" w:rsidRDefault="00DD25B2" w:rsidP="00DD25B2">
            <w:pPr>
              <w:ind w:left="567" w:hanging="567"/>
            </w:pPr>
          </w:p>
        </w:tc>
        <w:tc>
          <w:tcPr>
            <w:tcW w:w="1080" w:type="dxa"/>
            <w:hideMark/>
          </w:tcPr>
          <w:p w:rsidR="00DD25B2" w:rsidRPr="00DD6692" w:rsidRDefault="00DD25B2" w:rsidP="00DD25B2">
            <w:pPr>
              <w:spacing w:before="0"/>
              <w:ind w:left="567" w:hanging="567"/>
              <w:jc w:val="center"/>
              <w:rPr>
                <w:rFonts w:eastAsia="Times New Roman" w:cstheme="minorHAnsi"/>
                <w:color w:val="FFFFFF"/>
                <w:sz w:val="16"/>
                <w:szCs w:val="16"/>
                <w:lang w:val="en-US" w:eastAsia="en-AU"/>
              </w:rPr>
            </w:pPr>
            <w:r w:rsidRPr="00DD6692">
              <w:rPr>
                <w:rFonts w:eastAsia="Times New Roman" w:cstheme="minorHAnsi"/>
                <w:color w:val="FFFFFF"/>
                <w:sz w:val="16"/>
                <w:szCs w:val="16"/>
                <w:lang w:val="en-US" w:eastAsia="en-AU"/>
              </w:rPr>
              <w:t>A =</w:t>
            </w:r>
            <w:r w:rsidRPr="00DD6692">
              <w:rPr>
                <w:rFonts w:eastAsia="Times New Roman" w:cstheme="minorHAnsi"/>
                <w:color w:val="FFFFFF"/>
                <w:sz w:val="16"/>
                <w:szCs w:val="16"/>
                <w:lang w:val="en-US" w:eastAsia="en-AU"/>
              </w:rPr>
              <w:br/>
              <w:t>Permanent Share of Workforce</w:t>
            </w:r>
          </w:p>
        </w:tc>
        <w:tc>
          <w:tcPr>
            <w:tcW w:w="1080" w:type="dxa"/>
            <w:hideMark/>
          </w:tcPr>
          <w:p w:rsidR="00DD25B2" w:rsidRPr="00DD6692" w:rsidRDefault="00DD25B2" w:rsidP="00DD25B2">
            <w:pPr>
              <w:spacing w:before="0"/>
              <w:ind w:left="567" w:hanging="567"/>
              <w:jc w:val="center"/>
              <w:rPr>
                <w:rFonts w:eastAsia="Times New Roman" w:cstheme="minorHAnsi"/>
                <w:color w:val="FFFFFF"/>
                <w:sz w:val="16"/>
                <w:szCs w:val="16"/>
                <w:lang w:val="en-US" w:eastAsia="en-AU"/>
              </w:rPr>
            </w:pPr>
            <w:r w:rsidRPr="00DD6692">
              <w:rPr>
                <w:rFonts w:eastAsia="Times New Roman" w:cstheme="minorHAnsi"/>
                <w:color w:val="FFFFFF"/>
                <w:sz w:val="16"/>
                <w:szCs w:val="16"/>
                <w:lang w:val="en-US" w:eastAsia="en-AU"/>
              </w:rPr>
              <w:t>B =</w:t>
            </w:r>
          </w:p>
          <w:p w:rsidR="00DD25B2" w:rsidRPr="00DD6692" w:rsidRDefault="00DD25B2" w:rsidP="00DD25B2">
            <w:pPr>
              <w:spacing w:before="0"/>
              <w:ind w:left="567" w:hanging="567"/>
              <w:jc w:val="center"/>
              <w:rPr>
                <w:rFonts w:eastAsia="Times New Roman" w:cstheme="minorHAnsi"/>
                <w:color w:val="FFFFFF"/>
                <w:sz w:val="16"/>
                <w:szCs w:val="16"/>
                <w:lang w:val="en-US" w:eastAsia="en-AU"/>
              </w:rPr>
            </w:pPr>
            <w:r w:rsidRPr="00DD6692">
              <w:rPr>
                <w:rFonts w:eastAsia="Times New Roman" w:cstheme="minorHAnsi"/>
                <w:color w:val="FFFFFF"/>
                <w:sz w:val="16"/>
                <w:szCs w:val="16"/>
                <w:lang w:val="en-US" w:eastAsia="en-AU"/>
              </w:rPr>
              <w:t>Supervision Ratio</w:t>
            </w:r>
          </w:p>
        </w:tc>
        <w:tc>
          <w:tcPr>
            <w:tcW w:w="1080" w:type="dxa"/>
            <w:hideMark/>
          </w:tcPr>
          <w:p w:rsidR="00DD25B2" w:rsidRPr="00DD6692" w:rsidRDefault="00DD25B2" w:rsidP="00DD25B2">
            <w:pPr>
              <w:spacing w:before="0"/>
              <w:ind w:left="567" w:hanging="567"/>
              <w:jc w:val="center"/>
              <w:rPr>
                <w:rFonts w:eastAsia="Times New Roman" w:cstheme="minorHAnsi"/>
                <w:color w:val="FFFFFF"/>
                <w:sz w:val="16"/>
                <w:szCs w:val="16"/>
                <w:lang w:val="en-US" w:eastAsia="en-AU"/>
              </w:rPr>
            </w:pPr>
            <w:r w:rsidRPr="00DD6692">
              <w:rPr>
                <w:rFonts w:eastAsia="Times New Roman" w:cstheme="minorHAnsi"/>
                <w:color w:val="FFFFFF"/>
                <w:sz w:val="16"/>
                <w:szCs w:val="16"/>
                <w:lang w:val="en-US" w:eastAsia="en-AU"/>
              </w:rPr>
              <w:t>C =</w:t>
            </w:r>
            <w:r w:rsidRPr="00DD6692">
              <w:rPr>
                <w:rFonts w:eastAsia="Times New Roman" w:cstheme="minorHAnsi"/>
                <w:color w:val="FFFFFF"/>
                <w:sz w:val="16"/>
                <w:szCs w:val="16"/>
                <w:lang w:val="en-US" w:eastAsia="en-AU"/>
              </w:rPr>
              <w:br/>
              <w:t>Non travel allowances</w:t>
            </w:r>
          </w:p>
        </w:tc>
        <w:tc>
          <w:tcPr>
            <w:tcW w:w="1080" w:type="dxa"/>
            <w:hideMark/>
          </w:tcPr>
          <w:p w:rsidR="00DD25B2" w:rsidRPr="00DD6692" w:rsidRDefault="00DD25B2" w:rsidP="00DD25B2">
            <w:pPr>
              <w:spacing w:before="0"/>
              <w:ind w:left="567" w:hanging="567"/>
              <w:jc w:val="center"/>
              <w:rPr>
                <w:rFonts w:eastAsia="Times New Roman" w:cstheme="minorHAnsi"/>
                <w:color w:val="FFFFFF"/>
                <w:sz w:val="16"/>
                <w:szCs w:val="16"/>
                <w:lang w:val="en-US" w:eastAsia="en-AU"/>
              </w:rPr>
            </w:pPr>
            <w:r w:rsidRPr="00DD6692">
              <w:rPr>
                <w:rFonts w:eastAsia="Times New Roman" w:cstheme="minorHAnsi"/>
                <w:color w:val="FFFFFF"/>
                <w:sz w:val="16"/>
                <w:szCs w:val="16"/>
                <w:lang w:val="en-US" w:eastAsia="en-AU"/>
              </w:rPr>
              <w:t>D =</w:t>
            </w:r>
            <w:r w:rsidRPr="00DD6692">
              <w:rPr>
                <w:rFonts w:eastAsia="Times New Roman" w:cstheme="minorHAnsi"/>
                <w:color w:val="FFFFFF"/>
                <w:sz w:val="16"/>
                <w:szCs w:val="16"/>
                <w:lang w:val="en-US" w:eastAsia="en-AU"/>
              </w:rPr>
              <w:br/>
              <w:t>Workers Compensation Premium</w:t>
            </w:r>
          </w:p>
        </w:tc>
        <w:tc>
          <w:tcPr>
            <w:tcW w:w="1080" w:type="dxa"/>
            <w:hideMark/>
          </w:tcPr>
          <w:p w:rsidR="00DD25B2" w:rsidRPr="00DD6692" w:rsidRDefault="00DD25B2" w:rsidP="00DD25B2">
            <w:pPr>
              <w:spacing w:before="0"/>
              <w:ind w:left="567" w:hanging="567"/>
              <w:jc w:val="center"/>
              <w:rPr>
                <w:rFonts w:eastAsia="Times New Roman" w:cstheme="minorHAnsi"/>
                <w:color w:val="FFFFFF"/>
                <w:sz w:val="16"/>
                <w:szCs w:val="16"/>
                <w:lang w:val="en-US" w:eastAsia="en-AU"/>
              </w:rPr>
            </w:pPr>
            <w:r w:rsidRPr="00DD6692">
              <w:rPr>
                <w:rFonts w:eastAsia="Times New Roman" w:cstheme="minorHAnsi"/>
                <w:color w:val="FFFFFF"/>
                <w:sz w:val="16"/>
                <w:szCs w:val="16"/>
                <w:lang w:val="en-US" w:eastAsia="en-AU"/>
              </w:rPr>
              <w:t>E =</w:t>
            </w:r>
          </w:p>
          <w:p w:rsidR="00DD25B2" w:rsidRPr="00DD6692" w:rsidRDefault="00DD25B2" w:rsidP="00DD25B2">
            <w:pPr>
              <w:spacing w:before="0"/>
              <w:ind w:left="567" w:hanging="567"/>
              <w:jc w:val="center"/>
              <w:rPr>
                <w:rFonts w:eastAsia="Times New Roman" w:cstheme="minorHAnsi"/>
                <w:color w:val="FFFFFF"/>
                <w:sz w:val="16"/>
                <w:szCs w:val="16"/>
                <w:lang w:val="en-US" w:eastAsia="en-AU"/>
              </w:rPr>
            </w:pPr>
            <w:r w:rsidRPr="00DD6692">
              <w:rPr>
                <w:rFonts w:eastAsia="Times New Roman" w:cstheme="minorHAnsi"/>
                <w:color w:val="FFFFFF"/>
                <w:sz w:val="16"/>
                <w:szCs w:val="16"/>
                <w:lang w:val="en-US" w:eastAsia="en-AU"/>
              </w:rPr>
              <w:t>Utilisation percentage</w:t>
            </w:r>
          </w:p>
        </w:tc>
        <w:tc>
          <w:tcPr>
            <w:tcW w:w="1080" w:type="dxa"/>
            <w:hideMark/>
          </w:tcPr>
          <w:p w:rsidR="00DD25B2" w:rsidRPr="00DD6692" w:rsidRDefault="00DD25B2" w:rsidP="00DD25B2">
            <w:pPr>
              <w:spacing w:before="0"/>
              <w:ind w:left="567" w:hanging="567"/>
              <w:jc w:val="center"/>
              <w:rPr>
                <w:rFonts w:eastAsia="Times New Roman" w:cstheme="minorHAnsi"/>
                <w:color w:val="FFFFFF"/>
                <w:sz w:val="16"/>
                <w:szCs w:val="16"/>
                <w:lang w:val="en-US" w:eastAsia="en-AU"/>
              </w:rPr>
            </w:pPr>
            <w:r w:rsidRPr="00DD6692">
              <w:rPr>
                <w:rFonts w:eastAsia="Times New Roman" w:cstheme="minorHAnsi"/>
                <w:color w:val="FFFFFF"/>
                <w:sz w:val="16"/>
                <w:szCs w:val="16"/>
                <w:lang w:val="en-US" w:eastAsia="en-AU"/>
              </w:rPr>
              <w:t>F =</w:t>
            </w:r>
          </w:p>
          <w:p w:rsidR="00DD25B2" w:rsidRPr="00DD6692" w:rsidRDefault="00DD25B2" w:rsidP="00DD25B2">
            <w:pPr>
              <w:spacing w:before="0"/>
              <w:ind w:left="567" w:hanging="567"/>
              <w:jc w:val="center"/>
              <w:rPr>
                <w:rFonts w:eastAsia="Times New Roman" w:cstheme="minorHAnsi"/>
                <w:color w:val="FFFFFF"/>
                <w:sz w:val="16"/>
                <w:szCs w:val="16"/>
                <w:lang w:val="en-US" w:eastAsia="en-AU"/>
              </w:rPr>
            </w:pPr>
            <w:r w:rsidRPr="00DD6692">
              <w:rPr>
                <w:rFonts w:eastAsia="Times New Roman" w:cstheme="minorHAnsi"/>
                <w:color w:val="FFFFFF"/>
                <w:sz w:val="16"/>
                <w:szCs w:val="16"/>
                <w:lang w:val="en-US" w:eastAsia="en-AU"/>
              </w:rPr>
              <w:t>Overheads percentage</w:t>
            </w:r>
          </w:p>
        </w:tc>
      </w:tr>
      <w:tr w:rsidR="00DD25B2" w:rsidRPr="00DD6692" w:rsidTr="00DD25B2">
        <w:trPr>
          <w:cnfStyle w:val="000000100000" w:firstRow="0" w:lastRow="0" w:firstColumn="0" w:lastColumn="0" w:oddVBand="0" w:evenVBand="0" w:oddHBand="1" w:evenHBand="0" w:firstRowFirstColumn="0" w:firstRowLastColumn="0" w:lastRowFirstColumn="0" w:lastRowLastColumn="0"/>
          <w:trHeight w:val="225"/>
          <w:jc w:val="center"/>
        </w:trPr>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hideMark/>
          </w:tcPr>
          <w:p w:rsidR="00DD25B2" w:rsidRPr="00DD6692" w:rsidRDefault="00DD25B2" w:rsidP="00DD25B2">
            <w:pPr>
              <w:spacing w:before="0"/>
              <w:ind w:left="567" w:hanging="567"/>
              <w:rPr>
                <w:rFonts w:eastAsia="Times New Roman" w:cstheme="minorHAnsi"/>
                <w:sz w:val="16"/>
                <w:szCs w:val="16"/>
                <w:lang w:val="en-US" w:eastAsia="en-AU"/>
              </w:rPr>
            </w:pPr>
            <w:r w:rsidRPr="00DD6692">
              <w:rPr>
                <w:rFonts w:eastAsia="Times New Roman" w:cstheme="minorHAnsi"/>
                <w:sz w:val="16"/>
                <w:szCs w:val="16"/>
                <w:lang w:val="en-US" w:eastAsia="en-AU"/>
              </w:rPr>
              <w:t>A</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DD25B2" w:rsidRPr="00DD6692" w:rsidRDefault="00DD25B2" w:rsidP="00DD25B2">
            <w:pPr>
              <w:spacing w:before="0"/>
              <w:ind w:left="567" w:hanging="567"/>
              <w:jc w:val="center"/>
              <w:rPr>
                <w:rFonts w:eastAsia="Times New Roman" w:cstheme="minorHAnsi"/>
                <w:sz w:val="16"/>
                <w:szCs w:val="16"/>
                <w:lang w:val="en-US" w:eastAsia="en-AU"/>
              </w:rPr>
            </w:pPr>
            <w:r w:rsidRPr="00DD6692">
              <w:rPr>
                <w:rFonts w:eastAsia="Times New Roman" w:cstheme="minorHAnsi"/>
                <w:sz w:val="16"/>
                <w:szCs w:val="16"/>
                <w:lang w:val="en-US" w:eastAsia="en-AU"/>
              </w:rPr>
              <w:t>1.00</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DD25B2" w:rsidRPr="00DD6692" w:rsidRDefault="00DD25B2" w:rsidP="00DD25B2">
            <w:pPr>
              <w:spacing w:before="0"/>
              <w:ind w:left="567" w:hanging="567"/>
              <w:jc w:val="center"/>
              <w:rPr>
                <w:rFonts w:eastAsia="Times New Roman" w:cstheme="minorHAnsi"/>
                <w:color w:val="000000"/>
                <w:sz w:val="16"/>
                <w:szCs w:val="16"/>
                <w:lang w:val="en-US" w:eastAsia="en-AU"/>
              </w:rPr>
            </w:pPr>
            <w:r w:rsidRPr="00DD6692">
              <w:rPr>
                <w:rFonts w:eastAsia="Times New Roman" w:cstheme="minorHAnsi"/>
                <w:color w:val="000000"/>
                <w:sz w:val="16"/>
                <w:szCs w:val="16"/>
                <w:lang w:val="en-US" w:eastAsia="en-AU"/>
              </w:rPr>
              <w:t>-0.09</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DD25B2" w:rsidRPr="00DD6692" w:rsidRDefault="00DD25B2" w:rsidP="00DD25B2">
            <w:pPr>
              <w:spacing w:before="0"/>
              <w:ind w:left="567" w:hanging="567"/>
              <w:jc w:val="center"/>
              <w:rPr>
                <w:rFonts w:eastAsia="Times New Roman" w:cstheme="minorHAnsi"/>
                <w:color w:val="000000"/>
                <w:sz w:val="16"/>
                <w:szCs w:val="16"/>
                <w:lang w:val="en-US" w:eastAsia="en-AU"/>
              </w:rPr>
            </w:pPr>
            <w:r w:rsidRPr="00DD6692">
              <w:rPr>
                <w:rFonts w:eastAsia="Times New Roman" w:cstheme="minorHAnsi"/>
                <w:color w:val="000000"/>
                <w:sz w:val="16"/>
                <w:szCs w:val="16"/>
                <w:lang w:val="en-US" w:eastAsia="en-AU"/>
              </w:rPr>
              <w:t>-0.13</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DD25B2" w:rsidRPr="00DD6692" w:rsidRDefault="00DD25B2" w:rsidP="00DD25B2">
            <w:pPr>
              <w:spacing w:before="0"/>
              <w:ind w:left="567" w:hanging="567"/>
              <w:jc w:val="center"/>
              <w:rPr>
                <w:rFonts w:eastAsia="Times New Roman" w:cstheme="minorHAnsi"/>
                <w:color w:val="000000"/>
                <w:sz w:val="16"/>
                <w:szCs w:val="16"/>
                <w:lang w:val="en-US" w:eastAsia="en-AU"/>
              </w:rPr>
            </w:pPr>
            <w:r w:rsidRPr="00DD6692">
              <w:rPr>
                <w:rFonts w:eastAsia="Times New Roman" w:cstheme="minorHAnsi"/>
                <w:color w:val="000000"/>
                <w:sz w:val="16"/>
                <w:szCs w:val="16"/>
                <w:lang w:val="en-US" w:eastAsia="en-AU"/>
              </w:rPr>
              <w:t>0.06</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DD25B2" w:rsidRPr="00DD6692" w:rsidRDefault="00DD25B2" w:rsidP="00DD25B2">
            <w:pPr>
              <w:spacing w:before="0"/>
              <w:ind w:left="567" w:hanging="567"/>
              <w:jc w:val="center"/>
              <w:rPr>
                <w:rFonts w:eastAsia="Times New Roman" w:cstheme="minorHAnsi"/>
                <w:color w:val="000000"/>
                <w:sz w:val="16"/>
                <w:szCs w:val="16"/>
                <w:lang w:val="en-US" w:eastAsia="en-AU"/>
              </w:rPr>
            </w:pPr>
            <w:r w:rsidRPr="00DD6692">
              <w:rPr>
                <w:rFonts w:eastAsia="Times New Roman" w:cstheme="minorHAnsi"/>
                <w:color w:val="000000"/>
                <w:sz w:val="16"/>
                <w:szCs w:val="16"/>
                <w:lang w:val="en-US" w:eastAsia="en-AU"/>
              </w:rPr>
              <w:t>-0.04</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DD25B2" w:rsidRPr="00DD6692" w:rsidRDefault="00DD25B2" w:rsidP="00DD25B2">
            <w:pPr>
              <w:spacing w:before="0"/>
              <w:ind w:left="567" w:hanging="567"/>
              <w:jc w:val="center"/>
              <w:rPr>
                <w:rFonts w:eastAsia="Times New Roman" w:cstheme="minorHAnsi"/>
                <w:color w:val="000000"/>
                <w:sz w:val="16"/>
                <w:szCs w:val="16"/>
                <w:lang w:val="en-US" w:eastAsia="en-AU"/>
              </w:rPr>
            </w:pPr>
            <w:r w:rsidRPr="00DD6692">
              <w:rPr>
                <w:rFonts w:eastAsia="Times New Roman" w:cstheme="minorHAnsi"/>
                <w:color w:val="000000"/>
                <w:sz w:val="16"/>
                <w:szCs w:val="16"/>
                <w:lang w:val="en-US" w:eastAsia="en-AU"/>
              </w:rPr>
              <w:t>0.08</w:t>
            </w:r>
          </w:p>
        </w:tc>
      </w:tr>
      <w:tr w:rsidR="00DD25B2" w:rsidRPr="00DD6692" w:rsidTr="00DD25B2">
        <w:trPr>
          <w:trHeight w:val="225"/>
          <w:jc w:val="center"/>
        </w:trPr>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hideMark/>
          </w:tcPr>
          <w:p w:rsidR="00DD25B2" w:rsidRPr="00DD6692" w:rsidRDefault="00DD25B2" w:rsidP="00DD25B2">
            <w:pPr>
              <w:spacing w:before="0"/>
              <w:ind w:left="567" w:hanging="567"/>
              <w:rPr>
                <w:rFonts w:eastAsia="Times New Roman" w:cstheme="minorHAnsi"/>
                <w:sz w:val="16"/>
                <w:szCs w:val="16"/>
                <w:lang w:val="en-US" w:eastAsia="en-AU"/>
              </w:rPr>
            </w:pPr>
            <w:r w:rsidRPr="00DD6692">
              <w:rPr>
                <w:rFonts w:eastAsia="Times New Roman" w:cstheme="minorHAnsi"/>
                <w:sz w:val="16"/>
                <w:szCs w:val="16"/>
                <w:lang w:val="en-US" w:eastAsia="en-AU"/>
              </w:rPr>
              <w:t>B</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DD25B2" w:rsidRPr="00DD6692" w:rsidRDefault="00DD25B2" w:rsidP="00DD25B2">
            <w:pPr>
              <w:spacing w:before="0"/>
              <w:ind w:left="567" w:hanging="567"/>
              <w:jc w:val="center"/>
              <w:rPr>
                <w:rFonts w:eastAsia="Times New Roman" w:cstheme="minorHAnsi"/>
                <w:sz w:val="16"/>
                <w:szCs w:val="16"/>
                <w:lang w:val="en-US" w:eastAsia="en-AU"/>
              </w:rPr>
            </w:pPr>
            <w:r w:rsidRPr="00DD6692">
              <w:rPr>
                <w:rFonts w:eastAsia="Times New Roman" w:cstheme="minorHAnsi"/>
                <w:sz w:val="16"/>
                <w:szCs w:val="16"/>
                <w:lang w:val="en-US" w:eastAsia="en-AU"/>
              </w:rPr>
              <w:t>-0.09</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DD25B2" w:rsidRPr="00DD6692" w:rsidRDefault="00DD25B2" w:rsidP="00DD25B2">
            <w:pPr>
              <w:spacing w:before="0"/>
              <w:ind w:left="567" w:hanging="567"/>
              <w:jc w:val="center"/>
              <w:rPr>
                <w:rFonts w:eastAsia="Times New Roman" w:cstheme="minorHAnsi"/>
                <w:color w:val="000000"/>
                <w:sz w:val="16"/>
                <w:szCs w:val="16"/>
                <w:lang w:val="en-US" w:eastAsia="en-AU"/>
              </w:rPr>
            </w:pPr>
            <w:r w:rsidRPr="00DD6692">
              <w:rPr>
                <w:rFonts w:eastAsia="Times New Roman" w:cstheme="minorHAnsi"/>
                <w:color w:val="000000"/>
                <w:sz w:val="16"/>
                <w:szCs w:val="16"/>
                <w:lang w:val="en-US" w:eastAsia="en-AU"/>
              </w:rPr>
              <w:t>1.00</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DD25B2" w:rsidRPr="00DD6692" w:rsidRDefault="00DD25B2" w:rsidP="00DD25B2">
            <w:pPr>
              <w:spacing w:before="0"/>
              <w:ind w:left="567" w:hanging="567"/>
              <w:jc w:val="center"/>
              <w:rPr>
                <w:rFonts w:eastAsia="Times New Roman" w:cstheme="minorHAnsi"/>
                <w:color w:val="000000"/>
                <w:sz w:val="16"/>
                <w:szCs w:val="16"/>
                <w:lang w:val="en-US" w:eastAsia="en-AU"/>
              </w:rPr>
            </w:pPr>
            <w:r w:rsidRPr="00DD6692">
              <w:rPr>
                <w:rFonts w:eastAsia="Times New Roman" w:cstheme="minorHAnsi"/>
                <w:color w:val="000000"/>
                <w:sz w:val="16"/>
                <w:szCs w:val="16"/>
                <w:lang w:val="en-US" w:eastAsia="en-AU"/>
              </w:rPr>
              <w:t>-0.07</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DD25B2" w:rsidRPr="00DD6692" w:rsidRDefault="00DD25B2" w:rsidP="00DD25B2">
            <w:pPr>
              <w:spacing w:before="0"/>
              <w:ind w:left="567" w:hanging="567"/>
              <w:jc w:val="center"/>
              <w:rPr>
                <w:rFonts w:eastAsia="Times New Roman" w:cstheme="minorHAnsi"/>
                <w:color w:val="000000"/>
                <w:sz w:val="16"/>
                <w:szCs w:val="16"/>
                <w:lang w:val="en-US" w:eastAsia="en-AU"/>
              </w:rPr>
            </w:pPr>
            <w:r w:rsidRPr="00DD6692">
              <w:rPr>
                <w:rFonts w:eastAsia="Times New Roman" w:cstheme="minorHAnsi"/>
                <w:color w:val="000000"/>
                <w:sz w:val="16"/>
                <w:szCs w:val="16"/>
                <w:lang w:val="en-US" w:eastAsia="en-AU"/>
              </w:rPr>
              <w:t>0.00</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DD25B2" w:rsidRPr="00DD6692" w:rsidRDefault="00DD25B2" w:rsidP="00DD25B2">
            <w:pPr>
              <w:spacing w:before="0"/>
              <w:ind w:left="567" w:hanging="567"/>
              <w:jc w:val="center"/>
              <w:rPr>
                <w:rFonts w:eastAsia="Times New Roman" w:cstheme="minorHAnsi"/>
                <w:color w:val="000000"/>
                <w:sz w:val="16"/>
                <w:szCs w:val="16"/>
                <w:lang w:val="en-US" w:eastAsia="en-AU"/>
              </w:rPr>
            </w:pPr>
            <w:r w:rsidRPr="00DD6692">
              <w:rPr>
                <w:rFonts w:eastAsia="Times New Roman" w:cstheme="minorHAnsi"/>
                <w:color w:val="000000"/>
                <w:sz w:val="16"/>
                <w:szCs w:val="16"/>
                <w:lang w:val="en-US" w:eastAsia="en-AU"/>
              </w:rPr>
              <w:t>0.19</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DD25B2" w:rsidRPr="00DD6692" w:rsidRDefault="00DD25B2" w:rsidP="00DD25B2">
            <w:pPr>
              <w:spacing w:before="0"/>
              <w:ind w:left="567" w:hanging="567"/>
              <w:jc w:val="center"/>
              <w:rPr>
                <w:rFonts w:eastAsia="Times New Roman" w:cstheme="minorHAnsi"/>
                <w:color w:val="000000"/>
                <w:sz w:val="16"/>
                <w:szCs w:val="16"/>
                <w:lang w:val="en-US" w:eastAsia="en-AU"/>
              </w:rPr>
            </w:pPr>
            <w:r w:rsidRPr="00DD6692">
              <w:rPr>
                <w:rFonts w:eastAsia="Times New Roman" w:cstheme="minorHAnsi"/>
                <w:color w:val="000000"/>
                <w:sz w:val="16"/>
                <w:szCs w:val="16"/>
                <w:lang w:val="en-US" w:eastAsia="en-AU"/>
              </w:rPr>
              <w:t>0.08</w:t>
            </w:r>
          </w:p>
        </w:tc>
      </w:tr>
      <w:tr w:rsidR="00DD25B2" w:rsidRPr="00DD6692" w:rsidTr="00DD25B2">
        <w:trPr>
          <w:cnfStyle w:val="000000100000" w:firstRow="0" w:lastRow="0" w:firstColumn="0" w:lastColumn="0" w:oddVBand="0" w:evenVBand="0" w:oddHBand="1" w:evenHBand="0" w:firstRowFirstColumn="0" w:firstRowLastColumn="0" w:lastRowFirstColumn="0" w:lastRowLastColumn="0"/>
          <w:trHeight w:val="225"/>
          <w:jc w:val="center"/>
        </w:trPr>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hideMark/>
          </w:tcPr>
          <w:p w:rsidR="00DD25B2" w:rsidRPr="00DD6692" w:rsidRDefault="00DD25B2" w:rsidP="00DD25B2">
            <w:pPr>
              <w:spacing w:before="0"/>
              <w:ind w:left="567" w:hanging="567"/>
              <w:rPr>
                <w:rFonts w:eastAsia="Times New Roman" w:cstheme="minorHAnsi"/>
                <w:sz w:val="16"/>
                <w:szCs w:val="16"/>
                <w:lang w:val="en-US" w:eastAsia="en-AU"/>
              </w:rPr>
            </w:pPr>
            <w:r w:rsidRPr="00DD6692">
              <w:rPr>
                <w:rFonts w:eastAsia="Times New Roman" w:cstheme="minorHAnsi"/>
                <w:sz w:val="16"/>
                <w:szCs w:val="16"/>
                <w:lang w:val="en-US" w:eastAsia="en-AU"/>
              </w:rPr>
              <w:t>C</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DD25B2" w:rsidRPr="00DD6692" w:rsidRDefault="00DD25B2" w:rsidP="00DD25B2">
            <w:pPr>
              <w:spacing w:before="0"/>
              <w:ind w:left="567" w:hanging="567"/>
              <w:jc w:val="center"/>
              <w:rPr>
                <w:rFonts w:eastAsia="Times New Roman" w:cstheme="minorHAnsi"/>
                <w:sz w:val="16"/>
                <w:szCs w:val="16"/>
                <w:lang w:val="en-US" w:eastAsia="en-AU"/>
              </w:rPr>
            </w:pPr>
            <w:r w:rsidRPr="00DD6692">
              <w:rPr>
                <w:rFonts w:eastAsia="Times New Roman" w:cstheme="minorHAnsi"/>
                <w:sz w:val="16"/>
                <w:szCs w:val="16"/>
                <w:lang w:val="en-US" w:eastAsia="en-AU"/>
              </w:rPr>
              <w:t>-0.13</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DD25B2" w:rsidRPr="00DD6692" w:rsidRDefault="00DD25B2" w:rsidP="00DD25B2">
            <w:pPr>
              <w:spacing w:before="0"/>
              <w:ind w:left="567" w:hanging="567"/>
              <w:jc w:val="center"/>
              <w:rPr>
                <w:rFonts w:eastAsia="Times New Roman" w:cstheme="minorHAnsi"/>
                <w:color w:val="000000"/>
                <w:sz w:val="16"/>
                <w:szCs w:val="16"/>
                <w:lang w:val="en-US" w:eastAsia="en-AU"/>
              </w:rPr>
            </w:pPr>
            <w:r w:rsidRPr="00DD6692">
              <w:rPr>
                <w:rFonts w:eastAsia="Times New Roman" w:cstheme="minorHAnsi"/>
                <w:color w:val="000000"/>
                <w:sz w:val="16"/>
                <w:szCs w:val="16"/>
                <w:lang w:val="en-US" w:eastAsia="en-AU"/>
              </w:rPr>
              <w:t>-0.07</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DD25B2" w:rsidRPr="00DD6692" w:rsidRDefault="00DD25B2" w:rsidP="00DD25B2">
            <w:pPr>
              <w:spacing w:before="0"/>
              <w:ind w:left="567" w:hanging="567"/>
              <w:jc w:val="center"/>
              <w:rPr>
                <w:rFonts w:eastAsia="Times New Roman" w:cstheme="minorHAnsi"/>
                <w:color w:val="000000"/>
                <w:sz w:val="16"/>
                <w:szCs w:val="16"/>
                <w:lang w:val="en-US" w:eastAsia="en-AU"/>
              </w:rPr>
            </w:pPr>
            <w:r w:rsidRPr="00DD6692">
              <w:rPr>
                <w:rFonts w:eastAsia="Times New Roman" w:cstheme="minorHAnsi"/>
                <w:color w:val="000000"/>
                <w:sz w:val="16"/>
                <w:szCs w:val="16"/>
                <w:lang w:val="en-US" w:eastAsia="en-AU"/>
              </w:rPr>
              <w:t>1.00</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DD25B2" w:rsidRPr="00DD6692" w:rsidRDefault="00DD25B2" w:rsidP="00DD25B2">
            <w:pPr>
              <w:spacing w:before="0"/>
              <w:ind w:left="567" w:hanging="567"/>
              <w:jc w:val="center"/>
              <w:rPr>
                <w:rFonts w:eastAsia="Times New Roman" w:cstheme="minorHAnsi"/>
                <w:color w:val="000000"/>
                <w:sz w:val="16"/>
                <w:szCs w:val="16"/>
                <w:lang w:val="en-US" w:eastAsia="en-AU"/>
              </w:rPr>
            </w:pPr>
            <w:r w:rsidRPr="00DD6692">
              <w:rPr>
                <w:rFonts w:eastAsia="Times New Roman" w:cstheme="minorHAnsi"/>
                <w:color w:val="000000"/>
                <w:sz w:val="16"/>
                <w:szCs w:val="16"/>
                <w:lang w:val="en-US" w:eastAsia="en-AU"/>
              </w:rPr>
              <w:t>-0.02</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DD25B2" w:rsidRPr="00DD6692" w:rsidRDefault="00DD25B2" w:rsidP="00DD25B2">
            <w:pPr>
              <w:spacing w:before="0"/>
              <w:ind w:left="567" w:hanging="567"/>
              <w:jc w:val="center"/>
              <w:rPr>
                <w:rFonts w:eastAsia="Times New Roman" w:cstheme="minorHAnsi"/>
                <w:color w:val="000000"/>
                <w:sz w:val="16"/>
                <w:szCs w:val="16"/>
                <w:lang w:val="en-US" w:eastAsia="en-AU"/>
              </w:rPr>
            </w:pPr>
            <w:r w:rsidRPr="00DD6692">
              <w:rPr>
                <w:rFonts w:eastAsia="Times New Roman" w:cstheme="minorHAnsi"/>
                <w:color w:val="000000"/>
                <w:sz w:val="16"/>
                <w:szCs w:val="16"/>
                <w:lang w:val="en-US" w:eastAsia="en-AU"/>
              </w:rPr>
              <w:t>-0.14</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DD25B2" w:rsidRPr="00DD6692" w:rsidRDefault="00DD25B2" w:rsidP="00DD25B2">
            <w:pPr>
              <w:spacing w:before="0"/>
              <w:ind w:left="567" w:hanging="567"/>
              <w:jc w:val="center"/>
              <w:rPr>
                <w:rFonts w:eastAsia="Times New Roman" w:cstheme="minorHAnsi"/>
                <w:color w:val="000000"/>
                <w:sz w:val="16"/>
                <w:szCs w:val="16"/>
                <w:lang w:val="en-US" w:eastAsia="en-AU"/>
              </w:rPr>
            </w:pPr>
            <w:r w:rsidRPr="00DD6692">
              <w:rPr>
                <w:rFonts w:eastAsia="Times New Roman" w:cstheme="minorHAnsi"/>
                <w:color w:val="000000"/>
                <w:sz w:val="16"/>
                <w:szCs w:val="16"/>
                <w:lang w:val="en-US" w:eastAsia="en-AU"/>
              </w:rPr>
              <w:t>-0.18</w:t>
            </w:r>
          </w:p>
        </w:tc>
      </w:tr>
      <w:tr w:rsidR="00DD25B2" w:rsidRPr="00DD6692" w:rsidTr="00DD25B2">
        <w:trPr>
          <w:trHeight w:val="225"/>
          <w:jc w:val="center"/>
        </w:trPr>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hideMark/>
          </w:tcPr>
          <w:p w:rsidR="00DD25B2" w:rsidRPr="00DD6692" w:rsidRDefault="00DD25B2" w:rsidP="00DD25B2">
            <w:pPr>
              <w:spacing w:before="0"/>
              <w:ind w:left="567" w:hanging="567"/>
              <w:rPr>
                <w:rFonts w:eastAsia="Times New Roman" w:cstheme="minorHAnsi"/>
                <w:sz w:val="16"/>
                <w:szCs w:val="16"/>
                <w:lang w:val="en-US" w:eastAsia="en-AU"/>
              </w:rPr>
            </w:pPr>
            <w:r w:rsidRPr="00DD6692">
              <w:rPr>
                <w:rFonts w:eastAsia="Times New Roman" w:cstheme="minorHAnsi"/>
                <w:sz w:val="16"/>
                <w:szCs w:val="16"/>
                <w:lang w:val="en-US" w:eastAsia="en-AU"/>
              </w:rPr>
              <w:t>D</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DD25B2" w:rsidRPr="00DD6692" w:rsidRDefault="00DD25B2" w:rsidP="00DD25B2">
            <w:pPr>
              <w:spacing w:before="0"/>
              <w:ind w:left="567" w:hanging="567"/>
              <w:jc w:val="center"/>
              <w:rPr>
                <w:rFonts w:eastAsia="Times New Roman" w:cstheme="minorHAnsi"/>
                <w:sz w:val="16"/>
                <w:szCs w:val="16"/>
                <w:lang w:val="en-US" w:eastAsia="en-AU"/>
              </w:rPr>
            </w:pPr>
            <w:r w:rsidRPr="00DD6692">
              <w:rPr>
                <w:rFonts w:eastAsia="Times New Roman" w:cstheme="minorHAnsi"/>
                <w:sz w:val="16"/>
                <w:szCs w:val="16"/>
                <w:lang w:val="en-US" w:eastAsia="en-AU"/>
              </w:rPr>
              <w:t>0.06</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DD25B2" w:rsidRPr="00DD6692" w:rsidRDefault="00DD25B2" w:rsidP="00DD25B2">
            <w:pPr>
              <w:spacing w:before="0"/>
              <w:ind w:left="567" w:hanging="567"/>
              <w:jc w:val="center"/>
              <w:rPr>
                <w:rFonts w:eastAsia="Times New Roman" w:cstheme="minorHAnsi"/>
                <w:color w:val="000000"/>
                <w:sz w:val="16"/>
                <w:szCs w:val="16"/>
                <w:lang w:val="en-US" w:eastAsia="en-AU"/>
              </w:rPr>
            </w:pPr>
            <w:r w:rsidRPr="00DD6692">
              <w:rPr>
                <w:rFonts w:eastAsia="Times New Roman" w:cstheme="minorHAnsi"/>
                <w:color w:val="000000"/>
                <w:sz w:val="16"/>
                <w:szCs w:val="16"/>
                <w:lang w:val="en-US" w:eastAsia="en-AU"/>
              </w:rPr>
              <w:t>0.00</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DD25B2" w:rsidRPr="00DD6692" w:rsidRDefault="00DD25B2" w:rsidP="00DD25B2">
            <w:pPr>
              <w:spacing w:before="0"/>
              <w:ind w:left="567" w:hanging="567"/>
              <w:jc w:val="center"/>
              <w:rPr>
                <w:rFonts w:eastAsia="Times New Roman" w:cstheme="minorHAnsi"/>
                <w:color w:val="000000"/>
                <w:sz w:val="16"/>
                <w:szCs w:val="16"/>
                <w:lang w:val="en-US" w:eastAsia="en-AU"/>
              </w:rPr>
            </w:pPr>
            <w:r w:rsidRPr="00DD6692">
              <w:rPr>
                <w:rFonts w:eastAsia="Times New Roman" w:cstheme="minorHAnsi"/>
                <w:color w:val="000000"/>
                <w:sz w:val="16"/>
                <w:szCs w:val="16"/>
                <w:lang w:val="en-US" w:eastAsia="en-AU"/>
              </w:rPr>
              <w:t>-0.02</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DD25B2" w:rsidRPr="00DD6692" w:rsidRDefault="00DD25B2" w:rsidP="00DD25B2">
            <w:pPr>
              <w:spacing w:before="0"/>
              <w:ind w:left="567" w:hanging="567"/>
              <w:jc w:val="center"/>
              <w:rPr>
                <w:rFonts w:eastAsia="Times New Roman" w:cstheme="minorHAnsi"/>
                <w:color w:val="000000"/>
                <w:sz w:val="16"/>
                <w:szCs w:val="16"/>
                <w:lang w:val="en-US" w:eastAsia="en-AU"/>
              </w:rPr>
            </w:pPr>
            <w:r w:rsidRPr="00DD6692">
              <w:rPr>
                <w:rFonts w:eastAsia="Times New Roman" w:cstheme="minorHAnsi"/>
                <w:color w:val="000000"/>
                <w:sz w:val="16"/>
                <w:szCs w:val="16"/>
                <w:lang w:val="en-US" w:eastAsia="en-AU"/>
              </w:rPr>
              <w:t>1.00</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DD25B2" w:rsidRPr="00DD6692" w:rsidRDefault="00DD25B2" w:rsidP="00DD25B2">
            <w:pPr>
              <w:spacing w:before="0"/>
              <w:ind w:left="567" w:hanging="567"/>
              <w:jc w:val="center"/>
              <w:rPr>
                <w:rFonts w:eastAsia="Times New Roman" w:cstheme="minorHAnsi"/>
                <w:color w:val="000000"/>
                <w:sz w:val="16"/>
                <w:szCs w:val="16"/>
                <w:lang w:val="en-US" w:eastAsia="en-AU"/>
              </w:rPr>
            </w:pPr>
            <w:r w:rsidRPr="00DD6692">
              <w:rPr>
                <w:rFonts w:eastAsia="Times New Roman" w:cstheme="minorHAnsi"/>
                <w:color w:val="000000"/>
                <w:sz w:val="16"/>
                <w:szCs w:val="16"/>
                <w:lang w:val="en-US" w:eastAsia="en-AU"/>
              </w:rPr>
              <w:t>-0.02</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DD25B2" w:rsidRPr="00DD6692" w:rsidRDefault="00DD25B2" w:rsidP="00DD25B2">
            <w:pPr>
              <w:spacing w:before="0"/>
              <w:ind w:left="567" w:hanging="567"/>
              <w:jc w:val="center"/>
              <w:rPr>
                <w:rFonts w:eastAsia="Times New Roman" w:cstheme="minorHAnsi"/>
                <w:color w:val="000000"/>
                <w:sz w:val="16"/>
                <w:szCs w:val="16"/>
                <w:lang w:val="en-US" w:eastAsia="en-AU"/>
              </w:rPr>
            </w:pPr>
            <w:r w:rsidRPr="00DD6692">
              <w:rPr>
                <w:rFonts w:eastAsia="Times New Roman" w:cstheme="minorHAnsi"/>
                <w:color w:val="000000"/>
                <w:sz w:val="16"/>
                <w:szCs w:val="16"/>
                <w:lang w:val="en-US" w:eastAsia="en-AU"/>
              </w:rPr>
              <w:t>0.02</w:t>
            </w:r>
          </w:p>
        </w:tc>
      </w:tr>
      <w:tr w:rsidR="00DD25B2" w:rsidRPr="00DD6692" w:rsidTr="00DD25B2">
        <w:trPr>
          <w:cnfStyle w:val="000000100000" w:firstRow="0" w:lastRow="0" w:firstColumn="0" w:lastColumn="0" w:oddVBand="0" w:evenVBand="0" w:oddHBand="1" w:evenHBand="0" w:firstRowFirstColumn="0" w:firstRowLastColumn="0" w:lastRowFirstColumn="0" w:lastRowLastColumn="0"/>
          <w:trHeight w:val="225"/>
          <w:jc w:val="center"/>
        </w:trPr>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hideMark/>
          </w:tcPr>
          <w:p w:rsidR="00DD25B2" w:rsidRPr="00DD6692" w:rsidRDefault="00DD25B2" w:rsidP="00DD25B2">
            <w:pPr>
              <w:spacing w:before="0"/>
              <w:ind w:left="567" w:hanging="567"/>
              <w:rPr>
                <w:rFonts w:eastAsia="Times New Roman" w:cstheme="minorHAnsi"/>
                <w:sz w:val="16"/>
                <w:szCs w:val="16"/>
                <w:lang w:val="en-US" w:eastAsia="en-AU"/>
              </w:rPr>
            </w:pPr>
            <w:r w:rsidRPr="00DD6692">
              <w:rPr>
                <w:rFonts w:eastAsia="Times New Roman" w:cstheme="minorHAnsi"/>
                <w:sz w:val="16"/>
                <w:szCs w:val="16"/>
                <w:lang w:val="en-US" w:eastAsia="en-AU"/>
              </w:rPr>
              <w:t>E</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DD25B2" w:rsidRPr="00DD6692" w:rsidRDefault="00DD25B2" w:rsidP="00DD25B2">
            <w:pPr>
              <w:spacing w:before="0"/>
              <w:ind w:left="567" w:hanging="567"/>
              <w:jc w:val="center"/>
              <w:rPr>
                <w:rFonts w:eastAsia="Times New Roman" w:cstheme="minorHAnsi"/>
                <w:sz w:val="16"/>
                <w:szCs w:val="16"/>
                <w:lang w:val="en-US" w:eastAsia="en-AU"/>
              </w:rPr>
            </w:pPr>
            <w:r w:rsidRPr="00DD6692">
              <w:rPr>
                <w:rFonts w:eastAsia="Times New Roman" w:cstheme="minorHAnsi"/>
                <w:sz w:val="16"/>
                <w:szCs w:val="16"/>
                <w:lang w:val="en-US" w:eastAsia="en-AU"/>
              </w:rPr>
              <w:t>-0.04</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DD25B2" w:rsidRPr="00DD6692" w:rsidRDefault="00DD25B2" w:rsidP="00DD25B2">
            <w:pPr>
              <w:spacing w:before="0"/>
              <w:ind w:left="567" w:hanging="567"/>
              <w:jc w:val="center"/>
              <w:rPr>
                <w:rFonts w:eastAsia="Times New Roman" w:cstheme="minorHAnsi"/>
                <w:color w:val="000000"/>
                <w:sz w:val="16"/>
                <w:szCs w:val="16"/>
                <w:lang w:val="en-US" w:eastAsia="en-AU"/>
              </w:rPr>
            </w:pPr>
            <w:r w:rsidRPr="00DD6692">
              <w:rPr>
                <w:rFonts w:eastAsia="Times New Roman" w:cstheme="minorHAnsi"/>
                <w:color w:val="000000"/>
                <w:sz w:val="16"/>
                <w:szCs w:val="16"/>
                <w:lang w:val="en-US" w:eastAsia="en-AU"/>
              </w:rPr>
              <w:t>0.19</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DD25B2" w:rsidRPr="00DD6692" w:rsidRDefault="00DD25B2" w:rsidP="00DD25B2">
            <w:pPr>
              <w:spacing w:before="0"/>
              <w:ind w:left="567" w:hanging="567"/>
              <w:jc w:val="center"/>
              <w:rPr>
                <w:rFonts w:eastAsia="Times New Roman" w:cstheme="minorHAnsi"/>
                <w:color w:val="000000"/>
                <w:sz w:val="16"/>
                <w:szCs w:val="16"/>
                <w:lang w:val="en-US" w:eastAsia="en-AU"/>
              </w:rPr>
            </w:pPr>
            <w:r w:rsidRPr="00DD6692">
              <w:rPr>
                <w:rFonts w:eastAsia="Times New Roman" w:cstheme="minorHAnsi"/>
                <w:color w:val="000000"/>
                <w:sz w:val="16"/>
                <w:szCs w:val="16"/>
                <w:lang w:val="en-US" w:eastAsia="en-AU"/>
              </w:rPr>
              <w:t>-0.14</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DD25B2" w:rsidRPr="00DD6692" w:rsidRDefault="00DD25B2" w:rsidP="00DD25B2">
            <w:pPr>
              <w:spacing w:before="0"/>
              <w:ind w:left="567" w:hanging="567"/>
              <w:jc w:val="center"/>
              <w:rPr>
                <w:rFonts w:eastAsia="Times New Roman" w:cstheme="minorHAnsi"/>
                <w:color w:val="000000"/>
                <w:sz w:val="16"/>
                <w:szCs w:val="16"/>
                <w:lang w:val="en-US" w:eastAsia="en-AU"/>
              </w:rPr>
            </w:pPr>
            <w:r w:rsidRPr="00DD6692">
              <w:rPr>
                <w:rFonts w:eastAsia="Times New Roman" w:cstheme="minorHAnsi"/>
                <w:color w:val="000000"/>
                <w:sz w:val="16"/>
                <w:szCs w:val="16"/>
                <w:lang w:val="en-US" w:eastAsia="en-AU"/>
              </w:rPr>
              <w:t>-0.02</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DD25B2" w:rsidRPr="00DD6692" w:rsidRDefault="00DD25B2" w:rsidP="00DD25B2">
            <w:pPr>
              <w:spacing w:before="0"/>
              <w:ind w:left="567" w:hanging="567"/>
              <w:jc w:val="center"/>
              <w:rPr>
                <w:rFonts w:eastAsia="Times New Roman" w:cstheme="minorHAnsi"/>
                <w:color w:val="000000"/>
                <w:sz w:val="16"/>
                <w:szCs w:val="16"/>
                <w:lang w:val="en-US" w:eastAsia="en-AU"/>
              </w:rPr>
            </w:pPr>
            <w:r w:rsidRPr="00DD6692">
              <w:rPr>
                <w:rFonts w:eastAsia="Times New Roman" w:cstheme="minorHAnsi"/>
                <w:color w:val="000000"/>
                <w:sz w:val="16"/>
                <w:szCs w:val="16"/>
                <w:lang w:val="en-US" w:eastAsia="en-AU"/>
              </w:rPr>
              <w:t>1.00</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DD25B2" w:rsidRPr="00DD6692" w:rsidRDefault="00DD25B2" w:rsidP="00DD25B2">
            <w:pPr>
              <w:spacing w:before="0"/>
              <w:ind w:left="567" w:hanging="567"/>
              <w:jc w:val="center"/>
              <w:rPr>
                <w:rFonts w:eastAsia="Times New Roman" w:cstheme="minorHAnsi"/>
                <w:color w:val="000000"/>
                <w:sz w:val="16"/>
                <w:szCs w:val="16"/>
                <w:lang w:val="en-US" w:eastAsia="en-AU"/>
              </w:rPr>
            </w:pPr>
            <w:r w:rsidRPr="00DD6692">
              <w:rPr>
                <w:rFonts w:eastAsia="Times New Roman" w:cstheme="minorHAnsi"/>
                <w:color w:val="000000"/>
                <w:sz w:val="16"/>
                <w:szCs w:val="16"/>
                <w:lang w:val="en-US" w:eastAsia="en-AU"/>
              </w:rPr>
              <w:t>0.09</w:t>
            </w:r>
          </w:p>
        </w:tc>
      </w:tr>
      <w:tr w:rsidR="00DD25B2" w:rsidRPr="00DD6692" w:rsidTr="00DD25B2">
        <w:trPr>
          <w:trHeight w:val="225"/>
          <w:jc w:val="center"/>
        </w:trPr>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hideMark/>
          </w:tcPr>
          <w:p w:rsidR="00DD25B2" w:rsidRPr="00DD6692" w:rsidRDefault="00DD25B2" w:rsidP="00DD25B2">
            <w:pPr>
              <w:spacing w:before="0"/>
              <w:ind w:left="567" w:hanging="567"/>
              <w:rPr>
                <w:rFonts w:eastAsia="Times New Roman" w:cstheme="minorHAnsi"/>
                <w:sz w:val="16"/>
                <w:szCs w:val="16"/>
                <w:lang w:val="en-US" w:eastAsia="en-AU"/>
              </w:rPr>
            </w:pPr>
            <w:r w:rsidRPr="00DD6692">
              <w:rPr>
                <w:rFonts w:eastAsia="Times New Roman" w:cstheme="minorHAnsi"/>
                <w:sz w:val="16"/>
                <w:szCs w:val="16"/>
                <w:lang w:val="en-US" w:eastAsia="en-AU"/>
              </w:rPr>
              <w:t>F</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DD25B2" w:rsidRPr="00DD6692" w:rsidRDefault="00DD25B2" w:rsidP="00DD25B2">
            <w:pPr>
              <w:spacing w:before="0"/>
              <w:ind w:left="567" w:hanging="567"/>
              <w:jc w:val="center"/>
              <w:rPr>
                <w:rFonts w:eastAsia="Times New Roman" w:cstheme="minorHAnsi"/>
                <w:sz w:val="16"/>
                <w:szCs w:val="16"/>
                <w:lang w:val="en-US" w:eastAsia="en-AU"/>
              </w:rPr>
            </w:pPr>
            <w:r w:rsidRPr="00DD6692">
              <w:rPr>
                <w:rFonts w:eastAsia="Times New Roman" w:cstheme="minorHAnsi"/>
                <w:sz w:val="16"/>
                <w:szCs w:val="16"/>
                <w:lang w:val="en-US" w:eastAsia="en-AU"/>
              </w:rPr>
              <w:t>0.08</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DD25B2" w:rsidRPr="00DD6692" w:rsidRDefault="00DD25B2" w:rsidP="00DD25B2">
            <w:pPr>
              <w:spacing w:before="0"/>
              <w:ind w:left="567" w:hanging="567"/>
              <w:jc w:val="center"/>
              <w:rPr>
                <w:rFonts w:eastAsia="Times New Roman" w:cstheme="minorHAnsi"/>
                <w:color w:val="000000"/>
                <w:sz w:val="16"/>
                <w:szCs w:val="16"/>
                <w:lang w:val="en-US" w:eastAsia="en-AU"/>
              </w:rPr>
            </w:pPr>
            <w:r w:rsidRPr="00DD6692">
              <w:rPr>
                <w:rFonts w:eastAsia="Times New Roman" w:cstheme="minorHAnsi"/>
                <w:color w:val="000000"/>
                <w:sz w:val="16"/>
                <w:szCs w:val="16"/>
                <w:lang w:val="en-US" w:eastAsia="en-AU"/>
              </w:rPr>
              <w:t>0.08</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DD25B2" w:rsidRPr="00DD6692" w:rsidRDefault="00DD25B2" w:rsidP="00DD25B2">
            <w:pPr>
              <w:spacing w:before="0"/>
              <w:ind w:left="567" w:hanging="567"/>
              <w:jc w:val="center"/>
              <w:rPr>
                <w:rFonts w:eastAsia="Times New Roman" w:cstheme="minorHAnsi"/>
                <w:color w:val="000000"/>
                <w:sz w:val="16"/>
                <w:szCs w:val="16"/>
                <w:lang w:val="en-US" w:eastAsia="en-AU"/>
              </w:rPr>
            </w:pPr>
            <w:r w:rsidRPr="00DD6692">
              <w:rPr>
                <w:rFonts w:eastAsia="Times New Roman" w:cstheme="minorHAnsi"/>
                <w:color w:val="000000"/>
                <w:sz w:val="16"/>
                <w:szCs w:val="16"/>
                <w:lang w:val="en-US" w:eastAsia="en-AU"/>
              </w:rPr>
              <w:t>-0.18</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DD25B2" w:rsidRPr="00DD6692" w:rsidRDefault="00DD25B2" w:rsidP="00DD25B2">
            <w:pPr>
              <w:spacing w:before="0"/>
              <w:ind w:left="567" w:hanging="567"/>
              <w:jc w:val="center"/>
              <w:rPr>
                <w:rFonts w:eastAsia="Times New Roman" w:cstheme="minorHAnsi"/>
                <w:color w:val="000000"/>
                <w:sz w:val="16"/>
                <w:szCs w:val="16"/>
                <w:lang w:val="en-US" w:eastAsia="en-AU"/>
              </w:rPr>
            </w:pPr>
            <w:r w:rsidRPr="00DD6692">
              <w:rPr>
                <w:rFonts w:eastAsia="Times New Roman" w:cstheme="minorHAnsi"/>
                <w:color w:val="000000"/>
                <w:sz w:val="16"/>
                <w:szCs w:val="16"/>
                <w:lang w:val="en-US" w:eastAsia="en-AU"/>
              </w:rPr>
              <w:t>0.02</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DD25B2" w:rsidRPr="00DD6692" w:rsidRDefault="00DD25B2" w:rsidP="00DD25B2">
            <w:pPr>
              <w:spacing w:before="0"/>
              <w:ind w:left="567" w:hanging="567"/>
              <w:jc w:val="center"/>
              <w:rPr>
                <w:rFonts w:eastAsia="Times New Roman" w:cstheme="minorHAnsi"/>
                <w:color w:val="000000"/>
                <w:sz w:val="16"/>
                <w:szCs w:val="16"/>
                <w:lang w:val="en-US" w:eastAsia="en-AU"/>
              </w:rPr>
            </w:pPr>
            <w:r w:rsidRPr="00DD6692">
              <w:rPr>
                <w:rFonts w:eastAsia="Times New Roman" w:cstheme="minorHAnsi"/>
                <w:color w:val="000000"/>
                <w:sz w:val="16"/>
                <w:szCs w:val="16"/>
                <w:lang w:val="en-US" w:eastAsia="en-AU"/>
              </w:rPr>
              <w:t>0.09</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DD25B2" w:rsidRPr="00DD6692" w:rsidRDefault="00DD25B2" w:rsidP="00DD25B2">
            <w:pPr>
              <w:spacing w:before="0"/>
              <w:ind w:left="567" w:hanging="567"/>
              <w:jc w:val="center"/>
              <w:rPr>
                <w:rFonts w:eastAsia="Times New Roman" w:cstheme="minorHAnsi"/>
                <w:color w:val="000000"/>
                <w:sz w:val="16"/>
                <w:szCs w:val="16"/>
                <w:lang w:val="en-US" w:eastAsia="en-AU"/>
              </w:rPr>
            </w:pPr>
            <w:r w:rsidRPr="00DD6692">
              <w:rPr>
                <w:rFonts w:eastAsia="Times New Roman" w:cstheme="minorHAnsi"/>
                <w:color w:val="000000"/>
                <w:sz w:val="16"/>
                <w:szCs w:val="16"/>
                <w:lang w:val="en-US" w:eastAsia="en-AU"/>
              </w:rPr>
              <w:t>1.00</w:t>
            </w:r>
          </w:p>
        </w:tc>
      </w:tr>
    </w:tbl>
    <w:p w:rsidR="00DD25B2" w:rsidRPr="00DD6692" w:rsidRDefault="00DD25B2" w:rsidP="00DD25B2">
      <w:pPr>
        <w:ind w:left="567" w:hanging="567"/>
      </w:pPr>
      <w:r w:rsidRPr="00DD6692">
        <w:tab/>
        <w:t xml:space="preserve">See p.58 of the </w:t>
      </w:r>
      <w:r w:rsidRPr="00DD6692">
        <w:rPr>
          <w:i/>
        </w:rPr>
        <w:t>Annual Pricing Review 2020-21</w:t>
      </w:r>
      <w:r w:rsidRPr="00DD6692">
        <w:t>.</w:t>
      </w:r>
    </w:p>
    <w:p w:rsidR="00C56F54" w:rsidRPr="00DD6692" w:rsidRDefault="00DD25B2" w:rsidP="00C56F54">
      <w:pPr>
        <w:ind w:left="567" w:hanging="567"/>
      </w:pPr>
      <w:r w:rsidRPr="00DD6692">
        <w:t xml:space="preserve">4. </w:t>
      </w:r>
      <w:r w:rsidRPr="00DD6692">
        <w:tab/>
      </w:r>
      <w:r w:rsidR="00C56F54" w:rsidRPr="00DD6692">
        <w:t xml:space="preserve">Fair Work Commission. </w:t>
      </w:r>
      <w:hyperlink r:id="rId21" w:history="1">
        <w:r w:rsidR="00C56F54" w:rsidRPr="00DD6692">
          <w:rPr>
            <w:rStyle w:val="Hyperlink"/>
            <w:i/>
          </w:rPr>
          <w:t>Social, Community, Home Care and Disability Services Industry Award 2010</w:t>
        </w:r>
        <w:r w:rsidR="00C56F54" w:rsidRPr="00DD6692">
          <w:rPr>
            <w:rStyle w:val="Hyperlink"/>
          </w:rPr>
          <w:t>,</w:t>
        </w:r>
      </w:hyperlink>
      <w:r w:rsidR="00C56F54" w:rsidRPr="00DD6692">
        <w:t xml:space="preserve"> incorporating all amendments up to and including 30 June 2021.</w:t>
      </w:r>
    </w:p>
    <w:p w:rsidR="00C56F54" w:rsidRPr="00DD6692" w:rsidRDefault="00C56F54" w:rsidP="00C56F54">
      <w:pPr>
        <w:ind w:left="567" w:hanging="567"/>
      </w:pPr>
      <w:r w:rsidRPr="00DD6692">
        <w:tab/>
        <w:t xml:space="preserve">Fair Work Commission. </w:t>
      </w:r>
      <w:hyperlink r:id="rId22" w:history="1">
        <w:r w:rsidRPr="00DD6692">
          <w:rPr>
            <w:rStyle w:val="Hyperlink"/>
            <w:i/>
          </w:rPr>
          <w:t>Equal Remuneration Order 2010</w:t>
        </w:r>
      </w:hyperlink>
      <w:r w:rsidRPr="00DD6692">
        <w:t>, (C2010/3131).</w:t>
      </w:r>
    </w:p>
    <w:p w:rsidR="00AD4EBC" w:rsidRPr="00DD6692" w:rsidRDefault="00DD25B2" w:rsidP="00DD25B2">
      <w:pPr>
        <w:ind w:left="567" w:hanging="567"/>
        <w:rPr>
          <w:rStyle w:val="Hyperlink"/>
        </w:rPr>
      </w:pPr>
      <w:r w:rsidRPr="00DD6692">
        <w:t>5</w:t>
      </w:r>
      <w:r w:rsidR="00AD4EBC" w:rsidRPr="00DD6692">
        <w:t xml:space="preserve">. </w:t>
      </w:r>
      <w:r w:rsidR="00C56F54" w:rsidRPr="00DD6692">
        <w:tab/>
        <w:t>Calculated as 1/38</w:t>
      </w:r>
      <w:r w:rsidR="00C56F54" w:rsidRPr="00DD6692">
        <w:rPr>
          <w:vertAlign w:val="superscript"/>
        </w:rPr>
        <w:t>th</w:t>
      </w:r>
      <w:r w:rsidR="00C56F54" w:rsidRPr="00DD6692">
        <w:t xml:space="preserve"> of the relevant ERO adjusted minimum wage.</w:t>
      </w:r>
    </w:p>
    <w:p w:rsidR="00AD4EBC" w:rsidRPr="00DD6692" w:rsidRDefault="00DD25B2" w:rsidP="00DD25B2">
      <w:pPr>
        <w:ind w:left="567" w:hanging="567"/>
      </w:pPr>
      <w:r w:rsidRPr="00DD6692">
        <w:t>6</w:t>
      </w:r>
      <w:r w:rsidR="00AD4EBC" w:rsidRPr="00DD6692">
        <w:t xml:space="preserve">. </w:t>
      </w:r>
      <w:r w:rsidRPr="00DD6692">
        <w:tab/>
      </w:r>
      <w:r w:rsidR="00AD4EBC" w:rsidRPr="00DD6692">
        <w:t>SCHADS Award: Clauses 10.4(b), 26 and 29.3.</w:t>
      </w:r>
    </w:p>
    <w:p w:rsidR="00AD4EBC" w:rsidRPr="00DD6692" w:rsidRDefault="00DD25B2" w:rsidP="00DD25B2">
      <w:pPr>
        <w:ind w:left="567" w:hanging="567"/>
      </w:pPr>
      <w:r w:rsidRPr="00DD6692">
        <w:t>7</w:t>
      </w:r>
      <w:r w:rsidR="00AD4EBC" w:rsidRPr="00DD6692">
        <w:t xml:space="preserve">. </w:t>
      </w:r>
      <w:r w:rsidRPr="00DD6692">
        <w:tab/>
      </w:r>
      <w:r w:rsidR="00AD4EBC" w:rsidRPr="00DD6692">
        <w:t>SCHADS Award: Clause 25.1.</w:t>
      </w:r>
    </w:p>
    <w:p w:rsidR="0097268F" w:rsidRPr="00DD6692" w:rsidRDefault="00DD25B2" w:rsidP="00DD25B2">
      <w:pPr>
        <w:ind w:left="567" w:hanging="567"/>
        <w:rPr>
          <w:rStyle w:val="Hyperlink"/>
        </w:rPr>
      </w:pPr>
      <w:r w:rsidRPr="00DD6692">
        <w:t>8</w:t>
      </w:r>
      <w:r w:rsidR="00A6229E" w:rsidRPr="00DD6692">
        <w:t xml:space="preserve">. </w:t>
      </w:r>
      <w:r w:rsidRPr="00DD6692">
        <w:tab/>
      </w:r>
      <w:r w:rsidR="00A6229E" w:rsidRPr="00DD6692">
        <w:t xml:space="preserve">The National Employment Standards govern leave and several other conditions in Awards, and also may not be reduced by EBAs. </w:t>
      </w:r>
      <w:hyperlink r:id="rId23" w:history="1">
        <w:r w:rsidR="00A6229E" w:rsidRPr="00DD6692">
          <w:rPr>
            <w:rStyle w:val="Hyperlink"/>
          </w:rPr>
          <w:t>https://www.fairwork.gov.au/employee-entitlements/national-employment-standards</w:t>
        </w:r>
      </w:hyperlink>
    </w:p>
    <w:p w:rsidR="00C17E6B" w:rsidRPr="00DD6692" w:rsidRDefault="00DD25B2" w:rsidP="00DD25B2">
      <w:pPr>
        <w:ind w:left="567" w:hanging="567"/>
        <w:rPr>
          <w:rStyle w:val="Hyperlink"/>
        </w:rPr>
      </w:pPr>
      <w:r w:rsidRPr="00DD6692">
        <w:t>9</w:t>
      </w:r>
      <w:r w:rsidR="00C17E6B" w:rsidRPr="00DD6692">
        <w:t xml:space="preserve">. </w:t>
      </w:r>
      <w:r w:rsidRPr="00DD6692">
        <w:tab/>
      </w:r>
      <w:hyperlink r:id="rId24" w:history="1">
        <w:r w:rsidR="00C17E6B" w:rsidRPr="00DD6692">
          <w:rPr>
            <w:rStyle w:val="Hyperlink"/>
          </w:rPr>
          <w:t>https://www.fairwork.gov.au/leave/annual-leave</w:t>
        </w:r>
      </w:hyperlink>
    </w:p>
    <w:p w:rsidR="00C17E6B" w:rsidRPr="00DD6692" w:rsidRDefault="00DD25B2" w:rsidP="00DD25B2">
      <w:pPr>
        <w:pStyle w:val="FootnoteText"/>
        <w:ind w:left="567" w:hanging="567"/>
        <w:rPr>
          <w:sz w:val="22"/>
        </w:rPr>
      </w:pPr>
      <w:r w:rsidRPr="00DD6692">
        <w:rPr>
          <w:sz w:val="22"/>
        </w:rPr>
        <w:t>10</w:t>
      </w:r>
      <w:r w:rsidR="00C17E6B" w:rsidRPr="00DD6692">
        <w:rPr>
          <w:sz w:val="22"/>
        </w:rPr>
        <w:t>.</w:t>
      </w:r>
      <w:r w:rsidR="00C17E6B" w:rsidRPr="00DD6692">
        <w:rPr>
          <w:szCs w:val="22"/>
        </w:rPr>
        <w:t xml:space="preserve"> </w:t>
      </w:r>
      <w:r w:rsidRPr="00DD6692">
        <w:rPr>
          <w:szCs w:val="22"/>
        </w:rPr>
        <w:tab/>
      </w:r>
      <w:hyperlink r:id="rId25" w:history="1">
        <w:r w:rsidR="00C17E6B" w:rsidRPr="00DD6692">
          <w:rPr>
            <w:rStyle w:val="Hyperlink"/>
            <w:sz w:val="22"/>
          </w:rPr>
          <w:t>https://www.fairwork.gov.au/leave/public-holidays</w:t>
        </w:r>
      </w:hyperlink>
      <w:r w:rsidR="00C17E6B" w:rsidRPr="00DD6692">
        <w:rPr>
          <w:sz w:val="22"/>
        </w:rPr>
        <w:t xml:space="preserve"> </w:t>
      </w:r>
    </w:p>
    <w:p w:rsidR="00C17E6B" w:rsidRPr="00DD6692" w:rsidRDefault="00C17E6B" w:rsidP="00DD25B2">
      <w:pPr>
        <w:ind w:left="567"/>
      </w:pPr>
      <w:r w:rsidRPr="00DD6692">
        <w:t>Note: The Agency recognises that there are more than 10 public holidays in each year, and that the number of public holidays varies by jurisdiction. However, some public holidays occur on weekends and it is unlikely that any worker in their ordinary working hours would be rostered to have worked on more than 10 public holidays.</w:t>
      </w:r>
    </w:p>
    <w:p w:rsidR="00307B48" w:rsidRPr="00DD6692" w:rsidRDefault="00DD25B2" w:rsidP="00DD25B2">
      <w:pPr>
        <w:pStyle w:val="FootnoteText"/>
        <w:ind w:left="567" w:hanging="567"/>
        <w:rPr>
          <w:sz w:val="22"/>
        </w:rPr>
      </w:pPr>
      <w:r w:rsidRPr="00DD6692">
        <w:rPr>
          <w:sz w:val="22"/>
        </w:rPr>
        <w:t>11</w:t>
      </w:r>
      <w:r w:rsidR="00016CBE" w:rsidRPr="00DD6692">
        <w:rPr>
          <w:sz w:val="22"/>
        </w:rPr>
        <w:t xml:space="preserve">. </w:t>
      </w:r>
      <w:r w:rsidRPr="00DD6692">
        <w:rPr>
          <w:sz w:val="22"/>
        </w:rPr>
        <w:tab/>
      </w:r>
      <w:hyperlink r:id="rId26" w:history="1">
        <w:r w:rsidR="00307B48" w:rsidRPr="00DD6692">
          <w:rPr>
            <w:rStyle w:val="Hyperlink"/>
            <w:sz w:val="22"/>
          </w:rPr>
          <w:t>https://www.fairwork.gov.au/leave/sick-and-carers-leave/paid-sick-and-carers-leave</w:t>
        </w:r>
      </w:hyperlink>
      <w:r w:rsidR="00307B48" w:rsidRPr="00DD6692">
        <w:rPr>
          <w:sz w:val="22"/>
        </w:rPr>
        <w:t xml:space="preserve"> </w:t>
      </w:r>
    </w:p>
    <w:p w:rsidR="00016CBE" w:rsidRPr="00DD6692" w:rsidRDefault="00307B48" w:rsidP="00DD25B2">
      <w:pPr>
        <w:ind w:left="567"/>
        <w:rPr>
          <w:rStyle w:val="Hyperlink"/>
        </w:rPr>
      </w:pPr>
      <w:r w:rsidRPr="00DD6692">
        <w:t>Note: The Cost Model slightly overestimates provider’s cost with respect to this parameter as it assumes all workers utilise all of their personal leave entitlement each year even though some workers may not use their entitlement.</w:t>
      </w:r>
    </w:p>
    <w:p w:rsidR="00307B48" w:rsidRPr="00DD6692" w:rsidRDefault="00DD25B2" w:rsidP="00DD25B2">
      <w:pPr>
        <w:pStyle w:val="FootnoteText"/>
        <w:ind w:left="567" w:hanging="567"/>
        <w:rPr>
          <w:sz w:val="22"/>
        </w:rPr>
      </w:pPr>
      <w:r w:rsidRPr="00DD6692">
        <w:rPr>
          <w:sz w:val="22"/>
        </w:rPr>
        <w:t>12</w:t>
      </w:r>
      <w:r w:rsidR="00307B48" w:rsidRPr="00DD6692">
        <w:rPr>
          <w:sz w:val="22"/>
        </w:rPr>
        <w:t xml:space="preserve">. </w:t>
      </w:r>
      <w:r w:rsidRPr="00DD6692">
        <w:rPr>
          <w:sz w:val="22"/>
        </w:rPr>
        <w:tab/>
      </w:r>
      <w:hyperlink r:id="rId27" w:history="1">
        <w:r w:rsidR="00307B48" w:rsidRPr="00DD6692">
          <w:rPr>
            <w:rStyle w:val="Hyperlink"/>
            <w:sz w:val="22"/>
          </w:rPr>
          <w:t>https://www.fairwork.gov.au/leave/long-service-leave</w:t>
        </w:r>
      </w:hyperlink>
      <w:r w:rsidR="00307B48" w:rsidRPr="00DD6692">
        <w:rPr>
          <w:sz w:val="22"/>
        </w:rPr>
        <w:t xml:space="preserve"> </w:t>
      </w:r>
    </w:p>
    <w:p w:rsidR="00C17E6B" w:rsidRPr="00DD6692" w:rsidRDefault="00307B48" w:rsidP="00DD25B2">
      <w:pPr>
        <w:ind w:left="567"/>
      </w:pPr>
      <w:r w:rsidRPr="00DD6692">
        <w:t>Note: The Cost Model overestimates provider’s cost with respect to this parameter as it assumes all permanent workers and casual workers qualify for LSL accruals and that all workers will eventually access their long service leave entitlement. This reflects the rollout of portable long service leave schemes in some jurisdictions.</w:t>
      </w:r>
    </w:p>
    <w:p w:rsidR="000F7D9D" w:rsidRPr="00DD6692" w:rsidRDefault="00DD25B2" w:rsidP="00DD25B2">
      <w:pPr>
        <w:ind w:left="567" w:hanging="567"/>
      </w:pPr>
      <w:r w:rsidRPr="00DD6692">
        <w:t>13</w:t>
      </w:r>
      <w:r w:rsidR="000F7D9D" w:rsidRPr="00DD6692">
        <w:t xml:space="preserve">. </w:t>
      </w:r>
      <w:r w:rsidRPr="00DD6692">
        <w:tab/>
      </w:r>
      <w:r w:rsidR="000F7D9D" w:rsidRPr="00DD6692">
        <w:t>SCHADS Award: Clause 31.3</w:t>
      </w:r>
    </w:p>
    <w:p w:rsidR="000F7D9D" w:rsidRPr="00DD6692" w:rsidRDefault="00DD25B2" w:rsidP="00DD25B2">
      <w:pPr>
        <w:ind w:left="567" w:hanging="567"/>
        <w:rPr>
          <w:rStyle w:val="Hyperlink"/>
        </w:rPr>
      </w:pPr>
      <w:r w:rsidRPr="00DD6692">
        <w:t>14</w:t>
      </w:r>
      <w:r w:rsidR="000F7D9D" w:rsidRPr="00DD6692">
        <w:t xml:space="preserve">. </w:t>
      </w:r>
      <w:r w:rsidRPr="00DD6692">
        <w:tab/>
      </w:r>
      <w:hyperlink r:id="rId28" w:history="1">
        <w:r w:rsidR="000F7D9D" w:rsidRPr="00DD6692">
          <w:rPr>
            <w:rStyle w:val="Hyperlink"/>
          </w:rPr>
          <w:t>https://www.ato.gov.au/Business/Super-for-employers/How-much-to-pay/</w:t>
        </w:r>
      </w:hyperlink>
    </w:p>
    <w:p w:rsidR="000F7D9D" w:rsidRPr="00DD6692" w:rsidRDefault="00DD25B2" w:rsidP="00DD25B2">
      <w:pPr>
        <w:ind w:left="567" w:hanging="567"/>
      </w:pPr>
      <w:r w:rsidRPr="00DD6692">
        <w:t>15</w:t>
      </w:r>
      <w:r w:rsidR="000F7D9D" w:rsidRPr="00DD6692">
        <w:t xml:space="preserve">. </w:t>
      </w:r>
      <w:r w:rsidRPr="00DD6692">
        <w:tab/>
      </w:r>
      <w:r w:rsidR="000F7D9D" w:rsidRPr="00DD6692">
        <w:t xml:space="preserve">The </w:t>
      </w:r>
      <w:r w:rsidR="000F7D9D" w:rsidRPr="00DD6692">
        <w:rPr>
          <w:i/>
        </w:rPr>
        <w:t>Annual Pricing Review 2020-21</w:t>
      </w:r>
      <w:r w:rsidR="000F7D9D" w:rsidRPr="00DD6692">
        <w:t xml:space="preserve"> (page 54) found that, averaged over 2010-11 to 2014-15, the standardised Australian average workers compensation premium rate was 1.5% for all industries and 1.7% for the Health and Community Services sector. The Benchmarking Study undertaken as part of the Annual Pricing Review 2020-21 found that the average workers compensation premium among respondents in the disability sector was 2.6%, with a median of 2.3% and a 25</w:t>
      </w:r>
      <w:r w:rsidR="000F7D9D" w:rsidRPr="00DD6692">
        <w:rPr>
          <w:vertAlign w:val="superscript"/>
        </w:rPr>
        <w:t>th</w:t>
      </w:r>
      <w:r w:rsidR="000F7D9D" w:rsidRPr="00DD6692">
        <w:t xml:space="preserve"> percentile of 1.7%. In line with the </w:t>
      </w:r>
      <w:r w:rsidR="000F7D9D" w:rsidRPr="00DD6692">
        <w:rPr>
          <w:i/>
        </w:rPr>
        <w:t>NDIS Pricing Strategy</w:t>
      </w:r>
      <w:r w:rsidR="000F7D9D" w:rsidRPr="00DD6692">
        <w:t>, this Cost Model parameter has been set at the level achieved by efficient (25</w:t>
      </w:r>
      <w:r w:rsidR="000F7D9D" w:rsidRPr="00DD6692">
        <w:rPr>
          <w:vertAlign w:val="superscript"/>
        </w:rPr>
        <w:t>th</w:t>
      </w:r>
      <w:r w:rsidR="000F7D9D" w:rsidRPr="00DD6692">
        <w:t xml:space="preserve"> percentile) providers.</w:t>
      </w:r>
    </w:p>
    <w:p w:rsidR="000F7D9D" w:rsidRPr="00DD6692" w:rsidRDefault="00DD25B2" w:rsidP="00DD25B2">
      <w:pPr>
        <w:ind w:left="567" w:hanging="567"/>
      </w:pPr>
      <w:r w:rsidRPr="00DD6692">
        <w:t>16</w:t>
      </w:r>
      <w:r w:rsidR="000F7D9D" w:rsidRPr="00DD6692">
        <w:t xml:space="preserve">. </w:t>
      </w:r>
      <w:r w:rsidRPr="00DD6692">
        <w:tab/>
      </w:r>
      <w:r w:rsidR="000F7D9D" w:rsidRPr="00DD6692">
        <w:t xml:space="preserve">The </w:t>
      </w:r>
      <w:r w:rsidR="000F7D9D" w:rsidRPr="00DD6692">
        <w:rPr>
          <w:i/>
        </w:rPr>
        <w:t>Annual Pricing Review 2020-21</w:t>
      </w:r>
      <w:r w:rsidR="000F7D9D" w:rsidRPr="00DD6692">
        <w:t xml:space="preserve"> (page 57) found that allowances in the sector were typically in the order of 1.0% of the base salary payable to the worker.</w:t>
      </w:r>
    </w:p>
    <w:p w:rsidR="000F7D9D" w:rsidRPr="00DD6692" w:rsidRDefault="00DD25B2" w:rsidP="00DD25B2">
      <w:pPr>
        <w:ind w:left="567" w:hanging="567"/>
      </w:pPr>
      <w:r w:rsidRPr="00DD6692">
        <w:t>17</w:t>
      </w:r>
      <w:r w:rsidR="000F7D9D" w:rsidRPr="00DD6692">
        <w:t xml:space="preserve">. </w:t>
      </w:r>
      <w:r w:rsidRPr="00DD6692">
        <w:tab/>
      </w:r>
      <w:r w:rsidR="000F7D9D" w:rsidRPr="00DD6692">
        <w:t xml:space="preserve">The Benchmarking Study undertaken as part of the </w:t>
      </w:r>
      <w:r w:rsidR="000F7D9D" w:rsidRPr="00DD6692">
        <w:rPr>
          <w:i/>
        </w:rPr>
        <w:t>Annual Pricing Review 2020-21</w:t>
      </w:r>
      <w:r w:rsidR="000F7D9D" w:rsidRPr="00DD6692">
        <w:t xml:space="preserve"> (page 52) found that the average span of control among respondents in the disability sector was 11.8:1 with a 25</w:t>
      </w:r>
      <w:r w:rsidR="000F7D9D" w:rsidRPr="00DD6692">
        <w:rPr>
          <w:vertAlign w:val="superscript"/>
        </w:rPr>
        <w:t>th</w:t>
      </w:r>
      <w:r w:rsidR="000F7D9D" w:rsidRPr="00DD6692">
        <w:t xml:space="preserve"> percentile of 15:1. In line with the </w:t>
      </w:r>
      <w:r w:rsidR="000F7D9D" w:rsidRPr="00DD6692">
        <w:rPr>
          <w:i/>
        </w:rPr>
        <w:t>NDIS Pricing Strategy</w:t>
      </w:r>
      <w:r w:rsidR="000F7D9D" w:rsidRPr="00DD6692">
        <w:t>, this Cost Model parameter has been set at the level achieved by efficient (25</w:t>
      </w:r>
      <w:r w:rsidR="000F7D9D" w:rsidRPr="00DD6692">
        <w:rPr>
          <w:vertAlign w:val="superscript"/>
        </w:rPr>
        <w:t>th</w:t>
      </w:r>
      <w:r w:rsidR="000F7D9D" w:rsidRPr="00DD6692">
        <w:t xml:space="preserve"> percentile) providers.</w:t>
      </w:r>
    </w:p>
    <w:p w:rsidR="00432D6D" w:rsidRPr="00DD6692" w:rsidRDefault="00432D6D" w:rsidP="00DD25B2">
      <w:pPr>
        <w:ind w:left="567" w:hanging="567"/>
      </w:pPr>
      <w:r w:rsidRPr="00DD6692">
        <w:t>1</w:t>
      </w:r>
      <w:r w:rsidR="00DD25B2" w:rsidRPr="00DD6692">
        <w:t>8</w:t>
      </w:r>
      <w:r w:rsidRPr="00DD6692">
        <w:t xml:space="preserve">. </w:t>
      </w:r>
      <w:r w:rsidR="00DD25B2" w:rsidRPr="00DD6692">
        <w:tab/>
      </w:r>
      <w:r w:rsidRPr="00DD6692">
        <w:t xml:space="preserve">The Benchmarking Study undertaken as part of the </w:t>
      </w:r>
      <w:r w:rsidRPr="00DD6692">
        <w:rPr>
          <w:i/>
        </w:rPr>
        <w:t>Annual Pricing Review 2020-21</w:t>
      </w:r>
      <w:r w:rsidRPr="00DD6692">
        <w:t xml:space="preserve"> (page 52) found that the average casual employment share among respondents in the disability sector was 43.8% with a 25</w:t>
      </w:r>
      <w:r w:rsidRPr="00DD6692">
        <w:rPr>
          <w:vertAlign w:val="superscript"/>
        </w:rPr>
        <w:t>th</w:t>
      </w:r>
      <w:r w:rsidRPr="00DD6692">
        <w:t xml:space="preserve"> percentile of 71.7%. In line with the </w:t>
      </w:r>
      <w:r w:rsidRPr="00DD6692">
        <w:rPr>
          <w:i/>
        </w:rPr>
        <w:t>NDIS Pricing Strategy</w:t>
      </w:r>
      <w:r w:rsidRPr="00DD6692">
        <w:t>, this Cost Model parameter has been set at the level achieved by efficient (25</w:t>
      </w:r>
      <w:r w:rsidRPr="00DD6692">
        <w:rPr>
          <w:vertAlign w:val="superscript"/>
        </w:rPr>
        <w:t>th</w:t>
      </w:r>
      <w:r w:rsidRPr="00DD6692">
        <w:t xml:space="preserve"> percentile) providers.</w:t>
      </w:r>
    </w:p>
    <w:p w:rsidR="00692985" w:rsidRPr="00DD6692" w:rsidRDefault="00DD25B2" w:rsidP="00DD25B2">
      <w:pPr>
        <w:ind w:left="567" w:hanging="567"/>
      </w:pPr>
      <w:r w:rsidRPr="00DD6692">
        <w:t>19</w:t>
      </w:r>
      <w:r w:rsidR="00432D6D" w:rsidRPr="00DD6692">
        <w:t xml:space="preserve">. </w:t>
      </w:r>
      <w:r w:rsidRPr="00DD6692">
        <w:tab/>
      </w:r>
      <w:r w:rsidR="00432D6D" w:rsidRPr="00DD6692">
        <w:t xml:space="preserve">The Benchmarking Study undertaken as part of the Annual Pricing Review 2020-21 (page 52) found that the average utilisation </w:t>
      </w:r>
      <w:r w:rsidR="001A2B22" w:rsidRPr="00DD6692">
        <w:t xml:space="preserve">among </w:t>
      </w:r>
      <w:r w:rsidR="00432D6D" w:rsidRPr="00DD6692">
        <w:t>respondents in the disability sector was 79.8% with a 25th percentile of 90.0%. In line with the NDIS Pricing Strategy, this Cost Model parameter has been set at the level achieved by efficient (25th percentile) providers.</w:t>
      </w:r>
    </w:p>
    <w:p w:rsidR="00432D6D" w:rsidRPr="00DD6692" w:rsidRDefault="00432D6D" w:rsidP="00DD25B2">
      <w:pPr>
        <w:ind w:left="567"/>
      </w:pPr>
      <w:r w:rsidRPr="00DD6692">
        <w:t>Because the Benchmarking Study did not disaggregate its results between DSWs 1, 2 and 3 the efficient utilisation rates have been estimated for each DSW Level around the sector wide 25th percentile with the utilisation rate decreasing slightly with the seniority of the worker.</w:t>
      </w:r>
    </w:p>
    <w:p w:rsidR="00432D6D" w:rsidRPr="00DD6692" w:rsidRDefault="00432D6D" w:rsidP="00DD25B2">
      <w:pPr>
        <w:ind w:left="567"/>
      </w:pPr>
      <w:r w:rsidRPr="00DD6692">
        <w:t xml:space="preserve">The utilisation rate for </w:t>
      </w:r>
      <w:r w:rsidR="00D12192" w:rsidRPr="00DD6692">
        <w:t>DSW D</w:t>
      </w:r>
      <w:r w:rsidRPr="00DD6692">
        <w:t>s was set after consultations with providers who were currently employing worker</w:t>
      </w:r>
      <w:r w:rsidR="00772088" w:rsidRPr="00DD6692">
        <w:t xml:space="preserve">s in the role of a psychosocial </w:t>
      </w:r>
      <w:r w:rsidRPr="00DD6692">
        <w:t>recovery coach. These providers indicated that these staff were appropriately classified at the SCHADS pay point 4.4. They also indicated that workers who supported participants with psychosocial disabilities often needed to debrief and be supported at the end of their shifts to support their own mental well-being, which lowered their own and their supervisors’ utilisation rates.</w:t>
      </w:r>
    </w:p>
    <w:p w:rsidR="00432D6D" w:rsidRPr="00DD6692" w:rsidRDefault="00DD25B2" w:rsidP="00DD25B2">
      <w:pPr>
        <w:ind w:left="567" w:hanging="567"/>
      </w:pPr>
      <w:r w:rsidRPr="00DD6692">
        <w:t>20</w:t>
      </w:r>
      <w:r w:rsidR="00830824" w:rsidRPr="00DD6692">
        <w:t xml:space="preserve">. </w:t>
      </w:r>
      <w:r w:rsidRPr="00DD6692">
        <w:tab/>
      </w:r>
      <w:r w:rsidR="00830824" w:rsidRPr="00DD6692">
        <w:t xml:space="preserve">The </w:t>
      </w:r>
      <w:r w:rsidR="00830824" w:rsidRPr="00DD6692">
        <w:rPr>
          <w:i/>
        </w:rPr>
        <w:t>Annual Pricing Review 2020-21</w:t>
      </w:r>
      <w:r w:rsidR="00830824" w:rsidRPr="00DD6692">
        <w:t xml:space="preserve"> (page 58) found that the overheads percentage should be increased to 12.0% to better align with the estimated overheads of efficient providers in the sector, as observed in the Benchmarking Study adjusted for that survey’s unrepresentativeness and that other recommendations being made by the Review would directly address some of the costs that providers are currently carrying in their overheads.</w:t>
      </w:r>
    </w:p>
    <w:p w:rsidR="00DD25B2" w:rsidRPr="0097268F" w:rsidRDefault="00830824" w:rsidP="00DD25B2">
      <w:pPr>
        <w:ind w:left="567" w:hanging="567"/>
      </w:pPr>
      <w:r w:rsidRPr="00DD6692">
        <w:t>2</w:t>
      </w:r>
      <w:r w:rsidR="00DD25B2" w:rsidRPr="00DD6692">
        <w:t>1</w:t>
      </w:r>
      <w:r w:rsidRPr="00DD6692">
        <w:t xml:space="preserve">. </w:t>
      </w:r>
      <w:r w:rsidR="004C63FA" w:rsidRPr="00DD6692">
        <w:tab/>
        <w:t>Calculated as 4.9% of the weekly minimum wage (before ERO adjustment) for a Social and community services employee level 3 at pay point 3 in clause 15.3 of the SCHADS Award. See Clause 25.7(d) of the SCHADS Award.</w:t>
      </w:r>
      <w:bookmarkEnd w:id="0"/>
    </w:p>
    <w:sectPr w:rsidR="00DD25B2" w:rsidRPr="0097268F" w:rsidSect="00DC0A5C">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7C8" w:rsidRDefault="009E57C8" w:rsidP="001A3E36">
      <w:r>
        <w:separator/>
      </w:r>
    </w:p>
    <w:p w:rsidR="009E57C8" w:rsidRDefault="009E57C8" w:rsidP="001A3E36"/>
  </w:endnote>
  <w:endnote w:type="continuationSeparator" w:id="0">
    <w:p w:rsidR="009E57C8" w:rsidRDefault="009E57C8" w:rsidP="001A3E36">
      <w:r>
        <w:continuationSeparator/>
      </w:r>
    </w:p>
    <w:p w:rsidR="009E57C8" w:rsidRDefault="009E57C8" w:rsidP="001A3E36"/>
  </w:endnote>
  <w:endnote w:type="continuationNotice" w:id="1">
    <w:p w:rsidR="009E57C8" w:rsidRDefault="009E57C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620100"/>
      <w:docPartObj>
        <w:docPartGallery w:val="Page Numbers (Bottom of Page)"/>
        <w:docPartUnique/>
      </w:docPartObj>
    </w:sdtPr>
    <w:sdtEndPr>
      <w:rPr>
        <w:noProof/>
      </w:rPr>
    </w:sdtEndPr>
    <w:sdtContent>
      <w:p w:rsidR="00BD5D67" w:rsidRDefault="00BD5D67" w:rsidP="00B658AF">
        <w:pPr>
          <w:pStyle w:val="Footer"/>
          <w:jc w:val="center"/>
        </w:pPr>
        <w:r>
          <w:fldChar w:fldCharType="begin"/>
        </w:r>
        <w:r>
          <w:instrText xml:space="preserve"> PAGE   \* MERGEFORMAT </w:instrText>
        </w:r>
        <w:r>
          <w:fldChar w:fldCharType="separate"/>
        </w:r>
        <w:r w:rsidR="00DD6692">
          <w:rPr>
            <w:noProof/>
          </w:rPr>
          <w:t>32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D67" w:rsidRDefault="00BD5D67" w:rsidP="00EC73BF">
    <w:r w:rsidRPr="00321F81">
      <w:rPr>
        <w:noProof/>
        <w:lang w:eastAsia="en-AU"/>
      </w:rPr>
      <w:drawing>
        <wp:inline distT="0" distB="0" distL="0" distR="0" wp14:anchorId="2D897A58" wp14:editId="0E275614">
          <wp:extent cx="2275200" cy="540000"/>
          <wp:effectExtent l="0" t="0" r="0" b="0"/>
          <wp:docPr id="18" name="Picture 18"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5200" cy="540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D67" w:rsidRPr="00D6031F" w:rsidRDefault="00BD5D67" w:rsidP="00D6031F">
    <w:pPr>
      <w:pStyle w:val="Footer"/>
      <w:tabs>
        <w:tab w:val="clear" w:pos="4513"/>
        <w:tab w:val="clear" w:pos="9026"/>
        <w:tab w:val="left" w:pos="3863"/>
      </w:tabs>
      <w:jc w:val="center"/>
    </w:pPr>
    <w:r w:rsidRPr="007C1E38">
      <w:rPr>
        <w:caps/>
      </w:rPr>
      <w:fldChar w:fldCharType="begin"/>
    </w:r>
    <w:r w:rsidRPr="007C1E38">
      <w:rPr>
        <w:caps/>
      </w:rPr>
      <w:instrText xml:space="preserve"> PAGE   \* MERGEFORMAT </w:instrText>
    </w:r>
    <w:r w:rsidRPr="007C1E38">
      <w:rPr>
        <w:caps/>
      </w:rPr>
      <w:fldChar w:fldCharType="separate"/>
    </w:r>
    <w:r w:rsidR="00DD6692">
      <w:rPr>
        <w:caps/>
        <w:noProof/>
      </w:rPr>
      <w:t>2</w:t>
    </w:r>
    <w:r w:rsidRPr="007C1E38">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7C8" w:rsidRDefault="009E57C8" w:rsidP="001A3E36">
      <w:r>
        <w:separator/>
      </w:r>
    </w:p>
  </w:footnote>
  <w:footnote w:type="continuationSeparator" w:id="0">
    <w:p w:rsidR="009E57C8" w:rsidRDefault="009E57C8" w:rsidP="001A3E36">
      <w:r>
        <w:continuationSeparator/>
      </w:r>
    </w:p>
  </w:footnote>
  <w:footnote w:type="continuationNotice" w:id="1">
    <w:p w:rsidR="009E57C8" w:rsidRDefault="009E57C8">
      <w:pPr>
        <w:spacing w:before="0" w:after="0" w:line="240" w:lineRule="auto"/>
      </w:pPr>
    </w:p>
  </w:footnote>
  <w:footnote w:id="2">
    <w:p w:rsidR="00BD5D67" w:rsidRDefault="00BD5D67" w:rsidP="00C56F54">
      <w:pPr>
        <w:pStyle w:val="FootnoteText"/>
      </w:pPr>
      <w:r>
        <w:rPr>
          <w:rStyle w:val="FootnoteReference"/>
        </w:rPr>
        <w:footnoteRef/>
      </w:r>
      <w:r>
        <w:t xml:space="preserve"> </w:t>
      </w:r>
      <w:r>
        <w:tab/>
        <w:t xml:space="preserve">NDIA. (2019). </w:t>
      </w:r>
      <w:r w:rsidRPr="00C56F54">
        <w:rPr>
          <w:i/>
        </w:rPr>
        <w:t>National Disability Insurance Scheme Pricing Strategy</w:t>
      </w:r>
      <w:r>
        <w:t xml:space="preserve">. </w:t>
      </w:r>
      <w:hyperlink r:id="rId1" w:history="1">
        <w:r>
          <w:rPr>
            <w:rStyle w:val="Hyperlink"/>
          </w:rPr>
          <w:t>https://www.ndis.gov.au/media/1820/download</w:t>
        </w:r>
      </w:hyperlink>
      <w:r>
        <w:t xml:space="preserve"> </w:t>
      </w:r>
    </w:p>
  </w:footnote>
  <w:footnote w:id="3">
    <w:p w:rsidR="00BD5D67" w:rsidRDefault="00BD5D67" w:rsidP="00C56F54">
      <w:pPr>
        <w:pStyle w:val="FootnoteText"/>
      </w:pPr>
      <w:r>
        <w:rPr>
          <w:rStyle w:val="FootnoteReference"/>
        </w:rPr>
        <w:footnoteRef/>
      </w:r>
      <w:r>
        <w:t xml:space="preserve"> </w:t>
      </w:r>
      <w:r>
        <w:tab/>
        <w:t xml:space="preserve">National Disability Insurance Agency. (2020). </w:t>
      </w:r>
      <w:r w:rsidRPr="00C56F54">
        <w:rPr>
          <w:i/>
        </w:rPr>
        <w:t xml:space="preserve">Report of the National Disability Insurance Scheme </w:t>
      </w:r>
      <w:r>
        <w:rPr>
          <w:i/>
        </w:rPr>
        <w:t>Annual Pricing Review 2020-21.</w:t>
      </w:r>
      <w:r>
        <w:t xml:space="preserve"> </w:t>
      </w:r>
      <w:hyperlink r:id="rId2" w:history="1">
        <w:r>
          <w:rPr>
            <w:rStyle w:val="Hyperlink"/>
          </w:rPr>
          <w:t>https://www.ndis.gov.au/media/2413/download</w:t>
        </w:r>
      </w:hyperlink>
      <w:r>
        <w:t xml:space="preserve"> </w:t>
      </w:r>
    </w:p>
  </w:footnote>
  <w:footnote w:id="4">
    <w:p w:rsidR="00BD5D67" w:rsidRDefault="00BD5D67" w:rsidP="005F077D">
      <w:pPr>
        <w:pStyle w:val="FootnoteText"/>
      </w:pPr>
      <w:r>
        <w:rPr>
          <w:rStyle w:val="FootnoteReference"/>
        </w:rPr>
        <w:footnoteRef/>
      </w:r>
      <w:r>
        <w:t xml:space="preserve"> </w:t>
      </w:r>
      <w:r>
        <w:tab/>
        <w:t>The NDIA considers that it is appropriate to estimate the cost structure of overall efficient (25</w:t>
      </w:r>
      <w:r>
        <w:rPr>
          <w:vertAlign w:val="superscript"/>
        </w:rPr>
        <w:t>th</w:t>
      </w:r>
      <w:r>
        <w:t xml:space="preserve"> percentile) providers by reference to the 25</w:t>
      </w:r>
      <w:r>
        <w:rPr>
          <w:vertAlign w:val="superscript"/>
        </w:rPr>
        <w:t>th</w:t>
      </w:r>
      <w:r>
        <w:t xml:space="preserve"> percentile of all providers’ performance against each of the key parameters because there is little collinearity observed between the parameters in the TTP Benchmarking Survey results. The determinant of the Pearson product-moment correlation coefficient matrix (see below) is 87.1%.</w:t>
      </w:r>
    </w:p>
    <w:tbl>
      <w:tblPr>
        <w:tblStyle w:val="GridTable4-Accent4"/>
        <w:tblW w:w="4170" w:type="pct"/>
        <w:jc w:val="center"/>
        <w:tblLook w:val="0420" w:firstRow="1" w:lastRow="0" w:firstColumn="0" w:lastColumn="0" w:noHBand="0" w:noVBand="1"/>
        <w:tblDescription w:val="Appropriate Estimate of Cost Structure"/>
      </w:tblPr>
      <w:tblGrid>
        <w:gridCol w:w="1080"/>
        <w:gridCol w:w="1080"/>
        <w:gridCol w:w="1132"/>
        <w:gridCol w:w="1080"/>
        <w:gridCol w:w="1328"/>
        <w:gridCol w:w="1080"/>
        <w:gridCol w:w="1080"/>
      </w:tblGrid>
      <w:tr w:rsidR="00BD5D67" w:rsidTr="004C63FA">
        <w:trPr>
          <w:cnfStyle w:val="100000000000" w:firstRow="1" w:lastRow="0" w:firstColumn="0" w:lastColumn="0" w:oddVBand="0" w:evenVBand="0" w:oddHBand="0" w:evenHBand="0" w:firstRowFirstColumn="0" w:firstRowLastColumn="0" w:lastRowFirstColumn="0" w:lastRowLastColumn="0"/>
          <w:trHeight w:val="225"/>
          <w:tblHeader/>
          <w:jc w:val="center"/>
        </w:trPr>
        <w:tc>
          <w:tcPr>
            <w:tcW w:w="1080" w:type="dxa"/>
            <w:noWrap/>
            <w:hideMark/>
          </w:tcPr>
          <w:p w:rsidR="00BD5D67" w:rsidRDefault="00BD5D67"/>
        </w:tc>
        <w:tc>
          <w:tcPr>
            <w:tcW w:w="1080" w:type="dxa"/>
            <w:vAlign w:val="center"/>
            <w:hideMark/>
          </w:tcPr>
          <w:p w:rsidR="00BD5D67" w:rsidRDefault="00BD5D67" w:rsidP="004C63FA">
            <w:pPr>
              <w:spacing w:before="0"/>
              <w:jc w:val="center"/>
              <w:rPr>
                <w:rFonts w:eastAsia="Times New Roman" w:cstheme="minorHAnsi"/>
                <w:color w:val="FFFFFF"/>
                <w:sz w:val="16"/>
                <w:szCs w:val="16"/>
                <w:lang w:val="en-US" w:eastAsia="en-AU"/>
              </w:rPr>
            </w:pPr>
            <w:r>
              <w:rPr>
                <w:rFonts w:eastAsia="Times New Roman" w:cstheme="minorHAnsi"/>
                <w:color w:val="FFFFFF"/>
                <w:sz w:val="16"/>
                <w:szCs w:val="16"/>
                <w:lang w:val="en-US" w:eastAsia="en-AU"/>
              </w:rPr>
              <w:t>A =</w:t>
            </w:r>
            <w:r>
              <w:rPr>
                <w:rFonts w:eastAsia="Times New Roman" w:cstheme="minorHAnsi"/>
                <w:color w:val="FFFFFF"/>
                <w:sz w:val="16"/>
                <w:szCs w:val="16"/>
                <w:lang w:val="en-US" w:eastAsia="en-AU"/>
              </w:rPr>
              <w:br/>
              <w:t>Permanent Share of Workforce</w:t>
            </w:r>
          </w:p>
        </w:tc>
        <w:tc>
          <w:tcPr>
            <w:tcW w:w="1080" w:type="dxa"/>
            <w:vAlign w:val="center"/>
            <w:hideMark/>
          </w:tcPr>
          <w:p w:rsidR="00BD5D67" w:rsidRDefault="00BD5D67" w:rsidP="004C63FA">
            <w:pPr>
              <w:spacing w:before="0"/>
              <w:jc w:val="center"/>
              <w:rPr>
                <w:rFonts w:eastAsia="Times New Roman" w:cstheme="minorHAnsi"/>
                <w:color w:val="FFFFFF"/>
                <w:sz w:val="16"/>
                <w:szCs w:val="16"/>
                <w:lang w:val="en-US" w:eastAsia="en-AU"/>
              </w:rPr>
            </w:pPr>
            <w:r>
              <w:rPr>
                <w:rFonts w:eastAsia="Times New Roman" w:cstheme="minorHAnsi"/>
                <w:color w:val="FFFFFF"/>
                <w:sz w:val="16"/>
                <w:szCs w:val="16"/>
                <w:lang w:val="en-US" w:eastAsia="en-AU"/>
              </w:rPr>
              <w:t>B =</w:t>
            </w:r>
          </w:p>
          <w:p w:rsidR="00BD5D67" w:rsidRDefault="00BD5D67" w:rsidP="004C63FA">
            <w:pPr>
              <w:spacing w:before="0"/>
              <w:jc w:val="center"/>
              <w:rPr>
                <w:rFonts w:eastAsia="Times New Roman" w:cstheme="minorHAnsi"/>
                <w:color w:val="FFFFFF"/>
                <w:sz w:val="16"/>
                <w:szCs w:val="16"/>
                <w:lang w:val="en-US" w:eastAsia="en-AU"/>
              </w:rPr>
            </w:pPr>
            <w:r>
              <w:rPr>
                <w:rFonts w:eastAsia="Times New Roman" w:cstheme="minorHAnsi"/>
                <w:color w:val="FFFFFF"/>
                <w:sz w:val="16"/>
                <w:szCs w:val="16"/>
                <w:lang w:val="en-US" w:eastAsia="en-AU"/>
              </w:rPr>
              <w:t>Supervision Ratio</w:t>
            </w:r>
          </w:p>
        </w:tc>
        <w:tc>
          <w:tcPr>
            <w:tcW w:w="1080" w:type="dxa"/>
            <w:vAlign w:val="center"/>
            <w:hideMark/>
          </w:tcPr>
          <w:p w:rsidR="00BD5D67" w:rsidRDefault="00BD5D67" w:rsidP="004C63FA">
            <w:pPr>
              <w:spacing w:before="0"/>
              <w:jc w:val="center"/>
              <w:rPr>
                <w:rFonts w:eastAsia="Times New Roman" w:cstheme="minorHAnsi"/>
                <w:color w:val="FFFFFF"/>
                <w:sz w:val="16"/>
                <w:szCs w:val="16"/>
                <w:lang w:val="en-US" w:eastAsia="en-AU"/>
              </w:rPr>
            </w:pPr>
            <w:r>
              <w:rPr>
                <w:rFonts w:eastAsia="Times New Roman" w:cstheme="minorHAnsi"/>
                <w:color w:val="FFFFFF"/>
                <w:sz w:val="16"/>
                <w:szCs w:val="16"/>
                <w:lang w:val="en-US" w:eastAsia="en-AU"/>
              </w:rPr>
              <w:t>C =</w:t>
            </w:r>
            <w:r>
              <w:rPr>
                <w:rFonts w:eastAsia="Times New Roman" w:cstheme="minorHAnsi"/>
                <w:color w:val="FFFFFF"/>
                <w:sz w:val="16"/>
                <w:szCs w:val="16"/>
                <w:lang w:val="en-US" w:eastAsia="en-AU"/>
              </w:rPr>
              <w:br/>
              <w:t>Non travel allowances</w:t>
            </w:r>
          </w:p>
        </w:tc>
        <w:tc>
          <w:tcPr>
            <w:tcW w:w="1080" w:type="dxa"/>
            <w:vAlign w:val="center"/>
            <w:hideMark/>
          </w:tcPr>
          <w:p w:rsidR="00BD5D67" w:rsidRDefault="00BD5D67" w:rsidP="004C63FA">
            <w:pPr>
              <w:spacing w:before="0"/>
              <w:jc w:val="center"/>
              <w:rPr>
                <w:rFonts w:eastAsia="Times New Roman" w:cstheme="minorHAnsi"/>
                <w:color w:val="FFFFFF"/>
                <w:sz w:val="16"/>
                <w:szCs w:val="16"/>
                <w:lang w:val="en-US" w:eastAsia="en-AU"/>
              </w:rPr>
            </w:pPr>
            <w:r>
              <w:rPr>
                <w:rFonts w:eastAsia="Times New Roman" w:cstheme="minorHAnsi"/>
                <w:color w:val="FFFFFF"/>
                <w:sz w:val="16"/>
                <w:szCs w:val="16"/>
                <w:lang w:val="en-US" w:eastAsia="en-AU"/>
              </w:rPr>
              <w:t>D =</w:t>
            </w:r>
            <w:r>
              <w:rPr>
                <w:rFonts w:eastAsia="Times New Roman" w:cstheme="minorHAnsi"/>
                <w:color w:val="FFFFFF"/>
                <w:sz w:val="16"/>
                <w:szCs w:val="16"/>
                <w:lang w:val="en-US" w:eastAsia="en-AU"/>
              </w:rPr>
              <w:br/>
              <w:t>Workers Compensation Premium</w:t>
            </w:r>
          </w:p>
        </w:tc>
        <w:tc>
          <w:tcPr>
            <w:tcW w:w="1080" w:type="dxa"/>
            <w:vAlign w:val="center"/>
            <w:hideMark/>
          </w:tcPr>
          <w:p w:rsidR="00BD5D67" w:rsidRDefault="00BD5D67" w:rsidP="004C63FA">
            <w:pPr>
              <w:spacing w:before="0"/>
              <w:jc w:val="center"/>
              <w:rPr>
                <w:rFonts w:eastAsia="Times New Roman" w:cstheme="minorHAnsi"/>
                <w:color w:val="FFFFFF"/>
                <w:sz w:val="16"/>
                <w:szCs w:val="16"/>
                <w:lang w:val="en-US" w:eastAsia="en-AU"/>
              </w:rPr>
            </w:pPr>
            <w:r>
              <w:rPr>
                <w:rFonts w:eastAsia="Times New Roman" w:cstheme="minorHAnsi"/>
                <w:color w:val="FFFFFF"/>
                <w:sz w:val="16"/>
                <w:szCs w:val="16"/>
                <w:lang w:val="en-US" w:eastAsia="en-AU"/>
              </w:rPr>
              <w:t>E =</w:t>
            </w:r>
          </w:p>
          <w:p w:rsidR="00BD5D67" w:rsidRDefault="00BD5D67" w:rsidP="004C63FA">
            <w:pPr>
              <w:spacing w:before="0"/>
              <w:jc w:val="center"/>
              <w:rPr>
                <w:rFonts w:eastAsia="Times New Roman" w:cstheme="minorHAnsi"/>
                <w:color w:val="FFFFFF"/>
                <w:sz w:val="16"/>
                <w:szCs w:val="16"/>
                <w:lang w:val="en-US" w:eastAsia="en-AU"/>
              </w:rPr>
            </w:pPr>
            <w:r>
              <w:rPr>
                <w:rFonts w:eastAsia="Times New Roman" w:cstheme="minorHAnsi"/>
                <w:color w:val="FFFFFF"/>
                <w:sz w:val="16"/>
                <w:szCs w:val="16"/>
                <w:lang w:val="en-US" w:eastAsia="en-AU"/>
              </w:rPr>
              <w:t>Utilisation percentage</w:t>
            </w:r>
          </w:p>
        </w:tc>
        <w:tc>
          <w:tcPr>
            <w:tcW w:w="1080" w:type="dxa"/>
            <w:vAlign w:val="center"/>
            <w:hideMark/>
          </w:tcPr>
          <w:p w:rsidR="00BD5D67" w:rsidRDefault="00BD5D67" w:rsidP="004C63FA">
            <w:pPr>
              <w:spacing w:before="0"/>
              <w:jc w:val="center"/>
              <w:rPr>
                <w:rFonts w:eastAsia="Times New Roman" w:cstheme="minorHAnsi"/>
                <w:color w:val="FFFFFF"/>
                <w:sz w:val="16"/>
                <w:szCs w:val="16"/>
                <w:lang w:val="en-US" w:eastAsia="en-AU"/>
              </w:rPr>
            </w:pPr>
            <w:r>
              <w:rPr>
                <w:rFonts w:eastAsia="Times New Roman" w:cstheme="minorHAnsi"/>
                <w:color w:val="FFFFFF"/>
                <w:sz w:val="16"/>
                <w:szCs w:val="16"/>
                <w:lang w:val="en-US" w:eastAsia="en-AU"/>
              </w:rPr>
              <w:t>F =</w:t>
            </w:r>
          </w:p>
          <w:p w:rsidR="00BD5D67" w:rsidRDefault="00BD5D67" w:rsidP="004C63FA">
            <w:pPr>
              <w:spacing w:before="0"/>
              <w:jc w:val="center"/>
              <w:rPr>
                <w:rFonts w:eastAsia="Times New Roman" w:cstheme="minorHAnsi"/>
                <w:color w:val="FFFFFF"/>
                <w:sz w:val="16"/>
                <w:szCs w:val="16"/>
                <w:lang w:val="en-US" w:eastAsia="en-AU"/>
              </w:rPr>
            </w:pPr>
            <w:r>
              <w:rPr>
                <w:rFonts w:eastAsia="Times New Roman" w:cstheme="minorHAnsi"/>
                <w:color w:val="FFFFFF"/>
                <w:sz w:val="16"/>
                <w:szCs w:val="16"/>
                <w:lang w:val="en-US" w:eastAsia="en-AU"/>
              </w:rPr>
              <w:t>Overheads percentage</w:t>
            </w:r>
          </w:p>
        </w:tc>
      </w:tr>
      <w:tr w:rsidR="00BD5D67">
        <w:trPr>
          <w:cnfStyle w:val="000000100000" w:firstRow="0" w:lastRow="0" w:firstColumn="0" w:lastColumn="0" w:oddVBand="0" w:evenVBand="0" w:oddHBand="1" w:evenHBand="0" w:firstRowFirstColumn="0" w:firstRowLastColumn="0" w:lastRowFirstColumn="0" w:lastRowLastColumn="0"/>
          <w:trHeight w:val="225"/>
          <w:jc w:val="center"/>
        </w:trPr>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hideMark/>
          </w:tcPr>
          <w:p w:rsidR="00BD5D67" w:rsidRDefault="00BD5D67">
            <w:pPr>
              <w:spacing w:before="0"/>
              <w:rPr>
                <w:rFonts w:eastAsia="Times New Roman" w:cstheme="minorHAnsi"/>
                <w:sz w:val="16"/>
                <w:szCs w:val="16"/>
                <w:lang w:val="en-US" w:eastAsia="en-AU"/>
              </w:rPr>
            </w:pPr>
            <w:r>
              <w:rPr>
                <w:rFonts w:eastAsia="Times New Roman" w:cstheme="minorHAnsi"/>
                <w:sz w:val="16"/>
                <w:szCs w:val="16"/>
                <w:lang w:val="en-US" w:eastAsia="en-AU"/>
              </w:rPr>
              <w:t>A</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BD5D67" w:rsidRDefault="00BD5D67">
            <w:pPr>
              <w:spacing w:before="0"/>
              <w:jc w:val="center"/>
              <w:rPr>
                <w:rFonts w:eastAsia="Times New Roman" w:cstheme="minorHAnsi"/>
                <w:sz w:val="16"/>
                <w:szCs w:val="16"/>
                <w:lang w:val="en-US" w:eastAsia="en-AU"/>
              </w:rPr>
            </w:pPr>
            <w:r>
              <w:rPr>
                <w:rFonts w:eastAsia="Times New Roman" w:cstheme="minorHAnsi"/>
                <w:sz w:val="16"/>
                <w:szCs w:val="16"/>
                <w:lang w:val="en-US" w:eastAsia="en-AU"/>
              </w:rPr>
              <w:t>1.00</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BD5D67" w:rsidRDefault="00BD5D67">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-0.09</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BD5D67" w:rsidRDefault="00BD5D67">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-0.13</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BD5D67" w:rsidRDefault="00BD5D67">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0.06</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BD5D67" w:rsidRDefault="00BD5D67">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-0.04</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BD5D67" w:rsidRDefault="00BD5D67">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0.08</w:t>
            </w:r>
          </w:p>
        </w:tc>
      </w:tr>
      <w:tr w:rsidR="00BD5D67">
        <w:trPr>
          <w:trHeight w:val="225"/>
          <w:jc w:val="center"/>
        </w:trPr>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hideMark/>
          </w:tcPr>
          <w:p w:rsidR="00BD5D67" w:rsidRDefault="00BD5D67">
            <w:pPr>
              <w:spacing w:before="0"/>
              <w:rPr>
                <w:rFonts w:eastAsia="Times New Roman" w:cstheme="minorHAnsi"/>
                <w:sz w:val="16"/>
                <w:szCs w:val="16"/>
                <w:lang w:val="en-US" w:eastAsia="en-AU"/>
              </w:rPr>
            </w:pPr>
            <w:r>
              <w:rPr>
                <w:rFonts w:eastAsia="Times New Roman" w:cstheme="minorHAnsi"/>
                <w:sz w:val="16"/>
                <w:szCs w:val="16"/>
                <w:lang w:val="en-US" w:eastAsia="en-AU"/>
              </w:rPr>
              <w:t>B</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BD5D67" w:rsidRDefault="00BD5D67">
            <w:pPr>
              <w:spacing w:before="0"/>
              <w:jc w:val="center"/>
              <w:rPr>
                <w:rFonts w:eastAsia="Times New Roman" w:cstheme="minorHAnsi"/>
                <w:sz w:val="16"/>
                <w:szCs w:val="16"/>
                <w:lang w:val="en-US" w:eastAsia="en-AU"/>
              </w:rPr>
            </w:pPr>
            <w:r>
              <w:rPr>
                <w:rFonts w:eastAsia="Times New Roman" w:cstheme="minorHAnsi"/>
                <w:sz w:val="16"/>
                <w:szCs w:val="16"/>
                <w:lang w:val="en-US" w:eastAsia="en-AU"/>
              </w:rPr>
              <w:t>-0.09</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BD5D67" w:rsidRDefault="00BD5D67">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1.00</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BD5D67" w:rsidRDefault="00BD5D67">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-0.07</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BD5D67" w:rsidRDefault="00BD5D67">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0.00</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BD5D67" w:rsidRDefault="00BD5D67">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0.19</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BD5D67" w:rsidRDefault="00BD5D67">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0.08</w:t>
            </w:r>
          </w:p>
        </w:tc>
      </w:tr>
      <w:tr w:rsidR="00BD5D67">
        <w:trPr>
          <w:cnfStyle w:val="000000100000" w:firstRow="0" w:lastRow="0" w:firstColumn="0" w:lastColumn="0" w:oddVBand="0" w:evenVBand="0" w:oddHBand="1" w:evenHBand="0" w:firstRowFirstColumn="0" w:firstRowLastColumn="0" w:lastRowFirstColumn="0" w:lastRowLastColumn="0"/>
          <w:trHeight w:val="225"/>
          <w:jc w:val="center"/>
        </w:trPr>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hideMark/>
          </w:tcPr>
          <w:p w:rsidR="00BD5D67" w:rsidRDefault="00BD5D67">
            <w:pPr>
              <w:spacing w:before="0"/>
              <w:rPr>
                <w:rFonts w:eastAsia="Times New Roman" w:cstheme="minorHAnsi"/>
                <w:sz w:val="16"/>
                <w:szCs w:val="16"/>
                <w:lang w:val="en-US" w:eastAsia="en-AU"/>
              </w:rPr>
            </w:pPr>
            <w:r>
              <w:rPr>
                <w:rFonts w:eastAsia="Times New Roman" w:cstheme="minorHAnsi"/>
                <w:sz w:val="16"/>
                <w:szCs w:val="16"/>
                <w:lang w:val="en-US" w:eastAsia="en-AU"/>
              </w:rPr>
              <w:t>C</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BD5D67" w:rsidRDefault="00BD5D67">
            <w:pPr>
              <w:spacing w:before="0"/>
              <w:jc w:val="center"/>
              <w:rPr>
                <w:rFonts w:eastAsia="Times New Roman" w:cstheme="minorHAnsi"/>
                <w:sz w:val="16"/>
                <w:szCs w:val="16"/>
                <w:lang w:val="en-US" w:eastAsia="en-AU"/>
              </w:rPr>
            </w:pPr>
            <w:r>
              <w:rPr>
                <w:rFonts w:eastAsia="Times New Roman" w:cstheme="minorHAnsi"/>
                <w:sz w:val="16"/>
                <w:szCs w:val="16"/>
                <w:lang w:val="en-US" w:eastAsia="en-AU"/>
              </w:rPr>
              <w:t>-0.13</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BD5D67" w:rsidRDefault="00BD5D67">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-0.07</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BD5D67" w:rsidRDefault="00BD5D67">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1.00</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BD5D67" w:rsidRDefault="00BD5D67">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-0.02</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BD5D67" w:rsidRDefault="00BD5D67">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-0.14</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BD5D67" w:rsidRDefault="00BD5D67">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-0.18</w:t>
            </w:r>
          </w:p>
        </w:tc>
      </w:tr>
      <w:tr w:rsidR="00BD5D67">
        <w:trPr>
          <w:trHeight w:val="225"/>
          <w:jc w:val="center"/>
        </w:trPr>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hideMark/>
          </w:tcPr>
          <w:p w:rsidR="00BD5D67" w:rsidRDefault="00BD5D67">
            <w:pPr>
              <w:spacing w:before="0"/>
              <w:rPr>
                <w:rFonts w:eastAsia="Times New Roman" w:cstheme="minorHAnsi"/>
                <w:sz w:val="16"/>
                <w:szCs w:val="16"/>
                <w:lang w:val="en-US" w:eastAsia="en-AU"/>
              </w:rPr>
            </w:pPr>
            <w:r>
              <w:rPr>
                <w:rFonts w:eastAsia="Times New Roman" w:cstheme="minorHAnsi"/>
                <w:sz w:val="16"/>
                <w:szCs w:val="16"/>
                <w:lang w:val="en-US" w:eastAsia="en-AU"/>
              </w:rPr>
              <w:t>D</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BD5D67" w:rsidRDefault="00BD5D67">
            <w:pPr>
              <w:spacing w:before="0"/>
              <w:jc w:val="center"/>
              <w:rPr>
                <w:rFonts w:eastAsia="Times New Roman" w:cstheme="minorHAnsi"/>
                <w:sz w:val="16"/>
                <w:szCs w:val="16"/>
                <w:lang w:val="en-US" w:eastAsia="en-AU"/>
              </w:rPr>
            </w:pPr>
            <w:r>
              <w:rPr>
                <w:rFonts w:eastAsia="Times New Roman" w:cstheme="minorHAnsi"/>
                <w:sz w:val="16"/>
                <w:szCs w:val="16"/>
                <w:lang w:val="en-US" w:eastAsia="en-AU"/>
              </w:rPr>
              <w:t>0.06</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BD5D67" w:rsidRDefault="00BD5D67">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0.00</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BD5D67" w:rsidRDefault="00BD5D67">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-0.02</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BD5D67" w:rsidRDefault="00BD5D67">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1.00</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BD5D67" w:rsidRDefault="00BD5D67">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-0.02</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BD5D67" w:rsidRDefault="00BD5D67">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0.02</w:t>
            </w:r>
          </w:p>
        </w:tc>
      </w:tr>
      <w:tr w:rsidR="00BD5D67">
        <w:trPr>
          <w:cnfStyle w:val="000000100000" w:firstRow="0" w:lastRow="0" w:firstColumn="0" w:lastColumn="0" w:oddVBand="0" w:evenVBand="0" w:oddHBand="1" w:evenHBand="0" w:firstRowFirstColumn="0" w:firstRowLastColumn="0" w:lastRowFirstColumn="0" w:lastRowLastColumn="0"/>
          <w:trHeight w:val="225"/>
          <w:jc w:val="center"/>
        </w:trPr>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hideMark/>
          </w:tcPr>
          <w:p w:rsidR="00BD5D67" w:rsidRDefault="00BD5D67">
            <w:pPr>
              <w:spacing w:before="0"/>
              <w:rPr>
                <w:rFonts w:eastAsia="Times New Roman" w:cstheme="minorHAnsi"/>
                <w:sz w:val="16"/>
                <w:szCs w:val="16"/>
                <w:lang w:val="en-US" w:eastAsia="en-AU"/>
              </w:rPr>
            </w:pPr>
            <w:r>
              <w:rPr>
                <w:rFonts w:eastAsia="Times New Roman" w:cstheme="minorHAnsi"/>
                <w:sz w:val="16"/>
                <w:szCs w:val="16"/>
                <w:lang w:val="en-US" w:eastAsia="en-AU"/>
              </w:rPr>
              <w:t>E</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BD5D67" w:rsidRDefault="00BD5D67">
            <w:pPr>
              <w:spacing w:before="0"/>
              <w:jc w:val="center"/>
              <w:rPr>
                <w:rFonts w:eastAsia="Times New Roman" w:cstheme="minorHAnsi"/>
                <w:sz w:val="16"/>
                <w:szCs w:val="16"/>
                <w:lang w:val="en-US" w:eastAsia="en-AU"/>
              </w:rPr>
            </w:pPr>
            <w:r>
              <w:rPr>
                <w:rFonts w:eastAsia="Times New Roman" w:cstheme="minorHAnsi"/>
                <w:sz w:val="16"/>
                <w:szCs w:val="16"/>
                <w:lang w:val="en-US" w:eastAsia="en-AU"/>
              </w:rPr>
              <w:t>-0.04</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BD5D67" w:rsidRDefault="00BD5D67">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0.19</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BD5D67" w:rsidRDefault="00BD5D67">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-0.14</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BD5D67" w:rsidRDefault="00BD5D67">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-0.02</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BD5D67" w:rsidRDefault="00BD5D67">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1.00</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BD5D67" w:rsidRDefault="00BD5D67">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0.09</w:t>
            </w:r>
          </w:p>
        </w:tc>
      </w:tr>
      <w:tr w:rsidR="00BD5D67">
        <w:trPr>
          <w:trHeight w:val="225"/>
          <w:jc w:val="center"/>
        </w:trPr>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hideMark/>
          </w:tcPr>
          <w:p w:rsidR="00BD5D67" w:rsidRDefault="00BD5D67">
            <w:pPr>
              <w:spacing w:before="0"/>
              <w:rPr>
                <w:rFonts w:eastAsia="Times New Roman" w:cstheme="minorHAnsi"/>
                <w:sz w:val="16"/>
                <w:szCs w:val="16"/>
                <w:lang w:val="en-US" w:eastAsia="en-AU"/>
              </w:rPr>
            </w:pPr>
            <w:r>
              <w:rPr>
                <w:rFonts w:eastAsia="Times New Roman" w:cstheme="minorHAnsi"/>
                <w:sz w:val="16"/>
                <w:szCs w:val="16"/>
                <w:lang w:val="en-US" w:eastAsia="en-AU"/>
              </w:rPr>
              <w:t>F</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BD5D67" w:rsidRDefault="00BD5D67">
            <w:pPr>
              <w:spacing w:before="0"/>
              <w:jc w:val="center"/>
              <w:rPr>
                <w:rFonts w:eastAsia="Times New Roman" w:cstheme="minorHAnsi"/>
                <w:sz w:val="16"/>
                <w:szCs w:val="16"/>
                <w:lang w:val="en-US" w:eastAsia="en-AU"/>
              </w:rPr>
            </w:pPr>
            <w:r>
              <w:rPr>
                <w:rFonts w:eastAsia="Times New Roman" w:cstheme="minorHAnsi"/>
                <w:sz w:val="16"/>
                <w:szCs w:val="16"/>
                <w:lang w:val="en-US" w:eastAsia="en-AU"/>
              </w:rPr>
              <w:t>0.08</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BD5D67" w:rsidRDefault="00BD5D67">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0.08</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BD5D67" w:rsidRDefault="00BD5D67">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-0.18</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BD5D67" w:rsidRDefault="00BD5D67">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0.02</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BD5D67" w:rsidRDefault="00BD5D67">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0.09</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rsidR="00BD5D67" w:rsidRDefault="00BD5D67">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1.00</w:t>
            </w:r>
          </w:p>
        </w:tc>
      </w:tr>
    </w:tbl>
    <w:p w:rsidR="00BD5D67" w:rsidRDefault="00BD5D67" w:rsidP="005F077D">
      <w:pPr>
        <w:pStyle w:val="FootnoteText"/>
      </w:pPr>
      <w:r>
        <w:tab/>
        <w:t xml:space="preserve">See p.58 of the </w:t>
      </w:r>
      <w:r>
        <w:rPr>
          <w:i/>
        </w:rPr>
        <w:t>Annual Pricing Review 2020-21</w:t>
      </w:r>
      <w:r>
        <w:t>.</w:t>
      </w:r>
    </w:p>
  </w:footnote>
  <w:footnote w:id="5">
    <w:p w:rsidR="00BD5D67" w:rsidRPr="000D0E60" w:rsidRDefault="00BD5D67" w:rsidP="007075DE">
      <w:pPr>
        <w:pStyle w:val="FootnoteText"/>
      </w:pPr>
      <w:r>
        <w:rPr>
          <w:rStyle w:val="FootnoteReference"/>
        </w:rPr>
        <w:footnoteRef/>
      </w:r>
      <w:r>
        <w:t xml:space="preserve"> </w:t>
      </w:r>
      <w:r>
        <w:tab/>
        <w:t>Fair Work Commission.</w:t>
      </w:r>
      <w:r w:rsidRPr="000D0E60">
        <w:t xml:space="preserve"> </w:t>
      </w:r>
      <w:hyperlink r:id="rId3" w:history="1">
        <w:r w:rsidRPr="000D0E60">
          <w:rPr>
            <w:rStyle w:val="Hyperlink"/>
            <w:i/>
          </w:rPr>
          <w:t>Social, Community, Home Care and Disability Services Industry Award 2010</w:t>
        </w:r>
        <w:r w:rsidRPr="000D0E60">
          <w:rPr>
            <w:rStyle w:val="Hyperlink"/>
          </w:rPr>
          <w:t>,</w:t>
        </w:r>
      </w:hyperlink>
      <w:r w:rsidRPr="000D0E60">
        <w:t xml:space="preserve"> incorporating all amendments up to and including 30 June 2021.</w:t>
      </w:r>
    </w:p>
    <w:p w:rsidR="00BD5D67" w:rsidRDefault="00BD5D67" w:rsidP="000D0E60">
      <w:pPr>
        <w:pStyle w:val="FootnoteText"/>
      </w:pPr>
      <w:r w:rsidRPr="000D0E60">
        <w:tab/>
        <w:t>F</w:t>
      </w:r>
      <w:r>
        <w:t>air Work Commission.</w:t>
      </w:r>
      <w:r w:rsidRPr="000D0E60">
        <w:t xml:space="preserve"> </w:t>
      </w:r>
      <w:hyperlink r:id="rId4" w:history="1">
        <w:r w:rsidRPr="000D0E60">
          <w:rPr>
            <w:rStyle w:val="Hyperlink"/>
            <w:i/>
          </w:rPr>
          <w:t>Equal Remuneration Order 2010</w:t>
        </w:r>
      </w:hyperlink>
      <w:r w:rsidRPr="000D0E60">
        <w:t>, (C2010/3131)</w:t>
      </w:r>
      <w:r>
        <w:t>.</w:t>
      </w:r>
    </w:p>
  </w:footnote>
  <w:footnote w:id="6">
    <w:p w:rsidR="00BD5D67" w:rsidRDefault="00BD5D67" w:rsidP="004C63FA">
      <w:pPr>
        <w:pStyle w:val="FootnoteText"/>
      </w:pPr>
      <w:r>
        <w:rPr>
          <w:rStyle w:val="FootnoteReference"/>
        </w:rPr>
        <w:footnoteRef/>
      </w:r>
      <w:r>
        <w:t xml:space="preserve"> </w:t>
      </w:r>
      <w:r>
        <w:tab/>
        <w:t>Calculated as 1/38</w:t>
      </w:r>
      <w:r w:rsidRPr="004C63FA">
        <w:rPr>
          <w:vertAlign w:val="superscript"/>
        </w:rPr>
        <w:t>th</w:t>
      </w:r>
      <w:r>
        <w:t xml:space="preserve"> of the relevant ERO adjusted minimum wage.</w:t>
      </w:r>
    </w:p>
  </w:footnote>
  <w:footnote w:id="7">
    <w:p w:rsidR="00BD5D67" w:rsidRDefault="00BD5D67">
      <w:pPr>
        <w:pStyle w:val="FootnoteText"/>
      </w:pPr>
      <w:r>
        <w:rPr>
          <w:rStyle w:val="FootnoteReference"/>
        </w:rPr>
        <w:footnoteRef/>
      </w:r>
      <w:r>
        <w:t xml:space="preserve"> </w:t>
      </w:r>
      <w:r>
        <w:tab/>
        <w:t xml:space="preserve">SCHADS Award: Clauses 10.4(b), 26 and 29.3. </w:t>
      </w:r>
    </w:p>
  </w:footnote>
  <w:footnote w:id="8">
    <w:p w:rsidR="00BD5D67" w:rsidRDefault="00BD5D67">
      <w:pPr>
        <w:pStyle w:val="FootnoteText"/>
      </w:pPr>
      <w:r>
        <w:rPr>
          <w:rStyle w:val="FootnoteReference"/>
        </w:rPr>
        <w:footnoteRef/>
      </w:r>
      <w:r>
        <w:t xml:space="preserve"> </w:t>
      </w:r>
      <w:r>
        <w:tab/>
        <w:t>SCHADS Award: Clause 25.1.</w:t>
      </w:r>
    </w:p>
  </w:footnote>
  <w:footnote w:id="9">
    <w:p w:rsidR="00BD5D67" w:rsidRDefault="00BD5D67" w:rsidP="0014173A">
      <w:pPr>
        <w:pStyle w:val="FootnoteText"/>
      </w:pPr>
      <w:r>
        <w:rPr>
          <w:rStyle w:val="FootnoteReference"/>
        </w:rPr>
        <w:footnoteRef/>
      </w:r>
      <w:r>
        <w:t xml:space="preserve"> </w:t>
      </w:r>
      <w:r>
        <w:tab/>
        <w:t xml:space="preserve">The National Employment Standards govern leave and several other conditions in Awards, and also may not be reduced by EBAs. </w:t>
      </w:r>
      <w:hyperlink r:id="rId5" w:history="1">
        <w:r w:rsidRPr="00E419AE">
          <w:rPr>
            <w:rStyle w:val="Hyperlink"/>
          </w:rPr>
          <w:t>https://www.fairwork.gov.au/employee-entitlements/national-employment-standards</w:t>
        </w:r>
      </w:hyperlink>
      <w:r>
        <w:t xml:space="preserve"> </w:t>
      </w:r>
    </w:p>
  </w:footnote>
  <w:footnote w:id="10">
    <w:p w:rsidR="00BD5D67" w:rsidRPr="00B37370" w:rsidRDefault="00BD5D67" w:rsidP="00AF55F4">
      <w:pPr>
        <w:pStyle w:val="FootnoteText"/>
      </w:pPr>
      <w:r>
        <w:rPr>
          <w:rStyle w:val="FootnoteReference"/>
        </w:rPr>
        <w:footnoteRef/>
      </w:r>
      <w:r>
        <w:t xml:space="preserve"> </w:t>
      </w:r>
      <w:r>
        <w:tab/>
      </w:r>
      <w:hyperlink r:id="rId6" w:history="1">
        <w:r w:rsidRPr="00E419AE">
          <w:rPr>
            <w:rStyle w:val="Hyperlink"/>
          </w:rPr>
          <w:t>https://www.fairwork.gov.au/leave/annual-leave</w:t>
        </w:r>
      </w:hyperlink>
    </w:p>
  </w:footnote>
  <w:footnote w:id="11">
    <w:p w:rsidR="00BD5D67" w:rsidRDefault="00BD5D67" w:rsidP="00FF51FC">
      <w:pPr>
        <w:pStyle w:val="FootnoteText"/>
      </w:pPr>
      <w:r>
        <w:rPr>
          <w:rStyle w:val="FootnoteReference"/>
        </w:rPr>
        <w:footnoteRef/>
      </w:r>
      <w:r>
        <w:t xml:space="preserve"> </w:t>
      </w:r>
      <w:r>
        <w:tab/>
      </w:r>
      <w:hyperlink r:id="rId7" w:history="1">
        <w:r w:rsidRPr="00E419AE">
          <w:rPr>
            <w:rStyle w:val="Hyperlink"/>
          </w:rPr>
          <w:t>https://www.fairwork.gov.au/leave/public-holidays</w:t>
        </w:r>
      </w:hyperlink>
      <w:r>
        <w:t xml:space="preserve"> </w:t>
      </w:r>
    </w:p>
    <w:p w:rsidR="00BD5D67" w:rsidRDefault="00BD5D67" w:rsidP="006B0D9B">
      <w:pPr>
        <w:pStyle w:val="FootnoteText"/>
        <w:ind w:firstLine="0"/>
      </w:pPr>
      <w:r>
        <w:t>Note: The Agency recognises that there are more than 10 public holidays in each year, and that the number of public holidays varies by jurisdiction. However, some public holidays occur on weekends and it is unlikely that any worker in their ordinary working hours would be rostered to have worked on more than 10 public holidays. This is the appropriate number for the Cost Model to use to calculate the accrual cost of the leave, rather than the payment rate for public holidays.</w:t>
      </w:r>
    </w:p>
  </w:footnote>
  <w:footnote w:id="12">
    <w:p w:rsidR="00BD5D67" w:rsidRDefault="00BD5D67" w:rsidP="00FF51FC">
      <w:pPr>
        <w:pStyle w:val="FootnoteText"/>
      </w:pPr>
      <w:r>
        <w:rPr>
          <w:rStyle w:val="FootnoteReference"/>
        </w:rPr>
        <w:footnoteRef/>
      </w:r>
      <w:r>
        <w:t xml:space="preserve"> </w:t>
      </w:r>
      <w:r>
        <w:tab/>
      </w:r>
      <w:hyperlink r:id="rId8" w:history="1">
        <w:r w:rsidRPr="00D842C6">
          <w:rPr>
            <w:rStyle w:val="Hyperlink"/>
          </w:rPr>
          <w:t>https://www.fairwork.gov.au/leave/sick-and-carers-leave/paid-sick-and-carers-leave</w:t>
        </w:r>
      </w:hyperlink>
      <w:r>
        <w:t xml:space="preserve"> </w:t>
      </w:r>
    </w:p>
    <w:p w:rsidR="00BD5D67" w:rsidRPr="00AF55F4" w:rsidRDefault="00BD5D67" w:rsidP="006B0D9B">
      <w:pPr>
        <w:pStyle w:val="FootnoteText"/>
        <w:ind w:firstLine="0"/>
        <w:rPr>
          <w:color w:val="0000FF" w:themeColor="hyperlink"/>
          <w:u w:val="single"/>
        </w:rPr>
      </w:pPr>
      <w:r>
        <w:t xml:space="preserve">Note: The Cost Model slightly overestimates provider’s cost with respect to this parameter as it assumes all workers utilise all of their personal leave entitlement each year even though some workers may not use their entitlement. </w:t>
      </w:r>
    </w:p>
  </w:footnote>
  <w:footnote w:id="13">
    <w:p w:rsidR="00BD5D67" w:rsidRDefault="00BD5D67">
      <w:pPr>
        <w:pStyle w:val="FootnoteText"/>
      </w:pPr>
      <w:r>
        <w:rPr>
          <w:rStyle w:val="FootnoteReference"/>
        </w:rPr>
        <w:footnoteRef/>
      </w:r>
      <w:r>
        <w:t xml:space="preserve"> </w:t>
      </w:r>
      <w:r>
        <w:tab/>
      </w:r>
      <w:hyperlink r:id="rId9" w:history="1">
        <w:r w:rsidRPr="00E419AE">
          <w:rPr>
            <w:rStyle w:val="Hyperlink"/>
          </w:rPr>
          <w:t>https://www.fairwork.gov.au/leave/long-service-leave</w:t>
        </w:r>
      </w:hyperlink>
      <w:r>
        <w:t xml:space="preserve"> </w:t>
      </w:r>
    </w:p>
    <w:p w:rsidR="00BD5D67" w:rsidRDefault="00BD5D67" w:rsidP="006B0D9B">
      <w:pPr>
        <w:pStyle w:val="FootnoteText"/>
        <w:ind w:firstLine="0"/>
      </w:pPr>
      <w:r>
        <w:t>Note: The Cost Model overestimates provider’s cost with respect to this parameter as it assumes all permanent workers and casual workers qualify for LSL accruals and that all workers will eventually access their long service leave entitlemen</w:t>
      </w:r>
      <w:r w:rsidRPr="008802C0">
        <w:t>t</w:t>
      </w:r>
      <w:r>
        <w:t>. This reflects the rollout of portable long service leave schemes in some jurisdictions.</w:t>
      </w:r>
    </w:p>
  </w:footnote>
  <w:footnote w:id="14">
    <w:p w:rsidR="00BD5D67" w:rsidRDefault="00BD5D67" w:rsidP="0036394E">
      <w:pPr>
        <w:pStyle w:val="FootnoteText"/>
      </w:pPr>
      <w:r>
        <w:rPr>
          <w:rStyle w:val="FootnoteReference"/>
        </w:rPr>
        <w:footnoteRef/>
      </w:r>
      <w:r>
        <w:t xml:space="preserve"> </w:t>
      </w:r>
      <w:r>
        <w:tab/>
        <w:t>SCHADS Award: Clause 31.3</w:t>
      </w:r>
    </w:p>
  </w:footnote>
  <w:footnote w:id="15">
    <w:p w:rsidR="00BD5D67" w:rsidRDefault="00BD5D67">
      <w:pPr>
        <w:pStyle w:val="FootnoteText"/>
      </w:pPr>
      <w:r>
        <w:rPr>
          <w:rStyle w:val="FootnoteReference"/>
        </w:rPr>
        <w:footnoteRef/>
      </w:r>
      <w:r>
        <w:t xml:space="preserve"> </w:t>
      </w:r>
      <w:r>
        <w:tab/>
      </w:r>
      <w:hyperlink r:id="rId10" w:history="1">
        <w:r w:rsidRPr="000F6F17">
          <w:rPr>
            <w:rStyle w:val="Hyperlink"/>
          </w:rPr>
          <w:t>https://www.ato.gov.au/Business/Super-for-employers/How-much-to-pay/</w:t>
        </w:r>
      </w:hyperlink>
      <w:r>
        <w:t xml:space="preserve"> </w:t>
      </w:r>
    </w:p>
  </w:footnote>
  <w:footnote w:id="16">
    <w:p w:rsidR="00BD5D67" w:rsidRPr="005F077D" w:rsidRDefault="00BD5D67">
      <w:pPr>
        <w:pStyle w:val="FootnoteText"/>
      </w:pPr>
      <w:r w:rsidRPr="005F077D">
        <w:rPr>
          <w:rStyle w:val="FootnoteReference"/>
        </w:rPr>
        <w:footnoteRef/>
      </w:r>
      <w:r w:rsidRPr="005F077D">
        <w:t xml:space="preserve"> </w:t>
      </w:r>
      <w:r w:rsidRPr="005F077D">
        <w:tab/>
        <w:t xml:space="preserve">The </w:t>
      </w:r>
      <w:r w:rsidRPr="005F077D">
        <w:rPr>
          <w:i/>
        </w:rPr>
        <w:t>Annual Pricing Review 2020-21</w:t>
      </w:r>
      <w:r w:rsidRPr="005F077D">
        <w:t xml:space="preserve"> (page 54) found that, averaged over 2010-11 to 2014-15, the standardised Australian average workers compensation premium rate was 1.5% for all industries and 1.7% for the Health and Community Services sector. The Benchmarking Study undertaken as part of the Annual Pricing Review 2020-21 found that the average workers compensation premium among respondents in the disability sector was 2.6%, with a median of 2.3% and a 25</w:t>
      </w:r>
      <w:r w:rsidRPr="005F077D">
        <w:rPr>
          <w:vertAlign w:val="superscript"/>
        </w:rPr>
        <w:t>th</w:t>
      </w:r>
      <w:r w:rsidRPr="005F077D">
        <w:t xml:space="preserve"> percentile of 1.7%. In line with the </w:t>
      </w:r>
      <w:r w:rsidRPr="005F077D">
        <w:rPr>
          <w:i/>
        </w:rPr>
        <w:t>NDIS Pricing Strategy</w:t>
      </w:r>
      <w:r w:rsidRPr="005F077D">
        <w:t>, this Cost Model parameter has been set at the level achieved by efficient (25</w:t>
      </w:r>
      <w:r w:rsidRPr="005F077D">
        <w:rPr>
          <w:vertAlign w:val="superscript"/>
        </w:rPr>
        <w:t>th</w:t>
      </w:r>
      <w:r w:rsidRPr="005F077D">
        <w:t xml:space="preserve"> percentile) providers.</w:t>
      </w:r>
    </w:p>
  </w:footnote>
  <w:footnote w:id="17">
    <w:p w:rsidR="00BD5D67" w:rsidRPr="005F077D" w:rsidRDefault="00BD5D67" w:rsidP="009C2D82">
      <w:pPr>
        <w:pStyle w:val="FootnoteText"/>
      </w:pPr>
      <w:r w:rsidRPr="005F077D">
        <w:rPr>
          <w:rStyle w:val="FootnoteReference"/>
        </w:rPr>
        <w:footnoteRef/>
      </w:r>
      <w:r w:rsidRPr="005F077D">
        <w:t xml:space="preserve"> </w:t>
      </w:r>
      <w:r w:rsidRPr="005F077D">
        <w:tab/>
        <w:t xml:space="preserve">The </w:t>
      </w:r>
      <w:r w:rsidRPr="005F077D">
        <w:rPr>
          <w:i/>
        </w:rPr>
        <w:t>Annual Pricing Review 2020-21</w:t>
      </w:r>
      <w:r w:rsidRPr="005F077D">
        <w:t xml:space="preserve"> (page 57) found that allowances in the sector were typically in the order of 1.0% of the base salary payable to the worker.</w:t>
      </w:r>
    </w:p>
  </w:footnote>
  <w:footnote w:id="18">
    <w:p w:rsidR="00BD5D67" w:rsidRDefault="00BD5D67" w:rsidP="00711713">
      <w:pPr>
        <w:pStyle w:val="FootnoteText"/>
      </w:pPr>
      <w:r w:rsidRPr="005F077D">
        <w:rPr>
          <w:rStyle w:val="FootnoteReference"/>
        </w:rPr>
        <w:footnoteRef/>
      </w:r>
      <w:r w:rsidRPr="005F077D">
        <w:t xml:space="preserve"> </w:t>
      </w:r>
      <w:r w:rsidRPr="005F077D">
        <w:tab/>
        <w:t xml:space="preserve">The Benchmarking Study undertaken as part of the </w:t>
      </w:r>
      <w:r w:rsidRPr="005F077D">
        <w:rPr>
          <w:i/>
        </w:rPr>
        <w:t>Annual Pricing Review 2020-21</w:t>
      </w:r>
      <w:r w:rsidRPr="005F077D">
        <w:t xml:space="preserve"> (page 52) found that the average span of control among respondents in the disability sector was 11.8:1 with a 25</w:t>
      </w:r>
      <w:r w:rsidRPr="005F077D">
        <w:rPr>
          <w:vertAlign w:val="superscript"/>
        </w:rPr>
        <w:t>th</w:t>
      </w:r>
      <w:r w:rsidRPr="005F077D">
        <w:t xml:space="preserve"> percentile of 15:1. In line with the </w:t>
      </w:r>
      <w:r w:rsidRPr="005F077D">
        <w:rPr>
          <w:i/>
        </w:rPr>
        <w:t>NDIS Pricing Strategy</w:t>
      </w:r>
      <w:r w:rsidRPr="005F077D">
        <w:t>, this Cost Model parameter has been set at the level achieved by efficient (25</w:t>
      </w:r>
      <w:r w:rsidRPr="005F077D">
        <w:rPr>
          <w:vertAlign w:val="superscript"/>
        </w:rPr>
        <w:t>th</w:t>
      </w:r>
      <w:r w:rsidRPr="005F077D">
        <w:t xml:space="preserve"> percentile) providers.</w:t>
      </w:r>
    </w:p>
  </w:footnote>
  <w:footnote w:id="19">
    <w:p w:rsidR="00BD5D67" w:rsidRPr="005F077D" w:rsidRDefault="00BD5D67">
      <w:pPr>
        <w:pStyle w:val="FootnoteText"/>
      </w:pPr>
      <w:r>
        <w:rPr>
          <w:rStyle w:val="FootnoteReference"/>
        </w:rPr>
        <w:footnoteRef/>
      </w:r>
      <w:r>
        <w:t xml:space="preserve"> </w:t>
      </w:r>
      <w:r>
        <w:tab/>
      </w:r>
      <w:r w:rsidRPr="005F077D">
        <w:t xml:space="preserve">The Benchmarking Study undertaken as part of the </w:t>
      </w:r>
      <w:r w:rsidRPr="005F077D">
        <w:rPr>
          <w:i/>
        </w:rPr>
        <w:t>Annual Pricing Review 2020-21</w:t>
      </w:r>
      <w:r w:rsidRPr="005F077D">
        <w:t xml:space="preserve"> (page 52) found that the average casual employment share among respondents in the disability sector was 43.8% with a 25</w:t>
      </w:r>
      <w:r w:rsidRPr="005F077D">
        <w:rPr>
          <w:vertAlign w:val="superscript"/>
        </w:rPr>
        <w:t>th</w:t>
      </w:r>
      <w:r w:rsidRPr="005F077D">
        <w:t xml:space="preserve"> percentile of 71.7%. In line with the </w:t>
      </w:r>
      <w:r w:rsidRPr="005F077D">
        <w:rPr>
          <w:i/>
        </w:rPr>
        <w:t>NDIS Pricing Strategy</w:t>
      </w:r>
      <w:r w:rsidRPr="005F077D">
        <w:t>, this Cost Model parameter has been set at the level achieved by efficient (25</w:t>
      </w:r>
      <w:r w:rsidRPr="005F077D">
        <w:rPr>
          <w:vertAlign w:val="superscript"/>
        </w:rPr>
        <w:t>th</w:t>
      </w:r>
      <w:r w:rsidRPr="005F077D">
        <w:t xml:space="preserve"> percentile) providers.</w:t>
      </w:r>
    </w:p>
  </w:footnote>
  <w:footnote w:id="20">
    <w:p w:rsidR="00BD5D67" w:rsidRDefault="00BD5D67" w:rsidP="0075493A">
      <w:pPr>
        <w:pStyle w:val="FootnoteText"/>
      </w:pPr>
      <w:r w:rsidRPr="005F077D">
        <w:rPr>
          <w:rStyle w:val="FootnoteReference"/>
        </w:rPr>
        <w:footnoteRef/>
      </w:r>
      <w:r w:rsidRPr="005F077D">
        <w:t xml:space="preserve"> </w:t>
      </w:r>
      <w:r w:rsidRPr="005F077D">
        <w:tab/>
        <w:t xml:space="preserve">The Benchmarking Study undertaken as part of the </w:t>
      </w:r>
      <w:r w:rsidRPr="005F077D">
        <w:rPr>
          <w:i/>
        </w:rPr>
        <w:t>Annual Pricing Review 2020-21</w:t>
      </w:r>
      <w:r w:rsidRPr="005F077D">
        <w:t xml:space="preserve"> (page 52) found that the average utilisation among respondents in the disability sector was 79.8% with a 25</w:t>
      </w:r>
      <w:r w:rsidRPr="005F077D">
        <w:rPr>
          <w:vertAlign w:val="superscript"/>
        </w:rPr>
        <w:t>th</w:t>
      </w:r>
      <w:r w:rsidRPr="005F077D">
        <w:t xml:space="preserve"> percentile of 90.0%. In line with the </w:t>
      </w:r>
      <w:r w:rsidRPr="005F077D">
        <w:rPr>
          <w:i/>
        </w:rPr>
        <w:t>NDIS Pricing Strategy</w:t>
      </w:r>
      <w:r w:rsidRPr="005F077D">
        <w:t>, this Cost Model parameter has been set at the level achieved by efficient (25</w:t>
      </w:r>
      <w:r w:rsidRPr="005F077D">
        <w:rPr>
          <w:vertAlign w:val="superscript"/>
        </w:rPr>
        <w:t>th</w:t>
      </w:r>
      <w:r w:rsidRPr="005F077D">
        <w:t xml:space="preserve"> percentile) providers.</w:t>
      </w:r>
    </w:p>
    <w:p w:rsidR="00BD5D67" w:rsidRPr="005F077D" w:rsidRDefault="00BD5D67" w:rsidP="00B76B55">
      <w:pPr>
        <w:pStyle w:val="FootnoteText"/>
        <w:ind w:firstLine="0"/>
      </w:pPr>
      <w:r w:rsidRPr="005F077D">
        <w:t>Because the Benchmarking Study did not disaggregate its results between DSWs 1, 2 and 3 the efficient utilisation rates have been estimated for each DSW Level around the sector wide 25</w:t>
      </w:r>
      <w:r w:rsidRPr="005F077D">
        <w:rPr>
          <w:vertAlign w:val="superscript"/>
        </w:rPr>
        <w:t>th</w:t>
      </w:r>
      <w:r w:rsidRPr="005F077D">
        <w:t xml:space="preserve"> percentile with the utilisation rate decreasing slightly with the seniority of the worker.</w:t>
      </w:r>
    </w:p>
    <w:p w:rsidR="00BD5D67" w:rsidRPr="005F077D" w:rsidRDefault="00BD5D67" w:rsidP="00B76B55">
      <w:pPr>
        <w:pStyle w:val="FootnoteText"/>
        <w:ind w:firstLine="0"/>
      </w:pPr>
      <w:r w:rsidRPr="005F077D">
        <w:t>The utilisation rate for DSW Ds was set after consultations with providers who were currently employing workers in the role of a psychosocial recovery coach. These providers indicated that these staff were appropriately classified at the SCHADS pay point 4.4. They also indicated that workers who supported participants with psychosocial disabilities often needed to debrief and be supported at the end of their shifts to support their own mental well-being, which lowered their own and their supervisors’ utilisation rates.</w:t>
      </w:r>
    </w:p>
  </w:footnote>
  <w:footnote w:id="21">
    <w:p w:rsidR="00BD5D67" w:rsidRDefault="00BD5D67">
      <w:pPr>
        <w:pStyle w:val="FootnoteText"/>
      </w:pPr>
      <w:r w:rsidRPr="005F077D">
        <w:rPr>
          <w:rStyle w:val="FootnoteReference"/>
        </w:rPr>
        <w:footnoteRef/>
      </w:r>
      <w:r w:rsidRPr="005F077D">
        <w:t xml:space="preserve"> </w:t>
      </w:r>
      <w:r w:rsidRPr="005F077D">
        <w:tab/>
        <w:t xml:space="preserve">The </w:t>
      </w:r>
      <w:r w:rsidRPr="005F077D">
        <w:rPr>
          <w:i/>
        </w:rPr>
        <w:t>Annual Pricing Review 2020-21</w:t>
      </w:r>
      <w:r w:rsidRPr="005F077D">
        <w:t xml:space="preserve"> (page 58) found that the overheads percentage should be increased to 12.0% to better align with the estimated overheads of efficient providers in the sector, as observed in the Benchmarking Study adjusted for that survey’s unrepresentativeness and that other recommendations being made by the Review would directly address some of the costs that providers are currently carrying in their overheads</w:t>
      </w:r>
    </w:p>
  </w:footnote>
  <w:footnote w:id="22">
    <w:p w:rsidR="00BD5D67" w:rsidRDefault="00BD5D67" w:rsidP="00D54BD6">
      <w:pPr>
        <w:pStyle w:val="FootnoteText"/>
      </w:pPr>
      <w:r>
        <w:rPr>
          <w:rStyle w:val="FootnoteReference"/>
        </w:rPr>
        <w:footnoteRef/>
      </w:r>
      <w:r>
        <w:t xml:space="preserve"> </w:t>
      </w:r>
      <w:r>
        <w:tab/>
        <w:t xml:space="preserve">Calculated as 4.9% of the weekly minimum wage (before ERO adjustment) </w:t>
      </w:r>
      <w:r w:rsidRPr="004C63FA">
        <w:t>for a Social and community services employee level 3 at pay point 3 in clause 15.3</w:t>
      </w:r>
      <w:r>
        <w:t xml:space="preserve"> of the SCHADS Award. See Clause 25.7(d) of the SCHADS Award.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D67" w:rsidRDefault="00BD5D67">
    <w:pPr>
      <w:pStyle w:val="Header"/>
    </w:pPr>
    <w:r>
      <w:t>National Disability Insurance Scheme – Disability Support Worker Cost Model 2021-22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54AE4"/>
    <w:multiLevelType w:val="hybridMultilevel"/>
    <w:tmpl w:val="9FAC1076"/>
    <w:lvl w:ilvl="0" w:tplc="4A7833D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F71EE"/>
    <w:multiLevelType w:val="hybridMultilevel"/>
    <w:tmpl w:val="9FAC1076"/>
    <w:lvl w:ilvl="0" w:tplc="4A7833D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81387B"/>
    <w:multiLevelType w:val="multilevel"/>
    <w:tmpl w:val="FE664146"/>
    <w:lvl w:ilvl="0">
      <w:start w:val="1"/>
      <w:numFmt w:val="decimal"/>
      <w:lvlText w:val="%1"/>
      <w:lvlJc w:val="left"/>
      <w:pPr>
        <w:ind w:left="567" w:hanging="567"/>
      </w:pPr>
      <w:rPr>
        <w:rFonts w:hint="default"/>
        <w:color w:val="6A2875"/>
      </w:rPr>
    </w:lvl>
    <w:lvl w:ilvl="1">
      <w:start w:val="1"/>
      <w:numFmt w:val="decimal"/>
      <w:lvlText w:val="%1.%2"/>
      <w:lvlJc w:val="left"/>
      <w:pPr>
        <w:ind w:left="2703"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Restart w:val="0"/>
      <w:pStyle w:val="Heading5"/>
      <w:suff w:val="space"/>
      <w:lvlText w:val="Recommendation %5 – "/>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0E73026B"/>
    <w:multiLevelType w:val="hybridMultilevel"/>
    <w:tmpl w:val="750000E0"/>
    <w:lvl w:ilvl="0" w:tplc="8D08FB4E">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C64362"/>
    <w:multiLevelType w:val="hybridMultilevel"/>
    <w:tmpl w:val="AE6A94A0"/>
    <w:lvl w:ilvl="0" w:tplc="371C758C">
      <w:start w:val="1"/>
      <w:numFmt w:val="decimal"/>
      <w:pStyle w:val="List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B561E5"/>
    <w:multiLevelType w:val="hybridMultilevel"/>
    <w:tmpl w:val="A24A5E1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C26056"/>
    <w:multiLevelType w:val="hybridMultilevel"/>
    <w:tmpl w:val="0FB61AC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7FD603D"/>
    <w:multiLevelType w:val="hybridMultilevel"/>
    <w:tmpl w:val="9A5AF8B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9" w15:restartNumberingAfterBreak="0">
    <w:nsid w:val="2E291239"/>
    <w:multiLevelType w:val="hybridMultilevel"/>
    <w:tmpl w:val="C62AC0AE"/>
    <w:lvl w:ilvl="0" w:tplc="A776DF44">
      <w:start w:val="1"/>
      <w:numFmt w:val="bullet"/>
      <w:pStyle w:val="ListParagraph"/>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7A4C59DE">
      <w:numFmt w:val="bullet"/>
      <w:lvlText w:val="•"/>
      <w:lvlJc w:val="left"/>
      <w:pPr>
        <w:ind w:left="2520" w:hanging="720"/>
      </w:pPr>
      <w:rPr>
        <w:rFonts w:ascii="Arial" w:eastAsiaTheme="minorHAnsi"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284840"/>
    <w:multiLevelType w:val="hybridMultilevel"/>
    <w:tmpl w:val="9FAC1076"/>
    <w:lvl w:ilvl="0" w:tplc="4A7833D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FAD01D2"/>
    <w:multiLevelType w:val="multilevel"/>
    <w:tmpl w:val="D2C20364"/>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247" w:hanging="1247"/>
      </w:pPr>
      <w:rPr>
        <w:rFonts w:hint="default"/>
      </w:rPr>
    </w:lvl>
    <w:lvl w:ilvl="6">
      <w:start w:val="1"/>
      <w:numFmt w:val="decimal"/>
      <w:lvlRestart w:val="1"/>
      <w:pStyle w:val="CaptionTable"/>
      <w:suff w:val="nothing"/>
      <w:lvlText w:val="Table %1.%7"/>
      <w:lvlJc w:val="left"/>
      <w:pPr>
        <w:ind w:left="0" w:firstLine="0"/>
      </w:pPr>
      <w:rPr>
        <w:rFonts w:hint="default"/>
      </w:rPr>
    </w:lvl>
    <w:lvl w:ilvl="7">
      <w:start w:val="1"/>
      <w:numFmt w:val="decimal"/>
      <w:lvlRestart w:val="1"/>
      <w:pStyle w:val="CaptionChart"/>
      <w:suff w:val="nothing"/>
      <w:lvlText w:val="Chart %1.%8"/>
      <w:lvlJc w:val="left"/>
      <w:pPr>
        <w:ind w:left="0" w:firstLine="0"/>
      </w:pPr>
      <w:rPr>
        <w:rFonts w:hint="default"/>
      </w:rPr>
    </w:lvl>
    <w:lvl w:ilvl="8">
      <w:start w:val="1"/>
      <w:numFmt w:val="decimal"/>
      <w:lvlRestart w:val="1"/>
      <w:pStyle w:val="CaptionFigure"/>
      <w:suff w:val="nothing"/>
      <w:lvlText w:val="Figure %1.%9"/>
      <w:lvlJc w:val="left"/>
      <w:pPr>
        <w:ind w:left="0" w:firstLine="0"/>
      </w:pPr>
      <w:rPr>
        <w:rFonts w:hint="default"/>
      </w:rPr>
    </w:lvl>
  </w:abstractNum>
  <w:abstractNum w:abstractNumId="12" w15:restartNumberingAfterBreak="0">
    <w:nsid w:val="41872258"/>
    <w:multiLevelType w:val="hybridMultilevel"/>
    <w:tmpl w:val="99363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AE56CF"/>
    <w:multiLevelType w:val="hybridMultilevel"/>
    <w:tmpl w:val="F022DA70"/>
    <w:lvl w:ilvl="0" w:tplc="B714F79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3BC1006"/>
    <w:multiLevelType w:val="multilevel"/>
    <w:tmpl w:val="A6466258"/>
    <w:lvl w:ilvl="0">
      <w:start w:val="1"/>
      <w:numFmt w:val="decimal"/>
      <w:pStyle w:val="CEOBrief-Heading1"/>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pStyle w:val="CEOBrief-Paragraph2"/>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B137A4"/>
    <w:multiLevelType w:val="hybridMultilevel"/>
    <w:tmpl w:val="9FAC1076"/>
    <w:lvl w:ilvl="0" w:tplc="4A7833D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26B6B47"/>
    <w:multiLevelType w:val="hybridMultilevel"/>
    <w:tmpl w:val="8EA283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31271CB"/>
    <w:multiLevelType w:val="hybridMultilevel"/>
    <w:tmpl w:val="9FAC1076"/>
    <w:lvl w:ilvl="0" w:tplc="4A7833D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5A3768A"/>
    <w:multiLevelType w:val="multilevel"/>
    <w:tmpl w:val="8A7E8CD4"/>
    <w:styleLink w:val="Style1"/>
    <w:lvl w:ilvl="0">
      <w:start w:val="1"/>
      <w:numFmt w:val="decimal"/>
      <w:suff w:val="space"/>
      <w:lvlText w:val="Recommendation %1 – "/>
      <w:lvlJc w:val="left"/>
      <w:pPr>
        <w:ind w:left="0" w:firstLine="0"/>
      </w:pPr>
      <w:rPr>
        <w:rFonts w:hint="default"/>
        <w:b/>
      </w:rPr>
    </w:lvl>
    <w:lvl w:ilvl="1">
      <w:start w:val="1"/>
      <w:numFmt w:val="bullet"/>
      <w:lvlText w:val="o"/>
      <w:lvlJc w:val="left"/>
      <w:pPr>
        <w:ind w:left="1695" w:hanging="360"/>
      </w:pPr>
      <w:rPr>
        <w:rFonts w:ascii="Courier New" w:hAnsi="Courier New" w:cs="Courier New" w:hint="default"/>
      </w:rPr>
    </w:lvl>
    <w:lvl w:ilvl="2">
      <w:start w:val="1"/>
      <w:numFmt w:val="bullet"/>
      <w:lvlText w:val=""/>
      <w:lvlJc w:val="left"/>
      <w:pPr>
        <w:ind w:left="2415" w:hanging="360"/>
      </w:pPr>
      <w:rPr>
        <w:rFonts w:ascii="Wingdings" w:hAnsi="Wingdings" w:hint="default"/>
      </w:rPr>
    </w:lvl>
    <w:lvl w:ilvl="3">
      <w:start w:val="1"/>
      <w:numFmt w:val="bullet"/>
      <w:lvlText w:val=""/>
      <w:lvlJc w:val="left"/>
      <w:pPr>
        <w:ind w:left="3135" w:hanging="360"/>
      </w:pPr>
      <w:rPr>
        <w:rFonts w:ascii="Symbol" w:hAnsi="Symbol" w:hint="default"/>
      </w:rPr>
    </w:lvl>
    <w:lvl w:ilvl="4">
      <w:start w:val="1"/>
      <w:numFmt w:val="bullet"/>
      <w:lvlText w:val="o"/>
      <w:lvlJc w:val="left"/>
      <w:pPr>
        <w:ind w:left="3855" w:hanging="360"/>
      </w:pPr>
      <w:rPr>
        <w:rFonts w:ascii="Courier New" w:hAnsi="Courier New" w:cs="Courier New" w:hint="default"/>
      </w:rPr>
    </w:lvl>
    <w:lvl w:ilvl="5">
      <w:start w:val="1"/>
      <w:numFmt w:val="bullet"/>
      <w:lvlText w:val=""/>
      <w:lvlJc w:val="left"/>
      <w:pPr>
        <w:ind w:left="4575" w:hanging="360"/>
      </w:pPr>
      <w:rPr>
        <w:rFonts w:ascii="Wingdings" w:hAnsi="Wingdings" w:hint="default"/>
      </w:rPr>
    </w:lvl>
    <w:lvl w:ilvl="6">
      <w:start w:val="1"/>
      <w:numFmt w:val="bullet"/>
      <w:lvlText w:val=""/>
      <w:lvlJc w:val="left"/>
      <w:pPr>
        <w:ind w:left="5295" w:hanging="360"/>
      </w:pPr>
      <w:rPr>
        <w:rFonts w:ascii="Symbol" w:hAnsi="Symbol" w:hint="default"/>
      </w:rPr>
    </w:lvl>
    <w:lvl w:ilvl="7">
      <w:start w:val="1"/>
      <w:numFmt w:val="bullet"/>
      <w:lvlText w:val="o"/>
      <w:lvlJc w:val="left"/>
      <w:pPr>
        <w:ind w:left="6015" w:hanging="360"/>
      </w:pPr>
      <w:rPr>
        <w:rFonts w:ascii="Courier New" w:hAnsi="Courier New" w:cs="Courier New" w:hint="default"/>
      </w:rPr>
    </w:lvl>
    <w:lvl w:ilvl="8">
      <w:start w:val="1"/>
      <w:numFmt w:val="bullet"/>
      <w:lvlText w:val=""/>
      <w:lvlJc w:val="left"/>
      <w:pPr>
        <w:ind w:left="6735" w:hanging="360"/>
      </w:pPr>
      <w:rPr>
        <w:rFonts w:ascii="Wingdings" w:hAnsi="Wingdings" w:hint="default"/>
      </w:rPr>
    </w:lvl>
  </w:abstractNum>
  <w:abstractNum w:abstractNumId="19" w15:restartNumberingAfterBreak="0">
    <w:nsid w:val="685255A4"/>
    <w:multiLevelType w:val="hybridMultilevel"/>
    <w:tmpl w:val="C136F0CC"/>
    <w:lvl w:ilvl="0" w:tplc="6A4ED004">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9621FC9"/>
    <w:multiLevelType w:val="hybridMultilevel"/>
    <w:tmpl w:val="105AA16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BE56E7E"/>
    <w:multiLevelType w:val="hybridMultilevel"/>
    <w:tmpl w:val="3672260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C2F7766"/>
    <w:multiLevelType w:val="hybridMultilevel"/>
    <w:tmpl w:val="CD303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EE4272"/>
    <w:multiLevelType w:val="hybridMultilevel"/>
    <w:tmpl w:val="FD80A368"/>
    <w:lvl w:ilvl="0" w:tplc="6D2CC4DE">
      <w:start w:val="1"/>
      <w:numFmt w:val="decimal"/>
      <w:lvlText w:val="%1."/>
      <w:lvlJc w:val="left"/>
      <w:pPr>
        <w:ind w:left="720" w:hanging="360"/>
      </w:pPr>
      <w:rPr>
        <w:rFonts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8"/>
  </w:num>
  <w:num w:numId="3">
    <w:abstractNumId w:val="14"/>
  </w:num>
  <w:num w:numId="4">
    <w:abstractNumId w:val="2"/>
  </w:num>
  <w:num w:numId="5">
    <w:abstractNumId w:val="11"/>
  </w:num>
  <w:num w:numId="6">
    <w:abstractNumId w:val="9"/>
  </w:num>
  <w:num w:numId="7">
    <w:abstractNumId w:val="18"/>
  </w:num>
  <w:num w:numId="8">
    <w:abstractNumId w:val="22"/>
  </w:num>
  <w:num w:numId="9">
    <w:abstractNumId w:val="12"/>
  </w:num>
  <w:num w:numId="10">
    <w:abstractNumId w:val="19"/>
  </w:num>
  <w:num w:numId="11">
    <w:abstractNumId w:val="3"/>
  </w:num>
  <w:num w:numId="12">
    <w:abstractNumId w:val="9"/>
  </w:num>
  <w:num w:numId="13">
    <w:abstractNumId w:val="16"/>
  </w:num>
  <w:num w:numId="14">
    <w:abstractNumId w:val="23"/>
  </w:num>
  <w:num w:numId="15">
    <w:abstractNumId w:val="13"/>
  </w:num>
  <w:num w:numId="16">
    <w:abstractNumId w:val="0"/>
  </w:num>
  <w:num w:numId="17">
    <w:abstractNumId w:val="9"/>
  </w:num>
  <w:num w:numId="18">
    <w:abstractNumId w:val="9"/>
  </w:num>
  <w:num w:numId="19">
    <w:abstractNumId w:val="17"/>
  </w:num>
  <w:num w:numId="20">
    <w:abstractNumId w:val="9"/>
  </w:num>
  <w:num w:numId="21">
    <w:abstractNumId w:val="20"/>
  </w:num>
  <w:num w:numId="22">
    <w:abstractNumId w:val="6"/>
  </w:num>
  <w:num w:numId="23">
    <w:abstractNumId w:val="7"/>
  </w:num>
  <w:num w:numId="24">
    <w:abstractNumId w:val="5"/>
  </w:num>
  <w:num w:numId="25">
    <w:abstractNumId w:val="21"/>
  </w:num>
  <w:num w:numId="26">
    <w:abstractNumId w:val="1"/>
  </w:num>
  <w:num w:numId="27">
    <w:abstractNumId w:val="15"/>
  </w:num>
  <w:num w:numId="28">
    <w:abstractNumId w:val="9"/>
  </w:num>
  <w:num w:numId="29">
    <w:abstractNumId w:val="10"/>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F1"/>
    <w:rsid w:val="00000890"/>
    <w:rsid w:val="00005261"/>
    <w:rsid w:val="000053F1"/>
    <w:rsid w:val="00005BD6"/>
    <w:rsid w:val="000111F9"/>
    <w:rsid w:val="000115F5"/>
    <w:rsid w:val="00016CBE"/>
    <w:rsid w:val="0001758C"/>
    <w:rsid w:val="00017D16"/>
    <w:rsid w:val="00017EEA"/>
    <w:rsid w:val="0002143F"/>
    <w:rsid w:val="00024FCC"/>
    <w:rsid w:val="00025C84"/>
    <w:rsid w:val="00026305"/>
    <w:rsid w:val="00030A07"/>
    <w:rsid w:val="00035F62"/>
    <w:rsid w:val="00037BA3"/>
    <w:rsid w:val="000420FF"/>
    <w:rsid w:val="00042DC8"/>
    <w:rsid w:val="0004301D"/>
    <w:rsid w:val="00043493"/>
    <w:rsid w:val="000457AF"/>
    <w:rsid w:val="00045E36"/>
    <w:rsid w:val="00050895"/>
    <w:rsid w:val="00052911"/>
    <w:rsid w:val="00053180"/>
    <w:rsid w:val="00053CEC"/>
    <w:rsid w:val="00057FD1"/>
    <w:rsid w:val="00060CE3"/>
    <w:rsid w:val="000656A0"/>
    <w:rsid w:val="00070702"/>
    <w:rsid w:val="000715A4"/>
    <w:rsid w:val="000761A9"/>
    <w:rsid w:val="00076BA5"/>
    <w:rsid w:val="000839DB"/>
    <w:rsid w:val="00087A9D"/>
    <w:rsid w:val="000902E3"/>
    <w:rsid w:val="00093FC9"/>
    <w:rsid w:val="000A2366"/>
    <w:rsid w:val="000A2638"/>
    <w:rsid w:val="000A6CAE"/>
    <w:rsid w:val="000A7431"/>
    <w:rsid w:val="000C087B"/>
    <w:rsid w:val="000C3D04"/>
    <w:rsid w:val="000C698E"/>
    <w:rsid w:val="000C7183"/>
    <w:rsid w:val="000D0E60"/>
    <w:rsid w:val="000D2455"/>
    <w:rsid w:val="000D3BCB"/>
    <w:rsid w:val="000D4540"/>
    <w:rsid w:val="000D50DB"/>
    <w:rsid w:val="000D57C3"/>
    <w:rsid w:val="000D6539"/>
    <w:rsid w:val="000E200F"/>
    <w:rsid w:val="000E2409"/>
    <w:rsid w:val="000F7D9D"/>
    <w:rsid w:val="00101B5E"/>
    <w:rsid w:val="00103152"/>
    <w:rsid w:val="00103848"/>
    <w:rsid w:val="001043F0"/>
    <w:rsid w:val="00105AD9"/>
    <w:rsid w:val="00111D09"/>
    <w:rsid w:val="00113587"/>
    <w:rsid w:val="00117BFB"/>
    <w:rsid w:val="0012098A"/>
    <w:rsid w:val="0012324E"/>
    <w:rsid w:val="00126873"/>
    <w:rsid w:val="001275EE"/>
    <w:rsid w:val="00132831"/>
    <w:rsid w:val="00132ED6"/>
    <w:rsid w:val="00134D8A"/>
    <w:rsid w:val="00134E17"/>
    <w:rsid w:val="00134FE3"/>
    <w:rsid w:val="0013780B"/>
    <w:rsid w:val="0014173A"/>
    <w:rsid w:val="00151262"/>
    <w:rsid w:val="001566A0"/>
    <w:rsid w:val="0016033A"/>
    <w:rsid w:val="00173163"/>
    <w:rsid w:val="0017700A"/>
    <w:rsid w:val="00180ECC"/>
    <w:rsid w:val="001811C7"/>
    <w:rsid w:val="0018225A"/>
    <w:rsid w:val="00182AC5"/>
    <w:rsid w:val="001868F2"/>
    <w:rsid w:val="00193C3F"/>
    <w:rsid w:val="00194075"/>
    <w:rsid w:val="001940E8"/>
    <w:rsid w:val="00194796"/>
    <w:rsid w:val="001A0ACB"/>
    <w:rsid w:val="001A1BE7"/>
    <w:rsid w:val="001A1E01"/>
    <w:rsid w:val="001A252A"/>
    <w:rsid w:val="001A2B22"/>
    <w:rsid w:val="001A3E36"/>
    <w:rsid w:val="001B5415"/>
    <w:rsid w:val="001C00DA"/>
    <w:rsid w:val="001C0A85"/>
    <w:rsid w:val="001C17C6"/>
    <w:rsid w:val="001C3502"/>
    <w:rsid w:val="001C3DFD"/>
    <w:rsid w:val="001C69AA"/>
    <w:rsid w:val="001D1F32"/>
    <w:rsid w:val="001D25F7"/>
    <w:rsid w:val="001D5AE6"/>
    <w:rsid w:val="001D5FE8"/>
    <w:rsid w:val="001D74BD"/>
    <w:rsid w:val="001E0CFC"/>
    <w:rsid w:val="001E16EB"/>
    <w:rsid w:val="001E3C31"/>
    <w:rsid w:val="001E4042"/>
    <w:rsid w:val="001E5445"/>
    <w:rsid w:val="001E630D"/>
    <w:rsid w:val="001E79CB"/>
    <w:rsid w:val="001F0BEB"/>
    <w:rsid w:val="001F1C0B"/>
    <w:rsid w:val="001F344D"/>
    <w:rsid w:val="001F4FEC"/>
    <w:rsid w:val="00203986"/>
    <w:rsid w:val="00211A14"/>
    <w:rsid w:val="002123D5"/>
    <w:rsid w:val="00213FA8"/>
    <w:rsid w:val="0021541D"/>
    <w:rsid w:val="00216517"/>
    <w:rsid w:val="00222C61"/>
    <w:rsid w:val="002249AA"/>
    <w:rsid w:val="0022690C"/>
    <w:rsid w:val="00227122"/>
    <w:rsid w:val="00227974"/>
    <w:rsid w:val="00231185"/>
    <w:rsid w:val="002325B2"/>
    <w:rsid w:val="00235C06"/>
    <w:rsid w:val="00242EFF"/>
    <w:rsid w:val="002528F4"/>
    <w:rsid w:val="00252C50"/>
    <w:rsid w:val="002538B3"/>
    <w:rsid w:val="00256D49"/>
    <w:rsid w:val="0026100C"/>
    <w:rsid w:val="002671B4"/>
    <w:rsid w:val="0027277B"/>
    <w:rsid w:val="00273D81"/>
    <w:rsid w:val="0028091F"/>
    <w:rsid w:val="00281341"/>
    <w:rsid w:val="00281379"/>
    <w:rsid w:val="00281D98"/>
    <w:rsid w:val="00282305"/>
    <w:rsid w:val="00284467"/>
    <w:rsid w:val="00286F6C"/>
    <w:rsid w:val="0029456A"/>
    <w:rsid w:val="00294FA5"/>
    <w:rsid w:val="00295F84"/>
    <w:rsid w:val="0029714F"/>
    <w:rsid w:val="002975F5"/>
    <w:rsid w:val="002A2A7C"/>
    <w:rsid w:val="002A43D6"/>
    <w:rsid w:val="002B2BFA"/>
    <w:rsid w:val="002B3572"/>
    <w:rsid w:val="002B7DEB"/>
    <w:rsid w:val="002C0178"/>
    <w:rsid w:val="002C16A4"/>
    <w:rsid w:val="002C4FBF"/>
    <w:rsid w:val="002C5894"/>
    <w:rsid w:val="002D27CA"/>
    <w:rsid w:val="002F0B06"/>
    <w:rsid w:val="002F3691"/>
    <w:rsid w:val="002F5E6F"/>
    <w:rsid w:val="003016CC"/>
    <w:rsid w:val="00307B48"/>
    <w:rsid w:val="00311E0C"/>
    <w:rsid w:val="00311F1C"/>
    <w:rsid w:val="0031313F"/>
    <w:rsid w:val="003133FF"/>
    <w:rsid w:val="003144D1"/>
    <w:rsid w:val="00315545"/>
    <w:rsid w:val="00316044"/>
    <w:rsid w:val="003165B5"/>
    <w:rsid w:val="00317C63"/>
    <w:rsid w:val="00321FEE"/>
    <w:rsid w:val="003235EF"/>
    <w:rsid w:val="00323BB7"/>
    <w:rsid w:val="00325407"/>
    <w:rsid w:val="00330F3A"/>
    <w:rsid w:val="00331660"/>
    <w:rsid w:val="00333DB2"/>
    <w:rsid w:val="00334E56"/>
    <w:rsid w:val="00334EDE"/>
    <w:rsid w:val="00335336"/>
    <w:rsid w:val="00335D44"/>
    <w:rsid w:val="00341C67"/>
    <w:rsid w:val="0034347A"/>
    <w:rsid w:val="00343C2F"/>
    <w:rsid w:val="00346819"/>
    <w:rsid w:val="00350B2B"/>
    <w:rsid w:val="003515E4"/>
    <w:rsid w:val="0035218F"/>
    <w:rsid w:val="003526B1"/>
    <w:rsid w:val="003553A8"/>
    <w:rsid w:val="0035629B"/>
    <w:rsid w:val="0035693D"/>
    <w:rsid w:val="00360725"/>
    <w:rsid w:val="00361869"/>
    <w:rsid w:val="003634E2"/>
    <w:rsid w:val="0036394E"/>
    <w:rsid w:val="003659CD"/>
    <w:rsid w:val="0036674A"/>
    <w:rsid w:val="00366B51"/>
    <w:rsid w:val="00373C5D"/>
    <w:rsid w:val="003777EA"/>
    <w:rsid w:val="003803FB"/>
    <w:rsid w:val="00384F8D"/>
    <w:rsid w:val="0038782D"/>
    <w:rsid w:val="00392D78"/>
    <w:rsid w:val="003948A4"/>
    <w:rsid w:val="003A07DB"/>
    <w:rsid w:val="003A0D95"/>
    <w:rsid w:val="003A1D59"/>
    <w:rsid w:val="003A1FE8"/>
    <w:rsid w:val="003A2214"/>
    <w:rsid w:val="003A3C03"/>
    <w:rsid w:val="003A4350"/>
    <w:rsid w:val="003A6AB7"/>
    <w:rsid w:val="003A7092"/>
    <w:rsid w:val="003B0D64"/>
    <w:rsid w:val="003B1D58"/>
    <w:rsid w:val="003B2BB8"/>
    <w:rsid w:val="003B47B6"/>
    <w:rsid w:val="003B4DED"/>
    <w:rsid w:val="003B5268"/>
    <w:rsid w:val="003B790E"/>
    <w:rsid w:val="003B7F9D"/>
    <w:rsid w:val="003C074F"/>
    <w:rsid w:val="003C1155"/>
    <w:rsid w:val="003C1502"/>
    <w:rsid w:val="003C1B62"/>
    <w:rsid w:val="003C2907"/>
    <w:rsid w:val="003C3A52"/>
    <w:rsid w:val="003C7AD9"/>
    <w:rsid w:val="003D05DD"/>
    <w:rsid w:val="003D34FF"/>
    <w:rsid w:val="003D50AF"/>
    <w:rsid w:val="003D60C0"/>
    <w:rsid w:val="003D652D"/>
    <w:rsid w:val="003E0214"/>
    <w:rsid w:val="003E391A"/>
    <w:rsid w:val="003F093B"/>
    <w:rsid w:val="003F4435"/>
    <w:rsid w:val="003F5987"/>
    <w:rsid w:val="0040062A"/>
    <w:rsid w:val="00402219"/>
    <w:rsid w:val="00404D70"/>
    <w:rsid w:val="0040640D"/>
    <w:rsid w:val="00412F59"/>
    <w:rsid w:val="00414AA0"/>
    <w:rsid w:val="0041520E"/>
    <w:rsid w:val="0041594E"/>
    <w:rsid w:val="00415CA1"/>
    <w:rsid w:val="004207CF"/>
    <w:rsid w:val="004211F3"/>
    <w:rsid w:val="00422B5A"/>
    <w:rsid w:val="00430082"/>
    <w:rsid w:val="00431FB9"/>
    <w:rsid w:val="00432D6D"/>
    <w:rsid w:val="00436C40"/>
    <w:rsid w:val="00436E11"/>
    <w:rsid w:val="0043700C"/>
    <w:rsid w:val="00440FC6"/>
    <w:rsid w:val="0044141A"/>
    <w:rsid w:val="004436FA"/>
    <w:rsid w:val="00444AB2"/>
    <w:rsid w:val="00450016"/>
    <w:rsid w:val="00453CCC"/>
    <w:rsid w:val="00454D52"/>
    <w:rsid w:val="00455363"/>
    <w:rsid w:val="004562FC"/>
    <w:rsid w:val="00457C4B"/>
    <w:rsid w:val="00457D12"/>
    <w:rsid w:val="00461B64"/>
    <w:rsid w:val="004652EF"/>
    <w:rsid w:val="00467E1D"/>
    <w:rsid w:val="00473792"/>
    <w:rsid w:val="00476DC4"/>
    <w:rsid w:val="00480499"/>
    <w:rsid w:val="00481A9A"/>
    <w:rsid w:val="004839BB"/>
    <w:rsid w:val="00484E13"/>
    <w:rsid w:val="00487391"/>
    <w:rsid w:val="0048768C"/>
    <w:rsid w:val="00492831"/>
    <w:rsid w:val="00496882"/>
    <w:rsid w:val="00496B75"/>
    <w:rsid w:val="00496D32"/>
    <w:rsid w:val="004A2BAA"/>
    <w:rsid w:val="004A3801"/>
    <w:rsid w:val="004A3CCE"/>
    <w:rsid w:val="004A6DDD"/>
    <w:rsid w:val="004B1849"/>
    <w:rsid w:val="004B1917"/>
    <w:rsid w:val="004B52A3"/>
    <w:rsid w:val="004B54CA"/>
    <w:rsid w:val="004B650B"/>
    <w:rsid w:val="004C3FE8"/>
    <w:rsid w:val="004C63FA"/>
    <w:rsid w:val="004C6B51"/>
    <w:rsid w:val="004D014C"/>
    <w:rsid w:val="004D32B5"/>
    <w:rsid w:val="004D4B16"/>
    <w:rsid w:val="004E034F"/>
    <w:rsid w:val="004E5923"/>
    <w:rsid w:val="004E5CBF"/>
    <w:rsid w:val="004E6680"/>
    <w:rsid w:val="004F4B63"/>
    <w:rsid w:val="005029C6"/>
    <w:rsid w:val="00503938"/>
    <w:rsid w:val="00506437"/>
    <w:rsid w:val="005075AD"/>
    <w:rsid w:val="0051301A"/>
    <w:rsid w:val="005147FD"/>
    <w:rsid w:val="005155E4"/>
    <w:rsid w:val="0051601C"/>
    <w:rsid w:val="00516B3A"/>
    <w:rsid w:val="00522F35"/>
    <w:rsid w:val="00523D6C"/>
    <w:rsid w:val="00525326"/>
    <w:rsid w:val="00526E03"/>
    <w:rsid w:val="005304DC"/>
    <w:rsid w:val="005353A6"/>
    <w:rsid w:val="005359C6"/>
    <w:rsid w:val="00536B85"/>
    <w:rsid w:val="0054371F"/>
    <w:rsid w:val="00551A7A"/>
    <w:rsid w:val="0056204F"/>
    <w:rsid w:val="00562E1D"/>
    <w:rsid w:val="0056347E"/>
    <w:rsid w:val="00570D94"/>
    <w:rsid w:val="005711FA"/>
    <w:rsid w:val="0057211E"/>
    <w:rsid w:val="00574035"/>
    <w:rsid w:val="005759A6"/>
    <w:rsid w:val="00577DD6"/>
    <w:rsid w:val="00583ABF"/>
    <w:rsid w:val="00586A54"/>
    <w:rsid w:val="005961A7"/>
    <w:rsid w:val="005A09DF"/>
    <w:rsid w:val="005A0CF6"/>
    <w:rsid w:val="005A5AF2"/>
    <w:rsid w:val="005A6E9A"/>
    <w:rsid w:val="005B1583"/>
    <w:rsid w:val="005B2AF1"/>
    <w:rsid w:val="005B59BE"/>
    <w:rsid w:val="005C08A0"/>
    <w:rsid w:val="005C0F99"/>
    <w:rsid w:val="005C3AA9"/>
    <w:rsid w:val="005C6DDE"/>
    <w:rsid w:val="005D4B6A"/>
    <w:rsid w:val="005D7B54"/>
    <w:rsid w:val="005E02DF"/>
    <w:rsid w:val="005E1614"/>
    <w:rsid w:val="005E3643"/>
    <w:rsid w:val="005E535E"/>
    <w:rsid w:val="005F02F1"/>
    <w:rsid w:val="005F03F4"/>
    <w:rsid w:val="005F077D"/>
    <w:rsid w:val="005F0E44"/>
    <w:rsid w:val="005F1C33"/>
    <w:rsid w:val="005F3019"/>
    <w:rsid w:val="005F34B2"/>
    <w:rsid w:val="005F512C"/>
    <w:rsid w:val="006005A2"/>
    <w:rsid w:val="0060269A"/>
    <w:rsid w:val="006064CE"/>
    <w:rsid w:val="0060676C"/>
    <w:rsid w:val="0061193B"/>
    <w:rsid w:val="006140AB"/>
    <w:rsid w:val="00616A10"/>
    <w:rsid w:val="0061762C"/>
    <w:rsid w:val="006258AE"/>
    <w:rsid w:val="00625FD5"/>
    <w:rsid w:val="00632495"/>
    <w:rsid w:val="006369F5"/>
    <w:rsid w:val="00637EC9"/>
    <w:rsid w:val="00642854"/>
    <w:rsid w:val="00643B2E"/>
    <w:rsid w:val="00647B4E"/>
    <w:rsid w:val="0065258B"/>
    <w:rsid w:val="00652A8A"/>
    <w:rsid w:val="00663892"/>
    <w:rsid w:val="00664AB5"/>
    <w:rsid w:val="00671C19"/>
    <w:rsid w:val="006727E9"/>
    <w:rsid w:val="006738C5"/>
    <w:rsid w:val="00674CF4"/>
    <w:rsid w:val="006763C1"/>
    <w:rsid w:val="00676BB7"/>
    <w:rsid w:val="00682083"/>
    <w:rsid w:val="006922DA"/>
    <w:rsid w:val="00692985"/>
    <w:rsid w:val="006946B1"/>
    <w:rsid w:val="00695F2F"/>
    <w:rsid w:val="006960EB"/>
    <w:rsid w:val="00696BEE"/>
    <w:rsid w:val="006A1CBF"/>
    <w:rsid w:val="006A299A"/>
    <w:rsid w:val="006A4CE7"/>
    <w:rsid w:val="006A4EAB"/>
    <w:rsid w:val="006A4FBA"/>
    <w:rsid w:val="006A50F1"/>
    <w:rsid w:val="006B0D9B"/>
    <w:rsid w:val="006B0DEE"/>
    <w:rsid w:val="006B45E8"/>
    <w:rsid w:val="006B49D8"/>
    <w:rsid w:val="006B6DB5"/>
    <w:rsid w:val="006B7C7A"/>
    <w:rsid w:val="006C0F1A"/>
    <w:rsid w:val="006C2233"/>
    <w:rsid w:val="006C5E10"/>
    <w:rsid w:val="006D0769"/>
    <w:rsid w:val="006D08AA"/>
    <w:rsid w:val="006D2056"/>
    <w:rsid w:val="006D494E"/>
    <w:rsid w:val="006D644B"/>
    <w:rsid w:val="006D69A2"/>
    <w:rsid w:val="006E5B49"/>
    <w:rsid w:val="006F41D5"/>
    <w:rsid w:val="006F5D46"/>
    <w:rsid w:val="007030B4"/>
    <w:rsid w:val="00704685"/>
    <w:rsid w:val="00706A34"/>
    <w:rsid w:val="00706AD8"/>
    <w:rsid w:val="00707064"/>
    <w:rsid w:val="007075DE"/>
    <w:rsid w:val="00711713"/>
    <w:rsid w:val="00712BEE"/>
    <w:rsid w:val="00713C8A"/>
    <w:rsid w:val="00716124"/>
    <w:rsid w:val="00716C16"/>
    <w:rsid w:val="007177A6"/>
    <w:rsid w:val="007215E8"/>
    <w:rsid w:val="007219F1"/>
    <w:rsid w:val="00721D2F"/>
    <w:rsid w:val="007230A7"/>
    <w:rsid w:val="0072468E"/>
    <w:rsid w:val="007326B5"/>
    <w:rsid w:val="00733273"/>
    <w:rsid w:val="00733882"/>
    <w:rsid w:val="00733AB1"/>
    <w:rsid w:val="00735F60"/>
    <w:rsid w:val="00736E3A"/>
    <w:rsid w:val="007519CD"/>
    <w:rsid w:val="00752925"/>
    <w:rsid w:val="0075493A"/>
    <w:rsid w:val="00760104"/>
    <w:rsid w:val="0076217E"/>
    <w:rsid w:val="00762248"/>
    <w:rsid w:val="007635E7"/>
    <w:rsid w:val="00764DF5"/>
    <w:rsid w:val="007664EC"/>
    <w:rsid w:val="00772088"/>
    <w:rsid w:val="0077226D"/>
    <w:rsid w:val="007722C2"/>
    <w:rsid w:val="00773F6C"/>
    <w:rsid w:val="00774134"/>
    <w:rsid w:val="007751F4"/>
    <w:rsid w:val="00775931"/>
    <w:rsid w:val="00775FAB"/>
    <w:rsid w:val="00777F1F"/>
    <w:rsid w:val="0078198F"/>
    <w:rsid w:val="007836CD"/>
    <w:rsid w:val="007837FB"/>
    <w:rsid w:val="00784C2F"/>
    <w:rsid w:val="00785261"/>
    <w:rsid w:val="007861C1"/>
    <w:rsid w:val="00787593"/>
    <w:rsid w:val="00795B27"/>
    <w:rsid w:val="00796EE2"/>
    <w:rsid w:val="007A2B17"/>
    <w:rsid w:val="007B0256"/>
    <w:rsid w:val="007B1436"/>
    <w:rsid w:val="007B6388"/>
    <w:rsid w:val="007B6FB3"/>
    <w:rsid w:val="007C1AD2"/>
    <w:rsid w:val="007C1E38"/>
    <w:rsid w:val="007C3C7E"/>
    <w:rsid w:val="007C4B60"/>
    <w:rsid w:val="007D1518"/>
    <w:rsid w:val="007D256C"/>
    <w:rsid w:val="007D2AC0"/>
    <w:rsid w:val="007D5116"/>
    <w:rsid w:val="007D5E61"/>
    <w:rsid w:val="007E04D7"/>
    <w:rsid w:val="007E0EA7"/>
    <w:rsid w:val="007E66CD"/>
    <w:rsid w:val="007E7F0F"/>
    <w:rsid w:val="007F13EC"/>
    <w:rsid w:val="007F1A90"/>
    <w:rsid w:val="007F2313"/>
    <w:rsid w:val="007F3F6C"/>
    <w:rsid w:val="007F6999"/>
    <w:rsid w:val="00803848"/>
    <w:rsid w:val="0080661E"/>
    <w:rsid w:val="0080684F"/>
    <w:rsid w:val="00807C34"/>
    <w:rsid w:val="008116B5"/>
    <w:rsid w:val="00812195"/>
    <w:rsid w:val="008152D8"/>
    <w:rsid w:val="0081558B"/>
    <w:rsid w:val="008207E4"/>
    <w:rsid w:val="008233B6"/>
    <w:rsid w:val="008238F3"/>
    <w:rsid w:val="00830824"/>
    <w:rsid w:val="0083089B"/>
    <w:rsid w:val="00832454"/>
    <w:rsid w:val="0083555A"/>
    <w:rsid w:val="00836FE6"/>
    <w:rsid w:val="0083786F"/>
    <w:rsid w:val="00840413"/>
    <w:rsid w:val="00843DC3"/>
    <w:rsid w:val="0085147C"/>
    <w:rsid w:val="008515A3"/>
    <w:rsid w:val="008521EA"/>
    <w:rsid w:val="00852C9E"/>
    <w:rsid w:val="00854115"/>
    <w:rsid w:val="00857733"/>
    <w:rsid w:val="008600AD"/>
    <w:rsid w:val="008619DF"/>
    <w:rsid w:val="00862C84"/>
    <w:rsid w:val="00864828"/>
    <w:rsid w:val="00865696"/>
    <w:rsid w:val="00866164"/>
    <w:rsid w:val="008667A8"/>
    <w:rsid w:val="0086773C"/>
    <w:rsid w:val="00872AB6"/>
    <w:rsid w:val="00873108"/>
    <w:rsid w:val="008802C0"/>
    <w:rsid w:val="00880FC2"/>
    <w:rsid w:val="00881230"/>
    <w:rsid w:val="0088132C"/>
    <w:rsid w:val="00883BA0"/>
    <w:rsid w:val="00886EBF"/>
    <w:rsid w:val="00890E49"/>
    <w:rsid w:val="0089169C"/>
    <w:rsid w:val="00892F10"/>
    <w:rsid w:val="00893BBD"/>
    <w:rsid w:val="00895A37"/>
    <w:rsid w:val="0089663E"/>
    <w:rsid w:val="008A1107"/>
    <w:rsid w:val="008A2409"/>
    <w:rsid w:val="008A24A3"/>
    <w:rsid w:val="008A4BDC"/>
    <w:rsid w:val="008A5AA1"/>
    <w:rsid w:val="008A7999"/>
    <w:rsid w:val="008B0630"/>
    <w:rsid w:val="008B1B73"/>
    <w:rsid w:val="008B4CA6"/>
    <w:rsid w:val="008B4DE2"/>
    <w:rsid w:val="008B55CD"/>
    <w:rsid w:val="008B63A2"/>
    <w:rsid w:val="008B748E"/>
    <w:rsid w:val="008B7F34"/>
    <w:rsid w:val="008C3615"/>
    <w:rsid w:val="008C517C"/>
    <w:rsid w:val="008C5D15"/>
    <w:rsid w:val="008C6143"/>
    <w:rsid w:val="008C7CCB"/>
    <w:rsid w:val="008D296D"/>
    <w:rsid w:val="008E1D73"/>
    <w:rsid w:val="008E3AF9"/>
    <w:rsid w:val="008E4ADB"/>
    <w:rsid w:val="008E57D4"/>
    <w:rsid w:val="008F04F3"/>
    <w:rsid w:val="008F505D"/>
    <w:rsid w:val="008F7E21"/>
    <w:rsid w:val="00901EAF"/>
    <w:rsid w:val="00902A70"/>
    <w:rsid w:val="0091040E"/>
    <w:rsid w:val="00913052"/>
    <w:rsid w:val="009138DE"/>
    <w:rsid w:val="00916198"/>
    <w:rsid w:val="0091676E"/>
    <w:rsid w:val="009168ED"/>
    <w:rsid w:val="009172F1"/>
    <w:rsid w:val="009206DC"/>
    <w:rsid w:val="009225F0"/>
    <w:rsid w:val="009234E3"/>
    <w:rsid w:val="00923ED2"/>
    <w:rsid w:val="00926131"/>
    <w:rsid w:val="00932124"/>
    <w:rsid w:val="009347F7"/>
    <w:rsid w:val="009373F4"/>
    <w:rsid w:val="009418DE"/>
    <w:rsid w:val="00943693"/>
    <w:rsid w:val="009454BA"/>
    <w:rsid w:val="0094725D"/>
    <w:rsid w:val="00950BE4"/>
    <w:rsid w:val="0095124F"/>
    <w:rsid w:val="009517B5"/>
    <w:rsid w:val="009549EA"/>
    <w:rsid w:val="00954A6C"/>
    <w:rsid w:val="009611E3"/>
    <w:rsid w:val="009653A4"/>
    <w:rsid w:val="0096619B"/>
    <w:rsid w:val="00967482"/>
    <w:rsid w:val="00972037"/>
    <w:rsid w:val="0097268F"/>
    <w:rsid w:val="00972B4C"/>
    <w:rsid w:val="009735C1"/>
    <w:rsid w:val="00975BC5"/>
    <w:rsid w:val="009768B0"/>
    <w:rsid w:val="00977591"/>
    <w:rsid w:val="00982450"/>
    <w:rsid w:val="00985170"/>
    <w:rsid w:val="00986033"/>
    <w:rsid w:val="00987111"/>
    <w:rsid w:val="009875F6"/>
    <w:rsid w:val="00987621"/>
    <w:rsid w:val="00991574"/>
    <w:rsid w:val="00995055"/>
    <w:rsid w:val="00995132"/>
    <w:rsid w:val="00995909"/>
    <w:rsid w:val="00996565"/>
    <w:rsid w:val="00996CB3"/>
    <w:rsid w:val="00996EF8"/>
    <w:rsid w:val="009A0382"/>
    <w:rsid w:val="009A213F"/>
    <w:rsid w:val="009A3891"/>
    <w:rsid w:val="009A65FC"/>
    <w:rsid w:val="009A66DF"/>
    <w:rsid w:val="009A7C26"/>
    <w:rsid w:val="009B1FCB"/>
    <w:rsid w:val="009B36E4"/>
    <w:rsid w:val="009B3E95"/>
    <w:rsid w:val="009B51E7"/>
    <w:rsid w:val="009B7E5A"/>
    <w:rsid w:val="009C2D82"/>
    <w:rsid w:val="009C5501"/>
    <w:rsid w:val="009C6E47"/>
    <w:rsid w:val="009C765E"/>
    <w:rsid w:val="009C7856"/>
    <w:rsid w:val="009D449E"/>
    <w:rsid w:val="009E0E63"/>
    <w:rsid w:val="009E12C1"/>
    <w:rsid w:val="009E1BAE"/>
    <w:rsid w:val="009E3A97"/>
    <w:rsid w:val="009E57C8"/>
    <w:rsid w:val="009E6165"/>
    <w:rsid w:val="009E72FA"/>
    <w:rsid w:val="009E7F07"/>
    <w:rsid w:val="009F6F9F"/>
    <w:rsid w:val="00A019C3"/>
    <w:rsid w:val="00A04B50"/>
    <w:rsid w:val="00A1065E"/>
    <w:rsid w:val="00A15DA9"/>
    <w:rsid w:val="00A22306"/>
    <w:rsid w:val="00A2635B"/>
    <w:rsid w:val="00A27C41"/>
    <w:rsid w:val="00A33386"/>
    <w:rsid w:val="00A354E3"/>
    <w:rsid w:val="00A36675"/>
    <w:rsid w:val="00A40B96"/>
    <w:rsid w:val="00A43F04"/>
    <w:rsid w:val="00A4644E"/>
    <w:rsid w:val="00A47AEA"/>
    <w:rsid w:val="00A50A5A"/>
    <w:rsid w:val="00A52707"/>
    <w:rsid w:val="00A545B2"/>
    <w:rsid w:val="00A54E47"/>
    <w:rsid w:val="00A57254"/>
    <w:rsid w:val="00A576C0"/>
    <w:rsid w:val="00A6229E"/>
    <w:rsid w:val="00A65F00"/>
    <w:rsid w:val="00A674E6"/>
    <w:rsid w:val="00A71D91"/>
    <w:rsid w:val="00A73534"/>
    <w:rsid w:val="00A73FA9"/>
    <w:rsid w:val="00A7423A"/>
    <w:rsid w:val="00A743E0"/>
    <w:rsid w:val="00A75923"/>
    <w:rsid w:val="00A75A64"/>
    <w:rsid w:val="00A8142D"/>
    <w:rsid w:val="00A83409"/>
    <w:rsid w:val="00A8436C"/>
    <w:rsid w:val="00A86F2D"/>
    <w:rsid w:val="00A9435F"/>
    <w:rsid w:val="00AA09D9"/>
    <w:rsid w:val="00AA0DA9"/>
    <w:rsid w:val="00AA2CA7"/>
    <w:rsid w:val="00AA47C1"/>
    <w:rsid w:val="00AA4FCA"/>
    <w:rsid w:val="00AB02D8"/>
    <w:rsid w:val="00AB603D"/>
    <w:rsid w:val="00AB6B14"/>
    <w:rsid w:val="00AB6C8A"/>
    <w:rsid w:val="00AC5E2D"/>
    <w:rsid w:val="00AD0B03"/>
    <w:rsid w:val="00AD1B31"/>
    <w:rsid w:val="00AD4EBC"/>
    <w:rsid w:val="00AE0D61"/>
    <w:rsid w:val="00AE32E8"/>
    <w:rsid w:val="00AF4F1F"/>
    <w:rsid w:val="00AF55F4"/>
    <w:rsid w:val="00AF6A46"/>
    <w:rsid w:val="00B00557"/>
    <w:rsid w:val="00B02EC7"/>
    <w:rsid w:val="00B04C25"/>
    <w:rsid w:val="00B04EF2"/>
    <w:rsid w:val="00B05805"/>
    <w:rsid w:val="00B06227"/>
    <w:rsid w:val="00B117EC"/>
    <w:rsid w:val="00B1295A"/>
    <w:rsid w:val="00B15256"/>
    <w:rsid w:val="00B15D71"/>
    <w:rsid w:val="00B207E8"/>
    <w:rsid w:val="00B227D9"/>
    <w:rsid w:val="00B3051D"/>
    <w:rsid w:val="00B32089"/>
    <w:rsid w:val="00B34EF6"/>
    <w:rsid w:val="00B359EF"/>
    <w:rsid w:val="00B37370"/>
    <w:rsid w:val="00B4053F"/>
    <w:rsid w:val="00B409D1"/>
    <w:rsid w:val="00B45937"/>
    <w:rsid w:val="00B46AE1"/>
    <w:rsid w:val="00B52B19"/>
    <w:rsid w:val="00B56A4A"/>
    <w:rsid w:val="00B60D62"/>
    <w:rsid w:val="00B61463"/>
    <w:rsid w:val="00B62B34"/>
    <w:rsid w:val="00B640DA"/>
    <w:rsid w:val="00B658AF"/>
    <w:rsid w:val="00B76B55"/>
    <w:rsid w:val="00B76D59"/>
    <w:rsid w:val="00B77024"/>
    <w:rsid w:val="00B773D4"/>
    <w:rsid w:val="00B81D49"/>
    <w:rsid w:val="00B837CB"/>
    <w:rsid w:val="00B854D9"/>
    <w:rsid w:val="00B86D70"/>
    <w:rsid w:val="00B910C4"/>
    <w:rsid w:val="00B9274C"/>
    <w:rsid w:val="00B9293A"/>
    <w:rsid w:val="00B9773D"/>
    <w:rsid w:val="00BA05E4"/>
    <w:rsid w:val="00BA2DB9"/>
    <w:rsid w:val="00BA3CDC"/>
    <w:rsid w:val="00BA4AFC"/>
    <w:rsid w:val="00BA539B"/>
    <w:rsid w:val="00BB06ED"/>
    <w:rsid w:val="00BB383A"/>
    <w:rsid w:val="00BC0759"/>
    <w:rsid w:val="00BC24CF"/>
    <w:rsid w:val="00BC569E"/>
    <w:rsid w:val="00BC5A1B"/>
    <w:rsid w:val="00BC5E88"/>
    <w:rsid w:val="00BC66C0"/>
    <w:rsid w:val="00BD1DF8"/>
    <w:rsid w:val="00BD2A96"/>
    <w:rsid w:val="00BD4024"/>
    <w:rsid w:val="00BD4CDE"/>
    <w:rsid w:val="00BD50C8"/>
    <w:rsid w:val="00BD5D67"/>
    <w:rsid w:val="00BD604F"/>
    <w:rsid w:val="00BD65F4"/>
    <w:rsid w:val="00BE4C7C"/>
    <w:rsid w:val="00BE632A"/>
    <w:rsid w:val="00BE70D4"/>
    <w:rsid w:val="00BE7148"/>
    <w:rsid w:val="00BF0BCB"/>
    <w:rsid w:val="00BF276E"/>
    <w:rsid w:val="00BF7767"/>
    <w:rsid w:val="00C02A97"/>
    <w:rsid w:val="00C03F10"/>
    <w:rsid w:val="00C06AAE"/>
    <w:rsid w:val="00C07173"/>
    <w:rsid w:val="00C104C2"/>
    <w:rsid w:val="00C119B0"/>
    <w:rsid w:val="00C14F7E"/>
    <w:rsid w:val="00C163B9"/>
    <w:rsid w:val="00C1690B"/>
    <w:rsid w:val="00C17E6B"/>
    <w:rsid w:val="00C20B55"/>
    <w:rsid w:val="00C222C8"/>
    <w:rsid w:val="00C233D3"/>
    <w:rsid w:val="00C234BD"/>
    <w:rsid w:val="00C32D98"/>
    <w:rsid w:val="00C3454D"/>
    <w:rsid w:val="00C359BC"/>
    <w:rsid w:val="00C41EB6"/>
    <w:rsid w:val="00C44433"/>
    <w:rsid w:val="00C46EEB"/>
    <w:rsid w:val="00C47581"/>
    <w:rsid w:val="00C47EF1"/>
    <w:rsid w:val="00C500AD"/>
    <w:rsid w:val="00C508D7"/>
    <w:rsid w:val="00C531AF"/>
    <w:rsid w:val="00C537BB"/>
    <w:rsid w:val="00C562E5"/>
    <w:rsid w:val="00C5695C"/>
    <w:rsid w:val="00C56F54"/>
    <w:rsid w:val="00C62F3C"/>
    <w:rsid w:val="00C6355F"/>
    <w:rsid w:val="00C66860"/>
    <w:rsid w:val="00C66E70"/>
    <w:rsid w:val="00C70E87"/>
    <w:rsid w:val="00C7343E"/>
    <w:rsid w:val="00C73823"/>
    <w:rsid w:val="00C74DA8"/>
    <w:rsid w:val="00C763E0"/>
    <w:rsid w:val="00C819A0"/>
    <w:rsid w:val="00C8311A"/>
    <w:rsid w:val="00C834CE"/>
    <w:rsid w:val="00C85193"/>
    <w:rsid w:val="00C85C60"/>
    <w:rsid w:val="00C90CD3"/>
    <w:rsid w:val="00C9399E"/>
    <w:rsid w:val="00C968E0"/>
    <w:rsid w:val="00C97ED6"/>
    <w:rsid w:val="00CA3780"/>
    <w:rsid w:val="00CA5762"/>
    <w:rsid w:val="00CA6061"/>
    <w:rsid w:val="00CA6E39"/>
    <w:rsid w:val="00CB0568"/>
    <w:rsid w:val="00CB108F"/>
    <w:rsid w:val="00CB2AB6"/>
    <w:rsid w:val="00CB77DC"/>
    <w:rsid w:val="00CC32F5"/>
    <w:rsid w:val="00CC4175"/>
    <w:rsid w:val="00CC73CA"/>
    <w:rsid w:val="00CD0CCE"/>
    <w:rsid w:val="00CD1CEB"/>
    <w:rsid w:val="00CD3579"/>
    <w:rsid w:val="00CD53B0"/>
    <w:rsid w:val="00CD54AF"/>
    <w:rsid w:val="00CD599B"/>
    <w:rsid w:val="00CD68BE"/>
    <w:rsid w:val="00CD7CF3"/>
    <w:rsid w:val="00CE1DE3"/>
    <w:rsid w:val="00CE408D"/>
    <w:rsid w:val="00CE64D6"/>
    <w:rsid w:val="00CE678A"/>
    <w:rsid w:val="00CF2B90"/>
    <w:rsid w:val="00CF49A8"/>
    <w:rsid w:val="00CF6E13"/>
    <w:rsid w:val="00D005E6"/>
    <w:rsid w:val="00D011D4"/>
    <w:rsid w:val="00D05293"/>
    <w:rsid w:val="00D07ABF"/>
    <w:rsid w:val="00D12192"/>
    <w:rsid w:val="00D12ED1"/>
    <w:rsid w:val="00D15556"/>
    <w:rsid w:val="00D15CA9"/>
    <w:rsid w:val="00D3056F"/>
    <w:rsid w:val="00D31648"/>
    <w:rsid w:val="00D3202D"/>
    <w:rsid w:val="00D33A88"/>
    <w:rsid w:val="00D41432"/>
    <w:rsid w:val="00D43363"/>
    <w:rsid w:val="00D45420"/>
    <w:rsid w:val="00D46D62"/>
    <w:rsid w:val="00D52B3E"/>
    <w:rsid w:val="00D52D8F"/>
    <w:rsid w:val="00D54BD6"/>
    <w:rsid w:val="00D54F8E"/>
    <w:rsid w:val="00D57227"/>
    <w:rsid w:val="00D57524"/>
    <w:rsid w:val="00D6031F"/>
    <w:rsid w:val="00D65E52"/>
    <w:rsid w:val="00D706A3"/>
    <w:rsid w:val="00D70AFD"/>
    <w:rsid w:val="00D70E6F"/>
    <w:rsid w:val="00D7343A"/>
    <w:rsid w:val="00D7499B"/>
    <w:rsid w:val="00D76395"/>
    <w:rsid w:val="00D82084"/>
    <w:rsid w:val="00D82214"/>
    <w:rsid w:val="00D83C9E"/>
    <w:rsid w:val="00D85B9F"/>
    <w:rsid w:val="00D86795"/>
    <w:rsid w:val="00D87CFB"/>
    <w:rsid w:val="00D9120E"/>
    <w:rsid w:val="00D91BC9"/>
    <w:rsid w:val="00D94018"/>
    <w:rsid w:val="00D963F1"/>
    <w:rsid w:val="00D97ECD"/>
    <w:rsid w:val="00DA0288"/>
    <w:rsid w:val="00DA236F"/>
    <w:rsid w:val="00DA2A81"/>
    <w:rsid w:val="00DA6432"/>
    <w:rsid w:val="00DB00AC"/>
    <w:rsid w:val="00DB36FF"/>
    <w:rsid w:val="00DB42DF"/>
    <w:rsid w:val="00DB4B44"/>
    <w:rsid w:val="00DC0777"/>
    <w:rsid w:val="00DC0A5C"/>
    <w:rsid w:val="00DC24DC"/>
    <w:rsid w:val="00DC3ED7"/>
    <w:rsid w:val="00DC5FF9"/>
    <w:rsid w:val="00DD1AF7"/>
    <w:rsid w:val="00DD25B2"/>
    <w:rsid w:val="00DD2EBF"/>
    <w:rsid w:val="00DD344D"/>
    <w:rsid w:val="00DD38DC"/>
    <w:rsid w:val="00DD3E29"/>
    <w:rsid w:val="00DD6692"/>
    <w:rsid w:val="00DD716D"/>
    <w:rsid w:val="00DD7E17"/>
    <w:rsid w:val="00DE0B9A"/>
    <w:rsid w:val="00DE5213"/>
    <w:rsid w:val="00DE71F1"/>
    <w:rsid w:val="00DF26B5"/>
    <w:rsid w:val="00DF5CCB"/>
    <w:rsid w:val="00DF5E3B"/>
    <w:rsid w:val="00DF71B3"/>
    <w:rsid w:val="00E005E0"/>
    <w:rsid w:val="00E041EA"/>
    <w:rsid w:val="00E06723"/>
    <w:rsid w:val="00E10E99"/>
    <w:rsid w:val="00E12870"/>
    <w:rsid w:val="00E202A2"/>
    <w:rsid w:val="00E205E9"/>
    <w:rsid w:val="00E27A53"/>
    <w:rsid w:val="00E3014F"/>
    <w:rsid w:val="00E302D9"/>
    <w:rsid w:val="00E30E98"/>
    <w:rsid w:val="00E31682"/>
    <w:rsid w:val="00E323D2"/>
    <w:rsid w:val="00E32470"/>
    <w:rsid w:val="00E37CD4"/>
    <w:rsid w:val="00E41E33"/>
    <w:rsid w:val="00E42952"/>
    <w:rsid w:val="00E43C71"/>
    <w:rsid w:val="00E45038"/>
    <w:rsid w:val="00E459B7"/>
    <w:rsid w:val="00E4734B"/>
    <w:rsid w:val="00E4784A"/>
    <w:rsid w:val="00E51E5F"/>
    <w:rsid w:val="00E534E3"/>
    <w:rsid w:val="00E56861"/>
    <w:rsid w:val="00E57965"/>
    <w:rsid w:val="00E6459D"/>
    <w:rsid w:val="00E66C31"/>
    <w:rsid w:val="00E700B8"/>
    <w:rsid w:val="00E74A10"/>
    <w:rsid w:val="00E765CA"/>
    <w:rsid w:val="00E76A69"/>
    <w:rsid w:val="00E809C6"/>
    <w:rsid w:val="00E82F46"/>
    <w:rsid w:val="00E93F35"/>
    <w:rsid w:val="00E96534"/>
    <w:rsid w:val="00E96E04"/>
    <w:rsid w:val="00E970CA"/>
    <w:rsid w:val="00EA1761"/>
    <w:rsid w:val="00EA3527"/>
    <w:rsid w:val="00EA5B42"/>
    <w:rsid w:val="00EA621C"/>
    <w:rsid w:val="00EB28F6"/>
    <w:rsid w:val="00EB2E64"/>
    <w:rsid w:val="00EB47F3"/>
    <w:rsid w:val="00EB4E23"/>
    <w:rsid w:val="00EB62DC"/>
    <w:rsid w:val="00EB65A9"/>
    <w:rsid w:val="00EC0AA2"/>
    <w:rsid w:val="00EC23C8"/>
    <w:rsid w:val="00EC37B2"/>
    <w:rsid w:val="00EC46C5"/>
    <w:rsid w:val="00EC4C95"/>
    <w:rsid w:val="00EC66D4"/>
    <w:rsid w:val="00EC73BF"/>
    <w:rsid w:val="00ED088B"/>
    <w:rsid w:val="00ED1E5F"/>
    <w:rsid w:val="00ED3665"/>
    <w:rsid w:val="00ED46E2"/>
    <w:rsid w:val="00ED4CD0"/>
    <w:rsid w:val="00ED5403"/>
    <w:rsid w:val="00ED5E28"/>
    <w:rsid w:val="00EE0251"/>
    <w:rsid w:val="00EE3D25"/>
    <w:rsid w:val="00EE5246"/>
    <w:rsid w:val="00EE54E1"/>
    <w:rsid w:val="00EE6B80"/>
    <w:rsid w:val="00EF0F36"/>
    <w:rsid w:val="00F016CD"/>
    <w:rsid w:val="00F04074"/>
    <w:rsid w:val="00F1564A"/>
    <w:rsid w:val="00F16609"/>
    <w:rsid w:val="00F22C58"/>
    <w:rsid w:val="00F23353"/>
    <w:rsid w:val="00F24910"/>
    <w:rsid w:val="00F24A28"/>
    <w:rsid w:val="00F25B7B"/>
    <w:rsid w:val="00F31CD4"/>
    <w:rsid w:val="00F3275E"/>
    <w:rsid w:val="00F424E1"/>
    <w:rsid w:val="00F43C41"/>
    <w:rsid w:val="00F44F4D"/>
    <w:rsid w:val="00F46840"/>
    <w:rsid w:val="00F509EA"/>
    <w:rsid w:val="00F52078"/>
    <w:rsid w:val="00F52CFF"/>
    <w:rsid w:val="00F55A39"/>
    <w:rsid w:val="00F61CF7"/>
    <w:rsid w:val="00F7051C"/>
    <w:rsid w:val="00F7086A"/>
    <w:rsid w:val="00F7256A"/>
    <w:rsid w:val="00F770C9"/>
    <w:rsid w:val="00F8449D"/>
    <w:rsid w:val="00F850E4"/>
    <w:rsid w:val="00F910F6"/>
    <w:rsid w:val="00F91AE0"/>
    <w:rsid w:val="00F91E23"/>
    <w:rsid w:val="00F92EB6"/>
    <w:rsid w:val="00FA5BDC"/>
    <w:rsid w:val="00FA6146"/>
    <w:rsid w:val="00FA6A23"/>
    <w:rsid w:val="00FA7850"/>
    <w:rsid w:val="00FB0CD9"/>
    <w:rsid w:val="00FB0CE5"/>
    <w:rsid w:val="00FB1060"/>
    <w:rsid w:val="00FB2BB6"/>
    <w:rsid w:val="00FB4859"/>
    <w:rsid w:val="00FB5514"/>
    <w:rsid w:val="00FC6116"/>
    <w:rsid w:val="00FD1A69"/>
    <w:rsid w:val="00FD2DAC"/>
    <w:rsid w:val="00FD55CF"/>
    <w:rsid w:val="00FD739C"/>
    <w:rsid w:val="00FD7CA1"/>
    <w:rsid w:val="00FE4605"/>
    <w:rsid w:val="00FE67D3"/>
    <w:rsid w:val="00FE78C4"/>
    <w:rsid w:val="00FE7F34"/>
    <w:rsid w:val="00FF0979"/>
    <w:rsid w:val="00FF366E"/>
    <w:rsid w:val="00FF4D1F"/>
    <w:rsid w:val="00FF51FC"/>
    <w:rsid w:val="00FF5A37"/>
    <w:rsid w:val="00FF6030"/>
    <w:rsid w:val="00FF6DD1"/>
    <w:rsid w:val="00FF7E7A"/>
    <w:rsid w:val="00FF7F2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3AA5C1C"/>
  <w15:docId w15:val="{6097BB8F-44B3-407D-BD0C-BABDB6E5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3" w:uiPriority="43"/>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C16"/>
  </w:style>
  <w:style w:type="paragraph" w:styleId="Heading1">
    <w:name w:val="heading 1"/>
    <w:basedOn w:val="Heading2"/>
    <w:next w:val="Normal"/>
    <w:link w:val="Heading1Char"/>
    <w:uiPriority w:val="9"/>
    <w:qFormat/>
    <w:rsid w:val="0040640D"/>
    <w:pPr>
      <w:spacing w:before="480" w:after="240"/>
      <w:outlineLvl w:val="0"/>
    </w:pPr>
    <w:rPr>
      <w:sz w:val="32"/>
      <w:szCs w:val="32"/>
    </w:rPr>
  </w:style>
  <w:style w:type="paragraph" w:styleId="Heading2">
    <w:name w:val="heading 2"/>
    <w:basedOn w:val="Heading3"/>
    <w:next w:val="Normal"/>
    <w:link w:val="Heading2Char"/>
    <w:uiPriority w:val="9"/>
    <w:unhideWhenUsed/>
    <w:qFormat/>
    <w:rsid w:val="00EF0F36"/>
    <w:pPr>
      <w:spacing w:before="400"/>
      <w:ind w:left="578" w:hanging="578"/>
      <w:outlineLvl w:val="1"/>
    </w:pPr>
    <w:rPr>
      <w:color w:val="6B2976" w:themeColor="accent4"/>
      <w:sz w:val="26"/>
      <w:szCs w:val="26"/>
    </w:rPr>
  </w:style>
  <w:style w:type="paragraph" w:styleId="Heading3">
    <w:name w:val="heading 3"/>
    <w:basedOn w:val="Normal"/>
    <w:next w:val="Normal"/>
    <w:link w:val="Heading3Char"/>
    <w:uiPriority w:val="9"/>
    <w:unhideWhenUsed/>
    <w:qFormat/>
    <w:rsid w:val="00315545"/>
    <w:pPr>
      <w:keepNext/>
      <w:spacing w:before="200"/>
      <w:ind w:left="720" w:hanging="720"/>
      <w:outlineLvl w:val="2"/>
    </w:pPr>
    <w:rPr>
      <w:b/>
    </w:rPr>
  </w:style>
  <w:style w:type="paragraph" w:styleId="Heading4">
    <w:name w:val="heading 4"/>
    <w:basedOn w:val="Normal"/>
    <w:next w:val="Normal"/>
    <w:link w:val="Heading4Char"/>
    <w:uiPriority w:val="9"/>
    <w:unhideWhenUsed/>
    <w:qFormat/>
    <w:rsid w:val="00890E49"/>
    <w:pPr>
      <w:keepNext/>
      <w:spacing w:before="200"/>
      <w:ind w:left="862" w:hanging="862"/>
      <w:outlineLvl w:val="3"/>
    </w:pPr>
    <w:rPr>
      <w:u w:val="single"/>
    </w:rPr>
  </w:style>
  <w:style w:type="paragraph" w:styleId="Heading5">
    <w:name w:val="heading 5"/>
    <w:basedOn w:val="Normal"/>
    <w:next w:val="Normal"/>
    <w:link w:val="Heading5Char"/>
    <w:uiPriority w:val="9"/>
    <w:unhideWhenUsed/>
    <w:qFormat/>
    <w:rsid w:val="003526B1"/>
    <w:pPr>
      <w:numPr>
        <w:ilvl w:val="4"/>
        <w:numId w:val="4"/>
      </w:numPr>
      <w:spacing w:before="200" w:line="240" w:lineRule="auto"/>
      <w:ind w:left="1009" w:hanging="1009"/>
      <w:outlineLvl w:val="4"/>
    </w:pPr>
    <w:rPr>
      <w:b/>
    </w:rPr>
  </w:style>
  <w:style w:type="paragraph" w:styleId="Heading6">
    <w:name w:val="heading 6"/>
    <w:basedOn w:val="Normal"/>
    <w:next w:val="Normal"/>
    <w:link w:val="Heading6Char"/>
    <w:uiPriority w:val="9"/>
    <w:unhideWhenUsed/>
    <w:rsid w:val="004B54CA"/>
    <w:pPr>
      <w:numPr>
        <w:ilvl w:val="5"/>
        <w:numId w:val="4"/>
      </w:num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numPr>
        <w:ilvl w:val="6"/>
        <w:numId w:val="4"/>
      </w:num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numPr>
        <w:ilvl w:val="7"/>
        <w:numId w:val="4"/>
      </w:num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numPr>
        <w:ilvl w:val="8"/>
        <w:numId w:val="4"/>
      </w:num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5545"/>
    <w:rPr>
      <w:b/>
    </w:rPr>
  </w:style>
  <w:style w:type="character" w:customStyle="1" w:styleId="Heading2Char">
    <w:name w:val="Heading 2 Char"/>
    <w:basedOn w:val="DefaultParagraphFont"/>
    <w:link w:val="Heading2"/>
    <w:uiPriority w:val="9"/>
    <w:rsid w:val="00EF0F36"/>
    <w:rPr>
      <w:b/>
      <w:color w:val="6B2976" w:themeColor="accent4"/>
      <w:sz w:val="26"/>
      <w:szCs w:val="26"/>
    </w:rPr>
  </w:style>
  <w:style w:type="character" w:customStyle="1" w:styleId="Heading1Char">
    <w:name w:val="Heading 1 Char"/>
    <w:basedOn w:val="DefaultParagraphFont"/>
    <w:link w:val="Heading1"/>
    <w:uiPriority w:val="9"/>
    <w:rsid w:val="0040640D"/>
    <w:rPr>
      <w:b/>
      <w:color w:val="6B2976" w:themeColor="accent4"/>
      <w:sz w:val="32"/>
      <w:szCs w:val="32"/>
    </w:rPr>
  </w:style>
  <w:style w:type="character" w:customStyle="1" w:styleId="Heading4Char">
    <w:name w:val="Heading 4 Char"/>
    <w:basedOn w:val="DefaultParagraphFont"/>
    <w:link w:val="Heading4"/>
    <w:uiPriority w:val="9"/>
    <w:rsid w:val="00890E49"/>
    <w:rPr>
      <w:u w:val="single"/>
    </w:rPr>
  </w:style>
  <w:style w:type="character" w:customStyle="1" w:styleId="Heading5Char">
    <w:name w:val="Heading 5 Char"/>
    <w:basedOn w:val="DefaultParagraphFont"/>
    <w:link w:val="Heading5"/>
    <w:uiPriority w:val="9"/>
    <w:rsid w:val="003526B1"/>
    <w:rPr>
      <w:b/>
    </w:rPr>
  </w:style>
  <w:style w:type="character" w:customStyle="1" w:styleId="Heading6Char">
    <w:name w:val="Heading 6 Char"/>
    <w:basedOn w:val="DefaultParagraphFont"/>
    <w:link w:val="Heading6"/>
    <w:uiPriority w:val="9"/>
    <w:rsid w:val="004B54CA"/>
    <w:rPr>
      <w:rFonts w:eastAsiaTheme="majorEastAsia"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eastAsiaTheme="majorEastAsia" w:cstheme="majorBidi"/>
      <w:i/>
      <w:iCs/>
    </w:rPr>
  </w:style>
  <w:style w:type="character" w:customStyle="1" w:styleId="Heading8Char">
    <w:name w:val="Heading 8 Char"/>
    <w:basedOn w:val="DefaultParagraphFont"/>
    <w:link w:val="Heading8"/>
    <w:uiPriority w:val="9"/>
    <w:rsid w:val="004B54CA"/>
    <w:rPr>
      <w:rFonts w:eastAsiaTheme="majorEastAsia" w:cstheme="majorBidi"/>
      <w:sz w:val="20"/>
      <w:szCs w:val="20"/>
    </w:rPr>
  </w:style>
  <w:style w:type="character" w:customStyle="1" w:styleId="Heading9Char">
    <w:name w:val="Heading 9 Char"/>
    <w:basedOn w:val="DefaultParagraphFont"/>
    <w:link w:val="Heading9"/>
    <w:uiPriority w:val="9"/>
    <w:rsid w:val="004B54CA"/>
    <w:rPr>
      <w:rFonts w:eastAsiaTheme="majorEastAsia" w:cstheme="majorBidi"/>
      <w:i/>
      <w:iCs/>
      <w:spacing w:val="5"/>
      <w:sz w:val="20"/>
      <w:szCs w:val="20"/>
    </w:rPr>
  </w:style>
  <w:style w:type="paragraph" w:styleId="Quote">
    <w:name w:val="Quote"/>
    <w:basedOn w:val="Normal"/>
    <w:next w:val="Normal"/>
    <w:link w:val="QuoteChar"/>
    <w:uiPriority w:val="29"/>
    <w:qFormat/>
    <w:rsid w:val="00913052"/>
    <w:rPr>
      <w:i/>
      <w:iCs/>
      <w:color w:val="000000" w:themeColor="text1"/>
    </w:rPr>
  </w:style>
  <w:style w:type="character" w:customStyle="1" w:styleId="QuoteChar">
    <w:name w:val="Quote Char"/>
    <w:basedOn w:val="DefaultParagraphFont"/>
    <w:link w:val="Quote"/>
    <w:uiPriority w:val="29"/>
    <w:rsid w:val="00913052"/>
    <w:rPr>
      <w:i/>
      <w:iCs/>
      <w:color w:val="000000" w:themeColor="text1"/>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D57227"/>
    <w:pPr>
      <w:numPr>
        <w:numId w:val="6"/>
      </w:numPr>
    </w:p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link w:val="ListParagraph"/>
    <w:uiPriority w:val="34"/>
    <w:qFormat/>
    <w:locked/>
    <w:rsid w:val="00D57227"/>
  </w:style>
  <w:style w:type="paragraph" w:styleId="Caption">
    <w:name w:val="caption"/>
    <w:basedOn w:val="Normal"/>
    <w:next w:val="Normal"/>
    <w:link w:val="CaptionChar"/>
    <w:uiPriority w:val="3"/>
    <w:unhideWhenUsed/>
    <w:qFormat/>
    <w:rsid w:val="00182AC5"/>
    <w:pPr>
      <w:keepNext/>
      <w:spacing w:before="240" w:after="0"/>
      <w:jc w:val="center"/>
    </w:pPr>
    <w:rPr>
      <w:b/>
      <w:bCs/>
      <w:i/>
      <w:sz w:val="20"/>
      <w:szCs w:val="20"/>
    </w:rPr>
  </w:style>
  <w:style w:type="paragraph" w:styleId="TOCHeading">
    <w:name w:val="TOC Heading"/>
    <w:basedOn w:val="Heading1"/>
    <w:next w:val="Normal"/>
    <w:uiPriority w:val="39"/>
    <w:unhideWhenUsed/>
    <w:qFormat/>
    <w:rsid w:val="00B02EC7"/>
    <w:pPr>
      <w:outlineLvl w:val="9"/>
    </w:pPr>
  </w:style>
  <w:style w:type="paragraph" w:customStyle="1" w:styleId="Headingcover">
    <w:name w:val="Heading cover"/>
    <w:basedOn w:val="Normal"/>
    <w:qFormat/>
    <w:rsid w:val="00EC73BF"/>
    <w:pPr>
      <w:jc w:val="center"/>
    </w:pPr>
    <w:rPr>
      <w:rFonts w:cs="Arial"/>
      <w:b/>
      <w:color w:val="FFFFFF" w:themeColor="background1"/>
      <w:sz w:val="48"/>
      <w:szCs w:val="96"/>
    </w:rPr>
  </w:style>
  <w:style w:type="paragraph" w:styleId="Header">
    <w:name w:val="header"/>
    <w:basedOn w:val="Normal"/>
    <w:link w:val="HeaderChar"/>
    <w:uiPriority w:val="99"/>
    <w:unhideWhenUsed/>
    <w:qFormat/>
    <w:rsid w:val="00EE5246"/>
    <w:pPr>
      <w:pBdr>
        <w:bottom w:val="single" w:sz="18" w:space="1" w:color="6B2976" w:themeColor="accent4"/>
      </w:pBdr>
      <w:tabs>
        <w:tab w:val="center" w:pos="4513"/>
        <w:tab w:val="right" w:pos="9026"/>
      </w:tabs>
      <w:spacing w:after="0" w:line="240" w:lineRule="auto"/>
      <w:jc w:val="center"/>
    </w:pPr>
    <w:rPr>
      <w:i/>
      <w:color w:val="6B2976" w:themeColor="accent4"/>
    </w:rPr>
  </w:style>
  <w:style w:type="character" w:customStyle="1" w:styleId="HeaderChar">
    <w:name w:val="Header Char"/>
    <w:basedOn w:val="DefaultParagraphFont"/>
    <w:link w:val="Header"/>
    <w:uiPriority w:val="99"/>
    <w:rsid w:val="00EE5246"/>
    <w:rPr>
      <w:i/>
      <w:color w:val="6B2976" w:themeColor="accent4"/>
    </w:rPr>
  </w:style>
  <w:style w:type="paragraph" w:styleId="Footer">
    <w:name w:val="footer"/>
    <w:basedOn w:val="Normal"/>
    <w:link w:val="FooterChar"/>
    <w:uiPriority w:val="99"/>
    <w:unhideWhenUsed/>
    <w:rsid w:val="00EE5246"/>
    <w:pPr>
      <w:pBdr>
        <w:top w:val="single" w:sz="18" w:space="1" w:color="auto"/>
      </w:pBdr>
      <w:tabs>
        <w:tab w:val="center" w:pos="4513"/>
        <w:tab w:val="right" w:pos="9026"/>
      </w:tabs>
      <w:spacing w:after="0" w:line="240" w:lineRule="auto"/>
    </w:pPr>
  </w:style>
  <w:style w:type="character" w:customStyle="1" w:styleId="FooterChar">
    <w:name w:val="Footer Char"/>
    <w:basedOn w:val="DefaultParagraphFont"/>
    <w:link w:val="Footer"/>
    <w:uiPriority w:val="99"/>
    <w:rsid w:val="00EE5246"/>
  </w:style>
  <w:style w:type="character" w:styleId="PageNumber">
    <w:name w:val="page number"/>
    <w:basedOn w:val="DefaultParagraphFont"/>
    <w:uiPriority w:val="99"/>
    <w:semiHidden/>
    <w:unhideWhenUsed/>
    <w:rsid w:val="007219F1"/>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styleId="TOC1">
    <w:name w:val="toc 1"/>
    <w:basedOn w:val="Normal"/>
    <w:next w:val="Normal"/>
    <w:autoRedefine/>
    <w:uiPriority w:val="39"/>
    <w:unhideWhenUsed/>
    <w:qFormat/>
    <w:rsid w:val="00D54BD6"/>
    <w:pPr>
      <w:tabs>
        <w:tab w:val="left" w:pos="567"/>
        <w:tab w:val="right" w:leader="dot" w:pos="9016"/>
      </w:tabs>
    </w:pPr>
    <w:rPr>
      <w:b/>
    </w:rPr>
  </w:style>
  <w:style w:type="paragraph" w:styleId="TOC2">
    <w:name w:val="toc 2"/>
    <w:basedOn w:val="Normal"/>
    <w:next w:val="Normal"/>
    <w:autoRedefine/>
    <w:uiPriority w:val="39"/>
    <w:unhideWhenUsed/>
    <w:qFormat/>
    <w:rsid w:val="008521EA"/>
    <w:pPr>
      <w:ind w:left="567"/>
    </w:pPr>
  </w:style>
  <w:style w:type="paragraph" w:styleId="TOC3">
    <w:name w:val="toc 3"/>
    <w:basedOn w:val="Normal"/>
    <w:next w:val="Normal"/>
    <w:autoRedefine/>
    <w:uiPriority w:val="39"/>
    <w:unhideWhenUsed/>
    <w:qFormat/>
    <w:rsid w:val="00D54BD6"/>
    <w:pPr>
      <w:tabs>
        <w:tab w:val="left" w:pos="851"/>
        <w:tab w:val="right" w:leader="dot" w:pos="9016"/>
      </w:tabs>
      <w:ind w:left="567"/>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ind w:left="660"/>
    </w:pPr>
  </w:style>
  <w:style w:type="paragraph" w:styleId="TOC5">
    <w:name w:val="toc 5"/>
    <w:basedOn w:val="Normal"/>
    <w:next w:val="Normal"/>
    <w:autoRedefine/>
    <w:uiPriority w:val="39"/>
    <w:unhideWhenUsed/>
    <w:rsid w:val="0040062A"/>
    <w:pPr>
      <w:ind w:left="880"/>
    </w:pPr>
  </w:style>
  <w:style w:type="character" w:styleId="FootnoteReference">
    <w:name w:val="footnote reference"/>
    <w:basedOn w:val="DefaultParagraphFont"/>
    <w:uiPriority w:val="99"/>
    <w:unhideWhenUsed/>
    <w:rsid w:val="00070702"/>
    <w:rPr>
      <w:vertAlign w:val="superscript"/>
    </w:rPr>
  </w:style>
  <w:style w:type="table" w:styleId="TableGrid">
    <w:name w:val="Table Grid"/>
    <w:basedOn w:val="TableNormal"/>
    <w:uiPriority w:val="39"/>
    <w:rsid w:val="00913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ISDivision">
    <w:name w:val="NDIS Division"/>
    <w:basedOn w:val="Heading3"/>
    <w:next w:val="NDISSubdivision"/>
    <w:rsid w:val="006140AB"/>
    <w:pPr>
      <w:keepLines/>
      <w:spacing w:before="480" w:after="0"/>
    </w:pPr>
    <w:rPr>
      <w:rFonts w:eastAsia="Times New Roman" w:cs="Arial"/>
      <w:bCs/>
      <w:sz w:val="28"/>
      <w:szCs w:val="26"/>
      <w:lang w:eastAsia="en-AU"/>
    </w:rPr>
  </w:style>
  <w:style w:type="paragraph" w:customStyle="1" w:styleId="NDISPart">
    <w:name w:val="NDIS Part"/>
    <w:basedOn w:val="Heading2"/>
    <w:next w:val="NDISDivision"/>
    <w:rsid w:val="006140AB"/>
    <w:pPr>
      <w:keepLines/>
      <w:pageBreakBefore/>
      <w:spacing w:before="0" w:after="0"/>
    </w:pPr>
    <w:rPr>
      <w:rFonts w:eastAsia="Times New Roman" w:cs="Arial"/>
      <w:bCs/>
      <w:iCs/>
      <w:color w:val="7030A0"/>
      <w:sz w:val="32"/>
      <w:szCs w:val="28"/>
      <w:lang w:eastAsia="en-AU"/>
    </w:rPr>
  </w:style>
  <w:style w:type="paragraph" w:customStyle="1" w:styleId="NDISSubdivision">
    <w:name w:val="NDIS Subdivision"/>
    <w:basedOn w:val="NDISDivision"/>
    <w:next w:val="NDISSubsection"/>
    <w:rsid w:val="006140AB"/>
    <w:pPr>
      <w:ind w:left="864" w:hanging="864"/>
    </w:pPr>
    <w:rPr>
      <w:sz w:val="26"/>
    </w:rPr>
  </w:style>
  <w:style w:type="paragraph" w:customStyle="1" w:styleId="NDISSubsection">
    <w:name w:val="NDIS Subsection"/>
    <w:basedOn w:val="Normal"/>
    <w:rsid w:val="006140AB"/>
    <w:pPr>
      <w:spacing w:before="240" w:after="40"/>
    </w:pPr>
    <w:rPr>
      <w:rFonts w:eastAsia="Times New Roman" w:cs="Arial"/>
      <w:lang w:eastAsia="en-AU"/>
    </w:rPr>
  </w:style>
  <w:style w:type="paragraph" w:customStyle="1" w:styleId="NDISParagraph">
    <w:name w:val="NDIS Paragraph"/>
    <w:basedOn w:val="Normal"/>
    <w:rsid w:val="006140AB"/>
    <w:pPr>
      <w:spacing w:before="80" w:after="40"/>
    </w:pPr>
    <w:rPr>
      <w:rFonts w:eastAsia="Times New Roman" w:cs="Arial"/>
      <w:lang w:eastAsia="en-AU"/>
    </w:rPr>
  </w:style>
  <w:style w:type="paragraph" w:customStyle="1" w:styleId="NDISSubparagraph">
    <w:name w:val="NDIS Subparagraph"/>
    <w:basedOn w:val="NDISParagraph"/>
    <w:rsid w:val="006140AB"/>
    <w:pPr>
      <w:numPr>
        <w:ilvl w:val="6"/>
      </w:numPr>
    </w:pPr>
  </w:style>
  <w:style w:type="paragraph" w:customStyle="1" w:styleId="NDISSubsubparagraph">
    <w:name w:val="NDIS Subsubparagraph"/>
    <w:basedOn w:val="NDISParagraph"/>
    <w:rsid w:val="006140AB"/>
    <w:pPr>
      <w:numPr>
        <w:ilvl w:val="7"/>
      </w:numPr>
    </w:pPr>
  </w:style>
  <w:style w:type="paragraph" w:styleId="NoSpacing">
    <w:name w:val="No Spacing"/>
    <w:basedOn w:val="Normal"/>
    <w:link w:val="NoSpacingChar"/>
    <w:uiPriority w:val="1"/>
    <w:qFormat/>
    <w:rsid w:val="00DC24DC"/>
    <w:pPr>
      <w:spacing w:after="0" w:line="240" w:lineRule="auto"/>
    </w:pPr>
  </w:style>
  <w:style w:type="character" w:customStyle="1" w:styleId="NoSpacingChar">
    <w:name w:val="No Spacing Char"/>
    <w:basedOn w:val="DefaultParagraphFont"/>
    <w:link w:val="NoSpacing"/>
    <w:uiPriority w:val="1"/>
    <w:rsid w:val="00DC24DC"/>
  </w:style>
  <w:style w:type="paragraph" w:styleId="Subtitle">
    <w:name w:val="Subtitle"/>
    <w:basedOn w:val="Normal"/>
    <w:next w:val="Normal"/>
    <w:link w:val="SubtitleChar"/>
    <w:uiPriority w:val="11"/>
    <w:qFormat/>
    <w:rsid w:val="00DC24DC"/>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DC24DC"/>
    <w:rPr>
      <w:rFonts w:eastAsiaTheme="majorEastAsia" w:cstheme="majorBidi"/>
      <w:i/>
      <w:iCs/>
      <w:spacing w:val="13"/>
    </w:rPr>
  </w:style>
  <w:style w:type="character" w:styleId="SubtleEmphasis">
    <w:name w:val="Subtle Emphasis"/>
    <w:uiPriority w:val="19"/>
    <w:qFormat/>
    <w:rsid w:val="00DC24DC"/>
    <w:rPr>
      <w:i/>
      <w:iCs/>
    </w:rPr>
  </w:style>
  <w:style w:type="character" w:styleId="Strong">
    <w:name w:val="Strong"/>
    <w:uiPriority w:val="22"/>
    <w:qFormat/>
    <w:rsid w:val="00DC24DC"/>
    <w:rPr>
      <w:b/>
      <w:bCs/>
    </w:rPr>
  </w:style>
  <w:style w:type="character" w:styleId="Emphasis">
    <w:name w:val="Emphasis"/>
    <w:uiPriority w:val="20"/>
    <w:qFormat/>
    <w:rsid w:val="00DC24DC"/>
    <w:rPr>
      <w:b/>
      <w:bCs/>
      <w:i/>
      <w:iCs/>
      <w:spacing w:val="10"/>
      <w:bdr w:val="none" w:sz="0" w:space="0" w:color="auto"/>
      <w:shd w:val="clear" w:color="auto" w:fill="auto"/>
    </w:rPr>
  </w:style>
  <w:style w:type="character" w:styleId="IntenseEmphasis">
    <w:name w:val="Intense Emphasis"/>
    <w:uiPriority w:val="21"/>
    <w:qFormat/>
    <w:rsid w:val="00DC24DC"/>
    <w:rPr>
      <w:b/>
      <w:bCs/>
    </w:rPr>
  </w:style>
  <w:style w:type="paragraph" w:styleId="IntenseQuote">
    <w:name w:val="Intense Quote"/>
    <w:basedOn w:val="Normal"/>
    <w:next w:val="Normal"/>
    <w:link w:val="IntenseQuoteChar"/>
    <w:uiPriority w:val="30"/>
    <w:qFormat/>
    <w:rsid w:val="00DC24DC"/>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24DC"/>
    <w:rPr>
      <w:b/>
      <w:bCs/>
      <w:i/>
      <w:iCs/>
    </w:rPr>
  </w:style>
  <w:style w:type="character" w:styleId="SubtleReference">
    <w:name w:val="Subtle Reference"/>
    <w:uiPriority w:val="31"/>
    <w:qFormat/>
    <w:rsid w:val="00DC24DC"/>
    <w:rPr>
      <w:smallCaps/>
    </w:rPr>
  </w:style>
  <w:style w:type="character" w:styleId="IntenseReference">
    <w:name w:val="Intense Reference"/>
    <w:uiPriority w:val="32"/>
    <w:qFormat/>
    <w:rsid w:val="00DC24DC"/>
    <w:rPr>
      <w:smallCaps/>
      <w:spacing w:val="5"/>
      <w:u w:val="single"/>
    </w:rPr>
  </w:style>
  <w:style w:type="character" w:styleId="BookTitle">
    <w:name w:val="Book Title"/>
    <w:uiPriority w:val="33"/>
    <w:qFormat/>
    <w:rsid w:val="00DC24DC"/>
    <w:rPr>
      <w:color w:val="652F76"/>
      <w:sz w:val="52"/>
    </w:rPr>
  </w:style>
  <w:style w:type="paragraph" w:styleId="BalloonText">
    <w:name w:val="Balloon Text"/>
    <w:basedOn w:val="Normal"/>
    <w:link w:val="BalloonTextChar"/>
    <w:uiPriority w:val="99"/>
    <w:semiHidden/>
    <w:unhideWhenUsed/>
    <w:rsid w:val="00DC2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4DC"/>
    <w:rPr>
      <w:rFonts w:ascii="Tahoma" w:hAnsi="Tahoma" w:cs="Tahoma"/>
      <w:sz w:val="16"/>
      <w:szCs w:val="16"/>
    </w:rPr>
  </w:style>
  <w:style w:type="paragraph" w:styleId="NormalWeb">
    <w:name w:val="Normal (Web)"/>
    <w:basedOn w:val="Normal"/>
    <w:uiPriority w:val="99"/>
    <w:unhideWhenUsed/>
    <w:rsid w:val="00DC24DC"/>
    <w:pPr>
      <w:spacing w:before="240" w:line="360" w:lineRule="auto"/>
    </w:pPr>
    <w:rPr>
      <w:rFonts w:ascii="Times New Roman" w:eastAsia="Times New Roman" w:hAnsi="Times New Roman" w:cs="Times New Roman"/>
      <w:lang w:val="en-US"/>
    </w:rPr>
  </w:style>
  <w:style w:type="table" w:customStyle="1" w:styleId="GridTable1Light-Accent41">
    <w:name w:val="Grid Table 1 Light - Accent 41"/>
    <w:basedOn w:val="TableNormal"/>
    <w:uiPriority w:val="46"/>
    <w:rsid w:val="00DC24DC"/>
    <w:pPr>
      <w:spacing w:after="0" w:line="240" w:lineRule="auto"/>
    </w:pPr>
    <w:tblPr>
      <w:tblStyleRowBandSize w:val="1"/>
      <w:tblStyleColBandSize w:val="1"/>
      <w:tblBorders>
        <w:top w:val="single" w:sz="4" w:space="0" w:color="D096DA" w:themeColor="accent4" w:themeTint="66"/>
        <w:left w:val="single" w:sz="4" w:space="0" w:color="D096DA" w:themeColor="accent4" w:themeTint="66"/>
        <w:bottom w:val="single" w:sz="4" w:space="0" w:color="D096DA" w:themeColor="accent4" w:themeTint="66"/>
        <w:right w:val="single" w:sz="4" w:space="0" w:color="D096DA" w:themeColor="accent4" w:themeTint="66"/>
        <w:insideH w:val="single" w:sz="4" w:space="0" w:color="D096DA" w:themeColor="accent4" w:themeTint="66"/>
        <w:insideV w:val="single" w:sz="4" w:space="0" w:color="D096DA" w:themeColor="accent4" w:themeTint="66"/>
      </w:tblBorders>
    </w:tblPr>
    <w:tblStylePr w:type="firstRow">
      <w:rPr>
        <w:b/>
        <w:bCs/>
      </w:rPr>
      <w:tblPr/>
      <w:tcPr>
        <w:tcBorders>
          <w:bottom w:val="single" w:sz="12" w:space="0" w:color="B962C8" w:themeColor="accent4" w:themeTint="99"/>
        </w:tcBorders>
      </w:tcPr>
    </w:tblStylePr>
    <w:tblStylePr w:type="lastRow">
      <w:rPr>
        <w:b/>
        <w:bCs/>
      </w:rPr>
      <w:tblPr/>
      <w:tcPr>
        <w:tcBorders>
          <w:top w:val="double" w:sz="2" w:space="0" w:color="B962C8"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unhideWhenUsed/>
    <w:rsid w:val="00DC24DC"/>
    <w:rPr>
      <w:sz w:val="16"/>
      <w:szCs w:val="16"/>
    </w:rPr>
  </w:style>
  <w:style w:type="paragraph" w:styleId="CommentText">
    <w:name w:val="annotation text"/>
    <w:basedOn w:val="Normal"/>
    <w:link w:val="CommentTextChar"/>
    <w:uiPriority w:val="99"/>
    <w:unhideWhenUsed/>
    <w:rsid w:val="00DC24DC"/>
    <w:pPr>
      <w:spacing w:line="240" w:lineRule="auto"/>
    </w:pPr>
    <w:rPr>
      <w:sz w:val="20"/>
      <w:szCs w:val="20"/>
    </w:rPr>
  </w:style>
  <w:style w:type="character" w:customStyle="1" w:styleId="CommentTextChar">
    <w:name w:val="Comment Text Char"/>
    <w:basedOn w:val="DefaultParagraphFont"/>
    <w:link w:val="CommentText"/>
    <w:uiPriority w:val="99"/>
    <w:rsid w:val="00DC24DC"/>
    <w:rPr>
      <w:sz w:val="20"/>
      <w:szCs w:val="20"/>
    </w:rPr>
  </w:style>
  <w:style w:type="paragraph" w:styleId="CommentSubject">
    <w:name w:val="annotation subject"/>
    <w:basedOn w:val="CommentText"/>
    <w:next w:val="CommentText"/>
    <w:link w:val="CommentSubjectChar"/>
    <w:uiPriority w:val="99"/>
    <w:semiHidden/>
    <w:unhideWhenUsed/>
    <w:rsid w:val="00DC24DC"/>
    <w:rPr>
      <w:b/>
      <w:bCs/>
    </w:rPr>
  </w:style>
  <w:style w:type="character" w:customStyle="1" w:styleId="CommentSubjectChar">
    <w:name w:val="Comment Subject Char"/>
    <w:basedOn w:val="CommentTextChar"/>
    <w:link w:val="CommentSubject"/>
    <w:uiPriority w:val="99"/>
    <w:semiHidden/>
    <w:rsid w:val="00DC24DC"/>
    <w:rPr>
      <w:b/>
      <w:bCs/>
      <w:sz w:val="20"/>
      <w:szCs w:val="20"/>
    </w:rPr>
  </w:style>
  <w:style w:type="paragraph" w:customStyle="1" w:styleId="Default">
    <w:name w:val="Default"/>
    <w:rsid w:val="00DC24DC"/>
    <w:pPr>
      <w:autoSpaceDE w:val="0"/>
      <w:autoSpaceDN w:val="0"/>
      <w:adjustRightInd w:val="0"/>
      <w:spacing w:after="0" w:line="240" w:lineRule="auto"/>
    </w:pPr>
    <w:rPr>
      <w:rFonts w:ascii="Arial" w:hAnsi="Arial" w:cs="Arial"/>
      <w:color w:val="000000"/>
    </w:rPr>
  </w:style>
  <w:style w:type="paragraph" w:styleId="Revision">
    <w:name w:val="Revision"/>
    <w:hidden/>
    <w:uiPriority w:val="99"/>
    <w:semiHidden/>
    <w:rsid w:val="00DC24DC"/>
    <w:pPr>
      <w:spacing w:after="0" w:line="240" w:lineRule="auto"/>
    </w:pPr>
    <w:rPr>
      <w:rFonts w:ascii="Arial" w:hAnsi="Arial"/>
    </w:rPr>
  </w:style>
  <w:style w:type="paragraph" w:styleId="FootnoteText">
    <w:name w:val="footnote text"/>
    <w:basedOn w:val="Normal"/>
    <w:link w:val="FootnoteTextChar"/>
    <w:uiPriority w:val="99"/>
    <w:unhideWhenUsed/>
    <w:qFormat/>
    <w:rsid w:val="00D54BD6"/>
    <w:pPr>
      <w:spacing w:line="240" w:lineRule="atLeast"/>
      <w:ind w:left="284" w:hanging="284"/>
    </w:pPr>
    <w:rPr>
      <w:sz w:val="18"/>
      <w:szCs w:val="20"/>
    </w:rPr>
  </w:style>
  <w:style w:type="character" w:customStyle="1" w:styleId="FootnoteTextChar">
    <w:name w:val="Footnote Text Char"/>
    <w:basedOn w:val="DefaultParagraphFont"/>
    <w:link w:val="FootnoteText"/>
    <w:uiPriority w:val="99"/>
    <w:rsid w:val="00D54BD6"/>
    <w:rPr>
      <w:sz w:val="18"/>
      <w:szCs w:val="20"/>
    </w:rPr>
  </w:style>
  <w:style w:type="character" w:customStyle="1" w:styleId="tgc">
    <w:name w:val="_tgc"/>
    <w:basedOn w:val="DefaultParagraphFont"/>
    <w:rsid w:val="00DC24DC"/>
  </w:style>
  <w:style w:type="table" w:styleId="GridTable6Colorful-Accent1">
    <w:name w:val="Grid Table 6 Colorful Accent 1"/>
    <w:basedOn w:val="TableNormal"/>
    <w:uiPriority w:val="51"/>
    <w:rsid w:val="00DC24D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DC24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DC24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DC24D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1">
    <w:name w:val="No List1"/>
    <w:next w:val="NoList"/>
    <w:uiPriority w:val="99"/>
    <w:semiHidden/>
    <w:unhideWhenUsed/>
    <w:rsid w:val="00DC24DC"/>
  </w:style>
  <w:style w:type="table" w:customStyle="1" w:styleId="TableGrid1">
    <w:name w:val="Table Grid1"/>
    <w:basedOn w:val="TableNormal"/>
    <w:next w:val="TableGrid"/>
    <w:uiPriority w:val="39"/>
    <w:rsid w:val="00DC2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DC24DC"/>
    <w:pPr>
      <w:spacing w:after="0" w:line="240" w:lineRule="auto"/>
      <w:ind w:left="220" w:hanging="220"/>
    </w:pPr>
  </w:style>
  <w:style w:type="paragraph" w:styleId="Index2">
    <w:name w:val="index 2"/>
    <w:basedOn w:val="Normal"/>
    <w:next w:val="Normal"/>
    <w:autoRedefine/>
    <w:uiPriority w:val="99"/>
    <w:semiHidden/>
    <w:unhideWhenUsed/>
    <w:rsid w:val="00DC24DC"/>
    <w:pPr>
      <w:spacing w:after="0" w:line="240" w:lineRule="auto"/>
      <w:ind w:left="440" w:hanging="220"/>
    </w:pPr>
  </w:style>
  <w:style w:type="table" w:customStyle="1" w:styleId="GridTable4-Accent52">
    <w:name w:val="Grid Table 4 - Accent 5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DC24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24DC"/>
    <w:rPr>
      <w:sz w:val="20"/>
      <w:szCs w:val="20"/>
    </w:rPr>
  </w:style>
  <w:style w:type="character" w:styleId="EndnoteReference">
    <w:name w:val="endnote reference"/>
    <w:basedOn w:val="DefaultParagraphFont"/>
    <w:uiPriority w:val="99"/>
    <w:semiHidden/>
    <w:unhideWhenUsed/>
    <w:rsid w:val="00DC24DC"/>
    <w:rPr>
      <w:vertAlign w:val="superscript"/>
    </w:rPr>
  </w:style>
  <w:style w:type="character" w:styleId="FollowedHyperlink">
    <w:name w:val="FollowedHyperlink"/>
    <w:basedOn w:val="DefaultParagraphFont"/>
    <w:uiPriority w:val="99"/>
    <w:semiHidden/>
    <w:unhideWhenUsed/>
    <w:rsid w:val="00DC24DC"/>
    <w:rPr>
      <w:color w:val="800080" w:themeColor="followedHyperlink"/>
      <w:u w:val="single"/>
    </w:rPr>
  </w:style>
  <w:style w:type="character" w:customStyle="1" w:styleId="CaptionChar">
    <w:name w:val="Caption Char"/>
    <w:basedOn w:val="DefaultParagraphFont"/>
    <w:link w:val="Caption"/>
    <w:uiPriority w:val="3"/>
    <w:rsid w:val="00182AC5"/>
    <w:rPr>
      <w:b/>
      <w:bCs/>
      <w:i/>
      <w:sz w:val="20"/>
      <w:szCs w:val="20"/>
    </w:rPr>
  </w:style>
  <w:style w:type="paragraph" w:customStyle="1" w:styleId="Source">
    <w:name w:val="Source"/>
    <w:basedOn w:val="Normal"/>
    <w:uiPriority w:val="6"/>
    <w:rsid w:val="00DC24DC"/>
    <w:rPr>
      <w:i/>
      <w:sz w:val="18"/>
    </w:rPr>
  </w:style>
  <w:style w:type="paragraph" w:customStyle="1" w:styleId="tablelistbullet">
    <w:name w:val="table list bullet"/>
    <w:basedOn w:val="ListParagraph"/>
    <w:qFormat/>
    <w:rsid w:val="00DC24DC"/>
    <w:pPr>
      <w:tabs>
        <w:tab w:val="num" w:pos="360"/>
      </w:tabs>
      <w:spacing w:before="0" w:line="240" w:lineRule="auto"/>
      <w:ind w:left="720"/>
      <w:contextualSpacing/>
    </w:pPr>
    <w:rPr>
      <w:rFonts w:eastAsia="MS Mincho" w:cs="FSMe-Bold"/>
      <w:spacing w:val="-2"/>
      <w:sz w:val="20"/>
      <w:szCs w:val="20"/>
      <w:lang w:val="en-US"/>
    </w:rPr>
  </w:style>
  <w:style w:type="paragraph" w:customStyle="1" w:styleId="BodyText1">
    <w:name w:val="Body Text1"/>
    <w:basedOn w:val="Normal"/>
    <w:uiPriority w:val="99"/>
    <w:qFormat/>
    <w:rsid w:val="00DC24DC"/>
    <w:pPr>
      <w:spacing w:before="0" w:line="240" w:lineRule="auto"/>
    </w:pPr>
    <w:rPr>
      <w:rFonts w:eastAsia="MS Mincho" w:cs="FSMe-Bold"/>
      <w:spacing w:val="-2"/>
      <w:sz w:val="20"/>
      <w:szCs w:val="20"/>
      <w:lang w:val="en-US"/>
    </w:rPr>
  </w:style>
  <w:style w:type="paragraph" w:customStyle="1" w:styleId="Eventbodycopy">
    <w:name w:val="Event body copy"/>
    <w:basedOn w:val="Normal"/>
    <w:qFormat/>
    <w:rsid w:val="00DC24DC"/>
    <w:pPr>
      <w:widowControl w:val="0"/>
      <w:suppressAutoHyphens/>
      <w:autoSpaceDE w:val="0"/>
      <w:autoSpaceDN w:val="0"/>
      <w:adjustRightInd w:val="0"/>
      <w:spacing w:before="0" w:after="200" w:line="24" w:lineRule="atLeast"/>
      <w:textAlignment w:val="center"/>
    </w:pPr>
    <w:rPr>
      <w:rFonts w:eastAsiaTheme="minorEastAsia" w:cs="Arial"/>
      <w:color w:val="000000"/>
      <w:lang w:val="en-US" w:eastAsia="ja-JP"/>
    </w:rPr>
  </w:style>
  <w:style w:type="paragraph" w:styleId="ListBullet">
    <w:name w:val="List Bullet"/>
    <w:basedOn w:val="Normal"/>
    <w:autoRedefine/>
    <w:uiPriority w:val="99"/>
    <w:unhideWhenUsed/>
    <w:qFormat/>
    <w:rsid w:val="00DC24DC"/>
    <w:pPr>
      <w:numPr>
        <w:numId w:val="1"/>
      </w:numPr>
      <w:pBdr>
        <w:top w:val="single" w:sz="4" w:space="1" w:color="auto"/>
        <w:left w:val="single" w:sz="4" w:space="1" w:color="auto"/>
        <w:bottom w:val="single" w:sz="4" w:space="1" w:color="auto"/>
        <w:right w:val="single" w:sz="4" w:space="1" w:color="auto"/>
      </w:pBdr>
      <w:shd w:val="clear" w:color="auto" w:fill="F2F2F2" w:themeFill="background1" w:themeFillShade="F2"/>
      <w:spacing w:after="200" w:line="240" w:lineRule="auto"/>
    </w:pPr>
    <w:rPr>
      <w:rFonts w:eastAsiaTheme="minorEastAsia" w:cs="Arial"/>
      <w:spacing w:val="-3"/>
      <w:kern w:val="1"/>
      <w:szCs w:val="20"/>
      <w:lang w:val="en-GB"/>
    </w:rPr>
  </w:style>
  <w:style w:type="paragraph" w:customStyle="1" w:styleId="NDISSandwich">
    <w:name w:val="NDIS Sandwich"/>
    <w:basedOn w:val="NDISSubsection"/>
    <w:next w:val="NDISSubsection"/>
    <w:rsid w:val="00DC24DC"/>
    <w:pPr>
      <w:spacing w:before="80"/>
      <w:ind w:left="567"/>
    </w:pPr>
  </w:style>
  <w:style w:type="character" w:styleId="PlaceholderText">
    <w:name w:val="Placeholder Text"/>
    <w:basedOn w:val="DefaultParagraphFont"/>
    <w:uiPriority w:val="99"/>
    <w:semiHidden/>
    <w:rsid w:val="00DC24DC"/>
    <w:rPr>
      <w:color w:val="808080"/>
    </w:rPr>
  </w:style>
  <w:style w:type="paragraph" w:customStyle="1" w:styleId="PlainParagraph">
    <w:name w:val="Plain Paragraph"/>
    <w:aliases w:val="PP"/>
    <w:basedOn w:val="Normal"/>
    <w:link w:val="PlainParagraphChar"/>
    <w:rsid w:val="00DC24DC"/>
    <w:pPr>
      <w:spacing w:before="140" w:after="140"/>
    </w:pPr>
    <w:rPr>
      <w:rFonts w:eastAsia="Times New Roman" w:cs="Arial"/>
      <w:lang w:eastAsia="en-AU"/>
    </w:rPr>
  </w:style>
  <w:style w:type="character" w:customStyle="1" w:styleId="PlainParagraphChar">
    <w:name w:val="Plain Paragraph Char"/>
    <w:aliases w:val="PP Char"/>
    <w:basedOn w:val="DefaultParagraphFont"/>
    <w:link w:val="PlainParagraph"/>
    <w:rsid w:val="00DC24DC"/>
    <w:rPr>
      <w:rFonts w:eastAsia="Times New Roman" w:cs="Arial"/>
      <w:sz w:val="22"/>
      <w:lang w:eastAsia="en-AU"/>
    </w:rPr>
  </w:style>
  <w:style w:type="paragraph" w:customStyle="1" w:styleId="Dot1">
    <w:name w:val="Dot1"/>
    <w:aliases w:val="DOT"/>
    <w:basedOn w:val="Normal"/>
    <w:link w:val="Dot1Char"/>
    <w:uiPriority w:val="2"/>
    <w:qFormat/>
    <w:rsid w:val="00DC24DC"/>
    <w:pPr>
      <w:numPr>
        <w:ilvl w:val="1"/>
        <w:numId w:val="2"/>
      </w:numPr>
      <w:spacing w:before="0" w:after="140"/>
    </w:pPr>
    <w:rPr>
      <w:rFonts w:eastAsia="Times New Roman" w:cs="Arial"/>
      <w:lang w:eastAsia="en-AU"/>
    </w:rPr>
  </w:style>
  <w:style w:type="character" w:customStyle="1" w:styleId="Dot1Char">
    <w:name w:val="Dot1 Char"/>
    <w:aliases w:val="DOT Char"/>
    <w:basedOn w:val="DefaultParagraphFont"/>
    <w:link w:val="Dot1"/>
    <w:uiPriority w:val="2"/>
    <w:rsid w:val="00DC24DC"/>
    <w:rPr>
      <w:rFonts w:eastAsia="Times New Roman" w:cs="Arial"/>
      <w:lang w:eastAsia="en-AU"/>
    </w:rPr>
  </w:style>
  <w:style w:type="paragraph" w:customStyle="1" w:styleId="CEOBrief-Heading1">
    <w:name w:val="CEO Brief - Heading 1"/>
    <w:basedOn w:val="ListParagraph"/>
    <w:rsid w:val="00DC24DC"/>
    <w:pPr>
      <w:numPr>
        <w:numId w:val="3"/>
      </w:numPr>
      <w:spacing w:line="240" w:lineRule="auto"/>
    </w:pPr>
    <w:rPr>
      <w:rFonts w:eastAsia="Times New Roman" w:cs="Arial"/>
      <w:b/>
      <w:color w:val="6B2F76"/>
    </w:rPr>
  </w:style>
  <w:style w:type="paragraph" w:customStyle="1" w:styleId="CEOBrief-Paragraph1">
    <w:name w:val="CEO Brief - Paragraph 1"/>
    <w:basedOn w:val="ListParagraph"/>
    <w:link w:val="CEOBrief-Paragraph1Char"/>
    <w:rsid w:val="00DC24DC"/>
    <w:pPr>
      <w:spacing w:line="240" w:lineRule="auto"/>
    </w:pPr>
    <w:rPr>
      <w:rFonts w:eastAsia="Times New Roman" w:cs="Arial"/>
    </w:rPr>
  </w:style>
  <w:style w:type="paragraph" w:customStyle="1" w:styleId="CEOBrief-Paragraph2">
    <w:name w:val="CEO Brief - Paragraph 2"/>
    <w:basedOn w:val="CEOBrief-Paragraph1"/>
    <w:rsid w:val="00DC24DC"/>
    <w:pPr>
      <w:numPr>
        <w:ilvl w:val="2"/>
        <w:numId w:val="3"/>
      </w:numPr>
      <w:ind w:left="2160" w:hanging="360"/>
    </w:pPr>
  </w:style>
  <w:style w:type="character" w:customStyle="1" w:styleId="CEOBrief-Paragraph1Char">
    <w:name w:val="CEO Brief - Paragraph 1 Char"/>
    <w:basedOn w:val="ListParagraphChar"/>
    <w:link w:val="CEOBrief-Paragraph1"/>
    <w:rsid w:val="00DC24DC"/>
    <w:rPr>
      <w:rFonts w:eastAsia="Times New Roman" w:cs="Arial"/>
    </w:rPr>
  </w:style>
  <w:style w:type="table" w:styleId="GridTable4-Accent4">
    <w:name w:val="Grid Table 4 Accent 4"/>
    <w:basedOn w:val="TableNormal"/>
    <w:uiPriority w:val="49"/>
    <w:rsid w:val="00A9435F"/>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table" w:styleId="PlainTable4">
    <w:name w:val="Plain Table 4"/>
    <w:basedOn w:val="TableNormal"/>
    <w:uiPriority w:val="99"/>
    <w:rsid w:val="008B4D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Table">
    <w:name w:val="Caption_Table"/>
    <w:basedOn w:val="Normal"/>
    <w:next w:val="Normal"/>
    <w:uiPriority w:val="4"/>
    <w:rsid w:val="00795B27"/>
    <w:pPr>
      <w:keepNext/>
      <w:keepLines/>
      <w:numPr>
        <w:ilvl w:val="6"/>
        <w:numId w:val="5"/>
      </w:numPr>
      <w:spacing w:before="240" w:after="240" w:line="240" w:lineRule="atLeast"/>
    </w:pPr>
    <w:rPr>
      <w:rFonts w:eastAsia="Times New Roman" w:cs="Times New Roman"/>
      <w:color w:val="F79646" w:themeColor="accent6"/>
      <w:sz w:val="17"/>
      <w:szCs w:val="20"/>
      <w:lang w:val="en-GB"/>
    </w:rPr>
  </w:style>
  <w:style w:type="paragraph" w:customStyle="1" w:styleId="CaptionFigure">
    <w:name w:val="Caption_Figure"/>
    <w:basedOn w:val="Normal"/>
    <w:next w:val="Normal"/>
    <w:uiPriority w:val="4"/>
    <w:rsid w:val="00795B27"/>
    <w:pPr>
      <w:keepNext/>
      <w:keepLines/>
      <w:numPr>
        <w:ilvl w:val="8"/>
        <w:numId w:val="5"/>
      </w:numPr>
      <w:spacing w:before="200" w:after="200" w:line="240" w:lineRule="atLeast"/>
    </w:pPr>
    <w:rPr>
      <w:bCs/>
      <w:color w:val="F79646" w:themeColor="accent6"/>
      <w:sz w:val="17"/>
      <w:lang w:val="en-GB"/>
    </w:rPr>
  </w:style>
  <w:style w:type="paragraph" w:customStyle="1" w:styleId="CaptionChart">
    <w:name w:val="Caption_Chart"/>
    <w:basedOn w:val="Normal"/>
    <w:next w:val="Normal"/>
    <w:uiPriority w:val="4"/>
    <w:rsid w:val="00795B27"/>
    <w:pPr>
      <w:keepNext/>
      <w:keepLines/>
      <w:numPr>
        <w:ilvl w:val="7"/>
        <w:numId w:val="5"/>
      </w:numPr>
      <w:spacing w:before="200" w:after="200" w:line="240" w:lineRule="atLeast"/>
    </w:pPr>
    <w:rPr>
      <w:color w:val="F79646" w:themeColor="accent6"/>
      <w:sz w:val="17"/>
      <w:lang w:val="en-GB"/>
    </w:rPr>
  </w:style>
  <w:style w:type="paragraph" w:styleId="PlainText">
    <w:name w:val="Plain Text"/>
    <w:basedOn w:val="Normal"/>
    <w:link w:val="PlainTextChar"/>
    <w:uiPriority w:val="99"/>
    <w:unhideWhenUsed/>
    <w:rsid w:val="007F6999"/>
    <w:pPr>
      <w:spacing w:before="0" w:after="0" w:line="240" w:lineRule="auto"/>
    </w:pPr>
    <w:rPr>
      <w:rFonts w:ascii="Calibri" w:hAnsi="Calibri"/>
      <w:szCs w:val="21"/>
    </w:rPr>
  </w:style>
  <w:style w:type="character" w:customStyle="1" w:styleId="PlainTextChar">
    <w:name w:val="Plain Text Char"/>
    <w:basedOn w:val="DefaultParagraphFont"/>
    <w:link w:val="PlainText"/>
    <w:uiPriority w:val="99"/>
    <w:rsid w:val="007F6999"/>
    <w:rPr>
      <w:rFonts w:ascii="Calibri" w:hAnsi="Calibri"/>
      <w:szCs w:val="21"/>
    </w:rPr>
  </w:style>
  <w:style w:type="paragraph" w:styleId="TableofFigures">
    <w:name w:val="table of figures"/>
    <w:basedOn w:val="Normal"/>
    <w:next w:val="Normal"/>
    <w:uiPriority w:val="99"/>
    <w:unhideWhenUsed/>
    <w:rsid w:val="00EE5246"/>
    <w:pPr>
      <w:spacing w:after="0"/>
    </w:pPr>
  </w:style>
  <w:style w:type="numbering" w:customStyle="1" w:styleId="Style1">
    <w:name w:val="Style1"/>
    <w:uiPriority w:val="99"/>
    <w:rsid w:val="004C6B51"/>
    <w:pPr>
      <w:numPr>
        <w:numId w:val="7"/>
      </w:numPr>
    </w:pPr>
  </w:style>
  <w:style w:type="table" w:styleId="PlainTable3">
    <w:name w:val="Plain Table 3"/>
    <w:basedOn w:val="TableNormal"/>
    <w:uiPriority w:val="43"/>
    <w:rsid w:val="003A3C03"/>
    <w:pPr>
      <w:spacing w:before="0" w:after="0" w:line="240" w:lineRule="auto"/>
    </w:pPr>
    <w:rPr>
      <w:sz w:val="18"/>
    </w:rPr>
    <w:tblPr>
      <w:tblStyleRowBandSize w:val="1"/>
      <w:tblStyleColBandSize w:val="1"/>
    </w:tblPr>
    <w:tblStylePr w:type="firstRow">
      <w:rPr>
        <w:b w:val="0"/>
        <w:bCs/>
        <w:i w:val="0"/>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i w:val="0"/>
        <w:caps w:val="0"/>
        <w:smallCaps w:val="0"/>
        <w:sz w:val="18"/>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aragraphStyle">
    <w:name w:val="Paragraph Style"/>
    <w:basedOn w:val="Normal"/>
    <w:link w:val="ParagraphStyleChar"/>
    <w:qFormat/>
    <w:rsid w:val="003A3C03"/>
    <w:pPr>
      <w:spacing w:before="0" w:after="0" w:line="240" w:lineRule="auto"/>
    </w:pPr>
    <w:rPr>
      <w:rFonts w:ascii="Arial" w:eastAsiaTheme="minorEastAsia" w:hAnsi="Arial" w:cs="Arial"/>
    </w:rPr>
  </w:style>
  <w:style w:type="character" w:customStyle="1" w:styleId="ParagraphStyleChar">
    <w:name w:val="Paragraph Style Char"/>
    <w:basedOn w:val="DefaultParagraphFont"/>
    <w:link w:val="ParagraphStyle"/>
    <w:rsid w:val="003A3C03"/>
    <w:rPr>
      <w:rFonts w:ascii="Arial" w:eastAsiaTheme="minorEastAsia" w:hAnsi="Arial" w:cs="Arial"/>
    </w:rPr>
  </w:style>
  <w:style w:type="paragraph" w:customStyle="1" w:styleId="DotPoint">
    <w:name w:val="Dot Point"/>
    <w:basedOn w:val="Normal"/>
    <w:link w:val="DotPointChar"/>
    <w:qFormat/>
    <w:rsid w:val="00B61463"/>
    <w:pPr>
      <w:numPr>
        <w:numId w:val="10"/>
      </w:numPr>
    </w:pPr>
  </w:style>
  <w:style w:type="character" w:customStyle="1" w:styleId="DotPointChar">
    <w:name w:val="Dot Point Char"/>
    <w:basedOn w:val="DefaultParagraphFont"/>
    <w:link w:val="DotPoint"/>
    <w:rsid w:val="00B61463"/>
  </w:style>
  <w:style w:type="table" w:styleId="GridTable5Dark-Accent4">
    <w:name w:val="Grid Table 5 Dark Accent 4"/>
    <w:basedOn w:val="TableNormal"/>
    <w:uiPriority w:val="50"/>
    <w:rsid w:val="001C00DA"/>
    <w:pPr>
      <w:spacing w:before="14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CA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297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297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297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B2976" w:themeFill="accent4"/>
      </w:tcPr>
    </w:tblStylePr>
    <w:tblStylePr w:type="band1Vert">
      <w:tblPr/>
      <w:tcPr>
        <w:shd w:val="clear" w:color="auto" w:fill="D096DA" w:themeFill="accent4" w:themeFillTint="66"/>
      </w:tcPr>
    </w:tblStylePr>
    <w:tblStylePr w:type="band1Horz">
      <w:tblPr/>
      <w:tcPr>
        <w:shd w:val="clear" w:color="auto" w:fill="D096DA" w:themeFill="accent4" w:themeFillTint="66"/>
      </w:tcPr>
    </w:tblStylePr>
  </w:style>
  <w:style w:type="paragraph" w:customStyle="1" w:styleId="msonormal0">
    <w:name w:val="msonormal"/>
    <w:basedOn w:val="Normal"/>
    <w:rsid w:val="00AE0D61"/>
    <w:pPr>
      <w:spacing w:beforeAutospacing="1" w:afterAutospacing="1" w:line="240" w:lineRule="auto"/>
    </w:pPr>
    <w:rPr>
      <w:rFonts w:ascii="Times New Roman" w:eastAsia="Times New Roman" w:hAnsi="Times New Roman" w:cs="Times New Roman"/>
      <w:sz w:val="24"/>
      <w:szCs w:val="24"/>
      <w:lang w:eastAsia="en-AU"/>
    </w:rPr>
  </w:style>
  <w:style w:type="paragraph" w:customStyle="1" w:styleId="xl63">
    <w:name w:val="xl63"/>
    <w:basedOn w:val="Normal"/>
    <w:rsid w:val="00AE0D61"/>
    <w:pPr>
      <w:spacing w:beforeAutospacing="1" w:afterAutospacing="1" w:line="240" w:lineRule="auto"/>
    </w:pPr>
    <w:rPr>
      <w:rFonts w:ascii="Times New Roman" w:eastAsia="Times New Roman" w:hAnsi="Times New Roman" w:cs="Times New Roman"/>
      <w:sz w:val="24"/>
      <w:szCs w:val="24"/>
      <w:lang w:eastAsia="en-AU"/>
    </w:rPr>
  </w:style>
  <w:style w:type="paragraph" w:customStyle="1" w:styleId="Bodytext-Guide">
    <w:name w:val="Body text - Guide"/>
    <w:basedOn w:val="NormalWeb"/>
    <w:link w:val="Bodytext-GuideChar"/>
    <w:rsid w:val="0080661E"/>
    <w:pPr>
      <w:spacing w:before="0" w:after="160" w:line="320" w:lineRule="atLeast"/>
    </w:pPr>
    <w:rPr>
      <w:rFonts w:ascii="Arial" w:hAnsi="Arial" w:cs="Arial"/>
      <w:szCs w:val="18"/>
      <w:lang w:val="en-AU"/>
    </w:rPr>
  </w:style>
  <w:style w:type="character" w:customStyle="1" w:styleId="Bodytext-GuideChar">
    <w:name w:val="Body text - Guide Char"/>
    <w:basedOn w:val="DefaultParagraphFont"/>
    <w:link w:val="Bodytext-Guide"/>
    <w:rsid w:val="0080661E"/>
    <w:rPr>
      <w:rFonts w:ascii="Arial" w:eastAsia="Times New Roman"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41555">
      <w:bodyDiv w:val="1"/>
      <w:marLeft w:val="0"/>
      <w:marRight w:val="0"/>
      <w:marTop w:val="0"/>
      <w:marBottom w:val="0"/>
      <w:divBdr>
        <w:top w:val="none" w:sz="0" w:space="0" w:color="auto"/>
        <w:left w:val="none" w:sz="0" w:space="0" w:color="auto"/>
        <w:bottom w:val="none" w:sz="0" w:space="0" w:color="auto"/>
        <w:right w:val="none" w:sz="0" w:space="0" w:color="auto"/>
      </w:divBdr>
    </w:div>
    <w:div w:id="201670507">
      <w:bodyDiv w:val="1"/>
      <w:marLeft w:val="0"/>
      <w:marRight w:val="0"/>
      <w:marTop w:val="0"/>
      <w:marBottom w:val="0"/>
      <w:divBdr>
        <w:top w:val="none" w:sz="0" w:space="0" w:color="auto"/>
        <w:left w:val="none" w:sz="0" w:space="0" w:color="auto"/>
        <w:bottom w:val="none" w:sz="0" w:space="0" w:color="auto"/>
        <w:right w:val="none" w:sz="0" w:space="0" w:color="auto"/>
      </w:divBdr>
    </w:div>
    <w:div w:id="224684760">
      <w:bodyDiv w:val="1"/>
      <w:marLeft w:val="0"/>
      <w:marRight w:val="0"/>
      <w:marTop w:val="0"/>
      <w:marBottom w:val="0"/>
      <w:divBdr>
        <w:top w:val="none" w:sz="0" w:space="0" w:color="auto"/>
        <w:left w:val="none" w:sz="0" w:space="0" w:color="auto"/>
        <w:bottom w:val="none" w:sz="0" w:space="0" w:color="auto"/>
        <w:right w:val="none" w:sz="0" w:space="0" w:color="auto"/>
      </w:divBdr>
    </w:div>
    <w:div w:id="355348221">
      <w:bodyDiv w:val="1"/>
      <w:marLeft w:val="0"/>
      <w:marRight w:val="0"/>
      <w:marTop w:val="0"/>
      <w:marBottom w:val="0"/>
      <w:divBdr>
        <w:top w:val="none" w:sz="0" w:space="0" w:color="auto"/>
        <w:left w:val="none" w:sz="0" w:space="0" w:color="auto"/>
        <w:bottom w:val="none" w:sz="0" w:space="0" w:color="auto"/>
        <w:right w:val="none" w:sz="0" w:space="0" w:color="auto"/>
      </w:divBdr>
    </w:div>
    <w:div w:id="378941972">
      <w:bodyDiv w:val="1"/>
      <w:marLeft w:val="0"/>
      <w:marRight w:val="0"/>
      <w:marTop w:val="0"/>
      <w:marBottom w:val="0"/>
      <w:divBdr>
        <w:top w:val="none" w:sz="0" w:space="0" w:color="auto"/>
        <w:left w:val="none" w:sz="0" w:space="0" w:color="auto"/>
        <w:bottom w:val="none" w:sz="0" w:space="0" w:color="auto"/>
        <w:right w:val="none" w:sz="0" w:space="0" w:color="auto"/>
      </w:divBdr>
    </w:div>
    <w:div w:id="632175876">
      <w:bodyDiv w:val="1"/>
      <w:marLeft w:val="0"/>
      <w:marRight w:val="0"/>
      <w:marTop w:val="0"/>
      <w:marBottom w:val="0"/>
      <w:divBdr>
        <w:top w:val="none" w:sz="0" w:space="0" w:color="auto"/>
        <w:left w:val="none" w:sz="0" w:space="0" w:color="auto"/>
        <w:bottom w:val="none" w:sz="0" w:space="0" w:color="auto"/>
        <w:right w:val="none" w:sz="0" w:space="0" w:color="auto"/>
      </w:divBdr>
    </w:div>
    <w:div w:id="662705840">
      <w:bodyDiv w:val="1"/>
      <w:marLeft w:val="0"/>
      <w:marRight w:val="0"/>
      <w:marTop w:val="0"/>
      <w:marBottom w:val="0"/>
      <w:divBdr>
        <w:top w:val="none" w:sz="0" w:space="0" w:color="auto"/>
        <w:left w:val="none" w:sz="0" w:space="0" w:color="auto"/>
        <w:bottom w:val="none" w:sz="0" w:space="0" w:color="auto"/>
        <w:right w:val="none" w:sz="0" w:space="0" w:color="auto"/>
      </w:divBdr>
    </w:div>
    <w:div w:id="676545503">
      <w:bodyDiv w:val="1"/>
      <w:marLeft w:val="0"/>
      <w:marRight w:val="0"/>
      <w:marTop w:val="0"/>
      <w:marBottom w:val="0"/>
      <w:divBdr>
        <w:top w:val="none" w:sz="0" w:space="0" w:color="auto"/>
        <w:left w:val="none" w:sz="0" w:space="0" w:color="auto"/>
        <w:bottom w:val="none" w:sz="0" w:space="0" w:color="auto"/>
        <w:right w:val="none" w:sz="0" w:space="0" w:color="auto"/>
      </w:divBdr>
    </w:div>
    <w:div w:id="848716817">
      <w:bodyDiv w:val="1"/>
      <w:marLeft w:val="0"/>
      <w:marRight w:val="0"/>
      <w:marTop w:val="0"/>
      <w:marBottom w:val="0"/>
      <w:divBdr>
        <w:top w:val="none" w:sz="0" w:space="0" w:color="auto"/>
        <w:left w:val="none" w:sz="0" w:space="0" w:color="auto"/>
        <w:bottom w:val="none" w:sz="0" w:space="0" w:color="auto"/>
        <w:right w:val="none" w:sz="0" w:space="0" w:color="auto"/>
      </w:divBdr>
    </w:div>
    <w:div w:id="859858740">
      <w:bodyDiv w:val="1"/>
      <w:marLeft w:val="0"/>
      <w:marRight w:val="0"/>
      <w:marTop w:val="0"/>
      <w:marBottom w:val="0"/>
      <w:divBdr>
        <w:top w:val="none" w:sz="0" w:space="0" w:color="auto"/>
        <w:left w:val="none" w:sz="0" w:space="0" w:color="auto"/>
        <w:bottom w:val="none" w:sz="0" w:space="0" w:color="auto"/>
        <w:right w:val="none" w:sz="0" w:space="0" w:color="auto"/>
      </w:divBdr>
    </w:div>
    <w:div w:id="867523323">
      <w:bodyDiv w:val="1"/>
      <w:marLeft w:val="0"/>
      <w:marRight w:val="0"/>
      <w:marTop w:val="0"/>
      <w:marBottom w:val="0"/>
      <w:divBdr>
        <w:top w:val="none" w:sz="0" w:space="0" w:color="auto"/>
        <w:left w:val="none" w:sz="0" w:space="0" w:color="auto"/>
        <w:bottom w:val="none" w:sz="0" w:space="0" w:color="auto"/>
        <w:right w:val="none" w:sz="0" w:space="0" w:color="auto"/>
      </w:divBdr>
    </w:div>
    <w:div w:id="901329706">
      <w:bodyDiv w:val="1"/>
      <w:marLeft w:val="0"/>
      <w:marRight w:val="0"/>
      <w:marTop w:val="0"/>
      <w:marBottom w:val="0"/>
      <w:divBdr>
        <w:top w:val="none" w:sz="0" w:space="0" w:color="auto"/>
        <w:left w:val="none" w:sz="0" w:space="0" w:color="auto"/>
        <w:bottom w:val="none" w:sz="0" w:space="0" w:color="auto"/>
        <w:right w:val="none" w:sz="0" w:space="0" w:color="auto"/>
      </w:divBdr>
    </w:div>
    <w:div w:id="1110130563">
      <w:bodyDiv w:val="1"/>
      <w:marLeft w:val="0"/>
      <w:marRight w:val="0"/>
      <w:marTop w:val="0"/>
      <w:marBottom w:val="0"/>
      <w:divBdr>
        <w:top w:val="none" w:sz="0" w:space="0" w:color="auto"/>
        <w:left w:val="none" w:sz="0" w:space="0" w:color="auto"/>
        <w:bottom w:val="none" w:sz="0" w:space="0" w:color="auto"/>
        <w:right w:val="none" w:sz="0" w:space="0" w:color="auto"/>
      </w:divBdr>
    </w:div>
    <w:div w:id="1233391197">
      <w:bodyDiv w:val="1"/>
      <w:marLeft w:val="0"/>
      <w:marRight w:val="0"/>
      <w:marTop w:val="0"/>
      <w:marBottom w:val="0"/>
      <w:divBdr>
        <w:top w:val="none" w:sz="0" w:space="0" w:color="auto"/>
        <w:left w:val="none" w:sz="0" w:space="0" w:color="auto"/>
        <w:bottom w:val="none" w:sz="0" w:space="0" w:color="auto"/>
        <w:right w:val="none" w:sz="0" w:space="0" w:color="auto"/>
      </w:divBdr>
    </w:div>
    <w:div w:id="1396901431">
      <w:bodyDiv w:val="1"/>
      <w:marLeft w:val="0"/>
      <w:marRight w:val="0"/>
      <w:marTop w:val="0"/>
      <w:marBottom w:val="0"/>
      <w:divBdr>
        <w:top w:val="none" w:sz="0" w:space="0" w:color="auto"/>
        <w:left w:val="none" w:sz="0" w:space="0" w:color="auto"/>
        <w:bottom w:val="none" w:sz="0" w:space="0" w:color="auto"/>
        <w:right w:val="none" w:sz="0" w:space="0" w:color="auto"/>
      </w:divBdr>
    </w:div>
    <w:div w:id="1460221759">
      <w:bodyDiv w:val="1"/>
      <w:marLeft w:val="0"/>
      <w:marRight w:val="0"/>
      <w:marTop w:val="0"/>
      <w:marBottom w:val="0"/>
      <w:divBdr>
        <w:top w:val="none" w:sz="0" w:space="0" w:color="auto"/>
        <w:left w:val="none" w:sz="0" w:space="0" w:color="auto"/>
        <w:bottom w:val="none" w:sz="0" w:space="0" w:color="auto"/>
        <w:right w:val="none" w:sz="0" w:space="0" w:color="auto"/>
      </w:divBdr>
    </w:div>
    <w:div w:id="1739287263">
      <w:bodyDiv w:val="1"/>
      <w:marLeft w:val="0"/>
      <w:marRight w:val="0"/>
      <w:marTop w:val="0"/>
      <w:marBottom w:val="0"/>
      <w:divBdr>
        <w:top w:val="none" w:sz="0" w:space="0" w:color="auto"/>
        <w:left w:val="none" w:sz="0" w:space="0" w:color="auto"/>
        <w:bottom w:val="none" w:sz="0" w:space="0" w:color="auto"/>
        <w:right w:val="none" w:sz="0" w:space="0" w:color="auto"/>
      </w:divBdr>
    </w:div>
    <w:div w:id="1785925294">
      <w:bodyDiv w:val="1"/>
      <w:marLeft w:val="0"/>
      <w:marRight w:val="0"/>
      <w:marTop w:val="0"/>
      <w:marBottom w:val="0"/>
      <w:divBdr>
        <w:top w:val="none" w:sz="0" w:space="0" w:color="auto"/>
        <w:left w:val="none" w:sz="0" w:space="0" w:color="auto"/>
        <w:bottom w:val="none" w:sz="0" w:space="0" w:color="auto"/>
        <w:right w:val="none" w:sz="0" w:space="0" w:color="auto"/>
      </w:divBdr>
    </w:div>
    <w:div w:id="1832134225">
      <w:bodyDiv w:val="1"/>
      <w:marLeft w:val="0"/>
      <w:marRight w:val="0"/>
      <w:marTop w:val="0"/>
      <w:marBottom w:val="0"/>
      <w:divBdr>
        <w:top w:val="none" w:sz="0" w:space="0" w:color="auto"/>
        <w:left w:val="none" w:sz="0" w:space="0" w:color="auto"/>
        <w:bottom w:val="none" w:sz="0" w:space="0" w:color="auto"/>
        <w:right w:val="none" w:sz="0" w:space="0" w:color="auto"/>
      </w:divBdr>
    </w:div>
    <w:div w:id="1865972561">
      <w:bodyDiv w:val="1"/>
      <w:marLeft w:val="0"/>
      <w:marRight w:val="0"/>
      <w:marTop w:val="0"/>
      <w:marBottom w:val="0"/>
      <w:divBdr>
        <w:top w:val="none" w:sz="0" w:space="0" w:color="auto"/>
        <w:left w:val="none" w:sz="0" w:space="0" w:color="auto"/>
        <w:bottom w:val="none" w:sz="0" w:space="0" w:color="auto"/>
        <w:right w:val="none" w:sz="0" w:space="0" w:color="auto"/>
      </w:divBdr>
    </w:div>
    <w:div w:id="1925383081">
      <w:bodyDiv w:val="1"/>
      <w:marLeft w:val="0"/>
      <w:marRight w:val="0"/>
      <w:marTop w:val="0"/>
      <w:marBottom w:val="0"/>
      <w:divBdr>
        <w:top w:val="none" w:sz="0" w:space="0" w:color="auto"/>
        <w:left w:val="none" w:sz="0" w:space="0" w:color="auto"/>
        <w:bottom w:val="none" w:sz="0" w:space="0" w:color="auto"/>
        <w:right w:val="none" w:sz="0" w:space="0" w:color="auto"/>
      </w:divBdr>
    </w:div>
    <w:div w:id="1965308583">
      <w:bodyDiv w:val="1"/>
      <w:marLeft w:val="0"/>
      <w:marRight w:val="0"/>
      <w:marTop w:val="0"/>
      <w:marBottom w:val="0"/>
      <w:divBdr>
        <w:top w:val="none" w:sz="0" w:space="0" w:color="auto"/>
        <w:left w:val="none" w:sz="0" w:space="0" w:color="auto"/>
        <w:bottom w:val="none" w:sz="0" w:space="0" w:color="auto"/>
        <w:right w:val="none" w:sz="0" w:space="0" w:color="auto"/>
      </w:divBdr>
    </w:div>
    <w:div w:id="2045907760">
      <w:bodyDiv w:val="1"/>
      <w:marLeft w:val="0"/>
      <w:marRight w:val="0"/>
      <w:marTop w:val="0"/>
      <w:marBottom w:val="0"/>
      <w:divBdr>
        <w:top w:val="none" w:sz="0" w:space="0" w:color="auto"/>
        <w:left w:val="none" w:sz="0" w:space="0" w:color="auto"/>
        <w:bottom w:val="none" w:sz="0" w:space="0" w:color="auto"/>
        <w:right w:val="none" w:sz="0" w:space="0" w:color="auto"/>
      </w:divBdr>
    </w:div>
    <w:div w:id="210784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ndis.gov.au/providers/price-guides-and-pricing" TargetMode="External"/><Relationship Id="rId26" Type="http://schemas.openxmlformats.org/officeDocument/2006/relationships/hyperlink" Target="https://www.fairwork.gov.au/leave/sick-and-carers-leave/paid-sick-and-carers-leave" TargetMode="External"/><Relationship Id="rId3" Type="http://schemas.openxmlformats.org/officeDocument/2006/relationships/customXml" Target="../customXml/item3.xml"/><Relationship Id="rId21" Type="http://schemas.openxmlformats.org/officeDocument/2006/relationships/hyperlink" Target="https://www.fwc.gov.au/documents/documents/modern_awards/award/ma000100/default.ht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s://www.fairwork.gov.au/leave/public-holidays" TargetMode="External"/><Relationship Id="rId2" Type="http://schemas.openxmlformats.org/officeDocument/2006/relationships/customXml" Target="../customXml/item2.xml"/><Relationship Id="rId16" Type="http://schemas.openxmlformats.org/officeDocument/2006/relationships/hyperlink" Target="https://www.ndis.gov.au/providers/price-guides-and-pricing" TargetMode="External"/><Relationship Id="rId20" Type="http://schemas.openxmlformats.org/officeDocument/2006/relationships/hyperlink" Target="https://www.ndis.gov.au/media/2413/downloa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fairwork.gov.au/leave/annual-leave" TargetMode="External"/><Relationship Id="rId5" Type="http://schemas.openxmlformats.org/officeDocument/2006/relationships/numbering" Target="numbering.xml"/><Relationship Id="rId15" Type="http://schemas.openxmlformats.org/officeDocument/2006/relationships/hyperlink" Target="https://www.ndis.gov.au/providers/price-guides-and-pricing" TargetMode="External"/><Relationship Id="rId23" Type="http://schemas.openxmlformats.org/officeDocument/2006/relationships/hyperlink" Target="https://www.fairwork.gov.au/employee-entitlements/national-employment-standards" TargetMode="External"/><Relationship Id="rId28" Type="http://schemas.openxmlformats.org/officeDocument/2006/relationships/hyperlink" Target="https://www.ato.gov.au/Business/Super-for-employers/How-much-to-pay/" TargetMode="External"/><Relationship Id="rId10" Type="http://schemas.openxmlformats.org/officeDocument/2006/relationships/endnotes" Target="endnotes.xml"/><Relationship Id="rId19" Type="http://schemas.openxmlformats.org/officeDocument/2006/relationships/hyperlink" Target="https://www.ndis.gov.au/media/1820/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 TargetMode="External"/><Relationship Id="rId22" Type="http://schemas.openxmlformats.org/officeDocument/2006/relationships/hyperlink" Target="https://www.fwc.gov.au/documents/awardsandorders/html/pr525485.htm" TargetMode="External"/><Relationship Id="rId27" Type="http://schemas.openxmlformats.org/officeDocument/2006/relationships/hyperlink" Target="https://www.fairwork.gov.au/leave/long-service-leave"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s://www.fairwork.gov.au/leave/sick-and-carers-leave/paid-sick-and-carers-leave" TargetMode="External"/><Relationship Id="rId3" Type="http://schemas.openxmlformats.org/officeDocument/2006/relationships/hyperlink" Target="https://www.fwc.gov.au/documents/documents/modern_awards/award/ma000100/default.htm" TargetMode="External"/><Relationship Id="rId7" Type="http://schemas.openxmlformats.org/officeDocument/2006/relationships/hyperlink" Target="https://www.fairwork.gov.au/leave/public-holidays" TargetMode="External"/><Relationship Id="rId2" Type="http://schemas.openxmlformats.org/officeDocument/2006/relationships/hyperlink" Target="https://www.ndis.gov.au/media/2413/download" TargetMode="External"/><Relationship Id="rId1" Type="http://schemas.openxmlformats.org/officeDocument/2006/relationships/hyperlink" Target="https://www.ndis.gov.au/media/1820/download" TargetMode="External"/><Relationship Id="rId6" Type="http://schemas.openxmlformats.org/officeDocument/2006/relationships/hyperlink" Target="https://www.fairwork.gov.au/leave/annual-leave" TargetMode="External"/><Relationship Id="rId5" Type="http://schemas.openxmlformats.org/officeDocument/2006/relationships/hyperlink" Target="https://www.fairwork.gov.au/employee-entitlements/national-employment-standards" TargetMode="External"/><Relationship Id="rId10" Type="http://schemas.openxmlformats.org/officeDocument/2006/relationships/hyperlink" Target="https://www.ato.gov.au/Business/Super-for-employers/How-much-to-pay/" TargetMode="External"/><Relationship Id="rId4" Type="http://schemas.openxmlformats.org/officeDocument/2006/relationships/hyperlink" Target="https://www.fwc.gov.au/documents/awardsandorders/html/pr525485.htm" TargetMode="External"/><Relationship Id="rId9" Type="http://schemas.openxmlformats.org/officeDocument/2006/relationships/hyperlink" Target="https://www.fairwork.gov.au/leave/long-service-leave"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A9411BC2-29CE-425F-89DD-370F44A9F0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A0DF810D4D2DE4D8C9071BFFBCD0C65" ma:contentTypeVersion="" ma:contentTypeDescription="PDMS Document Site Content Type" ma:contentTypeScope="" ma:versionID="cc104b34525e37867d3300de838720ff">
  <xsd:schema xmlns:xsd="http://www.w3.org/2001/XMLSchema" xmlns:xs="http://www.w3.org/2001/XMLSchema" xmlns:p="http://schemas.microsoft.com/office/2006/metadata/properties" xmlns:ns2="A9411BC2-29CE-425F-89DD-370F44A9F0D7" targetNamespace="http://schemas.microsoft.com/office/2006/metadata/properties" ma:root="true" ma:fieldsID="65c83b984978257802c6b3ae206e081a" ns2:_="">
    <xsd:import namespace="A9411BC2-29CE-425F-89DD-370F44A9F0D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11BC2-29CE-425F-89DD-370F44A9F0D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32D30-8ECC-4774-B97D-08B21D6372F2}">
  <ds:schemaRefs>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9411BC2-29CE-425F-89DD-370F44A9F0D7"/>
    <ds:schemaRef ds:uri="http://purl.org/dc/dcmitype/"/>
  </ds:schemaRefs>
</ds:datastoreItem>
</file>

<file path=customXml/itemProps2.xml><?xml version="1.0" encoding="utf-8"?>
<ds:datastoreItem xmlns:ds="http://schemas.openxmlformats.org/officeDocument/2006/customXml" ds:itemID="{0A76F080-F38E-4D9A-BFBB-A88BC49FA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11BC2-29CE-425F-89DD-370F44A9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4.xml><?xml version="1.0" encoding="utf-8"?>
<ds:datastoreItem xmlns:ds="http://schemas.openxmlformats.org/officeDocument/2006/customXml" ds:itemID="{537825C3-F6B9-4AD8-A533-C32F3371C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11882</Words>
  <Characters>67732</Characters>
  <Application>Microsoft Office Word</Application>
  <DocSecurity>4</DocSecurity>
  <Lines>564</Lines>
  <Paragraphs>158</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79456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CULLEN, David</dc:creator>
  <cp:keywords/>
  <dc:description/>
  <cp:lastModifiedBy>Rundle, Vincent</cp:lastModifiedBy>
  <cp:revision>2</cp:revision>
  <cp:lastPrinted>2021-07-01T00:48:00Z</cp:lastPrinted>
  <dcterms:created xsi:type="dcterms:W3CDTF">2021-12-22T00:05:00Z</dcterms:created>
  <dcterms:modified xsi:type="dcterms:W3CDTF">2021-12-22T00:05:00Z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0x010100266966F133664895A6EE3632470D45F500DA0DF810D4D2DE4D8C9071BFFBCD0C65</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Date_Of_Effcet">
    <vt:lpwstr>17 September 2017</vt:lpwstr>
  </property>
  <property fmtid="{D5CDD505-2E9C-101B-9397-08002B2CF9AE}" pid="9" name="DATEEFFCET">
    <vt:filetime>2018-10-16T14:00:00Z</vt:filetime>
  </property>
</Properties>
</file>