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CEA" w:rsidRPr="00CF6D70" w:rsidRDefault="00D20B7A" w:rsidP="00D20B7A">
      <w:pPr>
        <w:rPr>
          <w:rFonts w:ascii="Arial" w:eastAsiaTheme="majorEastAsia" w:hAnsi="Arial" w:cs="Arial"/>
          <w:color w:val="414042"/>
          <w:sz w:val="32"/>
          <w:szCs w:val="32"/>
        </w:rPr>
      </w:pPr>
      <w:r w:rsidRPr="00CF6D70">
        <w:rPr>
          <w:rFonts w:ascii="Arial" w:eastAsiaTheme="majorEastAsia" w:hAnsi="Arial" w:cs="Arial"/>
          <w:color w:val="414042"/>
          <w:sz w:val="32"/>
          <w:szCs w:val="32"/>
        </w:rPr>
        <w:t>Transcript for Tasmania Quarterly Performance Dashboard as at 31 December 2021</w:t>
      </w:r>
    </w:p>
    <w:p w:rsidR="00D20B7A" w:rsidRPr="00CF6D70" w:rsidRDefault="00D20B7A" w:rsidP="00D20B7A">
      <w:pPr>
        <w:rPr>
          <w:rFonts w:ascii="Arial" w:hAnsi="Arial" w:cs="Arial"/>
        </w:rPr>
      </w:pPr>
      <w:r w:rsidRPr="00CF6D70">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D20B7A" w:rsidRPr="00CF6D70" w:rsidRDefault="00D20B7A" w:rsidP="00D20B7A">
      <w:pPr>
        <w:pStyle w:val="Heading2"/>
        <w:rPr>
          <w:rFonts w:ascii="Arial" w:hAnsi="Arial" w:cs="Arial"/>
          <w:color w:val="414042"/>
        </w:rPr>
      </w:pPr>
      <w:r w:rsidRPr="00CF6D70">
        <w:rPr>
          <w:rFonts w:ascii="Arial" w:hAnsi="Arial" w:cs="Arial"/>
          <w:color w:val="414042"/>
        </w:rPr>
        <w:t>Participants and planning</w:t>
      </w:r>
    </w:p>
    <w:p w:rsidR="00D20B7A" w:rsidRPr="00CF6D70" w:rsidRDefault="00D20B7A" w:rsidP="00D20B7A">
      <w:pPr>
        <w:rPr>
          <w:rFonts w:ascii="Arial" w:hAnsi="Arial" w:cs="Arial"/>
        </w:rPr>
      </w:pPr>
      <w:r w:rsidRPr="00CF6D70">
        <w:rPr>
          <w:rFonts w:ascii="Arial" w:hAnsi="Arial" w:cs="Arial"/>
        </w:rPr>
        <w:t>A table displays the following key statistics on the Tasmania participant experience as at 31 December 2021 and 30 September 2021.</w:t>
      </w:r>
    </w:p>
    <w:p w:rsidR="00D20B7A" w:rsidRPr="00CF6D70" w:rsidRDefault="00D20B7A" w:rsidP="00D20B7A">
      <w:pPr>
        <w:rPr>
          <w:rFonts w:ascii="Arial" w:hAnsi="Arial" w:cs="Arial"/>
        </w:rPr>
      </w:pPr>
      <w:r w:rsidRPr="00CF6D70">
        <w:rPr>
          <w:rFonts w:ascii="Arial" w:hAnsi="Arial" w:cs="Arial"/>
        </w:rPr>
        <w:t>• The number of active participants with approved plans increased from 11,080 as at 30 September 2021 to 11,459 as at 31 December 2021.</w:t>
      </w:r>
    </w:p>
    <w:p w:rsidR="00D20B7A" w:rsidRPr="00CF6D70" w:rsidRDefault="00D20B7A" w:rsidP="00D20B7A">
      <w:pPr>
        <w:rPr>
          <w:rFonts w:ascii="Arial" w:hAnsi="Arial" w:cs="Arial"/>
        </w:rPr>
      </w:pPr>
      <w:r w:rsidRPr="00CF6D70">
        <w:rPr>
          <w:rFonts w:ascii="Arial" w:hAnsi="Arial" w:cs="Arial"/>
        </w:rPr>
        <w:t>• The number of children accessing early connections decreased from 278 as at 30 September 2021 to 255 as at 31 December 2021.</w:t>
      </w:r>
    </w:p>
    <w:p w:rsidR="00D20B7A" w:rsidRPr="00CF6D70" w:rsidRDefault="00D20B7A" w:rsidP="00D20B7A">
      <w:pPr>
        <w:rPr>
          <w:rFonts w:ascii="Arial" w:hAnsi="Arial" w:cs="Arial"/>
        </w:rPr>
      </w:pPr>
      <w:r w:rsidRPr="00CF6D70">
        <w:rPr>
          <w:rFonts w:ascii="Arial" w:hAnsi="Arial" w:cs="Arial"/>
        </w:rPr>
        <w:t>• The number of children waiting for early connections remained unchanged at 15, from 30 September 2021 to 31 December 2021.</w:t>
      </w:r>
    </w:p>
    <w:p w:rsidR="00D20B7A" w:rsidRPr="00CF6D70" w:rsidRDefault="00D20B7A" w:rsidP="00D20B7A">
      <w:pPr>
        <w:rPr>
          <w:rFonts w:ascii="Arial" w:hAnsi="Arial" w:cs="Arial"/>
        </w:rPr>
      </w:pPr>
      <w:r w:rsidRPr="00CF6D70">
        <w:rPr>
          <w:rFonts w:ascii="Arial" w:hAnsi="Arial" w:cs="Arial"/>
        </w:rPr>
        <w:t xml:space="preserve">• The percentage of participants fully or partially </w:t>
      </w:r>
      <w:r w:rsidR="00293A97" w:rsidRPr="00CF6D70">
        <w:rPr>
          <w:rFonts w:ascii="Arial" w:hAnsi="Arial" w:cs="Arial"/>
        </w:rPr>
        <w:t>self-managing</w:t>
      </w:r>
      <w:r w:rsidRPr="00CF6D70">
        <w:rPr>
          <w:rFonts w:ascii="Arial" w:hAnsi="Arial" w:cs="Arial"/>
        </w:rPr>
        <w:t xml:space="preserve"> their plan</w:t>
      </w:r>
      <w:r w:rsidR="00263C02" w:rsidRPr="00CF6D70">
        <w:rPr>
          <w:rFonts w:ascii="Arial" w:hAnsi="Arial" w:cs="Arial"/>
        </w:rPr>
        <w:t xml:space="preserve"> </w:t>
      </w:r>
      <w:r w:rsidRPr="00CF6D70">
        <w:rPr>
          <w:rFonts w:ascii="Arial" w:hAnsi="Arial" w:cs="Arial"/>
        </w:rPr>
        <w:t>decreased from 24% as at 30 September 2021 to 23% as at 31 December 2021.</w:t>
      </w:r>
    </w:p>
    <w:p w:rsidR="00D20B7A" w:rsidRPr="00CF6D70" w:rsidRDefault="00D20B7A" w:rsidP="00D20B7A">
      <w:pPr>
        <w:rPr>
          <w:rFonts w:ascii="Arial" w:hAnsi="Arial" w:cs="Arial"/>
        </w:rPr>
      </w:pPr>
      <w:r w:rsidRPr="00CF6D70">
        <w:rPr>
          <w:rFonts w:ascii="Arial" w:hAnsi="Arial" w:cs="Arial"/>
        </w:rPr>
        <w:t>• The percentage of plans activated within 90 days</w:t>
      </w:r>
      <w:r w:rsidR="00263C02" w:rsidRPr="00CF6D70">
        <w:rPr>
          <w:rFonts w:ascii="Arial" w:hAnsi="Arial" w:cs="Arial"/>
        </w:rPr>
        <w:t xml:space="preserve"> </w:t>
      </w:r>
      <w:r w:rsidRPr="00CF6D70">
        <w:rPr>
          <w:rFonts w:ascii="Arial" w:hAnsi="Arial" w:cs="Arial"/>
        </w:rPr>
        <w:t>remained stable at 84%, from 30 September 2021 to 31 December 2021</w:t>
      </w:r>
      <w:r w:rsidR="00263C02" w:rsidRPr="00CF6D70">
        <w:rPr>
          <w:rFonts w:ascii="Arial" w:hAnsi="Arial" w:cs="Arial"/>
        </w:rPr>
        <w:t>.</w:t>
      </w:r>
      <w:r w:rsidRPr="00CF6D70">
        <w:rPr>
          <w:rFonts w:ascii="Arial" w:hAnsi="Arial" w:cs="Arial"/>
        </w:rPr>
        <w:t xml:space="preserve"> Participants who joined the Scheme prior to 1 July 2016 and those with initial plans approved after the end of the 2020-21 quarter 4 have been excluded.</w:t>
      </w:r>
    </w:p>
    <w:p w:rsidR="00D20B7A" w:rsidRPr="00CF6D70" w:rsidRDefault="00D20B7A" w:rsidP="00D20B7A">
      <w:pPr>
        <w:rPr>
          <w:rFonts w:ascii="Arial" w:hAnsi="Arial" w:cs="Arial"/>
        </w:rPr>
      </w:pPr>
      <w:r w:rsidRPr="00CF6D70">
        <w:rPr>
          <w:rFonts w:ascii="Arial" w:hAnsi="Arial" w:cs="Arial"/>
        </w:rPr>
        <w:t>• The number of participant plan reviews completed</w:t>
      </w:r>
      <w:r w:rsidR="00263C02" w:rsidRPr="00CF6D70">
        <w:rPr>
          <w:rFonts w:ascii="Arial" w:hAnsi="Arial" w:cs="Arial"/>
        </w:rPr>
        <w:t xml:space="preserve"> </w:t>
      </w:r>
      <w:r w:rsidRPr="00CF6D70">
        <w:rPr>
          <w:rFonts w:ascii="Arial" w:hAnsi="Arial" w:cs="Arial"/>
        </w:rPr>
        <w:t>increased from 2,492 in the quarter ending 30 September 2021 to 2,837 in the quarter ending 31 December 2021. Plans less than 31 days in duration have been excluded.</w:t>
      </w:r>
    </w:p>
    <w:p w:rsidR="00D20B7A" w:rsidRPr="00CF6D70" w:rsidRDefault="00D20B7A" w:rsidP="00D20B7A">
      <w:pPr>
        <w:rPr>
          <w:rFonts w:ascii="Arial" w:hAnsi="Arial" w:cs="Arial"/>
        </w:rPr>
      </w:pPr>
      <w:r w:rsidRPr="00CF6D70">
        <w:rPr>
          <w:rFonts w:ascii="Arial" w:hAnsi="Arial" w:cs="Arial"/>
        </w:rPr>
        <w:t>A chart displays the change in active participants between 30 September 2021 and 31 December 2021.</w:t>
      </w:r>
    </w:p>
    <w:p w:rsidR="00D20B7A" w:rsidRPr="00CF6D70" w:rsidRDefault="001F1095" w:rsidP="00D20B7A">
      <w:pPr>
        <w:rPr>
          <w:rFonts w:ascii="Arial" w:hAnsi="Arial" w:cs="Arial"/>
        </w:rPr>
      </w:pPr>
      <w:r>
        <w:rPr>
          <w:rFonts w:ascii="Arial" w:hAnsi="Arial" w:cs="Arial"/>
        </w:rPr>
        <w:t>At the beginning of quarter 2 202</w:t>
      </w:r>
      <w:r w:rsidR="0055172D">
        <w:rPr>
          <w:rFonts w:ascii="Arial" w:hAnsi="Arial" w:cs="Arial"/>
        </w:rPr>
        <w:t>1-22</w:t>
      </w:r>
      <w:r>
        <w:rPr>
          <w:rFonts w:ascii="Arial" w:hAnsi="Arial" w:cs="Arial"/>
        </w:rPr>
        <w:t>, t</w:t>
      </w:r>
      <w:r w:rsidR="00D20B7A" w:rsidRPr="00CF6D70">
        <w:rPr>
          <w:rFonts w:ascii="Arial" w:hAnsi="Arial" w:cs="Arial"/>
        </w:rPr>
        <w:t>here were 11,080 active participants (excluding children accessing early connections). During 2021-22 quarter 2, there were 433 plan approvals and 54 participants exited the Scheme</w:t>
      </w:r>
      <w:r w:rsidR="0028045A">
        <w:rPr>
          <w:rFonts w:ascii="Arial" w:hAnsi="Arial" w:cs="Arial"/>
        </w:rPr>
        <w:t xml:space="preserve"> or moved </w:t>
      </w:r>
      <w:r>
        <w:rPr>
          <w:rFonts w:ascii="Arial" w:hAnsi="Arial" w:cs="Arial"/>
        </w:rPr>
        <w:t>to another state</w:t>
      </w:r>
      <w:r w:rsidR="00F274B0">
        <w:rPr>
          <w:rFonts w:ascii="Arial" w:hAnsi="Arial" w:cs="Arial"/>
        </w:rPr>
        <w:t xml:space="preserve"> or territory</w:t>
      </w:r>
      <w:r w:rsidR="00D20B7A" w:rsidRPr="00CF6D70">
        <w:rPr>
          <w:rFonts w:ascii="Arial" w:hAnsi="Arial" w:cs="Arial"/>
        </w:rPr>
        <w:t>. This resulted in 11,459 active parti</w:t>
      </w:r>
      <w:r w:rsidR="00021A7F">
        <w:rPr>
          <w:rFonts w:ascii="Arial" w:hAnsi="Arial" w:cs="Arial"/>
        </w:rPr>
        <w:t>cipants as at 31 December 2021.</w:t>
      </w:r>
    </w:p>
    <w:p w:rsidR="00D20B7A" w:rsidRPr="00CF6D70" w:rsidRDefault="00D20B7A" w:rsidP="00D20B7A">
      <w:pPr>
        <w:rPr>
          <w:rFonts w:ascii="Arial" w:hAnsi="Arial" w:cs="Arial"/>
        </w:rPr>
      </w:pPr>
      <w:r w:rsidRPr="00CF6D70">
        <w:rPr>
          <w:rFonts w:ascii="Arial" w:hAnsi="Arial" w:cs="Arial"/>
        </w:rPr>
        <w:t>The following key statistics summarise the Tasmania performance as at 31 December 2021.</w:t>
      </w:r>
    </w:p>
    <w:p w:rsidR="00D20B7A" w:rsidRPr="00CF6D70" w:rsidRDefault="00D20B7A" w:rsidP="00D20B7A">
      <w:pPr>
        <w:rPr>
          <w:rFonts w:ascii="Arial" w:hAnsi="Arial" w:cs="Arial"/>
        </w:rPr>
      </w:pPr>
      <w:r w:rsidRPr="00CF6D70">
        <w:rPr>
          <w:rFonts w:ascii="Arial" w:hAnsi="Arial" w:cs="Arial"/>
        </w:rPr>
        <w:t>• 11,447 participants (excluding children accessing early connections) have had an approved plan since July 2013. 11,459 of these continue to be active.</w:t>
      </w:r>
    </w:p>
    <w:p w:rsidR="00D20B7A" w:rsidRPr="00CF6D70" w:rsidRDefault="00D20B7A" w:rsidP="00D20B7A">
      <w:pPr>
        <w:rPr>
          <w:rFonts w:ascii="Arial" w:hAnsi="Arial" w:cs="Arial"/>
        </w:rPr>
      </w:pPr>
      <w:r w:rsidRPr="00CF6D70">
        <w:rPr>
          <w:rFonts w:ascii="Arial" w:hAnsi="Arial" w:cs="Arial"/>
        </w:rPr>
        <w:t>• 7,064 active participants are receiving supports for the first time.</w:t>
      </w:r>
    </w:p>
    <w:p w:rsidR="00D20B7A" w:rsidRPr="00CF6D70" w:rsidRDefault="00D20B7A" w:rsidP="00D20B7A">
      <w:pPr>
        <w:rPr>
          <w:rFonts w:ascii="Arial" w:hAnsi="Arial" w:cs="Arial"/>
        </w:rPr>
      </w:pPr>
      <w:r w:rsidRPr="00CF6D70">
        <w:rPr>
          <w:rFonts w:ascii="Arial" w:hAnsi="Arial" w:cs="Arial"/>
        </w:rPr>
        <w:t>• In the current quarter, 433 participants have entered the Scheme and there are 255 children accessing early connections at the end of December 2021.</w:t>
      </w:r>
    </w:p>
    <w:p w:rsidR="00D20B7A" w:rsidRPr="00CF6D70" w:rsidRDefault="00D20B7A" w:rsidP="00D20B7A">
      <w:pPr>
        <w:rPr>
          <w:rFonts w:ascii="Arial" w:hAnsi="Arial" w:cs="Arial"/>
        </w:rPr>
      </w:pPr>
      <w:r w:rsidRPr="00CF6D70">
        <w:rPr>
          <w:rFonts w:ascii="Arial" w:hAnsi="Arial" w:cs="Arial"/>
        </w:rPr>
        <w:t>• 2,837 plans have been reviewed this quarter.</w:t>
      </w:r>
    </w:p>
    <w:p w:rsidR="00D20B7A" w:rsidRPr="00CF6D70" w:rsidRDefault="00D20B7A" w:rsidP="00D20B7A">
      <w:pPr>
        <w:rPr>
          <w:rFonts w:ascii="Arial" w:hAnsi="Arial" w:cs="Arial"/>
        </w:rPr>
      </w:pPr>
      <w:r w:rsidRPr="00CF6D70">
        <w:rPr>
          <w:rFonts w:ascii="Arial" w:hAnsi="Arial" w:cs="Arial"/>
        </w:rPr>
        <w:t>• 564 access decisions have been made in the quarter, of which 406 met access and are still active.</w:t>
      </w:r>
    </w:p>
    <w:p w:rsidR="00D20B7A" w:rsidRPr="00CF6D70" w:rsidRDefault="00D20B7A" w:rsidP="00D20B7A">
      <w:pPr>
        <w:rPr>
          <w:rFonts w:ascii="Arial" w:hAnsi="Arial" w:cs="Arial"/>
        </w:rPr>
      </w:pPr>
      <w:r w:rsidRPr="00CF6D70">
        <w:rPr>
          <w:rFonts w:ascii="Arial" w:hAnsi="Arial" w:cs="Arial"/>
        </w:rPr>
        <w:t>• 63 (14.5%) of the new active participants this quarter identified as Indigenous, taking the total number o</w:t>
      </w:r>
      <w:r w:rsidR="0028045A">
        <w:rPr>
          <w:rFonts w:ascii="Arial" w:hAnsi="Arial" w:cs="Arial"/>
        </w:rPr>
        <w:t>f Indigenous participants in Tasmania</w:t>
      </w:r>
      <w:r w:rsidRPr="00CF6D70">
        <w:rPr>
          <w:rFonts w:ascii="Arial" w:hAnsi="Arial" w:cs="Arial"/>
        </w:rPr>
        <w:t xml:space="preserve"> to 1,034 (9.0%).</w:t>
      </w:r>
    </w:p>
    <w:p w:rsidR="00D20B7A" w:rsidRPr="00CF6D70" w:rsidRDefault="00D20B7A" w:rsidP="00D20B7A">
      <w:pPr>
        <w:rPr>
          <w:rFonts w:ascii="Arial" w:hAnsi="Arial" w:cs="Arial"/>
        </w:rPr>
      </w:pPr>
      <w:r w:rsidRPr="00CF6D70">
        <w:rPr>
          <w:rFonts w:ascii="Arial" w:hAnsi="Arial" w:cs="Arial"/>
        </w:rPr>
        <w:lastRenderedPageBreak/>
        <w:t xml:space="preserve">• 19 (4.4%) of the new active participants this quarter are </w:t>
      </w:r>
      <w:proofErr w:type="gramStart"/>
      <w:r w:rsidRPr="00CF6D70">
        <w:rPr>
          <w:rFonts w:ascii="Arial" w:hAnsi="Arial" w:cs="Arial"/>
        </w:rPr>
        <w:t>Culturally</w:t>
      </w:r>
      <w:proofErr w:type="gramEnd"/>
      <w:r w:rsidRPr="00CF6D70">
        <w:rPr>
          <w:rFonts w:ascii="Arial" w:hAnsi="Arial" w:cs="Arial"/>
        </w:rPr>
        <w:t xml:space="preserve"> and Linguistically Diverse</w:t>
      </w:r>
      <w:r w:rsidR="00293A97">
        <w:rPr>
          <w:rFonts w:ascii="Arial" w:hAnsi="Arial" w:cs="Arial"/>
        </w:rPr>
        <w:t>,</w:t>
      </w:r>
      <w:r w:rsidRPr="00CF6D70">
        <w:rPr>
          <w:rFonts w:ascii="Arial" w:hAnsi="Arial" w:cs="Arial"/>
        </w:rPr>
        <w:t xml:space="preserve"> taking the total nu</w:t>
      </w:r>
      <w:r w:rsidR="0028045A">
        <w:rPr>
          <w:rFonts w:ascii="Arial" w:hAnsi="Arial" w:cs="Arial"/>
        </w:rPr>
        <w:t xml:space="preserve">mber of </w:t>
      </w:r>
      <w:r w:rsidR="00021A7F" w:rsidRPr="00CF6D70">
        <w:rPr>
          <w:rFonts w:ascii="Arial" w:hAnsi="Arial" w:cs="Arial"/>
        </w:rPr>
        <w:t>Culturally and Linguistically</w:t>
      </w:r>
      <w:r w:rsidR="0028045A">
        <w:rPr>
          <w:rFonts w:ascii="Arial" w:hAnsi="Arial" w:cs="Arial"/>
        </w:rPr>
        <w:t xml:space="preserve"> participants in Tasmania</w:t>
      </w:r>
      <w:r w:rsidRPr="00CF6D70">
        <w:rPr>
          <w:rFonts w:ascii="Arial" w:hAnsi="Arial" w:cs="Arial"/>
        </w:rPr>
        <w:t xml:space="preserve"> to 361 (3.2%). The number of </w:t>
      </w:r>
      <w:proofErr w:type="gramStart"/>
      <w:r w:rsidR="00021A7F" w:rsidRPr="00CF6D70">
        <w:rPr>
          <w:rFonts w:ascii="Arial" w:hAnsi="Arial" w:cs="Arial"/>
        </w:rPr>
        <w:t>Culturally</w:t>
      </w:r>
      <w:proofErr w:type="gramEnd"/>
      <w:r w:rsidR="00021A7F" w:rsidRPr="00CF6D70">
        <w:rPr>
          <w:rFonts w:ascii="Arial" w:hAnsi="Arial" w:cs="Arial"/>
        </w:rPr>
        <w:t xml:space="preserve"> and Linguistically</w:t>
      </w:r>
      <w:r w:rsidRPr="00CF6D70">
        <w:rPr>
          <w:rFonts w:ascii="Arial" w:hAnsi="Arial" w:cs="Arial"/>
        </w:rPr>
        <w:t xml:space="preserve"> participants excludes Indigenous participants.</w:t>
      </w:r>
    </w:p>
    <w:p w:rsidR="00D20B7A" w:rsidRPr="00CF6D70" w:rsidRDefault="00D20B7A" w:rsidP="00D20B7A">
      <w:pPr>
        <w:pStyle w:val="Heading2"/>
        <w:rPr>
          <w:rFonts w:ascii="Arial" w:hAnsi="Arial" w:cs="Arial"/>
          <w:color w:val="414042"/>
        </w:rPr>
      </w:pPr>
      <w:r w:rsidRPr="00CF6D70">
        <w:rPr>
          <w:rFonts w:ascii="Arial" w:hAnsi="Arial" w:cs="Arial"/>
          <w:color w:val="414042"/>
        </w:rPr>
        <w:t>Participant outcomes and satisfaction</w:t>
      </w:r>
    </w:p>
    <w:p w:rsidR="00D20B7A" w:rsidRPr="00CF6D70" w:rsidRDefault="00D20B7A" w:rsidP="00D20B7A">
      <w:pPr>
        <w:rPr>
          <w:rFonts w:ascii="Arial" w:hAnsi="Arial" w:cs="Arial"/>
        </w:rPr>
      </w:pPr>
      <w:r w:rsidRPr="00CF6D70">
        <w:rPr>
          <w:rFonts w:ascii="Arial" w:hAnsi="Arial" w:cs="Arial"/>
        </w:rPr>
        <w:t>A table displays the following key statistics on Tasmania participant outcomes and satisfaction.</w:t>
      </w:r>
    </w:p>
    <w:p w:rsidR="00D20B7A" w:rsidRPr="00CF6D70" w:rsidRDefault="00D20B7A" w:rsidP="00D20B7A">
      <w:pPr>
        <w:rPr>
          <w:rFonts w:ascii="Arial" w:hAnsi="Arial" w:cs="Arial"/>
        </w:rPr>
      </w:pPr>
      <w:r w:rsidRPr="00CF6D70">
        <w:rPr>
          <w:rFonts w:ascii="Arial" w:hAnsi="Arial" w:cs="Arial"/>
        </w:rPr>
        <w:t>For Participant and Scheme Outcome metrics from the Corporate Plan as at 31 December 2021</w:t>
      </w:r>
      <w:r w:rsidR="00634FF5">
        <w:rPr>
          <w:rFonts w:ascii="Arial" w:hAnsi="Arial" w:cs="Arial"/>
        </w:rPr>
        <w:t>, t</w:t>
      </w:r>
      <w:r w:rsidRPr="00CF6D70">
        <w:rPr>
          <w:rFonts w:ascii="Arial" w:hAnsi="Arial" w:cs="Arial"/>
        </w:rPr>
        <w:t>he Outcome results include participants who have been in the Scheme for at least two years. Trial participants are excluded. Except for the parent and carer employment rate, participants aged 15 and over are included. The Baseline results are at Scheme entry. The following four indicators are outcomes measures.</w:t>
      </w:r>
    </w:p>
    <w:p w:rsidR="00D20B7A" w:rsidRPr="00CF6D70" w:rsidRDefault="007B524C" w:rsidP="00D20B7A">
      <w:pPr>
        <w:rPr>
          <w:rFonts w:ascii="Arial" w:hAnsi="Arial" w:cs="Arial"/>
        </w:rPr>
      </w:pPr>
      <w:r>
        <w:rPr>
          <w:rFonts w:ascii="Arial" w:hAnsi="Arial" w:cs="Arial"/>
        </w:rPr>
        <w:t>• The p</w:t>
      </w:r>
      <w:r w:rsidR="00D20B7A" w:rsidRPr="00CF6D70">
        <w:rPr>
          <w:rFonts w:ascii="Arial" w:hAnsi="Arial" w:cs="Arial"/>
        </w:rPr>
        <w:t>articipant employment rate increased from 17% at baseline to 18% at the latest review.</w:t>
      </w:r>
    </w:p>
    <w:p w:rsidR="00D20B7A" w:rsidRPr="00CF6D70" w:rsidRDefault="007B524C" w:rsidP="00D20B7A">
      <w:pPr>
        <w:rPr>
          <w:rFonts w:ascii="Arial" w:hAnsi="Arial" w:cs="Arial"/>
        </w:rPr>
      </w:pPr>
      <w:r>
        <w:rPr>
          <w:rFonts w:ascii="Arial" w:hAnsi="Arial" w:cs="Arial"/>
        </w:rPr>
        <w:t>• The pa</w:t>
      </w:r>
      <w:r w:rsidR="00D20B7A" w:rsidRPr="00CF6D70">
        <w:rPr>
          <w:rFonts w:ascii="Arial" w:hAnsi="Arial" w:cs="Arial"/>
        </w:rPr>
        <w:t>rticipant social and community engagement rate increased from 30% at baseline to 34% at the latest review.</w:t>
      </w:r>
    </w:p>
    <w:p w:rsidR="00D20B7A" w:rsidRPr="00CF6D70" w:rsidRDefault="007B524C" w:rsidP="00D20B7A">
      <w:pPr>
        <w:rPr>
          <w:rFonts w:ascii="Arial" w:hAnsi="Arial" w:cs="Arial"/>
        </w:rPr>
      </w:pPr>
      <w:r>
        <w:rPr>
          <w:rFonts w:ascii="Arial" w:hAnsi="Arial" w:cs="Arial"/>
        </w:rPr>
        <w:t>• The p</w:t>
      </w:r>
      <w:r w:rsidR="00D20B7A" w:rsidRPr="00CF6D70">
        <w:rPr>
          <w:rFonts w:ascii="Arial" w:hAnsi="Arial" w:cs="Arial"/>
        </w:rPr>
        <w:t>arent and carer employment rate</w:t>
      </w:r>
      <w:r w:rsidR="00263C02" w:rsidRPr="00CF6D70">
        <w:rPr>
          <w:rFonts w:ascii="Arial" w:hAnsi="Arial" w:cs="Arial"/>
        </w:rPr>
        <w:t xml:space="preserve"> </w:t>
      </w:r>
      <w:r w:rsidR="00D20B7A" w:rsidRPr="00CF6D70">
        <w:rPr>
          <w:rFonts w:ascii="Arial" w:hAnsi="Arial" w:cs="Arial"/>
        </w:rPr>
        <w:t>increased from 41% at baseline to 43% at the latest review.</w:t>
      </w:r>
    </w:p>
    <w:p w:rsidR="00D20B7A" w:rsidRPr="00CF6D70" w:rsidRDefault="007B524C" w:rsidP="00D20B7A">
      <w:pPr>
        <w:rPr>
          <w:rFonts w:ascii="Arial" w:hAnsi="Arial" w:cs="Arial"/>
        </w:rPr>
      </w:pPr>
      <w:r>
        <w:rPr>
          <w:rFonts w:ascii="Arial" w:hAnsi="Arial" w:cs="Arial"/>
        </w:rPr>
        <w:t>• The p</w:t>
      </w:r>
      <w:r w:rsidR="00D20B7A" w:rsidRPr="00CF6D70">
        <w:rPr>
          <w:rFonts w:ascii="Arial" w:hAnsi="Arial" w:cs="Arial"/>
        </w:rPr>
        <w:t>articipant perception of choice and control increased from 67% at the first review to 73% at the latest review.</w:t>
      </w:r>
    </w:p>
    <w:p w:rsidR="00D20B7A" w:rsidRPr="00CF6D70" w:rsidRDefault="00D20B7A" w:rsidP="00D20B7A">
      <w:pPr>
        <w:rPr>
          <w:rFonts w:ascii="Arial" w:hAnsi="Arial" w:cs="Arial"/>
        </w:rPr>
      </w:pPr>
      <w:r w:rsidRPr="00CF6D70">
        <w:rPr>
          <w:rFonts w:ascii="Arial" w:hAnsi="Arial" w:cs="Arial"/>
        </w:rPr>
        <w:t>The following results indicate the percentage of participants rating their overall experience as 'Very Good' or 'Good' by pathway stage in current and previous quarters.</w:t>
      </w:r>
    </w:p>
    <w:p w:rsidR="00CF6D70" w:rsidRDefault="00CF6D70" w:rsidP="00CF6D70">
      <w:pPr>
        <w:rPr>
          <w:rFonts w:ascii="Arial" w:hAnsi="Arial" w:cs="Arial"/>
        </w:rPr>
      </w:pPr>
      <w:r>
        <w:rPr>
          <w:rFonts w:ascii="Arial" w:hAnsi="Arial" w:cs="Arial"/>
        </w:rPr>
        <w:t>• The percentage for the 'Access' stage was 79% for the quarter ending 30 September 2021. The percentage for the 'Access' stage was unavailable for the quarter ending 31 December 2021.</w:t>
      </w:r>
    </w:p>
    <w:p w:rsidR="00CF6D70" w:rsidRDefault="00CF6D70" w:rsidP="00CF6D70">
      <w:pPr>
        <w:rPr>
          <w:rFonts w:ascii="Arial" w:hAnsi="Arial" w:cs="Arial"/>
        </w:rPr>
      </w:pPr>
      <w:r>
        <w:rPr>
          <w:rFonts w:ascii="Arial" w:hAnsi="Arial" w:cs="Arial"/>
        </w:rPr>
        <w:t>• The percentage for the 'Pre-planning' stage was 73% for the quarter ending 30 September 2021. The percentage for the 'Access' stage was unavailable for the quarter ending 31 December 2021.</w:t>
      </w:r>
    </w:p>
    <w:p w:rsidR="00D20B7A" w:rsidRPr="00CF6D70" w:rsidRDefault="00D20B7A" w:rsidP="00D20B7A">
      <w:pPr>
        <w:rPr>
          <w:rFonts w:ascii="Arial" w:hAnsi="Arial" w:cs="Arial"/>
        </w:rPr>
      </w:pPr>
      <w:r w:rsidRPr="00CF6D70">
        <w:rPr>
          <w:rFonts w:ascii="Arial" w:hAnsi="Arial" w:cs="Arial"/>
        </w:rPr>
        <w:t>• The percentage for the 'Planning' stage decreased from 86% in the quarter ending 30 September 2021 to 82% in the quarter ending 31 December 2021.</w:t>
      </w:r>
    </w:p>
    <w:p w:rsidR="00D20B7A" w:rsidRPr="00CF6D70" w:rsidRDefault="00D20B7A" w:rsidP="00D20B7A">
      <w:pPr>
        <w:rPr>
          <w:rFonts w:ascii="Arial" w:hAnsi="Arial" w:cs="Arial"/>
        </w:rPr>
      </w:pPr>
      <w:r w:rsidRPr="00CF6D70">
        <w:rPr>
          <w:rFonts w:ascii="Arial" w:hAnsi="Arial" w:cs="Arial"/>
        </w:rPr>
        <w:t>• The percentage for the 'Plan review ' stage increased from 70% in the quarter ending 30 September 2021 to 72% in the quarter ending 31 December 2021.</w:t>
      </w:r>
    </w:p>
    <w:p w:rsidR="00D20B7A" w:rsidRPr="00CF6D70" w:rsidRDefault="00D20B7A" w:rsidP="00D20B7A">
      <w:pPr>
        <w:pStyle w:val="Heading2"/>
        <w:rPr>
          <w:rFonts w:ascii="Arial" w:hAnsi="Arial" w:cs="Arial"/>
          <w:color w:val="414042"/>
        </w:rPr>
      </w:pPr>
      <w:r w:rsidRPr="00CF6D70">
        <w:rPr>
          <w:rFonts w:ascii="Arial" w:hAnsi="Arial" w:cs="Arial"/>
          <w:color w:val="414042"/>
        </w:rPr>
        <w:t>Participant Service Guarantee</w:t>
      </w:r>
    </w:p>
    <w:p w:rsidR="00D20B7A" w:rsidRPr="00CF6D70" w:rsidRDefault="00D20B7A" w:rsidP="00D20B7A">
      <w:pPr>
        <w:rPr>
          <w:rFonts w:ascii="Arial" w:hAnsi="Arial" w:cs="Arial"/>
        </w:rPr>
      </w:pPr>
      <w:r w:rsidRPr="00CF6D70">
        <w:rPr>
          <w:rFonts w:ascii="Arial" w:hAnsi="Arial" w:cs="Arial"/>
        </w:rPr>
        <w:t>The following statistics concern Participant Service Guarantee metrics. These statistics look at the percentage of cases meeting the Service Guarantee target in the quarters ending 30 September 2021 and 31 December 2021.</w:t>
      </w:r>
      <w:r w:rsidR="00263C02" w:rsidRPr="00CF6D70">
        <w:rPr>
          <w:rFonts w:ascii="Arial" w:hAnsi="Arial" w:cs="Arial"/>
        </w:rPr>
        <w:t xml:space="preserve"> </w:t>
      </w:r>
      <w:r w:rsidRPr="00CF6D70">
        <w:rPr>
          <w:rFonts w:ascii="Arial" w:hAnsi="Arial" w:cs="Arial"/>
        </w:rPr>
        <w:t xml:space="preserve">The results for the timeframes shown are based on preliminary calculations and the methodology used to determine the timeframes may change going forward. As a result, </w:t>
      </w:r>
      <w:r w:rsidR="007B524C">
        <w:rPr>
          <w:rFonts w:ascii="Arial" w:hAnsi="Arial" w:cs="Arial"/>
        </w:rPr>
        <w:t>Participant Service Guarantee</w:t>
      </w:r>
      <w:r w:rsidRPr="00CF6D70">
        <w:rPr>
          <w:rFonts w:ascii="Arial" w:hAnsi="Arial" w:cs="Arial"/>
        </w:rPr>
        <w:t xml:space="preserve"> results in the previous quarter may be restated due to logic changes. 'NA' means that </w:t>
      </w:r>
      <w:r w:rsidR="007B524C">
        <w:rPr>
          <w:rFonts w:ascii="Arial" w:hAnsi="Arial" w:cs="Arial"/>
        </w:rPr>
        <w:t>Participant Service Guarantee</w:t>
      </w:r>
      <w:r w:rsidRPr="00CF6D70">
        <w:rPr>
          <w:rFonts w:ascii="Arial" w:hAnsi="Arial" w:cs="Arial"/>
        </w:rPr>
        <w:t xml:space="preserve"> results cannot be measured.</w:t>
      </w:r>
    </w:p>
    <w:p w:rsidR="00D20B7A" w:rsidRPr="00CF6D70" w:rsidRDefault="00D20B7A" w:rsidP="00D20B7A">
      <w:pPr>
        <w:rPr>
          <w:rFonts w:ascii="Arial" w:hAnsi="Arial" w:cs="Arial"/>
        </w:rPr>
      </w:pPr>
      <w:r w:rsidRPr="00CF6D70">
        <w:rPr>
          <w:rFonts w:ascii="Arial" w:hAnsi="Arial" w:cs="Arial"/>
        </w:rPr>
        <w:t>The following metric is concerned with the General category.</w:t>
      </w:r>
    </w:p>
    <w:p w:rsidR="00A57F9D" w:rsidRDefault="00D366F5" w:rsidP="00D20B7A">
      <w:pPr>
        <w:rPr>
          <w:rFonts w:ascii="Arial" w:hAnsi="Arial" w:cs="Arial"/>
        </w:rPr>
      </w:pPr>
      <w:r>
        <w:rPr>
          <w:rFonts w:ascii="Arial" w:hAnsi="Arial" w:cs="Arial"/>
        </w:rPr>
        <w:lastRenderedPageBreak/>
        <w:t xml:space="preserve">• </w:t>
      </w:r>
      <w:r w:rsidR="007B524C">
        <w:rPr>
          <w:rFonts w:ascii="Arial" w:hAnsi="Arial" w:cs="Arial"/>
        </w:rPr>
        <w:t>Participant Service Guarantee</w:t>
      </w:r>
      <w:r>
        <w:rPr>
          <w:rFonts w:ascii="Arial" w:hAnsi="Arial" w:cs="Arial"/>
        </w:rPr>
        <w:t xml:space="preserve"> number 1: The percentage of explanation of a previous decision made within 28 days after a request has been made cannot be measured for both quarters ending 30 September 2021 and 31 December 2021.</w:t>
      </w:r>
    </w:p>
    <w:p w:rsidR="00D20B7A" w:rsidRPr="00CF6D70" w:rsidRDefault="00D20B7A" w:rsidP="00D20B7A">
      <w:pPr>
        <w:rPr>
          <w:rFonts w:ascii="Arial" w:hAnsi="Arial" w:cs="Arial"/>
        </w:rPr>
      </w:pPr>
      <w:r w:rsidRPr="00CF6D70">
        <w:rPr>
          <w:rFonts w:ascii="Arial" w:hAnsi="Arial" w:cs="Arial"/>
        </w:rPr>
        <w:t xml:space="preserve">• </w:t>
      </w:r>
      <w:r w:rsidR="007B524C">
        <w:rPr>
          <w:rFonts w:ascii="Arial" w:hAnsi="Arial" w:cs="Arial"/>
        </w:rPr>
        <w:t>Participant Service Guarantee</w:t>
      </w:r>
      <w:r w:rsidRPr="00CF6D70">
        <w:rPr>
          <w:rFonts w:ascii="Arial" w:hAnsi="Arial" w:cs="Arial"/>
        </w:rPr>
        <w:t xml:space="preserve"> number 2: The percentage of access decisions made or further information requested within 21 days of an access request</w:t>
      </w:r>
      <w:r w:rsidR="00263C02" w:rsidRPr="00CF6D70">
        <w:rPr>
          <w:rFonts w:ascii="Arial" w:hAnsi="Arial" w:cs="Arial"/>
        </w:rPr>
        <w:t xml:space="preserve"> </w:t>
      </w:r>
      <w:r w:rsidRPr="00CF6D70">
        <w:rPr>
          <w:rFonts w:ascii="Arial" w:hAnsi="Arial" w:cs="Arial"/>
        </w:rPr>
        <w:t>remained stable at 100%, from 30 September 2021 to 31 December 2021.</w:t>
      </w:r>
    </w:p>
    <w:p w:rsidR="00D20B7A" w:rsidRPr="00CF6D70" w:rsidRDefault="00D20B7A" w:rsidP="00D20B7A">
      <w:pPr>
        <w:rPr>
          <w:rFonts w:ascii="Arial" w:hAnsi="Arial" w:cs="Arial"/>
        </w:rPr>
      </w:pPr>
      <w:r w:rsidRPr="00CF6D70">
        <w:rPr>
          <w:rFonts w:ascii="Arial" w:hAnsi="Arial" w:cs="Arial"/>
        </w:rPr>
        <w:t xml:space="preserve">• </w:t>
      </w:r>
      <w:r w:rsidR="007B524C">
        <w:rPr>
          <w:rFonts w:ascii="Arial" w:hAnsi="Arial" w:cs="Arial"/>
        </w:rPr>
        <w:t>Participant Service Guarantee</w:t>
      </w:r>
      <w:r w:rsidRPr="00CF6D70">
        <w:rPr>
          <w:rFonts w:ascii="Arial" w:hAnsi="Arial" w:cs="Arial"/>
        </w:rPr>
        <w:t xml:space="preserve"> number 3: The percentage of access decisions allowing 90 days for prospective participants to provide information after NDIA has requested further information</w:t>
      </w:r>
      <w:r w:rsidR="00263C02" w:rsidRPr="00CF6D70">
        <w:rPr>
          <w:rFonts w:ascii="Arial" w:hAnsi="Arial" w:cs="Arial"/>
        </w:rPr>
        <w:t xml:space="preserve"> </w:t>
      </w:r>
      <w:r w:rsidRPr="00CF6D70">
        <w:rPr>
          <w:rFonts w:ascii="Arial" w:hAnsi="Arial" w:cs="Arial"/>
        </w:rPr>
        <w:t>decreased from 100% as at 30 September 2021 to 97% as at 31 December 2021.</w:t>
      </w:r>
    </w:p>
    <w:p w:rsidR="00D20B7A" w:rsidRPr="00CF6D70" w:rsidRDefault="00D20B7A" w:rsidP="00D20B7A">
      <w:pPr>
        <w:rPr>
          <w:rFonts w:ascii="Arial" w:hAnsi="Arial" w:cs="Arial"/>
        </w:rPr>
      </w:pPr>
      <w:r w:rsidRPr="00CF6D70">
        <w:rPr>
          <w:rFonts w:ascii="Arial" w:hAnsi="Arial" w:cs="Arial"/>
        </w:rPr>
        <w:t xml:space="preserve">• </w:t>
      </w:r>
      <w:r w:rsidR="007B524C">
        <w:rPr>
          <w:rFonts w:ascii="Arial" w:hAnsi="Arial" w:cs="Arial"/>
        </w:rPr>
        <w:t>Participant Service Guarantee</w:t>
      </w:r>
      <w:r w:rsidRPr="00CF6D70">
        <w:rPr>
          <w:rFonts w:ascii="Arial" w:hAnsi="Arial" w:cs="Arial"/>
        </w:rPr>
        <w:t xml:space="preserve"> number 4: The percentage of access decisions made within 14 days of final information being provided</w:t>
      </w:r>
      <w:r w:rsidR="00263C02" w:rsidRPr="00CF6D70">
        <w:rPr>
          <w:rFonts w:ascii="Arial" w:hAnsi="Arial" w:cs="Arial"/>
        </w:rPr>
        <w:t xml:space="preserve"> </w:t>
      </w:r>
      <w:r w:rsidRPr="00CF6D70">
        <w:rPr>
          <w:rFonts w:ascii="Arial" w:hAnsi="Arial" w:cs="Arial"/>
        </w:rPr>
        <w:t>remained stable at 98%, from 30 September 2021 to 31 December 2021.</w:t>
      </w:r>
    </w:p>
    <w:p w:rsidR="00D20B7A" w:rsidRPr="00CF6D70" w:rsidRDefault="00D20B7A" w:rsidP="00D20B7A">
      <w:pPr>
        <w:rPr>
          <w:rFonts w:ascii="Arial" w:hAnsi="Arial" w:cs="Arial"/>
        </w:rPr>
      </w:pPr>
      <w:r w:rsidRPr="00CF6D70">
        <w:rPr>
          <w:rFonts w:ascii="Arial" w:hAnsi="Arial" w:cs="Arial"/>
        </w:rPr>
        <w:t>The following three metrics are concerned with Planning.</w:t>
      </w:r>
    </w:p>
    <w:p w:rsidR="00D20B7A" w:rsidRPr="00CF6D70" w:rsidRDefault="00D20B7A" w:rsidP="00D20B7A">
      <w:pPr>
        <w:rPr>
          <w:rFonts w:ascii="Arial" w:hAnsi="Arial" w:cs="Arial"/>
        </w:rPr>
      </w:pPr>
      <w:r w:rsidRPr="00CF6D70">
        <w:rPr>
          <w:rFonts w:ascii="Arial" w:hAnsi="Arial" w:cs="Arial"/>
        </w:rPr>
        <w:t xml:space="preserve">• </w:t>
      </w:r>
      <w:r w:rsidR="007B524C">
        <w:rPr>
          <w:rFonts w:ascii="Arial" w:hAnsi="Arial" w:cs="Arial"/>
        </w:rPr>
        <w:t>Participant Service Guarantee</w:t>
      </w:r>
      <w:r w:rsidRPr="00CF6D70">
        <w:rPr>
          <w:rFonts w:ascii="Arial" w:hAnsi="Arial" w:cs="Arial"/>
        </w:rPr>
        <w:t xml:space="preserve"> number 5: The percentage of cases where facilitating the preparation of a plan commenced</w:t>
      </w:r>
      <w:r w:rsidR="00263C02" w:rsidRPr="00CF6D70">
        <w:rPr>
          <w:rFonts w:ascii="Arial" w:hAnsi="Arial" w:cs="Arial"/>
        </w:rPr>
        <w:t xml:space="preserve"> </w:t>
      </w:r>
      <w:r w:rsidRPr="00CF6D70">
        <w:rPr>
          <w:rFonts w:ascii="Arial" w:hAnsi="Arial" w:cs="Arial"/>
        </w:rPr>
        <w:t>within 21 days of an access decision being made</w:t>
      </w:r>
      <w:r w:rsidR="00263C02" w:rsidRPr="00CF6D70">
        <w:rPr>
          <w:rFonts w:ascii="Arial" w:hAnsi="Arial" w:cs="Arial"/>
        </w:rPr>
        <w:t xml:space="preserve"> </w:t>
      </w:r>
      <w:r w:rsidRPr="00CF6D70">
        <w:rPr>
          <w:rFonts w:ascii="Arial" w:hAnsi="Arial" w:cs="Arial"/>
        </w:rPr>
        <w:t>decreased from 87% as at 30 September 2021 to 84% as at 31 December 2021.</w:t>
      </w:r>
    </w:p>
    <w:p w:rsidR="00D20B7A" w:rsidRPr="00CF6D70" w:rsidRDefault="00D20B7A" w:rsidP="00D20B7A">
      <w:pPr>
        <w:rPr>
          <w:rFonts w:ascii="Arial" w:hAnsi="Arial" w:cs="Arial"/>
        </w:rPr>
      </w:pPr>
      <w:r w:rsidRPr="00CF6D70">
        <w:rPr>
          <w:rFonts w:ascii="Arial" w:hAnsi="Arial" w:cs="Arial"/>
        </w:rPr>
        <w:t xml:space="preserve">• </w:t>
      </w:r>
      <w:r w:rsidR="007B524C">
        <w:rPr>
          <w:rFonts w:ascii="Arial" w:hAnsi="Arial" w:cs="Arial"/>
        </w:rPr>
        <w:t>Participant Service Guarantee</w:t>
      </w:r>
      <w:r w:rsidRPr="00CF6D70">
        <w:rPr>
          <w:rFonts w:ascii="Arial" w:hAnsi="Arial" w:cs="Arial"/>
        </w:rPr>
        <w:t xml:space="preserve"> number 6: The percentage of first plans that were approved within 56 days after access decisions were made,</w:t>
      </w:r>
      <w:r w:rsidR="00263C02" w:rsidRPr="00CF6D70">
        <w:rPr>
          <w:rFonts w:ascii="Arial" w:hAnsi="Arial" w:cs="Arial"/>
        </w:rPr>
        <w:t xml:space="preserve"> </w:t>
      </w:r>
      <w:r w:rsidRPr="00CF6D70">
        <w:rPr>
          <w:rFonts w:ascii="Arial" w:hAnsi="Arial" w:cs="Arial"/>
        </w:rPr>
        <w:t>increased from 81% as at 30 September 2021 to 85% as at 31 December 2021.</w:t>
      </w:r>
    </w:p>
    <w:p w:rsidR="00D20B7A" w:rsidRPr="00CF6D70" w:rsidRDefault="00D20B7A" w:rsidP="00D20B7A">
      <w:pPr>
        <w:rPr>
          <w:rFonts w:ascii="Arial" w:hAnsi="Arial" w:cs="Arial"/>
        </w:rPr>
      </w:pPr>
      <w:r w:rsidRPr="00CF6D70">
        <w:rPr>
          <w:rFonts w:ascii="Arial" w:hAnsi="Arial" w:cs="Arial"/>
        </w:rPr>
        <w:t xml:space="preserve">• </w:t>
      </w:r>
      <w:r w:rsidR="007B524C">
        <w:rPr>
          <w:rFonts w:ascii="Arial" w:hAnsi="Arial" w:cs="Arial"/>
        </w:rPr>
        <w:t>Participant Service Guarantee</w:t>
      </w:r>
      <w:r w:rsidRPr="00CF6D70">
        <w:rPr>
          <w:rFonts w:ascii="Arial" w:hAnsi="Arial" w:cs="Arial"/>
        </w:rPr>
        <w:t xml:space="preserve"> number 7: The percentage of first plans that were approved within 90 days after access </w:t>
      </w:r>
      <w:r w:rsidR="00AA2AAA">
        <w:rPr>
          <w:rFonts w:ascii="Arial" w:hAnsi="Arial" w:cs="Arial"/>
        </w:rPr>
        <w:t xml:space="preserve">decisions were made, for </w:t>
      </w:r>
      <w:r w:rsidR="00CE09C0">
        <w:rPr>
          <w:rFonts w:ascii="Arial" w:hAnsi="Arial" w:cs="Arial"/>
        </w:rPr>
        <w:t>Early</w:t>
      </w:r>
      <w:r w:rsidR="00CE09C0" w:rsidRPr="005B550F">
        <w:rPr>
          <w:rFonts w:ascii="Arial" w:hAnsi="Arial" w:cs="Arial"/>
        </w:rPr>
        <w:t xml:space="preserve"> Childhood Early Intervention</w:t>
      </w:r>
      <w:r w:rsidR="00BC7759">
        <w:rPr>
          <w:rFonts w:ascii="Arial" w:hAnsi="Arial" w:cs="Arial"/>
        </w:rPr>
        <w:t xml:space="preserve"> </w:t>
      </w:r>
      <w:r w:rsidRPr="00CF6D70">
        <w:rPr>
          <w:rFonts w:ascii="Arial" w:hAnsi="Arial" w:cs="Arial"/>
        </w:rPr>
        <w:t>participants,</w:t>
      </w:r>
      <w:r w:rsidR="00263C02" w:rsidRPr="00CF6D70">
        <w:rPr>
          <w:rFonts w:ascii="Arial" w:hAnsi="Arial" w:cs="Arial"/>
        </w:rPr>
        <w:t xml:space="preserve"> </w:t>
      </w:r>
      <w:r w:rsidRPr="00CF6D70">
        <w:rPr>
          <w:rFonts w:ascii="Arial" w:hAnsi="Arial" w:cs="Arial"/>
        </w:rPr>
        <w:t>decreased from 96% as at 30 September 2021 to 92% as at 31 December 2021.</w:t>
      </w:r>
      <w:r w:rsidR="00CE09C0" w:rsidRPr="00CE09C0">
        <w:rPr>
          <w:rFonts w:ascii="Arial" w:hAnsi="Arial" w:cs="Arial"/>
        </w:rPr>
        <w:t xml:space="preserve"> Early Childhood Early Intervention is now known as Early Childhood Approach.</w:t>
      </w:r>
    </w:p>
    <w:p w:rsidR="00D20B7A" w:rsidRPr="00CF6D70" w:rsidRDefault="00D20B7A" w:rsidP="00D20B7A">
      <w:pPr>
        <w:rPr>
          <w:rFonts w:ascii="Arial" w:hAnsi="Arial" w:cs="Arial"/>
        </w:rPr>
      </w:pPr>
      <w:r w:rsidRPr="00CF6D70">
        <w:rPr>
          <w:rFonts w:ascii="Arial" w:hAnsi="Arial" w:cs="Arial"/>
        </w:rPr>
        <w:t>The following metric is concerned with Implementation.</w:t>
      </w:r>
    </w:p>
    <w:p w:rsidR="00D20B7A" w:rsidRPr="00CF6D70" w:rsidRDefault="00D20B7A" w:rsidP="00D20B7A">
      <w:pPr>
        <w:rPr>
          <w:rFonts w:ascii="Arial" w:hAnsi="Arial" w:cs="Arial"/>
        </w:rPr>
      </w:pPr>
      <w:r w:rsidRPr="00CF6D70">
        <w:rPr>
          <w:rFonts w:ascii="Arial" w:hAnsi="Arial" w:cs="Arial"/>
        </w:rPr>
        <w:t xml:space="preserve">• </w:t>
      </w:r>
      <w:r w:rsidR="007B524C">
        <w:rPr>
          <w:rFonts w:ascii="Arial" w:hAnsi="Arial" w:cs="Arial"/>
        </w:rPr>
        <w:t>Participant Service Guarantee</w:t>
      </w:r>
      <w:r w:rsidRPr="00CF6D70">
        <w:rPr>
          <w:rFonts w:ascii="Arial" w:hAnsi="Arial" w:cs="Arial"/>
        </w:rPr>
        <w:t xml:space="preserve"> number 9: The percentage of cases where a plan implementation meeting was held within 28 days if the participant accepts the offer</w:t>
      </w:r>
      <w:r w:rsidR="00263C02" w:rsidRPr="00CF6D70">
        <w:rPr>
          <w:rFonts w:ascii="Arial" w:hAnsi="Arial" w:cs="Arial"/>
        </w:rPr>
        <w:t xml:space="preserve"> </w:t>
      </w:r>
      <w:r w:rsidRPr="00CF6D70">
        <w:rPr>
          <w:rFonts w:ascii="Arial" w:hAnsi="Arial" w:cs="Arial"/>
        </w:rPr>
        <w:t>remained stable at 100%, from 30 September 2021 to 31 December 2021.</w:t>
      </w:r>
    </w:p>
    <w:p w:rsidR="00D20B7A" w:rsidRPr="00CF6D70" w:rsidRDefault="00D20B7A" w:rsidP="00D20B7A">
      <w:pPr>
        <w:rPr>
          <w:rFonts w:ascii="Arial" w:hAnsi="Arial" w:cs="Arial"/>
        </w:rPr>
      </w:pPr>
      <w:r w:rsidRPr="00CF6D70">
        <w:rPr>
          <w:rFonts w:ascii="Arial" w:hAnsi="Arial" w:cs="Arial"/>
        </w:rPr>
        <w:t>The following three metrics are concerned with Reviews.</w:t>
      </w:r>
    </w:p>
    <w:p w:rsidR="00D20B7A" w:rsidRPr="00CF6D70" w:rsidRDefault="00D20B7A" w:rsidP="00D20B7A">
      <w:pPr>
        <w:rPr>
          <w:rFonts w:ascii="Arial" w:hAnsi="Arial" w:cs="Arial"/>
        </w:rPr>
      </w:pPr>
      <w:r w:rsidRPr="00CF6D70">
        <w:rPr>
          <w:rFonts w:ascii="Arial" w:hAnsi="Arial" w:cs="Arial"/>
        </w:rPr>
        <w:t xml:space="preserve">• </w:t>
      </w:r>
      <w:r w:rsidR="007B524C">
        <w:rPr>
          <w:rFonts w:ascii="Arial" w:hAnsi="Arial" w:cs="Arial"/>
        </w:rPr>
        <w:t>Participant Service Guarantee</w:t>
      </w:r>
      <w:r w:rsidRPr="00CF6D70">
        <w:rPr>
          <w:rFonts w:ascii="Arial" w:hAnsi="Arial" w:cs="Arial"/>
        </w:rPr>
        <w:t xml:space="preserve"> number 11: The percentage of cases where facilitating a scheduled plan review commenced at least 56 days prior to the scheduled review date</w:t>
      </w:r>
      <w:r w:rsidR="00263C02" w:rsidRPr="00CF6D70">
        <w:rPr>
          <w:rFonts w:ascii="Arial" w:hAnsi="Arial" w:cs="Arial"/>
        </w:rPr>
        <w:t xml:space="preserve"> </w:t>
      </w:r>
      <w:r w:rsidRPr="00CF6D70">
        <w:rPr>
          <w:rFonts w:ascii="Arial" w:hAnsi="Arial" w:cs="Arial"/>
        </w:rPr>
        <w:t>decreased from 32% as at 30 September 2021 to 31% as at 31 December 2021.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D20B7A" w:rsidRPr="00CF6D70" w:rsidRDefault="00D20B7A" w:rsidP="00D20B7A">
      <w:pPr>
        <w:rPr>
          <w:rFonts w:ascii="Arial" w:hAnsi="Arial" w:cs="Arial"/>
        </w:rPr>
      </w:pPr>
      <w:r w:rsidRPr="00CF6D70">
        <w:rPr>
          <w:rFonts w:ascii="Arial" w:hAnsi="Arial" w:cs="Arial"/>
        </w:rPr>
        <w:t xml:space="preserve">• </w:t>
      </w:r>
      <w:r w:rsidR="007B524C">
        <w:rPr>
          <w:rFonts w:ascii="Arial" w:hAnsi="Arial" w:cs="Arial"/>
        </w:rPr>
        <w:t>Participant Service Guarantee</w:t>
      </w:r>
      <w:r w:rsidRPr="00CF6D70">
        <w:rPr>
          <w:rFonts w:ascii="Arial" w:hAnsi="Arial" w:cs="Arial"/>
        </w:rPr>
        <w:t xml:space="preserve"> number 12: The percentage of cases where the decision, to undertake Pa</w:t>
      </w:r>
      <w:r w:rsidR="00AA2AAA">
        <w:rPr>
          <w:rFonts w:ascii="Arial" w:hAnsi="Arial" w:cs="Arial"/>
        </w:rPr>
        <w:t>rticipant Requested Reviews</w:t>
      </w:r>
      <w:r w:rsidRPr="00CF6D70">
        <w:rPr>
          <w:rFonts w:ascii="Arial" w:hAnsi="Arial" w:cs="Arial"/>
        </w:rPr>
        <w:t>, was made within 21 days</w:t>
      </w:r>
      <w:r w:rsidR="00263C02" w:rsidRPr="00CF6D70">
        <w:rPr>
          <w:rFonts w:ascii="Arial" w:hAnsi="Arial" w:cs="Arial"/>
        </w:rPr>
        <w:t xml:space="preserve"> </w:t>
      </w:r>
      <w:r w:rsidRPr="00CF6D70">
        <w:rPr>
          <w:rFonts w:ascii="Arial" w:hAnsi="Arial" w:cs="Arial"/>
        </w:rPr>
        <w:t>increased from 84% as at 30 September 2021 to 100% as at 31 December 2021.</w:t>
      </w:r>
    </w:p>
    <w:p w:rsidR="00D20B7A" w:rsidRPr="00CF6D70" w:rsidRDefault="00D20B7A" w:rsidP="00D20B7A">
      <w:pPr>
        <w:rPr>
          <w:rFonts w:ascii="Arial" w:hAnsi="Arial" w:cs="Arial"/>
        </w:rPr>
      </w:pPr>
      <w:r w:rsidRPr="00CF6D70">
        <w:rPr>
          <w:rFonts w:ascii="Arial" w:hAnsi="Arial" w:cs="Arial"/>
        </w:rPr>
        <w:t xml:space="preserve">• </w:t>
      </w:r>
      <w:r w:rsidR="007B524C">
        <w:rPr>
          <w:rFonts w:ascii="Arial" w:hAnsi="Arial" w:cs="Arial"/>
        </w:rPr>
        <w:t>Participant Service Guarantee</w:t>
      </w:r>
      <w:r w:rsidRPr="00CF6D70">
        <w:rPr>
          <w:rFonts w:ascii="Arial" w:hAnsi="Arial" w:cs="Arial"/>
        </w:rPr>
        <w:t xml:space="preserve"> number 13: The percentage of</w:t>
      </w:r>
      <w:r w:rsidR="00AA2AAA">
        <w:rPr>
          <w:rFonts w:ascii="Arial" w:hAnsi="Arial" w:cs="Arial"/>
        </w:rPr>
        <w:t xml:space="preserve"> Participant Requested Reviews</w:t>
      </w:r>
      <w:r w:rsidRPr="00CF6D70">
        <w:rPr>
          <w:rFonts w:ascii="Arial" w:hAnsi="Arial" w:cs="Arial"/>
        </w:rPr>
        <w:t xml:space="preserve"> that were completed within 28 days after the decision was made</w:t>
      </w:r>
      <w:r w:rsidR="00263C02" w:rsidRPr="00CF6D70">
        <w:rPr>
          <w:rFonts w:ascii="Arial" w:hAnsi="Arial" w:cs="Arial"/>
        </w:rPr>
        <w:t xml:space="preserve"> </w:t>
      </w:r>
      <w:r w:rsidRPr="00CF6D70">
        <w:rPr>
          <w:rFonts w:ascii="Arial" w:hAnsi="Arial" w:cs="Arial"/>
        </w:rPr>
        <w:t xml:space="preserve">decreased from 56% as at 30 September 2021 to 48% as at 31 December 2021. </w:t>
      </w:r>
    </w:p>
    <w:p w:rsidR="00D20B7A" w:rsidRPr="00CF6D70" w:rsidRDefault="00D20B7A" w:rsidP="00D20B7A">
      <w:pPr>
        <w:rPr>
          <w:rFonts w:ascii="Arial" w:hAnsi="Arial" w:cs="Arial"/>
        </w:rPr>
      </w:pPr>
      <w:r w:rsidRPr="00CF6D70">
        <w:rPr>
          <w:rFonts w:ascii="Arial" w:hAnsi="Arial" w:cs="Arial"/>
        </w:rPr>
        <w:lastRenderedPageBreak/>
        <w:t>The following two metrics are concerned with Amendments.</w:t>
      </w:r>
    </w:p>
    <w:p w:rsidR="00D20B7A" w:rsidRPr="00CF6D70" w:rsidRDefault="00D20B7A" w:rsidP="00D20B7A">
      <w:pPr>
        <w:rPr>
          <w:rFonts w:ascii="Arial" w:hAnsi="Arial" w:cs="Arial"/>
        </w:rPr>
      </w:pPr>
      <w:r w:rsidRPr="00CF6D70">
        <w:rPr>
          <w:rFonts w:ascii="Arial" w:hAnsi="Arial" w:cs="Arial"/>
        </w:rPr>
        <w:t xml:space="preserve">• </w:t>
      </w:r>
      <w:r w:rsidR="007B524C">
        <w:rPr>
          <w:rFonts w:ascii="Arial" w:hAnsi="Arial" w:cs="Arial"/>
        </w:rPr>
        <w:t>Participant Service Guarantee</w:t>
      </w:r>
      <w:r w:rsidRPr="00CF6D70">
        <w:rPr>
          <w:rFonts w:ascii="Arial" w:hAnsi="Arial" w:cs="Arial"/>
        </w:rPr>
        <w:t xml:space="preserve"> number 14: The percentage of cases where a plan was varied within 28 days after receiving information that triggers a plan review</w:t>
      </w:r>
      <w:r w:rsidR="00263C02" w:rsidRPr="00CF6D70">
        <w:rPr>
          <w:rFonts w:ascii="Arial" w:hAnsi="Arial" w:cs="Arial"/>
        </w:rPr>
        <w:t xml:space="preserve"> </w:t>
      </w:r>
      <w:r w:rsidRPr="00CF6D70">
        <w:rPr>
          <w:rFonts w:ascii="Arial" w:hAnsi="Arial" w:cs="Arial"/>
        </w:rPr>
        <w:t>remained stable at 89%, from 30 September 2021 to 31 December 2021.</w:t>
      </w:r>
    </w:p>
    <w:p w:rsidR="00A57F9D" w:rsidRDefault="00A57F9D" w:rsidP="00A57F9D">
      <w:pPr>
        <w:rPr>
          <w:rFonts w:ascii="Arial" w:hAnsi="Arial" w:cs="Arial"/>
        </w:rPr>
      </w:pPr>
      <w:r>
        <w:rPr>
          <w:rFonts w:ascii="Arial" w:hAnsi="Arial" w:cs="Arial"/>
        </w:rPr>
        <w:t xml:space="preserve">• </w:t>
      </w:r>
      <w:r w:rsidR="007B524C">
        <w:rPr>
          <w:rFonts w:ascii="Arial" w:hAnsi="Arial" w:cs="Arial"/>
        </w:rPr>
        <w:t>Participant Service Guarantee</w:t>
      </w:r>
      <w:r>
        <w:rPr>
          <w:rFonts w:ascii="Arial" w:hAnsi="Arial" w:cs="Arial"/>
        </w:rPr>
        <w:t xml:space="preserve"> number 15: The percentage of cases where a plan was varied within 50 days after receiving information that relates to a complex quote that triggers a plan review was 100% for the quarter ending 30 September 2021. This metric cannot be measured for the quarter ending 31 December 2021.</w:t>
      </w:r>
    </w:p>
    <w:p w:rsidR="00D20B7A" w:rsidRPr="00CF6D70" w:rsidRDefault="00D20B7A" w:rsidP="00D20B7A">
      <w:pPr>
        <w:rPr>
          <w:rFonts w:ascii="Arial" w:hAnsi="Arial" w:cs="Arial"/>
        </w:rPr>
      </w:pPr>
      <w:r w:rsidRPr="00CF6D70">
        <w:rPr>
          <w:rFonts w:ascii="Arial" w:hAnsi="Arial" w:cs="Arial"/>
        </w:rPr>
        <w:t>The following two metrics are concerned with Reviewable Decisions.</w:t>
      </w:r>
    </w:p>
    <w:p w:rsidR="00D20B7A" w:rsidRPr="00CF6D70" w:rsidRDefault="00D20B7A" w:rsidP="00D20B7A">
      <w:pPr>
        <w:rPr>
          <w:rFonts w:ascii="Arial" w:hAnsi="Arial" w:cs="Arial"/>
        </w:rPr>
      </w:pPr>
      <w:r w:rsidRPr="00CF6D70">
        <w:rPr>
          <w:rFonts w:ascii="Arial" w:hAnsi="Arial" w:cs="Arial"/>
        </w:rPr>
        <w:t xml:space="preserve">• </w:t>
      </w:r>
      <w:r w:rsidR="007B524C">
        <w:rPr>
          <w:rFonts w:ascii="Arial" w:hAnsi="Arial" w:cs="Arial"/>
        </w:rPr>
        <w:t>Participant Service Guarantee</w:t>
      </w:r>
      <w:r w:rsidRPr="00CF6D70">
        <w:rPr>
          <w:rFonts w:ascii="Arial" w:hAnsi="Arial" w:cs="Arial"/>
        </w:rPr>
        <w:t xml:space="preserve"> number 17: The proportion of Re</w:t>
      </w:r>
      <w:r w:rsidR="00AA2AAA">
        <w:rPr>
          <w:rFonts w:ascii="Arial" w:hAnsi="Arial" w:cs="Arial"/>
        </w:rPr>
        <w:t>views of Reviewable Decisions</w:t>
      </w:r>
      <w:r w:rsidRPr="00CF6D70">
        <w:rPr>
          <w:rFonts w:ascii="Arial" w:hAnsi="Arial" w:cs="Arial"/>
        </w:rPr>
        <w:t xml:space="preserve"> that were completed within 60 days after the request was received</w:t>
      </w:r>
      <w:r w:rsidR="00263C02" w:rsidRPr="00CF6D70">
        <w:rPr>
          <w:rFonts w:ascii="Arial" w:hAnsi="Arial" w:cs="Arial"/>
        </w:rPr>
        <w:t xml:space="preserve"> </w:t>
      </w:r>
      <w:r w:rsidRPr="00CF6D70">
        <w:rPr>
          <w:rFonts w:ascii="Arial" w:hAnsi="Arial" w:cs="Arial"/>
        </w:rPr>
        <w:t>increased from 91% as at 30 September 2021</w:t>
      </w:r>
      <w:r w:rsidR="005B089F">
        <w:rPr>
          <w:rFonts w:ascii="Arial" w:hAnsi="Arial" w:cs="Arial"/>
        </w:rPr>
        <w:t xml:space="preserve"> to 92% as at 31 December 2021.</w:t>
      </w:r>
    </w:p>
    <w:p w:rsidR="00D20B7A" w:rsidRPr="00CF6D70" w:rsidRDefault="00D20B7A" w:rsidP="00D20B7A">
      <w:pPr>
        <w:rPr>
          <w:rFonts w:ascii="Arial" w:hAnsi="Arial" w:cs="Arial"/>
        </w:rPr>
      </w:pPr>
      <w:r w:rsidRPr="00CF6D70">
        <w:rPr>
          <w:rFonts w:ascii="Arial" w:hAnsi="Arial" w:cs="Arial"/>
        </w:rPr>
        <w:t xml:space="preserve">• </w:t>
      </w:r>
      <w:r w:rsidR="007B524C">
        <w:rPr>
          <w:rFonts w:ascii="Arial" w:hAnsi="Arial" w:cs="Arial"/>
        </w:rPr>
        <w:t>Participant Service Guarantee</w:t>
      </w:r>
      <w:r w:rsidRPr="00CF6D70">
        <w:rPr>
          <w:rFonts w:ascii="Arial" w:hAnsi="Arial" w:cs="Arial"/>
        </w:rPr>
        <w:t xml:space="preserve"> number 18: The percentage of cases where an </w:t>
      </w:r>
      <w:r w:rsidR="0015531D">
        <w:rPr>
          <w:rFonts w:ascii="Arial" w:hAnsi="Arial" w:cs="Arial"/>
        </w:rPr>
        <w:t>Administrative Appeals Tribunal</w:t>
      </w:r>
      <w:r w:rsidR="0015531D" w:rsidRPr="00CF6D70">
        <w:rPr>
          <w:rFonts w:ascii="Arial" w:hAnsi="Arial" w:cs="Arial"/>
        </w:rPr>
        <w:t xml:space="preserve"> </w:t>
      </w:r>
      <w:r w:rsidRPr="00CF6D70">
        <w:rPr>
          <w:rFonts w:ascii="Arial" w:hAnsi="Arial" w:cs="Arial"/>
        </w:rPr>
        <w:t xml:space="preserve">decision was implemented to vary a plan within 28 days after receiving notification of the </w:t>
      </w:r>
      <w:r w:rsidR="0015531D">
        <w:rPr>
          <w:rFonts w:ascii="Arial" w:hAnsi="Arial" w:cs="Arial"/>
        </w:rPr>
        <w:t>Administrative Appeals Tribunal</w:t>
      </w:r>
      <w:r w:rsidRPr="00CF6D70">
        <w:rPr>
          <w:rFonts w:ascii="Arial" w:hAnsi="Arial" w:cs="Arial"/>
        </w:rPr>
        <w:t xml:space="preserve"> decision</w:t>
      </w:r>
      <w:r w:rsidR="00263C02" w:rsidRPr="00CF6D70">
        <w:rPr>
          <w:rFonts w:ascii="Arial" w:hAnsi="Arial" w:cs="Arial"/>
        </w:rPr>
        <w:t xml:space="preserve"> </w:t>
      </w:r>
      <w:r w:rsidRPr="00CF6D70">
        <w:rPr>
          <w:rFonts w:ascii="Arial" w:hAnsi="Arial" w:cs="Arial"/>
        </w:rPr>
        <w:t>increased from 83% as at 30 September 2021 to 100% as at 31 December 2021.</w:t>
      </w:r>
    </w:p>
    <w:p w:rsidR="00D20B7A" w:rsidRPr="00CF6D70" w:rsidRDefault="00D20B7A" w:rsidP="00D20B7A">
      <w:pPr>
        <w:rPr>
          <w:rFonts w:ascii="Arial" w:hAnsi="Arial" w:cs="Arial"/>
        </w:rPr>
      </w:pPr>
      <w:r w:rsidRPr="00CF6D70">
        <w:rPr>
          <w:rFonts w:ascii="Arial" w:hAnsi="Arial" w:cs="Arial"/>
        </w:rPr>
        <w:t>The following two metrics are concerned with Nominees.</w:t>
      </w:r>
    </w:p>
    <w:p w:rsidR="00D20B7A" w:rsidRPr="00CF6D70" w:rsidRDefault="00D20B7A" w:rsidP="00D20B7A">
      <w:pPr>
        <w:rPr>
          <w:rFonts w:ascii="Arial" w:hAnsi="Arial" w:cs="Arial"/>
        </w:rPr>
      </w:pPr>
      <w:r w:rsidRPr="00CF6D70">
        <w:rPr>
          <w:rFonts w:ascii="Arial" w:hAnsi="Arial" w:cs="Arial"/>
        </w:rPr>
        <w:t xml:space="preserve">• </w:t>
      </w:r>
      <w:r w:rsidR="007B524C">
        <w:rPr>
          <w:rFonts w:ascii="Arial" w:hAnsi="Arial" w:cs="Arial"/>
        </w:rPr>
        <w:t>Participant Service Guarantee</w:t>
      </w:r>
      <w:r w:rsidRPr="00CF6D70">
        <w:rPr>
          <w:rFonts w:ascii="Arial" w:hAnsi="Arial" w:cs="Arial"/>
        </w:rPr>
        <w:t xml:space="preserve"> number 19: The percentage of cases where a participant requested nominee was cancelled within 14 days</w:t>
      </w:r>
      <w:r w:rsidR="00263C02" w:rsidRPr="00CF6D70">
        <w:rPr>
          <w:rFonts w:ascii="Arial" w:hAnsi="Arial" w:cs="Arial"/>
        </w:rPr>
        <w:t xml:space="preserve"> </w:t>
      </w:r>
      <w:r w:rsidRPr="00CF6D70">
        <w:rPr>
          <w:rFonts w:ascii="Arial" w:hAnsi="Arial" w:cs="Arial"/>
        </w:rPr>
        <w:t>remained stable at 100%, from 30 September 2021 to 31 December 2021.</w:t>
      </w:r>
    </w:p>
    <w:p w:rsidR="000F1EB8" w:rsidRDefault="000F1EB8" w:rsidP="000F1EB8">
      <w:pPr>
        <w:rPr>
          <w:rFonts w:ascii="Arial" w:hAnsi="Arial" w:cs="Arial"/>
        </w:rPr>
      </w:pPr>
      <w:r>
        <w:rPr>
          <w:rFonts w:ascii="Arial" w:hAnsi="Arial" w:cs="Arial"/>
        </w:rPr>
        <w:t xml:space="preserve">• </w:t>
      </w:r>
      <w:r w:rsidR="007B524C">
        <w:rPr>
          <w:rFonts w:ascii="Arial" w:hAnsi="Arial" w:cs="Arial"/>
        </w:rPr>
        <w:t>Participant Service Guarantee</w:t>
      </w:r>
      <w:r>
        <w:rPr>
          <w:rFonts w:ascii="Arial" w:hAnsi="Arial" w:cs="Arial"/>
        </w:rPr>
        <w:t xml:space="preserve"> number 20: The percentage of cases where a </w:t>
      </w:r>
      <w:r w:rsidR="0015531D" w:rsidRPr="001D57EC">
        <w:rPr>
          <w:rFonts w:ascii="Arial" w:hAnsi="Arial" w:cs="Arial"/>
        </w:rPr>
        <w:t>C</w:t>
      </w:r>
      <w:r w:rsidR="0015531D">
        <w:rPr>
          <w:rFonts w:ascii="Arial" w:hAnsi="Arial" w:cs="Arial"/>
        </w:rPr>
        <w:t>hief Executive Officer</w:t>
      </w:r>
      <w:r>
        <w:rPr>
          <w:rFonts w:ascii="Arial" w:hAnsi="Arial" w:cs="Arial"/>
        </w:rPr>
        <w:t xml:space="preserve"> initiated nominee was cancelled within 14 days cannot be measured for both the quarters ending 30 September 2021 and 31 December 2021.</w:t>
      </w:r>
    </w:p>
    <w:p w:rsidR="00D20B7A" w:rsidRPr="00CF6D70" w:rsidRDefault="00D20B7A" w:rsidP="00D20B7A">
      <w:pPr>
        <w:rPr>
          <w:rFonts w:ascii="Arial" w:hAnsi="Arial" w:cs="Arial"/>
        </w:rPr>
      </w:pPr>
      <w:r w:rsidRPr="00CF6D70">
        <w:rPr>
          <w:rFonts w:ascii="Arial" w:hAnsi="Arial" w:cs="Arial"/>
        </w:rPr>
        <w:t>•</w:t>
      </w:r>
      <w:r w:rsidR="00263C02" w:rsidRPr="00CF6D70">
        <w:rPr>
          <w:rFonts w:ascii="Arial" w:hAnsi="Arial" w:cs="Arial"/>
        </w:rPr>
        <w:t xml:space="preserve"> </w:t>
      </w:r>
      <w:r w:rsidRPr="00CF6D70">
        <w:rPr>
          <w:rFonts w:ascii="Arial" w:hAnsi="Arial" w:cs="Arial"/>
        </w:rPr>
        <w:t xml:space="preserve">The </w:t>
      </w:r>
      <w:r w:rsidR="007B524C">
        <w:rPr>
          <w:rFonts w:ascii="Arial" w:hAnsi="Arial" w:cs="Arial"/>
        </w:rPr>
        <w:t>Participant Service Guarantee</w:t>
      </w:r>
      <w:r w:rsidR="001F1095">
        <w:rPr>
          <w:rFonts w:ascii="Arial" w:hAnsi="Arial" w:cs="Arial"/>
        </w:rPr>
        <w:t xml:space="preserve"> timeframes shown </w:t>
      </w:r>
      <w:r w:rsidRPr="00CF6D70">
        <w:rPr>
          <w:rFonts w:ascii="Arial" w:hAnsi="Arial" w:cs="Arial"/>
        </w:rPr>
        <w:t>above have not yet been legislated and continue to be developed.</w:t>
      </w:r>
    </w:p>
    <w:p w:rsidR="00D20B7A" w:rsidRPr="00CF6D70" w:rsidRDefault="00D20B7A" w:rsidP="00D20B7A">
      <w:pPr>
        <w:pStyle w:val="Heading2"/>
        <w:rPr>
          <w:rFonts w:ascii="Arial" w:hAnsi="Arial" w:cs="Arial"/>
          <w:color w:val="414042"/>
        </w:rPr>
      </w:pPr>
      <w:r w:rsidRPr="00CF6D70">
        <w:rPr>
          <w:rFonts w:ascii="Arial" w:hAnsi="Arial" w:cs="Arial"/>
          <w:color w:val="414042"/>
        </w:rPr>
        <w:t>Provider and market metrics</w:t>
      </w:r>
    </w:p>
    <w:p w:rsidR="00D20B7A" w:rsidRPr="00CF6D70" w:rsidRDefault="00D20B7A" w:rsidP="00D20B7A">
      <w:pPr>
        <w:rPr>
          <w:rFonts w:ascii="Arial" w:hAnsi="Arial" w:cs="Arial"/>
        </w:rPr>
      </w:pPr>
      <w:r w:rsidRPr="00CF6D70">
        <w:rPr>
          <w:rFonts w:ascii="Arial" w:hAnsi="Arial" w:cs="Arial"/>
        </w:rPr>
        <w:t>A table displays the following key statistics on Tasmania market supply and participant costs as at 31 December 2021 and at 30 September 2021.</w:t>
      </w:r>
    </w:p>
    <w:p w:rsidR="00D20B7A" w:rsidRPr="00CF6D70" w:rsidRDefault="00D20B7A" w:rsidP="00D20B7A">
      <w:pPr>
        <w:rPr>
          <w:rFonts w:ascii="Arial" w:hAnsi="Arial" w:cs="Arial"/>
        </w:rPr>
      </w:pPr>
      <w:r w:rsidRPr="00CF6D70">
        <w:rPr>
          <w:rFonts w:ascii="Arial" w:hAnsi="Arial" w:cs="Arial"/>
        </w:rPr>
        <w:t>• The total number of active providers (with at least one claim ever)</w:t>
      </w:r>
      <w:r w:rsidR="00263C02" w:rsidRPr="00CF6D70">
        <w:rPr>
          <w:rFonts w:ascii="Arial" w:hAnsi="Arial" w:cs="Arial"/>
        </w:rPr>
        <w:t xml:space="preserve"> </w:t>
      </w:r>
      <w:r w:rsidRPr="00CF6D70">
        <w:rPr>
          <w:rFonts w:ascii="Arial" w:hAnsi="Arial" w:cs="Arial"/>
        </w:rPr>
        <w:t>increased from 1,340 as at 30 September 2021 to 1,400 as at 31 December 2021. Active providers refer to those who have received payment for supporting Agency-managed participants.</w:t>
      </w:r>
    </w:p>
    <w:p w:rsidR="00D20B7A" w:rsidRPr="00CF6D70" w:rsidRDefault="00D20B7A" w:rsidP="00D20B7A">
      <w:pPr>
        <w:rPr>
          <w:rFonts w:ascii="Arial" w:hAnsi="Arial" w:cs="Arial"/>
        </w:rPr>
      </w:pPr>
      <w:r w:rsidRPr="00CF6D70">
        <w:rPr>
          <w:rFonts w:ascii="Arial" w:hAnsi="Arial" w:cs="Arial"/>
        </w:rPr>
        <w:t>• The total number of active providers in the last quarter</w:t>
      </w:r>
      <w:r w:rsidR="00263C02" w:rsidRPr="00CF6D70">
        <w:rPr>
          <w:rFonts w:ascii="Arial" w:hAnsi="Arial" w:cs="Arial"/>
        </w:rPr>
        <w:t xml:space="preserve"> </w:t>
      </w:r>
      <w:r w:rsidRPr="00CF6D70">
        <w:rPr>
          <w:rFonts w:ascii="Arial" w:hAnsi="Arial" w:cs="Arial"/>
        </w:rPr>
        <w:t>decreased from 517 as at 30 September 2021 to 509 as at 31 December 2021. Active providers refer to those who have received payment for supporting Agency-managed participants.</w:t>
      </w:r>
    </w:p>
    <w:p w:rsidR="00D20B7A" w:rsidRPr="00CF6D70" w:rsidRDefault="00D20B7A" w:rsidP="00D20B7A">
      <w:pPr>
        <w:rPr>
          <w:rFonts w:ascii="Arial" w:hAnsi="Arial" w:cs="Arial"/>
        </w:rPr>
      </w:pPr>
      <w:r w:rsidRPr="00CF6D70">
        <w:rPr>
          <w:rFonts w:ascii="Arial" w:hAnsi="Arial" w:cs="Arial"/>
        </w:rPr>
        <w:t>• Utilisation (which is calculated as a 6 month rolling average with a 3 month lag) increased from 74% as at 30 September 2021 to 77% as at 31 December 2021.</w:t>
      </w:r>
    </w:p>
    <w:p w:rsidR="00D20B7A" w:rsidRPr="00CF6D70" w:rsidRDefault="00D20B7A" w:rsidP="00D20B7A">
      <w:pPr>
        <w:rPr>
          <w:rFonts w:ascii="Arial" w:hAnsi="Arial" w:cs="Arial"/>
        </w:rPr>
      </w:pPr>
      <w:r w:rsidRPr="00CF6D70">
        <w:rPr>
          <w:rFonts w:ascii="Arial" w:hAnsi="Arial" w:cs="Arial"/>
        </w:rPr>
        <w:t>• Plan utilisation by service district. The proportion of service districts that are more than 10 percentage points below the benchmark</w:t>
      </w:r>
      <w:r w:rsidR="00263C02" w:rsidRPr="00CF6D70">
        <w:rPr>
          <w:rFonts w:ascii="Arial" w:hAnsi="Arial" w:cs="Arial"/>
        </w:rPr>
        <w:t xml:space="preserve"> </w:t>
      </w:r>
      <w:r w:rsidRPr="00CF6D70">
        <w:rPr>
          <w:rFonts w:ascii="Arial" w:hAnsi="Arial" w:cs="Arial"/>
        </w:rPr>
        <w:t>remained stable at 0%, from 30 September 2021 to 31 December 2021. The ‘benchmark’ in this analysis is the national average after adjusting for the proportion of participants in supported independent living in each service district and the length of time participants have been in the Scheme.</w:t>
      </w:r>
    </w:p>
    <w:p w:rsidR="00D20B7A" w:rsidRPr="00CF6D70" w:rsidRDefault="00D20B7A" w:rsidP="00D20B7A">
      <w:pPr>
        <w:rPr>
          <w:rFonts w:ascii="Arial" w:hAnsi="Arial" w:cs="Arial"/>
        </w:rPr>
      </w:pPr>
      <w:r w:rsidRPr="00CF6D70">
        <w:rPr>
          <w:rFonts w:ascii="Arial" w:hAnsi="Arial" w:cs="Arial"/>
        </w:rPr>
        <w:lastRenderedPageBreak/>
        <w:t>• Market concentration. The proportion of service districts where more than 85% of payments for supports go to the top 10 providers remained stable at 0%, from 30 September 2021 to 31 December 2021.</w:t>
      </w:r>
    </w:p>
    <w:p w:rsidR="00D20B7A" w:rsidRPr="00CF6D70" w:rsidRDefault="00D20B7A" w:rsidP="00D20B7A">
      <w:pPr>
        <w:rPr>
          <w:rFonts w:ascii="Arial" w:hAnsi="Arial" w:cs="Arial"/>
        </w:rPr>
      </w:pPr>
      <w:r w:rsidRPr="00CF6D70">
        <w:rPr>
          <w:rFonts w:ascii="Arial" w:hAnsi="Arial" w:cs="Arial"/>
        </w:rPr>
        <w:t>• The proportion of payments paid within 5 days through the portal decreased from 99.8% as at 30 September 2021 to 99.7% as at 31 December 2021.</w:t>
      </w:r>
    </w:p>
    <w:p w:rsidR="00D20B7A" w:rsidRPr="00CF6D70" w:rsidRDefault="00D20B7A" w:rsidP="00D20B7A">
      <w:pPr>
        <w:rPr>
          <w:rFonts w:ascii="Arial" w:hAnsi="Arial" w:cs="Arial"/>
        </w:rPr>
      </w:pPr>
      <w:r w:rsidRPr="00CF6D70">
        <w:rPr>
          <w:rFonts w:ascii="Arial" w:hAnsi="Arial" w:cs="Arial"/>
        </w:rPr>
        <w:t xml:space="preserve">• Total Payments from 1 July 2021 </w:t>
      </w:r>
      <w:r w:rsidR="00277D62">
        <w:rPr>
          <w:rFonts w:ascii="Arial" w:hAnsi="Arial" w:cs="Arial"/>
        </w:rPr>
        <w:t>increased from $181 million as at 30 September 2021 to</w:t>
      </w:r>
      <w:r w:rsidRPr="00CF6D70">
        <w:rPr>
          <w:rFonts w:ascii="Arial" w:hAnsi="Arial" w:cs="Arial"/>
        </w:rPr>
        <w:t xml:space="preserve"> $359 million as at 31 December 2021.</w:t>
      </w:r>
    </w:p>
    <w:p w:rsidR="00D20B7A" w:rsidRPr="00CF6D70" w:rsidRDefault="00D20B7A" w:rsidP="00D20B7A">
      <w:pPr>
        <w:rPr>
          <w:rFonts w:ascii="Arial" w:hAnsi="Arial" w:cs="Arial"/>
        </w:rPr>
      </w:pPr>
      <w:r w:rsidRPr="00CF6D70">
        <w:rPr>
          <w:rFonts w:ascii="Arial" w:hAnsi="Arial" w:cs="Arial"/>
        </w:rPr>
        <w:t>• Total annualised plan budgets</w:t>
      </w:r>
      <w:r w:rsidR="00263C02" w:rsidRPr="00CF6D70">
        <w:rPr>
          <w:rFonts w:ascii="Arial" w:hAnsi="Arial" w:cs="Arial"/>
        </w:rPr>
        <w:t xml:space="preserve"> </w:t>
      </w:r>
      <w:r w:rsidRPr="00CF6D70">
        <w:rPr>
          <w:rFonts w:ascii="Arial" w:hAnsi="Arial" w:cs="Arial"/>
        </w:rPr>
        <w:t>increased from $875 million as at 30 September 2021 to $904 million as at 31 December 2021.</w:t>
      </w:r>
    </w:p>
    <w:p w:rsidR="00D20B7A" w:rsidRPr="00CF6D70" w:rsidRDefault="00D20B7A" w:rsidP="00D20B7A">
      <w:pPr>
        <w:rPr>
          <w:rFonts w:ascii="Arial" w:hAnsi="Arial" w:cs="Arial"/>
        </w:rPr>
      </w:pPr>
      <w:r w:rsidRPr="00CF6D70">
        <w:rPr>
          <w:rFonts w:ascii="Arial" w:hAnsi="Arial" w:cs="Arial"/>
        </w:rPr>
        <w:t>• The growth in annualised plan budgets decreased from 3.4% in the September 2021 quarter to 3.0% in the December 2021 quarter.</w:t>
      </w:r>
    </w:p>
    <w:p w:rsidR="00D20B7A" w:rsidRPr="00CF6D70" w:rsidRDefault="00D20B7A" w:rsidP="00D20B7A">
      <w:pPr>
        <w:rPr>
          <w:rFonts w:ascii="Arial" w:hAnsi="Arial" w:cs="Arial"/>
        </w:rPr>
      </w:pPr>
      <w:r w:rsidRPr="00CF6D70">
        <w:rPr>
          <w:rFonts w:ascii="Arial" w:hAnsi="Arial" w:cs="Arial"/>
        </w:rPr>
        <w:t>• Socioeconomic equity (%)</w:t>
      </w:r>
      <w:r w:rsidR="00263C02" w:rsidRPr="00CF6D70">
        <w:rPr>
          <w:rFonts w:ascii="Arial" w:hAnsi="Arial" w:cs="Arial"/>
        </w:rPr>
        <w:t xml:space="preserve"> </w:t>
      </w:r>
      <w:r w:rsidRPr="00CF6D70">
        <w:rPr>
          <w:rFonts w:ascii="Arial" w:hAnsi="Arial" w:cs="Arial"/>
        </w:rPr>
        <w:t>remained stable at 93%, from the September 2021 quarter to the December 2021 quarter</w:t>
      </w:r>
      <w:r w:rsidR="00263C02" w:rsidRPr="00CF6D70">
        <w:rPr>
          <w:rFonts w:ascii="Arial" w:hAnsi="Arial" w:cs="Arial"/>
        </w:rPr>
        <w:t>.</w:t>
      </w:r>
      <w:r w:rsidRPr="00CF6D70">
        <w:rPr>
          <w:rFonts w:ascii="Arial" w:hAnsi="Arial" w:cs="Arial"/>
        </w:rPr>
        <w:t xml:space="preserve"> Socioeconomic status uses deciles from the </w:t>
      </w:r>
      <w:r w:rsidR="0015531D">
        <w:rPr>
          <w:rFonts w:ascii="Arial" w:hAnsi="Arial" w:cs="Arial"/>
        </w:rPr>
        <w:t>Australian Bureau of Statistics</w:t>
      </w:r>
      <w:r w:rsidR="0015531D" w:rsidRPr="00CF6D70">
        <w:rPr>
          <w:rFonts w:ascii="Arial" w:hAnsi="Arial" w:cs="Arial"/>
        </w:rPr>
        <w:t xml:space="preserve"> </w:t>
      </w:r>
      <w:r w:rsidRPr="00CF6D70">
        <w:rPr>
          <w:rFonts w:ascii="Arial" w:hAnsi="Arial" w:cs="Arial"/>
        </w:rPr>
        <w:t>In</w:t>
      </w:r>
      <w:r w:rsidR="0015531D">
        <w:rPr>
          <w:rFonts w:ascii="Arial" w:hAnsi="Arial" w:cs="Arial"/>
        </w:rPr>
        <w:t>dex of Education and Occupation</w:t>
      </w:r>
      <w:r w:rsidRPr="00CF6D70">
        <w:rPr>
          <w:rFonts w:ascii="Arial" w:hAnsi="Arial" w:cs="Arial"/>
        </w:rPr>
        <w:t>. A higher decile indicates that people residing in that area have a higher level of skills and qualifications on average. The socioeconomic equity metric is equal to the average annualised plan budget of parti</w:t>
      </w:r>
      <w:r w:rsidR="00293A97">
        <w:rPr>
          <w:rFonts w:ascii="Arial" w:hAnsi="Arial" w:cs="Arial"/>
        </w:rPr>
        <w:t xml:space="preserve">cipants residing in the top two </w:t>
      </w:r>
      <w:r w:rsidRPr="00CF6D70">
        <w:rPr>
          <w:rFonts w:ascii="Arial" w:hAnsi="Arial" w:cs="Arial"/>
        </w:rPr>
        <w:t xml:space="preserve">deciles divided by the average annualised plan budget of participants residing in the bottom two deciles (participants not in </w:t>
      </w:r>
      <w:r w:rsidR="0015531D" w:rsidRPr="001D57EC">
        <w:rPr>
          <w:rFonts w:ascii="Arial" w:hAnsi="Arial" w:cs="Arial"/>
        </w:rPr>
        <w:t>S</w:t>
      </w:r>
      <w:r w:rsidR="0015531D">
        <w:rPr>
          <w:rFonts w:ascii="Arial" w:hAnsi="Arial" w:cs="Arial"/>
        </w:rPr>
        <w:t>upported Independent Living</w:t>
      </w:r>
      <w:r w:rsidRPr="00CF6D70">
        <w:rPr>
          <w:rFonts w:ascii="Arial" w:hAnsi="Arial" w:cs="Arial"/>
        </w:rPr>
        <w:t xml:space="preserve"> and aged 0 to 64).</w:t>
      </w:r>
    </w:p>
    <w:p w:rsidR="00D20B7A" w:rsidRPr="00CF6D70" w:rsidRDefault="00D20B7A" w:rsidP="00D20B7A">
      <w:pPr>
        <w:rPr>
          <w:rFonts w:ascii="Arial" w:hAnsi="Arial" w:cs="Arial"/>
        </w:rPr>
      </w:pPr>
      <w:r w:rsidRPr="00CF6D70">
        <w:rPr>
          <w:rFonts w:ascii="Arial" w:hAnsi="Arial" w:cs="Arial"/>
        </w:rPr>
        <w:t>• Total annualised plan budgets at 31 December 2021 were $904m and payments from 1 July 2021 were $359m.</w:t>
      </w:r>
    </w:p>
    <w:p w:rsidR="00D20B7A" w:rsidRPr="00CF6D70" w:rsidRDefault="00D20B7A" w:rsidP="00D20B7A">
      <w:pPr>
        <w:rPr>
          <w:rFonts w:ascii="Arial" w:hAnsi="Arial" w:cs="Arial"/>
        </w:rPr>
      </w:pPr>
      <w:r w:rsidRPr="00CF6D70">
        <w:rPr>
          <w:rFonts w:ascii="Arial" w:hAnsi="Arial" w:cs="Arial"/>
        </w:rPr>
        <w:t>• The number of active providers at the end of December is 1,400, growing by 4% in the quarter.</w:t>
      </w:r>
    </w:p>
    <w:p w:rsidR="00D20B7A" w:rsidRPr="00CF6D70" w:rsidRDefault="00D20B7A" w:rsidP="00D20B7A">
      <w:pPr>
        <w:rPr>
          <w:rFonts w:ascii="Arial" w:hAnsi="Arial" w:cs="Arial"/>
        </w:rPr>
      </w:pPr>
      <w:r w:rsidRPr="00CF6D70">
        <w:rPr>
          <w:rFonts w:ascii="Arial" w:hAnsi="Arial" w:cs="Arial"/>
        </w:rPr>
        <w:t>• Utilisation was 77% from 1 April 2021 to 30 September 2021, with no service district in Tasmania more than 10 percentage points from the adjusted national benchmark.</w:t>
      </w:r>
    </w:p>
    <w:p w:rsidR="00D20B7A" w:rsidRPr="00CF6D70" w:rsidRDefault="00D20B7A" w:rsidP="00D20B7A">
      <w:pPr>
        <w:rPr>
          <w:rFonts w:ascii="Arial" w:hAnsi="Arial" w:cs="Arial"/>
        </w:rPr>
      </w:pPr>
      <w:r w:rsidRPr="00CF6D70">
        <w:rPr>
          <w:rFonts w:ascii="Arial" w:hAnsi="Arial" w:cs="Arial"/>
        </w:rPr>
        <w:t>•There were no service districts where the top 10 providers were providing more than 85% of payments.</w:t>
      </w:r>
    </w:p>
    <w:p w:rsidR="00D20B7A" w:rsidRPr="00CF6D70" w:rsidRDefault="00D20B7A" w:rsidP="00D20B7A">
      <w:pPr>
        <w:rPr>
          <w:rFonts w:ascii="Arial" w:hAnsi="Arial" w:cs="Arial"/>
        </w:rPr>
      </w:pPr>
      <w:r w:rsidRPr="00CF6D70">
        <w:rPr>
          <w:rFonts w:ascii="Arial" w:hAnsi="Arial" w:cs="Arial"/>
        </w:rPr>
        <w:t xml:space="preserve">A chart displays the Tasmania </w:t>
      </w:r>
      <w:r w:rsidR="001F1095" w:rsidRPr="001F1095">
        <w:rPr>
          <w:rFonts w:ascii="Arial" w:hAnsi="Arial" w:cs="Arial"/>
        </w:rPr>
        <w:t>service districts that were</w:t>
      </w:r>
      <w:r w:rsidR="001F1095">
        <w:rPr>
          <w:rFonts w:ascii="Arial" w:hAnsi="Arial" w:cs="Arial"/>
        </w:rPr>
        <w:t xml:space="preserve"> </w:t>
      </w:r>
      <w:r w:rsidRPr="00CF6D70">
        <w:rPr>
          <w:rFonts w:ascii="Arial" w:hAnsi="Arial" w:cs="Arial"/>
        </w:rPr>
        <w:t>more than 10 percentage points below the adjusted national benchmark as at 31 December 2021. The ‘benchmark’ in this analysis is the national average after adjusting for the proportion of participants in supported independent living in each service district and the length of time participants have been in the Scheme.</w:t>
      </w:r>
    </w:p>
    <w:p w:rsidR="00D20B7A" w:rsidRPr="00CF6D70" w:rsidRDefault="00D20B7A" w:rsidP="00D20B7A">
      <w:pPr>
        <w:rPr>
          <w:rFonts w:ascii="Arial" w:hAnsi="Arial" w:cs="Arial"/>
        </w:rPr>
      </w:pPr>
      <w:r w:rsidRPr="00CF6D70">
        <w:rPr>
          <w:rFonts w:ascii="Arial" w:hAnsi="Arial" w:cs="Arial"/>
        </w:rPr>
        <w:t>No service districts are more than 10 percentage points above the adjusted national benchmark.</w:t>
      </w:r>
    </w:p>
    <w:p w:rsidR="00D20B7A" w:rsidRPr="00CF6D70" w:rsidRDefault="00D20B7A" w:rsidP="00D20B7A">
      <w:pPr>
        <w:rPr>
          <w:rFonts w:ascii="Arial" w:hAnsi="Arial" w:cs="Arial"/>
        </w:rPr>
      </w:pPr>
      <w:r w:rsidRPr="00CF6D70">
        <w:rPr>
          <w:rFonts w:ascii="Arial" w:hAnsi="Arial" w:cs="Arial"/>
        </w:rPr>
        <w:t>No service districts are between 5 and 10 percentage points above the adjusted national benchmark.</w:t>
      </w:r>
    </w:p>
    <w:p w:rsidR="00D20B7A" w:rsidRPr="00CF6D70" w:rsidRDefault="00D20B7A" w:rsidP="00D20B7A">
      <w:pPr>
        <w:rPr>
          <w:rFonts w:ascii="Arial" w:hAnsi="Arial" w:cs="Arial"/>
        </w:rPr>
      </w:pPr>
      <w:r w:rsidRPr="00CF6D70">
        <w:rPr>
          <w:rFonts w:ascii="Arial" w:hAnsi="Arial" w:cs="Arial"/>
        </w:rPr>
        <w:t>4 out of 4 (100%) service districts are within 5 percentage points of the adjusted national benchmark.</w:t>
      </w:r>
    </w:p>
    <w:p w:rsidR="00D20B7A" w:rsidRPr="00CF6D70" w:rsidRDefault="00D20B7A" w:rsidP="00D20B7A">
      <w:pPr>
        <w:rPr>
          <w:rFonts w:ascii="Arial" w:hAnsi="Arial" w:cs="Arial"/>
        </w:rPr>
      </w:pPr>
      <w:r w:rsidRPr="00CF6D70">
        <w:rPr>
          <w:rFonts w:ascii="Arial" w:hAnsi="Arial" w:cs="Arial"/>
        </w:rPr>
        <w:t>No service districts are between 5 and 10 percentage points below the adjusted national benchmark.</w:t>
      </w:r>
    </w:p>
    <w:p w:rsidR="00D20B7A" w:rsidRPr="00CF6D70" w:rsidRDefault="00D20B7A" w:rsidP="00D20B7A">
      <w:pPr>
        <w:rPr>
          <w:rFonts w:ascii="Arial" w:hAnsi="Arial" w:cs="Arial"/>
        </w:rPr>
      </w:pPr>
      <w:r w:rsidRPr="00CF6D70">
        <w:rPr>
          <w:rFonts w:ascii="Arial" w:hAnsi="Arial" w:cs="Arial"/>
        </w:rPr>
        <w:t>No service districts are more than 10 percentage points below the adjusted national benchmark.</w:t>
      </w:r>
    </w:p>
    <w:p w:rsidR="00D20B7A" w:rsidRPr="00CF6D70" w:rsidRDefault="00D20B7A" w:rsidP="00D20B7A">
      <w:pPr>
        <w:rPr>
          <w:rFonts w:ascii="Arial" w:hAnsi="Arial" w:cs="Arial"/>
        </w:rPr>
      </w:pPr>
      <w:r w:rsidRPr="00CF6D70">
        <w:rPr>
          <w:rFonts w:ascii="Arial" w:hAnsi="Arial" w:cs="Arial"/>
        </w:rPr>
        <w:lastRenderedPageBreak/>
        <w:t>Service districts below benchmark:</w:t>
      </w:r>
    </w:p>
    <w:p w:rsidR="00D20B7A" w:rsidRPr="00CF6D70" w:rsidRDefault="00D20B7A" w:rsidP="00D20B7A">
      <w:pPr>
        <w:rPr>
          <w:rFonts w:ascii="Arial" w:hAnsi="Arial" w:cs="Arial"/>
        </w:rPr>
      </w:pPr>
      <w:r w:rsidRPr="00CF6D70">
        <w:rPr>
          <w:rFonts w:ascii="Arial" w:hAnsi="Arial" w:cs="Arial"/>
        </w:rPr>
        <w:t>• Tasmania North: 75% versus 76% benchmark.</w:t>
      </w:r>
    </w:p>
    <w:p w:rsidR="00D20B7A" w:rsidRPr="00CF6D70" w:rsidRDefault="00D20B7A" w:rsidP="00D20B7A">
      <w:pPr>
        <w:rPr>
          <w:rFonts w:ascii="Arial" w:hAnsi="Arial" w:cs="Arial"/>
        </w:rPr>
      </w:pPr>
      <w:r w:rsidRPr="00CF6D70">
        <w:rPr>
          <w:rFonts w:ascii="Arial" w:hAnsi="Arial" w:cs="Arial"/>
        </w:rPr>
        <w:t>• Tasmania North West: 77% versus 78% benchmark.</w:t>
      </w:r>
    </w:p>
    <w:p w:rsidR="00D20B7A" w:rsidRPr="00CF6D70" w:rsidRDefault="00D20B7A" w:rsidP="00D20B7A">
      <w:pPr>
        <w:rPr>
          <w:rFonts w:ascii="Arial" w:hAnsi="Arial" w:cs="Arial"/>
        </w:rPr>
      </w:pPr>
      <w:r w:rsidRPr="00CF6D70">
        <w:rPr>
          <w:rFonts w:ascii="Arial" w:hAnsi="Arial" w:cs="Arial"/>
        </w:rPr>
        <w:t xml:space="preserve">A chart displays the Tasmania </w:t>
      </w:r>
      <w:r w:rsidR="001F1095" w:rsidRPr="001F1095">
        <w:rPr>
          <w:rFonts w:ascii="Arial" w:hAnsi="Arial" w:cs="Arial"/>
        </w:rPr>
        <w:t>service districts that had</w:t>
      </w:r>
      <w:r w:rsidR="001F1095">
        <w:rPr>
          <w:rFonts w:ascii="Arial" w:hAnsi="Arial" w:cs="Arial"/>
        </w:rPr>
        <w:t xml:space="preserve"> </w:t>
      </w:r>
      <w:r w:rsidRPr="00CF6D70">
        <w:rPr>
          <w:rFonts w:ascii="Arial" w:hAnsi="Arial" w:cs="Arial"/>
        </w:rPr>
        <w:t>between 90% and 95% of payments going to the 10 largest providers as at 31 December 2021.</w:t>
      </w:r>
    </w:p>
    <w:p w:rsidR="00D20B7A" w:rsidRPr="00CF6D70" w:rsidRDefault="00D20B7A" w:rsidP="00D20B7A">
      <w:pPr>
        <w:rPr>
          <w:rFonts w:ascii="Arial" w:hAnsi="Arial" w:cs="Arial"/>
        </w:rPr>
      </w:pPr>
      <w:r w:rsidRPr="00CF6D70">
        <w:rPr>
          <w:rFonts w:ascii="Arial" w:hAnsi="Arial" w:cs="Arial"/>
        </w:rPr>
        <w:t>No service districts have less than 45% of payments going to the 10 largest providers.</w:t>
      </w:r>
    </w:p>
    <w:p w:rsidR="00D20B7A" w:rsidRPr="00CF6D70" w:rsidRDefault="00D20B7A" w:rsidP="00D20B7A">
      <w:pPr>
        <w:rPr>
          <w:rFonts w:ascii="Arial" w:hAnsi="Arial" w:cs="Arial"/>
        </w:rPr>
      </w:pPr>
      <w:r w:rsidRPr="00CF6D70">
        <w:rPr>
          <w:rFonts w:ascii="Arial" w:hAnsi="Arial" w:cs="Arial"/>
        </w:rPr>
        <w:t>2 out of 4 (50%) service districts have between 45% and 65% of payments going to the 10 largest providers.</w:t>
      </w:r>
    </w:p>
    <w:p w:rsidR="00D20B7A" w:rsidRPr="00CF6D70" w:rsidRDefault="00D20B7A" w:rsidP="00D20B7A">
      <w:pPr>
        <w:rPr>
          <w:rFonts w:ascii="Arial" w:hAnsi="Arial" w:cs="Arial"/>
        </w:rPr>
      </w:pPr>
      <w:r w:rsidRPr="00CF6D70">
        <w:rPr>
          <w:rFonts w:ascii="Arial" w:hAnsi="Arial" w:cs="Arial"/>
        </w:rPr>
        <w:t>2 out of 4 (50%) service districts have between 65% and 85% of payments going to the 10 largest providers.</w:t>
      </w:r>
    </w:p>
    <w:p w:rsidR="00D20B7A" w:rsidRPr="00CF6D70" w:rsidRDefault="00D20B7A" w:rsidP="00D20B7A">
      <w:pPr>
        <w:rPr>
          <w:rFonts w:ascii="Arial" w:hAnsi="Arial" w:cs="Arial"/>
        </w:rPr>
      </w:pPr>
      <w:r w:rsidRPr="00CF6D70">
        <w:rPr>
          <w:rFonts w:ascii="Arial" w:hAnsi="Arial" w:cs="Arial"/>
        </w:rPr>
        <w:t>No service districts have between 85% and 90% of payments going to the 10 largest providers.</w:t>
      </w:r>
    </w:p>
    <w:p w:rsidR="00D20B7A" w:rsidRPr="00CF6D70" w:rsidRDefault="00D20B7A" w:rsidP="00D20B7A">
      <w:pPr>
        <w:rPr>
          <w:rFonts w:ascii="Arial" w:hAnsi="Arial" w:cs="Arial"/>
        </w:rPr>
      </w:pPr>
      <w:r w:rsidRPr="00CF6D70">
        <w:rPr>
          <w:rFonts w:ascii="Arial" w:hAnsi="Arial" w:cs="Arial"/>
        </w:rPr>
        <w:t>No service districts have between 90% and 95% of payments going to the 10 largest providers.</w:t>
      </w:r>
    </w:p>
    <w:p w:rsidR="00D20B7A" w:rsidRPr="00CF6D70" w:rsidRDefault="00D20B7A" w:rsidP="00D20B7A">
      <w:pPr>
        <w:rPr>
          <w:rFonts w:ascii="Arial" w:hAnsi="Arial" w:cs="Arial"/>
        </w:rPr>
      </w:pPr>
      <w:r w:rsidRPr="00CF6D70">
        <w:rPr>
          <w:rFonts w:ascii="Arial" w:hAnsi="Arial" w:cs="Arial"/>
        </w:rPr>
        <w:t>No service districts have more than 95% of payments going to the 10 largest providers.</w:t>
      </w:r>
    </w:p>
    <w:p w:rsidR="00D20B7A" w:rsidRPr="00CF6D70" w:rsidRDefault="00D20B7A" w:rsidP="00D20B7A">
      <w:pPr>
        <w:rPr>
          <w:rFonts w:ascii="Arial" w:hAnsi="Arial" w:cs="Arial"/>
        </w:rPr>
      </w:pPr>
      <w:r w:rsidRPr="00CF6D70">
        <w:rPr>
          <w:rFonts w:ascii="Arial" w:hAnsi="Arial" w:cs="Arial"/>
        </w:rPr>
        <w:t>Service districts closest to benchmark:</w:t>
      </w:r>
    </w:p>
    <w:p w:rsidR="00D20B7A" w:rsidRPr="00CF6D70" w:rsidRDefault="00D20B7A" w:rsidP="00D20B7A">
      <w:pPr>
        <w:rPr>
          <w:rFonts w:ascii="Arial" w:hAnsi="Arial" w:cs="Arial"/>
        </w:rPr>
      </w:pPr>
      <w:r w:rsidRPr="00CF6D70">
        <w:rPr>
          <w:rFonts w:ascii="Arial" w:hAnsi="Arial" w:cs="Arial"/>
        </w:rPr>
        <w:t>• Tasmania North: 68% versus 85% benchmark.</w:t>
      </w:r>
    </w:p>
    <w:p w:rsidR="00D20B7A" w:rsidRPr="00CF6D70" w:rsidRDefault="00D20B7A" w:rsidP="00D20B7A">
      <w:pPr>
        <w:rPr>
          <w:rFonts w:ascii="Arial" w:hAnsi="Arial" w:cs="Arial"/>
        </w:rPr>
      </w:pPr>
      <w:r w:rsidRPr="00CF6D70">
        <w:rPr>
          <w:rFonts w:ascii="Arial" w:hAnsi="Arial" w:cs="Arial"/>
        </w:rPr>
        <w:t>• Tasmania North West: 68% versus 85% benchmark.</w:t>
      </w:r>
    </w:p>
    <w:p w:rsidR="00D20B7A" w:rsidRPr="00CF6D70" w:rsidRDefault="00D20B7A" w:rsidP="00D20B7A">
      <w:pPr>
        <w:pStyle w:val="Heading2"/>
        <w:rPr>
          <w:rFonts w:ascii="Arial" w:hAnsi="Arial" w:cs="Arial"/>
          <w:color w:val="414042"/>
        </w:rPr>
      </w:pPr>
      <w:r w:rsidRPr="00CF6D70">
        <w:rPr>
          <w:rFonts w:ascii="Arial" w:hAnsi="Arial" w:cs="Arial"/>
          <w:color w:val="414042"/>
        </w:rPr>
        <w:t>Summaries by service district</w:t>
      </w:r>
    </w:p>
    <w:p w:rsidR="00D20B7A" w:rsidRDefault="00D20B7A" w:rsidP="00D20B7A">
      <w:pPr>
        <w:rPr>
          <w:rFonts w:ascii="Arial" w:hAnsi="Arial" w:cs="Arial"/>
        </w:rPr>
      </w:pPr>
      <w:r w:rsidRPr="00CF6D70">
        <w:rPr>
          <w:rFonts w:ascii="Arial" w:hAnsi="Arial" w:cs="Arial"/>
        </w:rPr>
        <w:t>A chart displays the active participants by service district</w:t>
      </w:r>
      <w:r w:rsidR="00263C02" w:rsidRPr="00CF6D70">
        <w:rPr>
          <w:rFonts w:ascii="Arial" w:hAnsi="Arial" w:cs="Arial"/>
        </w:rPr>
        <w:t>.</w:t>
      </w:r>
      <w:r w:rsidRPr="00CF6D70">
        <w:rPr>
          <w:rFonts w:ascii="Arial" w:hAnsi="Arial" w:cs="Arial"/>
        </w:rPr>
        <w:t xml:space="preserve"> There is 1 active participant at 31 December 2021 residing in 'Other' service districts. 'Other' includes participants with service district information missing. The average annualised plan budgets and average payments for this group are not shown.</w:t>
      </w:r>
    </w:p>
    <w:p w:rsidR="00445533" w:rsidRDefault="00445533" w:rsidP="00445533">
      <w:pPr>
        <w:rPr>
          <w:rFonts w:ascii="Arial" w:hAnsi="Arial" w:cs="Arial"/>
        </w:rPr>
      </w:pPr>
      <w:r>
        <w:rPr>
          <w:rFonts w:ascii="Arial" w:hAnsi="Arial" w:cs="Arial"/>
        </w:rPr>
        <w:t>The number of active participants at 31 December 2021 was:</w:t>
      </w:r>
    </w:p>
    <w:p w:rsidR="00445533" w:rsidRDefault="00445533" w:rsidP="00445533">
      <w:pPr>
        <w:rPr>
          <w:rFonts w:ascii="Arial" w:hAnsi="Arial" w:cs="Arial"/>
        </w:rPr>
      </w:pPr>
      <w:r>
        <w:rPr>
          <w:rFonts w:ascii="Arial" w:hAnsi="Arial" w:cs="Arial"/>
        </w:rPr>
        <w:t>3,292 for Tasmania North.</w:t>
      </w:r>
    </w:p>
    <w:p w:rsidR="00445533" w:rsidRDefault="00445533" w:rsidP="00445533">
      <w:pPr>
        <w:rPr>
          <w:rFonts w:ascii="Arial" w:hAnsi="Arial" w:cs="Arial"/>
        </w:rPr>
      </w:pPr>
      <w:r>
        <w:rPr>
          <w:rFonts w:ascii="Arial" w:hAnsi="Arial" w:cs="Arial"/>
        </w:rPr>
        <w:t>2,630 for Tasmania North West.</w:t>
      </w:r>
    </w:p>
    <w:p w:rsidR="00445533" w:rsidRDefault="00445533" w:rsidP="00445533">
      <w:pPr>
        <w:rPr>
          <w:rFonts w:ascii="Arial" w:hAnsi="Arial" w:cs="Arial"/>
        </w:rPr>
      </w:pPr>
      <w:r>
        <w:rPr>
          <w:rFonts w:ascii="Arial" w:hAnsi="Arial" w:cs="Arial"/>
        </w:rPr>
        <w:t>2,536 for Tasmania South East.</w:t>
      </w:r>
    </w:p>
    <w:p w:rsidR="00445533" w:rsidRDefault="00445533" w:rsidP="00445533">
      <w:pPr>
        <w:rPr>
          <w:rFonts w:ascii="Arial" w:hAnsi="Arial" w:cs="Arial"/>
        </w:rPr>
      </w:pPr>
      <w:r>
        <w:rPr>
          <w:rFonts w:ascii="Arial" w:hAnsi="Arial" w:cs="Arial"/>
        </w:rPr>
        <w:t>3,000 for Tasmania South West.</w:t>
      </w:r>
    </w:p>
    <w:p w:rsidR="00D20B7A" w:rsidRDefault="00D20B7A" w:rsidP="00D20B7A">
      <w:pPr>
        <w:rPr>
          <w:rFonts w:ascii="Arial" w:hAnsi="Arial" w:cs="Arial"/>
        </w:rPr>
      </w:pPr>
      <w:r w:rsidRPr="00CF6D70">
        <w:rPr>
          <w:rFonts w:ascii="Arial" w:hAnsi="Arial" w:cs="Arial"/>
        </w:rPr>
        <w:t>Another chart displays the average annualised plan budgets and average payments. There is 1 active participant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445533" w:rsidRDefault="00445533" w:rsidP="00445533">
      <w:pPr>
        <w:rPr>
          <w:rFonts w:ascii="Arial" w:hAnsi="Arial" w:cs="Arial"/>
        </w:rPr>
      </w:pPr>
      <w:r>
        <w:rPr>
          <w:rFonts w:ascii="Arial" w:hAnsi="Arial" w:cs="Arial"/>
        </w:rPr>
        <w:t>The average annualised plan budget at 31 December 2021 was:</w:t>
      </w:r>
    </w:p>
    <w:p w:rsidR="00445533" w:rsidRDefault="00445533" w:rsidP="00445533">
      <w:pPr>
        <w:rPr>
          <w:rFonts w:ascii="Arial" w:hAnsi="Arial" w:cs="Arial"/>
        </w:rPr>
      </w:pPr>
      <w:r>
        <w:rPr>
          <w:rFonts w:ascii="Arial" w:hAnsi="Arial" w:cs="Arial"/>
        </w:rPr>
        <w:t>$77,900 for Tasmania North.</w:t>
      </w:r>
    </w:p>
    <w:p w:rsidR="00445533" w:rsidRDefault="00445533" w:rsidP="00445533">
      <w:pPr>
        <w:rPr>
          <w:rFonts w:ascii="Arial" w:hAnsi="Arial" w:cs="Arial"/>
        </w:rPr>
      </w:pPr>
      <w:r>
        <w:rPr>
          <w:rFonts w:ascii="Arial" w:hAnsi="Arial" w:cs="Arial"/>
        </w:rPr>
        <w:t>$80,200 for Tasmania North West.</w:t>
      </w:r>
    </w:p>
    <w:p w:rsidR="00445533" w:rsidRDefault="00445533" w:rsidP="00445533">
      <w:pPr>
        <w:rPr>
          <w:rFonts w:ascii="Arial" w:hAnsi="Arial" w:cs="Arial"/>
        </w:rPr>
      </w:pPr>
      <w:r>
        <w:rPr>
          <w:rFonts w:ascii="Arial" w:hAnsi="Arial" w:cs="Arial"/>
        </w:rPr>
        <w:t>$68,300 for Tasmania South East.</w:t>
      </w:r>
    </w:p>
    <w:p w:rsidR="00445533" w:rsidRDefault="00445533" w:rsidP="00445533">
      <w:pPr>
        <w:rPr>
          <w:rFonts w:ascii="Arial" w:hAnsi="Arial" w:cs="Arial"/>
        </w:rPr>
      </w:pPr>
      <w:r>
        <w:rPr>
          <w:rFonts w:ascii="Arial" w:hAnsi="Arial" w:cs="Arial"/>
        </w:rPr>
        <w:lastRenderedPageBreak/>
        <w:t>$88,000 for Tasmania South West.</w:t>
      </w:r>
    </w:p>
    <w:p w:rsidR="00445533" w:rsidRDefault="00445533" w:rsidP="00445533">
      <w:pPr>
        <w:rPr>
          <w:rFonts w:ascii="Arial" w:hAnsi="Arial" w:cs="Arial"/>
        </w:rPr>
      </w:pPr>
      <w:r>
        <w:rPr>
          <w:rFonts w:ascii="Arial" w:hAnsi="Arial" w:cs="Arial"/>
        </w:rPr>
        <w:t>$78,900 for all of Tasmania.</w:t>
      </w:r>
    </w:p>
    <w:p w:rsidR="00445533" w:rsidRDefault="00445533" w:rsidP="00445533">
      <w:pPr>
        <w:rPr>
          <w:rFonts w:ascii="Arial" w:hAnsi="Arial" w:cs="Arial"/>
        </w:rPr>
      </w:pPr>
      <w:r>
        <w:rPr>
          <w:rFonts w:ascii="Arial" w:hAnsi="Arial" w:cs="Arial"/>
        </w:rPr>
        <w:t>The average payments for the 12 months to 31 December 2021 was:</w:t>
      </w:r>
    </w:p>
    <w:p w:rsidR="00445533" w:rsidRDefault="002B1B96" w:rsidP="00445533">
      <w:pPr>
        <w:rPr>
          <w:rFonts w:ascii="Arial" w:hAnsi="Arial" w:cs="Arial"/>
        </w:rPr>
      </w:pPr>
      <w:r>
        <w:rPr>
          <w:rFonts w:ascii="Arial" w:hAnsi="Arial" w:cs="Arial"/>
        </w:rPr>
        <w:t>$61,1</w:t>
      </w:r>
      <w:r w:rsidR="00445533">
        <w:rPr>
          <w:rFonts w:ascii="Arial" w:hAnsi="Arial" w:cs="Arial"/>
        </w:rPr>
        <w:t>00 for Tasmania North.</w:t>
      </w:r>
    </w:p>
    <w:p w:rsidR="00445533" w:rsidRDefault="002B1B96" w:rsidP="00445533">
      <w:pPr>
        <w:rPr>
          <w:rFonts w:ascii="Arial" w:hAnsi="Arial" w:cs="Arial"/>
        </w:rPr>
      </w:pPr>
      <w:r>
        <w:rPr>
          <w:rFonts w:ascii="Arial" w:hAnsi="Arial" w:cs="Arial"/>
        </w:rPr>
        <w:t>$64,7</w:t>
      </w:r>
      <w:r w:rsidR="00445533">
        <w:rPr>
          <w:rFonts w:ascii="Arial" w:hAnsi="Arial" w:cs="Arial"/>
        </w:rPr>
        <w:t>00 for Tasmania North West.</w:t>
      </w:r>
    </w:p>
    <w:p w:rsidR="00445533" w:rsidRDefault="002B1B96" w:rsidP="00445533">
      <w:pPr>
        <w:rPr>
          <w:rFonts w:ascii="Arial" w:hAnsi="Arial" w:cs="Arial"/>
        </w:rPr>
      </w:pPr>
      <w:r>
        <w:rPr>
          <w:rFonts w:ascii="Arial" w:hAnsi="Arial" w:cs="Arial"/>
        </w:rPr>
        <w:t>$57,0</w:t>
      </w:r>
      <w:r w:rsidR="00445533">
        <w:rPr>
          <w:rFonts w:ascii="Arial" w:hAnsi="Arial" w:cs="Arial"/>
        </w:rPr>
        <w:t>00 for Tasmania South East.</w:t>
      </w:r>
    </w:p>
    <w:p w:rsidR="00445533" w:rsidRDefault="002B1B96" w:rsidP="00445533">
      <w:pPr>
        <w:rPr>
          <w:rFonts w:ascii="Arial" w:hAnsi="Arial" w:cs="Arial"/>
        </w:rPr>
      </w:pPr>
      <w:r>
        <w:rPr>
          <w:rFonts w:ascii="Arial" w:hAnsi="Arial" w:cs="Arial"/>
        </w:rPr>
        <w:t>$75,0</w:t>
      </w:r>
      <w:r w:rsidR="00445533">
        <w:rPr>
          <w:rFonts w:ascii="Arial" w:hAnsi="Arial" w:cs="Arial"/>
        </w:rPr>
        <w:t>00 for Tasmania South West.</w:t>
      </w:r>
    </w:p>
    <w:p w:rsidR="00445533" w:rsidRPr="00CF6D70" w:rsidRDefault="002B1B96" w:rsidP="00D20B7A">
      <w:pPr>
        <w:rPr>
          <w:rFonts w:ascii="Arial" w:hAnsi="Arial" w:cs="Arial"/>
        </w:rPr>
      </w:pPr>
      <w:r>
        <w:rPr>
          <w:rFonts w:ascii="Arial" w:hAnsi="Arial" w:cs="Arial"/>
        </w:rPr>
        <w:t>$64,7</w:t>
      </w:r>
      <w:r w:rsidR="00445533">
        <w:rPr>
          <w:rFonts w:ascii="Arial" w:hAnsi="Arial" w:cs="Arial"/>
        </w:rPr>
        <w:t>00 for all of Tasmania.</w:t>
      </w:r>
    </w:p>
    <w:p w:rsidR="00D20B7A" w:rsidRDefault="00D20B7A" w:rsidP="00D20B7A">
      <w:pPr>
        <w:rPr>
          <w:rFonts w:ascii="Arial" w:hAnsi="Arial" w:cs="Arial"/>
        </w:rPr>
      </w:pPr>
      <w:r w:rsidRPr="00CF6D70">
        <w:rPr>
          <w:rFonts w:ascii="Arial" w:hAnsi="Arial" w:cs="Arial"/>
        </w:rPr>
        <w:t>Another chart displays the average annualised plan budgets and average payments for participants in S</w:t>
      </w:r>
      <w:r w:rsidR="0015531D">
        <w:rPr>
          <w:rFonts w:ascii="Arial" w:hAnsi="Arial" w:cs="Arial"/>
        </w:rPr>
        <w:t>upported Independent Living</w:t>
      </w:r>
      <w:r w:rsidRPr="00CF6D70">
        <w:rPr>
          <w:rFonts w:ascii="Arial" w:hAnsi="Arial" w:cs="Arial"/>
        </w:rPr>
        <w:t>. There is 1 active participant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445533" w:rsidRDefault="00445533" w:rsidP="00445533">
      <w:pPr>
        <w:rPr>
          <w:rFonts w:ascii="Arial" w:hAnsi="Arial" w:cs="Arial"/>
        </w:rPr>
      </w:pPr>
      <w:r>
        <w:rPr>
          <w:rFonts w:ascii="Arial" w:hAnsi="Arial" w:cs="Arial"/>
        </w:rPr>
        <w:t>The average annualised plan budget at 31 December 2021 for participants in Supported Independent Living was:</w:t>
      </w:r>
    </w:p>
    <w:p w:rsidR="002B1B96" w:rsidRDefault="002B1B96" w:rsidP="002B1B96">
      <w:pPr>
        <w:rPr>
          <w:rFonts w:ascii="Arial" w:hAnsi="Arial" w:cs="Arial"/>
        </w:rPr>
      </w:pPr>
      <w:r>
        <w:rPr>
          <w:rFonts w:ascii="Arial" w:hAnsi="Arial" w:cs="Arial"/>
        </w:rPr>
        <w:t>$383,500 for Tasmania North.</w:t>
      </w:r>
    </w:p>
    <w:p w:rsidR="002B1B96" w:rsidRDefault="002B1B96" w:rsidP="002B1B96">
      <w:pPr>
        <w:rPr>
          <w:rFonts w:ascii="Arial" w:hAnsi="Arial" w:cs="Arial"/>
        </w:rPr>
      </w:pPr>
      <w:r>
        <w:rPr>
          <w:rFonts w:ascii="Arial" w:hAnsi="Arial" w:cs="Arial"/>
        </w:rPr>
        <w:t>$390,200 for Tasmania North West.</w:t>
      </w:r>
    </w:p>
    <w:p w:rsidR="002B1B96" w:rsidRDefault="002B1B96" w:rsidP="002B1B96">
      <w:pPr>
        <w:rPr>
          <w:rFonts w:ascii="Arial" w:hAnsi="Arial" w:cs="Arial"/>
        </w:rPr>
      </w:pPr>
      <w:r>
        <w:rPr>
          <w:rFonts w:ascii="Arial" w:hAnsi="Arial" w:cs="Arial"/>
        </w:rPr>
        <w:t>$401,000 for Tasmania South East.</w:t>
      </w:r>
    </w:p>
    <w:p w:rsidR="002B1B96" w:rsidRDefault="002B1B96" w:rsidP="002B1B96">
      <w:pPr>
        <w:rPr>
          <w:rFonts w:ascii="Arial" w:hAnsi="Arial" w:cs="Arial"/>
        </w:rPr>
      </w:pPr>
      <w:r>
        <w:rPr>
          <w:rFonts w:ascii="Arial" w:hAnsi="Arial" w:cs="Arial"/>
        </w:rPr>
        <w:t>$349,300 for Tasmania South West.</w:t>
      </w:r>
    </w:p>
    <w:p w:rsidR="002B1B96" w:rsidRPr="00CF6D70" w:rsidRDefault="002B1B96" w:rsidP="002B1B96">
      <w:pPr>
        <w:rPr>
          <w:rFonts w:ascii="Arial" w:hAnsi="Arial" w:cs="Arial"/>
        </w:rPr>
      </w:pPr>
      <w:r>
        <w:rPr>
          <w:rFonts w:ascii="Arial" w:hAnsi="Arial" w:cs="Arial"/>
        </w:rPr>
        <w:t>$375,900 for all of Tasmania.</w:t>
      </w:r>
    </w:p>
    <w:p w:rsidR="00445533" w:rsidRDefault="00445533" w:rsidP="00445533">
      <w:pPr>
        <w:rPr>
          <w:rFonts w:ascii="Arial" w:hAnsi="Arial" w:cs="Arial"/>
        </w:rPr>
      </w:pPr>
      <w:r>
        <w:rPr>
          <w:rFonts w:ascii="Arial" w:hAnsi="Arial" w:cs="Arial"/>
        </w:rPr>
        <w:t>The average payments for the 12 months to 31 December 2021 for participants in Supported Independent Living was:</w:t>
      </w:r>
    </w:p>
    <w:p w:rsidR="002B1B96" w:rsidRDefault="002B1B96" w:rsidP="002B1B96">
      <w:pPr>
        <w:rPr>
          <w:rFonts w:ascii="Arial" w:hAnsi="Arial" w:cs="Arial"/>
        </w:rPr>
      </w:pPr>
      <w:r>
        <w:rPr>
          <w:rFonts w:ascii="Arial" w:hAnsi="Arial" w:cs="Arial"/>
        </w:rPr>
        <w:t>$351,700 for Tasmania North.</w:t>
      </w:r>
    </w:p>
    <w:p w:rsidR="002B1B96" w:rsidRDefault="002B1B96" w:rsidP="002B1B96">
      <w:pPr>
        <w:rPr>
          <w:rFonts w:ascii="Arial" w:hAnsi="Arial" w:cs="Arial"/>
        </w:rPr>
      </w:pPr>
      <w:r>
        <w:rPr>
          <w:rFonts w:ascii="Arial" w:hAnsi="Arial" w:cs="Arial"/>
        </w:rPr>
        <w:t>$356,500 for Tasmania North West.</w:t>
      </w:r>
    </w:p>
    <w:p w:rsidR="002B1B96" w:rsidRDefault="002B1B96" w:rsidP="002B1B96">
      <w:pPr>
        <w:rPr>
          <w:rFonts w:ascii="Arial" w:hAnsi="Arial" w:cs="Arial"/>
        </w:rPr>
      </w:pPr>
      <w:r>
        <w:rPr>
          <w:rFonts w:ascii="Arial" w:hAnsi="Arial" w:cs="Arial"/>
        </w:rPr>
        <w:t>$366,500 for Tasmania South East.</w:t>
      </w:r>
    </w:p>
    <w:p w:rsidR="002B1B96" w:rsidRDefault="002B1B96" w:rsidP="002B1B96">
      <w:pPr>
        <w:rPr>
          <w:rFonts w:ascii="Arial" w:hAnsi="Arial" w:cs="Arial"/>
        </w:rPr>
      </w:pPr>
      <w:r>
        <w:rPr>
          <w:rFonts w:ascii="Arial" w:hAnsi="Arial" w:cs="Arial"/>
        </w:rPr>
        <w:t>$326,700 for Tasmania South West.</w:t>
      </w:r>
    </w:p>
    <w:p w:rsidR="00445533" w:rsidRPr="00CF6D70" w:rsidRDefault="002B1B96" w:rsidP="00D20B7A">
      <w:pPr>
        <w:rPr>
          <w:rFonts w:ascii="Arial" w:hAnsi="Arial" w:cs="Arial"/>
        </w:rPr>
      </w:pPr>
      <w:r>
        <w:rPr>
          <w:rFonts w:ascii="Arial" w:hAnsi="Arial" w:cs="Arial"/>
        </w:rPr>
        <w:t>$346,100 for all of Tasmania.</w:t>
      </w:r>
    </w:p>
    <w:p w:rsidR="00D20B7A" w:rsidRDefault="00D20B7A" w:rsidP="00D20B7A">
      <w:pPr>
        <w:rPr>
          <w:rFonts w:ascii="Arial" w:hAnsi="Arial" w:cs="Arial"/>
        </w:rPr>
      </w:pPr>
      <w:r w:rsidRPr="00CF6D70">
        <w:rPr>
          <w:rFonts w:ascii="Arial" w:hAnsi="Arial" w:cs="Arial"/>
        </w:rPr>
        <w:t xml:space="preserve">Another chart displays the average annualised plan budgets and average payments for participants not in </w:t>
      </w:r>
      <w:r w:rsidR="0015531D">
        <w:rPr>
          <w:rFonts w:ascii="Arial" w:hAnsi="Arial" w:cs="Arial"/>
        </w:rPr>
        <w:t>Supported Independent Living</w:t>
      </w:r>
      <w:r w:rsidRPr="00CF6D70">
        <w:rPr>
          <w:rFonts w:ascii="Arial" w:hAnsi="Arial" w:cs="Arial"/>
        </w:rPr>
        <w:t>. There is 1 active participant at 31 December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445533" w:rsidRDefault="00445533" w:rsidP="00445533">
      <w:pPr>
        <w:rPr>
          <w:rFonts w:ascii="Arial" w:hAnsi="Arial" w:cs="Arial"/>
        </w:rPr>
      </w:pPr>
      <w:r>
        <w:rPr>
          <w:rFonts w:ascii="Arial" w:hAnsi="Arial" w:cs="Arial"/>
        </w:rPr>
        <w:t>The average annualised plan budget at 31 December 2021 for participants not in Supported Independent Living was:</w:t>
      </w:r>
    </w:p>
    <w:p w:rsidR="00505B28" w:rsidRDefault="00505B28" w:rsidP="00505B28">
      <w:pPr>
        <w:rPr>
          <w:rFonts w:ascii="Arial" w:hAnsi="Arial" w:cs="Arial"/>
        </w:rPr>
      </w:pPr>
      <w:r>
        <w:rPr>
          <w:rFonts w:ascii="Arial" w:hAnsi="Arial" w:cs="Arial"/>
        </w:rPr>
        <w:t>$56,300 for Tasmania North.</w:t>
      </w:r>
    </w:p>
    <w:p w:rsidR="00505B28" w:rsidRDefault="00505B28" w:rsidP="00505B28">
      <w:pPr>
        <w:rPr>
          <w:rFonts w:ascii="Arial" w:hAnsi="Arial" w:cs="Arial"/>
        </w:rPr>
      </w:pPr>
      <w:r>
        <w:rPr>
          <w:rFonts w:ascii="Arial" w:hAnsi="Arial" w:cs="Arial"/>
        </w:rPr>
        <w:t>$52,700 for Tasmania North West.</w:t>
      </w:r>
    </w:p>
    <w:p w:rsidR="00505B28" w:rsidRDefault="00505B28" w:rsidP="00505B28">
      <w:pPr>
        <w:rPr>
          <w:rFonts w:ascii="Arial" w:hAnsi="Arial" w:cs="Arial"/>
        </w:rPr>
      </w:pPr>
      <w:r>
        <w:rPr>
          <w:rFonts w:ascii="Arial" w:hAnsi="Arial" w:cs="Arial"/>
        </w:rPr>
        <w:lastRenderedPageBreak/>
        <w:t>$46,000 for Tasmania South East.</w:t>
      </w:r>
    </w:p>
    <w:p w:rsidR="00505B28" w:rsidRDefault="00505B28" w:rsidP="00505B28">
      <w:pPr>
        <w:rPr>
          <w:rFonts w:ascii="Arial" w:hAnsi="Arial" w:cs="Arial"/>
        </w:rPr>
      </w:pPr>
      <w:r>
        <w:rPr>
          <w:rFonts w:ascii="Arial" w:hAnsi="Arial" w:cs="Arial"/>
        </w:rPr>
        <w:t>$56,000 for Tasmania South West.</w:t>
      </w:r>
    </w:p>
    <w:p w:rsidR="00445533" w:rsidRDefault="00505B28" w:rsidP="00D20B7A">
      <w:pPr>
        <w:rPr>
          <w:rFonts w:ascii="Arial" w:hAnsi="Arial" w:cs="Arial"/>
        </w:rPr>
      </w:pPr>
      <w:r>
        <w:rPr>
          <w:rFonts w:ascii="Arial" w:hAnsi="Arial" w:cs="Arial"/>
        </w:rPr>
        <w:t>$53,100 for all of Tasmania.</w:t>
      </w:r>
    </w:p>
    <w:p w:rsidR="00445533" w:rsidRDefault="00445533" w:rsidP="00445533">
      <w:pPr>
        <w:rPr>
          <w:rFonts w:ascii="Arial" w:hAnsi="Arial" w:cs="Arial"/>
        </w:rPr>
      </w:pPr>
      <w:r>
        <w:rPr>
          <w:rFonts w:ascii="Arial" w:hAnsi="Arial" w:cs="Arial"/>
        </w:rPr>
        <w:t>The average payments for the 12 months to 31 December 2021 for participants not in Supported Independent Living was:</w:t>
      </w:r>
    </w:p>
    <w:p w:rsidR="00505B28" w:rsidRDefault="00505B28" w:rsidP="00505B28">
      <w:pPr>
        <w:rPr>
          <w:rFonts w:ascii="Arial" w:hAnsi="Arial" w:cs="Arial"/>
        </w:rPr>
      </w:pPr>
      <w:r>
        <w:rPr>
          <w:rFonts w:ascii="Arial" w:hAnsi="Arial" w:cs="Arial"/>
        </w:rPr>
        <w:t>$39,500 for Tasmania North.</w:t>
      </w:r>
    </w:p>
    <w:p w:rsidR="00505B28" w:rsidRDefault="00505B28" w:rsidP="00505B28">
      <w:pPr>
        <w:rPr>
          <w:rFonts w:ascii="Arial" w:hAnsi="Arial" w:cs="Arial"/>
        </w:rPr>
      </w:pPr>
      <w:r>
        <w:rPr>
          <w:rFonts w:ascii="Arial" w:hAnsi="Arial" w:cs="Arial"/>
        </w:rPr>
        <w:t>$37,500 for Tasmania North West.</w:t>
      </w:r>
    </w:p>
    <w:p w:rsidR="00505B28" w:rsidRDefault="00505B28" w:rsidP="00505B28">
      <w:pPr>
        <w:rPr>
          <w:rFonts w:ascii="Arial" w:hAnsi="Arial" w:cs="Arial"/>
        </w:rPr>
      </w:pPr>
      <w:r>
        <w:rPr>
          <w:rFonts w:ascii="Arial" w:hAnsi="Arial" w:cs="Arial"/>
        </w:rPr>
        <w:t>$35,100 for Tasmania South East.</w:t>
      </w:r>
    </w:p>
    <w:p w:rsidR="00505B28" w:rsidRDefault="00505B28" w:rsidP="00505B28">
      <w:pPr>
        <w:rPr>
          <w:rFonts w:ascii="Arial" w:hAnsi="Arial" w:cs="Arial"/>
        </w:rPr>
      </w:pPr>
      <w:r>
        <w:rPr>
          <w:rFonts w:ascii="Arial" w:hAnsi="Arial" w:cs="Arial"/>
        </w:rPr>
        <w:t>$41,200 for Tasmania South West.</w:t>
      </w:r>
    </w:p>
    <w:p w:rsidR="00445533" w:rsidRPr="00CF6D70" w:rsidRDefault="00505B28" w:rsidP="00D20B7A">
      <w:pPr>
        <w:rPr>
          <w:rFonts w:ascii="Arial" w:hAnsi="Arial" w:cs="Arial"/>
        </w:rPr>
      </w:pPr>
      <w:r>
        <w:rPr>
          <w:rFonts w:ascii="Arial" w:hAnsi="Arial" w:cs="Arial"/>
        </w:rPr>
        <w:t>$38,500 for all of Tasmania.</w:t>
      </w:r>
    </w:p>
    <w:p w:rsidR="00D20B7A" w:rsidRPr="00CF6D70" w:rsidRDefault="00D20B7A" w:rsidP="00D20B7A">
      <w:pPr>
        <w:rPr>
          <w:rFonts w:ascii="Arial" w:hAnsi="Arial" w:cs="Arial"/>
        </w:rPr>
      </w:pPr>
      <w:r w:rsidRPr="00CF6D70">
        <w:rPr>
          <w:rFonts w:ascii="Arial" w:hAnsi="Arial" w:cs="Arial"/>
        </w:rPr>
        <w:t>The following comments are made regarding the Tasmania experience at service district level as at 31 December 2021.</w:t>
      </w:r>
    </w:p>
    <w:p w:rsidR="00B10665" w:rsidRDefault="00B10665" w:rsidP="00D20B7A">
      <w:pPr>
        <w:rPr>
          <w:rFonts w:ascii="Arial" w:hAnsi="Arial" w:cs="Arial"/>
        </w:rPr>
      </w:pPr>
      <w:r w:rsidRPr="00CF6D70">
        <w:rPr>
          <w:rFonts w:ascii="Arial" w:hAnsi="Arial" w:cs="Arial"/>
        </w:rPr>
        <w:t xml:space="preserve">• </w:t>
      </w:r>
      <w:r w:rsidRPr="00B10665">
        <w:rPr>
          <w:rFonts w:ascii="Arial" w:hAnsi="Arial" w:cs="Arial"/>
        </w:rPr>
        <w:t xml:space="preserve">Tasmania North has the highest number of active participants at 3,292, while Tasmania South East has the lowest number </w:t>
      </w:r>
      <w:r w:rsidR="002447B7">
        <w:rPr>
          <w:rFonts w:ascii="Arial" w:hAnsi="Arial" w:cs="Arial"/>
        </w:rPr>
        <w:t xml:space="preserve">of active participants </w:t>
      </w:r>
      <w:r w:rsidRPr="00B10665">
        <w:rPr>
          <w:rFonts w:ascii="Arial" w:hAnsi="Arial" w:cs="Arial"/>
        </w:rPr>
        <w:t>at 2,536</w:t>
      </w:r>
      <w:bookmarkStart w:id="0" w:name="_GoBack"/>
      <w:bookmarkEnd w:id="0"/>
      <w:r w:rsidRPr="00B10665">
        <w:rPr>
          <w:rFonts w:ascii="Arial" w:hAnsi="Arial" w:cs="Arial"/>
        </w:rPr>
        <w:t>.</w:t>
      </w:r>
    </w:p>
    <w:p w:rsidR="00D20B7A" w:rsidRPr="00CF6D70" w:rsidRDefault="00D20B7A" w:rsidP="00D20B7A">
      <w:pPr>
        <w:rPr>
          <w:rFonts w:ascii="Arial" w:hAnsi="Arial" w:cs="Arial"/>
        </w:rPr>
      </w:pPr>
      <w:r w:rsidRPr="00CF6D70">
        <w:rPr>
          <w:rFonts w:ascii="Arial" w:hAnsi="Arial" w:cs="Arial"/>
        </w:rPr>
        <w:t xml:space="preserve">• The average annualised plan budget at the end of December for active participants is $78,900 ($53,100 for participants not in </w:t>
      </w:r>
      <w:r w:rsidR="0015531D">
        <w:rPr>
          <w:rFonts w:ascii="Arial" w:hAnsi="Arial" w:cs="Arial"/>
        </w:rPr>
        <w:t>Supported Independent Living</w:t>
      </w:r>
      <w:r w:rsidRPr="00CF6D70">
        <w:rPr>
          <w:rFonts w:ascii="Arial" w:hAnsi="Arial" w:cs="Arial"/>
        </w:rPr>
        <w:t xml:space="preserve"> and $375,900 for participants in </w:t>
      </w:r>
      <w:r w:rsidR="0015531D">
        <w:rPr>
          <w:rFonts w:ascii="Arial" w:hAnsi="Arial" w:cs="Arial"/>
        </w:rPr>
        <w:t>Supported Independent Living</w:t>
      </w:r>
      <w:r w:rsidRPr="00CF6D70">
        <w:rPr>
          <w:rFonts w:ascii="Arial" w:hAnsi="Arial" w:cs="Arial"/>
        </w:rPr>
        <w:t>).</w:t>
      </w:r>
    </w:p>
    <w:p w:rsidR="00D20B7A" w:rsidRPr="00CF6D70" w:rsidRDefault="00D20B7A" w:rsidP="00D20B7A">
      <w:pPr>
        <w:rPr>
          <w:rFonts w:ascii="Arial" w:hAnsi="Arial" w:cs="Arial"/>
        </w:rPr>
      </w:pPr>
      <w:r w:rsidRPr="00CF6D70">
        <w:rPr>
          <w:rFonts w:ascii="Arial" w:hAnsi="Arial" w:cs="Arial"/>
        </w:rPr>
        <w:t xml:space="preserve">• The average payment for the 12 months ending 31 December 2021 is $64,700 ($38,500 for participants not in </w:t>
      </w:r>
      <w:r w:rsidR="0015531D">
        <w:rPr>
          <w:rFonts w:ascii="Arial" w:hAnsi="Arial" w:cs="Arial"/>
        </w:rPr>
        <w:t>Supported Independent Living</w:t>
      </w:r>
      <w:r w:rsidRPr="00CF6D70">
        <w:rPr>
          <w:rFonts w:ascii="Arial" w:hAnsi="Arial" w:cs="Arial"/>
        </w:rPr>
        <w:t xml:space="preserve"> and $346,100 for participants in </w:t>
      </w:r>
      <w:r w:rsidR="0015531D">
        <w:rPr>
          <w:rFonts w:ascii="Arial" w:hAnsi="Arial" w:cs="Arial"/>
        </w:rPr>
        <w:t>Supported Independent Living</w:t>
      </w:r>
      <w:r w:rsidRPr="00CF6D70">
        <w:rPr>
          <w:rFonts w:ascii="Arial" w:hAnsi="Arial" w:cs="Arial"/>
        </w:rPr>
        <w:t>).</w:t>
      </w:r>
    </w:p>
    <w:p w:rsidR="00D20B7A" w:rsidRPr="00CF6D70" w:rsidRDefault="00D20B7A" w:rsidP="00876D29">
      <w:pPr>
        <w:rPr>
          <w:rFonts w:ascii="Arial" w:hAnsi="Arial" w:cs="Arial"/>
        </w:rPr>
      </w:pPr>
      <w:r w:rsidRPr="00CF6D70">
        <w:rPr>
          <w:rFonts w:ascii="Arial" w:hAnsi="Arial" w:cs="Arial"/>
        </w:rPr>
        <w:t>• Tasmania South West has the highest average annualised plan budgets and pa</w:t>
      </w:r>
      <w:r w:rsidR="00876D29">
        <w:rPr>
          <w:rFonts w:ascii="Arial" w:hAnsi="Arial" w:cs="Arial"/>
        </w:rPr>
        <w:t>yments across all participants.</w:t>
      </w:r>
    </w:p>
    <w:p w:rsidR="00D20B7A" w:rsidRPr="00CF6D70" w:rsidRDefault="00D20B7A" w:rsidP="00D20B7A">
      <w:pPr>
        <w:rPr>
          <w:rFonts w:ascii="Arial" w:hAnsi="Arial" w:cs="Arial"/>
        </w:rPr>
      </w:pPr>
    </w:p>
    <w:sectPr w:rsidR="00D20B7A" w:rsidRPr="00CF6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7A"/>
    <w:rsid w:val="00021A7F"/>
    <w:rsid w:val="000C6D1E"/>
    <w:rsid w:val="000F1EB8"/>
    <w:rsid w:val="001009C2"/>
    <w:rsid w:val="0015531D"/>
    <w:rsid w:val="001F1095"/>
    <w:rsid w:val="002447B7"/>
    <w:rsid w:val="00247CEA"/>
    <w:rsid w:val="00263C02"/>
    <w:rsid w:val="00277D62"/>
    <w:rsid w:val="0028045A"/>
    <w:rsid w:val="00293A97"/>
    <w:rsid w:val="002B1B96"/>
    <w:rsid w:val="00411448"/>
    <w:rsid w:val="00445533"/>
    <w:rsid w:val="00500F1B"/>
    <w:rsid w:val="00505B28"/>
    <w:rsid w:val="0055172D"/>
    <w:rsid w:val="005B089F"/>
    <w:rsid w:val="00634F59"/>
    <w:rsid w:val="00634FF5"/>
    <w:rsid w:val="007B524C"/>
    <w:rsid w:val="00876D29"/>
    <w:rsid w:val="009E25D8"/>
    <w:rsid w:val="00A57F9D"/>
    <w:rsid w:val="00AA2AAA"/>
    <w:rsid w:val="00B10665"/>
    <w:rsid w:val="00BB45C4"/>
    <w:rsid w:val="00BC7759"/>
    <w:rsid w:val="00CE09C0"/>
    <w:rsid w:val="00CF6D70"/>
    <w:rsid w:val="00D20B7A"/>
    <w:rsid w:val="00D366F5"/>
    <w:rsid w:val="00E705D3"/>
    <w:rsid w:val="00F274B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C327"/>
  <w15:chartTrackingRefBased/>
  <w15:docId w15:val="{76E98451-8D6C-4056-A028-DC95CE40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0B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0B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B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20B7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50812">
      <w:bodyDiv w:val="1"/>
      <w:marLeft w:val="0"/>
      <w:marRight w:val="0"/>
      <w:marTop w:val="0"/>
      <w:marBottom w:val="0"/>
      <w:divBdr>
        <w:top w:val="none" w:sz="0" w:space="0" w:color="auto"/>
        <w:left w:val="none" w:sz="0" w:space="0" w:color="auto"/>
        <w:bottom w:val="none" w:sz="0" w:space="0" w:color="auto"/>
        <w:right w:val="none" w:sz="0" w:space="0" w:color="auto"/>
      </w:divBdr>
    </w:div>
    <w:div w:id="952322868">
      <w:bodyDiv w:val="1"/>
      <w:marLeft w:val="0"/>
      <w:marRight w:val="0"/>
      <w:marTop w:val="0"/>
      <w:marBottom w:val="0"/>
      <w:divBdr>
        <w:top w:val="none" w:sz="0" w:space="0" w:color="auto"/>
        <w:left w:val="none" w:sz="0" w:space="0" w:color="auto"/>
        <w:bottom w:val="none" w:sz="0" w:space="0" w:color="auto"/>
        <w:right w:val="none" w:sz="0" w:space="0" w:color="auto"/>
      </w:divBdr>
    </w:div>
    <w:div w:id="1574194159">
      <w:bodyDiv w:val="1"/>
      <w:marLeft w:val="0"/>
      <w:marRight w:val="0"/>
      <w:marTop w:val="0"/>
      <w:marBottom w:val="0"/>
      <w:divBdr>
        <w:top w:val="none" w:sz="0" w:space="0" w:color="auto"/>
        <w:left w:val="none" w:sz="0" w:space="0" w:color="auto"/>
        <w:bottom w:val="none" w:sz="0" w:space="0" w:color="auto"/>
        <w:right w:val="none" w:sz="0" w:space="0" w:color="auto"/>
      </w:divBdr>
    </w:div>
    <w:div w:id="1895316802">
      <w:bodyDiv w:val="1"/>
      <w:marLeft w:val="0"/>
      <w:marRight w:val="0"/>
      <w:marTop w:val="0"/>
      <w:marBottom w:val="0"/>
      <w:divBdr>
        <w:top w:val="none" w:sz="0" w:space="0" w:color="auto"/>
        <w:left w:val="none" w:sz="0" w:space="0" w:color="auto"/>
        <w:bottom w:val="none" w:sz="0" w:space="0" w:color="auto"/>
        <w:right w:val="none" w:sz="0" w:space="0" w:color="auto"/>
      </w:divBdr>
    </w:div>
    <w:div w:id="200593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2911</Words>
  <Characters>16598</Characters>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2022-02-07T03:36:00Z</dcterms:created>
  <dcterms:modified xsi:type="dcterms:W3CDTF">2022-02-07T05:54:00Z</dcterms:modified>
</cp:coreProperties>
</file>