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A43A3" w14:textId="77777777" w:rsidR="00DE5606" w:rsidRPr="006551D6" w:rsidRDefault="00DE5606" w:rsidP="00DE5606">
      <w:pPr>
        <w:pStyle w:val="Heading1"/>
        <w:spacing w:before="1200" w:line="240" w:lineRule="auto"/>
      </w:pPr>
      <w:bookmarkStart w:id="0" w:name="_Toc447447061"/>
      <w:bookmarkStart w:id="1" w:name="_Toc447448820"/>
      <w:bookmarkStart w:id="2" w:name="_Toc447450127"/>
      <w:bookmarkStart w:id="3" w:name="_Toc447450374"/>
      <w:bookmarkStart w:id="4" w:name="_Toc438649428"/>
      <w:r w:rsidRPr="006551D6">
        <w:rPr>
          <w:noProof/>
          <w:lang w:val="en-AU" w:eastAsia="en-AU"/>
        </w:rPr>
        <w:drawing>
          <wp:anchor distT="0" distB="0" distL="114300" distR="114300" simplePos="0" relativeHeight="251659264" behindDoc="1" locked="0" layoutInCell="1" allowOverlap="1" wp14:anchorId="411A4FA2" wp14:editId="14DDFD40">
            <wp:simplePos x="0" y="0"/>
            <wp:positionH relativeFrom="page">
              <wp:posOffset>331470</wp:posOffset>
            </wp:positionH>
            <wp:positionV relativeFrom="page">
              <wp:posOffset>300668</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Pr="006551D6">
        <w:t>SPECIALIST DISABILITY ACCOM</w:t>
      </w:r>
      <w:r w:rsidR="003D323D">
        <w:t>M</w:t>
      </w:r>
      <w:r w:rsidRPr="006551D6">
        <w:t>ODATION</w:t>
      </w:r>
      <w:bookmarkEnd w:id="0"/>
      <w:bookmarkEnd w:id="1"/>
      <w:bookmarkEnd w:id="2"/>
      <w:bookmarkEnd w:id="3"/>
    </w:p>
    <w:p w14:paraId="411A43A4" w14:textId="77777777" w:rsidR="00DE5606" w:rsidRDefault="00DE5606" w:rsidP="00DE5606">
      <w:pPr>
        <w:pStyle w:val="Heading1"/>
        <w:spacing w:before="360"/>
        <w:rPr>
          <w:sz w:val="44"/>
        </w:rPr>
      </w:pPr>
      <w:bookmarkStart w:id="5" w:name="_Toc447447062"/>
      <w:bookmarkStart w:id="6" w:name="_Toc447448821"/>
      <w:bookmarkStart w:id="7" w:name="_Toc447450128"/>
      <w:bookmarkStart w:id="8" w:name="_Toc447450375"/>
      <w:r w:rsidRPr="006551D6">
        <w:rPr>
          <w:sz w:val="72"/>
          <w:szCs w:val="72"/>
        </w:rPr>
        <w:t>Position Paper on Draft Pricing and Payments</w:t>
      </w:r>
      <w:bookmarkEnd w:id="5"/>
      <w:bookmarkEnd w:id="6"/>
      <w:bookmarkEnd w:id="7"/>
      <w:bookmarkEnd w:id="8"/>
      <w:r w:rsidRPr="007219F1">
        <w:br/>
      </w:r>
    </w:p>
    <w:p w14:paraId="411A43A5" w14:textId="77777777" w:rsidR="00DE5606" w:rsidRPr="006551D6" w:rsidRDefault="00DE5606" w:rsidP="00DE5606">
      <w:pPr>
        <w:pStyle w:val="Heading1"/>
        <w:spacing w:before="360"/>
      </w:pPr>
      <w:bookmarkStart w:id="9" w:name="_Toc447447063"/>
      <w:bookmarkStart w:id="10" w:name="_Toc447448822"/>
      <w:bookmarkStart w:id="11" w:name="_Toc447450129"/>
      <w:bookmarkStart w:id="12" w:name="_Toc447450376"/>
      <w:r>
        <w:rPr>
          <w:sz w:val="44"/>
        </w:rPr>
        <w:t>1</w:t>
      </w:r>
      <w:r w:rsidRPr="007219F1">
        <w:rPr>
          <w:sz w:val="44"/>
        </w:rPr>
        <w:t xml:space="preserve"> </w:t>
      </w:r>
      <w:r>
        <w:rPr>
          <w:sz w:val="44"/>
        </w:rPr>
        <w:t>April</w:t>
      </w:r>
      <w:r w:rsidRPr="007219F1">
        <w:rPr>
          <w:sz w:val="44"/>
        </w:rPr>
        <w:t xml:space="preserve"> 201</w:t>
      </w:r>
      <w:bookmarkEnd w:id="4"/>
      <w:r>
        <w:rPr>
          <w:sz w:val="44"/>
        </w:rPr>
        <w:t>6</w:t>
      </w:r>
      <w:bookmarkEnd w:id="9"/>
      <w:bookmarkEnd w:id="10"/>
      <w:bookmarkEnd w:id="11"/>
      <w:bookmarkEnd w:id="12"/>
    </w:p>
    <w:p w14:paraId="411A43A6" w14:textId="77777777" w:rsidR="00DE5606" w:rsidRDefault="00DE5606" w:rsidP="00DE5606">
      <w:pPr>
        <w:rPr>
          <w:rFonts w:cs="Arial"/>
          <w:color w:val="FFFFFF" w:themeColor="background1"/>
          <w:szCs w:val="96"/>
        </w:rPr>
      </w:pPr>
      <w:r>
        <w:br w:type="page"/>
      </w:r>
    </w:p>
    <w:p w14:paraId="76F519CF" w14:textId="54949A6B" w:rsidR="0063673F" w:rsidRDefault="00DE5606" w:rsidP="0063673F">
      <w:pPr>
        <w:pStyle w:val="Heading2"/>
        <w:numPr>
          <w:ilvl w:val="0"/>
          <w:numId w:val="0"/>
        </w:numPr>
        <w:rPr>
          <w:rFonts w:asciiTheme="minorHAnsi" w:hAnsiTheme="minorHAnsi"/>
          <w:b w:val="0"/>
          <w:noProof/>
          <w:sz w:val="22"/>
          <w:szCs w:val="22"/>
        </w:rPr>
      </w:pPr>
      <w:bookmarkStart w:id="13" w:name="_Toc438649429"/>
      <w:bookmarkStart w:id="14" w:name="_Toc447447064"/>
      <w:bookmarkStart w:id="15" w:name="_Toc447448823"/>
      <w:bookmarkStart w:id="16" w:name="_Toc447450130"/>
      <w:bookmarkStart w:id="17" w:name="_Toc447450377"/>
      <w:r w:rsidRPr="004D32B5">
        <w:lastRenderedPageBreak/>
        <w:t>Contents</w:t>
      </w:r>
      <w:bookmarkEnd w:id="13"/>
      <w:bookmarkEnd w:id="14"/>
      <w:bookmarkEnd w:id="15"/>
      <w:bookmarkEnd w:id="16"/>
      <w:bookmarkEnd w:id="17"/>
      <w:r w:rsidR="0063673F">
        <w:rPr>
          <w:b w:val="0"/>
        </w:rPr>
        <w:fldChar w:fldCharType="begin"/>
      </w:r>
      <w:r w:rsidR="0063673F">
        <w:rPr>
          <w:b w:val="0"/>
        </w:rPr>
        <w:instrText xml:space="preserve"> TOC \o "1-3" \h \z \u </w:instrText>
      </w:r>
      <w:r w:rsidR="0063673F">
        <w:rPr>
          <w:b w:val="0"/>
        </w:rPr>
        <w:fldChar w:fldCharType="separate"/>
      </w:r>
    </w:p>
    <w:p w14:paraId="33EC1A7A" w14:textId="77777777" w:rsidR="0063673F" w:rsidRDefault="008422A9">
      <w:pPr>
        <w:pStyle w:val="TOC2"/>
        <w:rPr>
          <w:rFonts w:asciiTheme="minorHAnsi" w:hAnsiTheme="minorHAnsi"/>
          <w:b w:val="0"/>
          <w:noProof/>
          <w:sz w:val="22"/>
          <w:szCs w:val="22"/>
          <w:lang w:val="en-AU" w:eastAsia="en-AU"/>
        </w:rPr>
      </w:pPr>
      <w:hyperlink w:anchor="_Toc447450378" w:history="1">
        <w:r w:rsidR="0063673F" w:rsidRPr="00674F7D">
          <w:rPr>
            <w:rStyle w:val="Hyperlink"/>
            <w:noProof/>
          </w:rPr>
          <w:t>Foreword</w:t>
        </w:r>
        <w:r w:rsidR="0063673F">
          <w:rPr>
            <w:noProof/>
            <w:webHidden/>
          </w:rPr>
          <w:tab/>
        </w:r>
        <w:r w:rsidR="0063673F">
          <w:rPr>
            <w:noProof/>
            <w:webHidden/>
          </w:rPr>
          <w:fldChar w:fldCharType="begin"/>
        </w:r>
        <w:r w:rsidR="0063673F">
          <w:rPr>
            <w:noProof/>
            <w:webHidden/>
          </w:rPr>
          <w:instrText xml:space="preserve"> PAGEREF _Toc447450378 \h </w:instrText>
        </w:r>
        <w:r w:rsidR="0063673F">
          <w:rPr>
            <w:noProof/>
            <w:webHidden/>
          </w:rPr>
        </w:r>
        <w:r w:rsidR="0063673F">
          <w:rPr>
            <w:noProof/>
            <w:webHidden/>
          </w:rPr>
          <w:fldChar w:fldCharType="separate"/>
        </w:r>
        <w:r w:rsidR="00607084">
          <w:rPr>
            <w:noProof/>
            <w:webHidden/>
          </w:rPr>
          <w:t>4</w:t>
        </w:r>
        <w:r w:rsidR="0063673F">
          <w:rPr>
            <w:noProof/>
            <w:webHidden/>
          </w:rPr>
          <w:fldChar w:fldCharType="end"/>
        </w:r>
      </w:hyperlink>
    </w:p>
    <w:p w14:paraId="03C092F7" w14:textId="77777777" w:rsidR="0063673F" w:rsidRDefault="008422A9">
      <w:pPr>
        <w:pStyle w:val="TOC2"/>
        <w:rPr>
          <w:rFonts w:asciiTheme="minorHAnsi" w:hAnsiTheme="minorHAnsi"/>
          <w:b w:val="0"/>
          <w:noProof/>
          <w:sz w:val="22"/>
          <w:szCs w:val="22"/>
          <w:lang w:val="en-AU" w:eastAsia="en-AU"/>
        </w:rPr>
      </w:pPr>
      <w:hyperlink w:anchor="_Toc447450379" w:history="1">
        <w:r w:rsidR="0063673F" w:rsidRPr="00674F7D">
          <w:rPr>
            <w:rStyle w:val="Hyperlink"/>
            <w:noProof/>
          </w:rPr>
          <w:t>1.</w:t>
        </w:r>
        <w:r w:rsidR="0063673F">
          <w:rPr>
            <w:rFonts w:asciiTheme="minorHAnsi" w:hAnsiTheme="minorHAnsi"/>
            <w:b w:val="0"/>
            <w:noProof/>
            <w:sz w:val="22"/>
            <w:szCs w:val="22"/>
            <w:lang w:val="en-AU" w:eastAsia="en-AU"/>
          </w:rPr>
          <w:tab/>
        </w:r>
        <w:r w:rsidR="0063673F" w:rsidRPr="00674F7D">
          <w:rPr>
            <w:rStyle w:val="Hyperlink"/>
            <w:noProof/>
          </w:rPr>
          <w:t>Background and purpose</w:t>
        </w:r>
        <w:r w:rsidR="0063673F">
          <w:rPr>
            <w:noProof/>
            <w:webHidden/>
          </w:rPr>
          <w:tab/>
        </w:r>
        <w:r w:rsidR="0063673F">
          <w:rPr>
            <w:noProof/>
            <w:webHidden/>
          </w:rPr>
          <w:fldChar w:fldCharType="begin"/>
        </w:r>
        <w:r w:rsidR="0063673F">
          <w:rPr>
            <w:noProof/>
            <w:webHidden/>
          </w:rPr>
          <w:instrText xml:space="preserve"> PAGEREF _Toc447450379 \h </w:instrText>
        </w:r>
        <w:r w:rsidR="0063673F">
          <w:rPr>
            <w:noProof/>
            <w:webHidden/>
          </w:rPr>
        </w:r>
        <w:r w:rsidR="0063673F">
          <w:rPr>
            <w:noProof/>
            <w:webHidden/>
          </w:rPr>
          <w:fldChar w:fldCharType="separate"/>
        </w:r>
        <w:r w:rsidR="00607084">
          <w:rPr>
            <w:noProof/>
            <w:webHidden/>
          </w:rPr>
          <w:t>5</w:t>
        </w:r>
        <w:r w:rsidR="0063673F">
          <w:rPr>
            <w:noProof/>
            <w:webHidden/>
          </w:rPr>
          <w:fldChar w:fldCharType="end"/>
        </w:r>
      </w:hyperlink>
    </w:p>
    <w:p w14:paraId="0DD2BCA4" w14:textId="77777777" w:rsidR="0063673F" w:rsidRDefault="008422A9">
      <w:pPr>
        <w:pStyle w:val="TOC3"/>
        <w:rPr>
          <w:rFonts w:asciiTheme="minorHAnsi" w:hAnsiTheme="minorHAnsi"/>
          <w:sz w:val="22"/>
        </w:rPr>
      </w:pPr>
      <w:hyperlink w:anchor="_Toc447450380" w:history="1">
        <w:r w:rsidR="0063673F" w:rsidRPr="00674F7D">
          <w:rPr>
            <w:rStyle w:val="Hyperlink"/>
            <w:rFonts w:eastAsiaTheme="minorHAnsi"/>
            <w14:scene3d>
              <w14:camera w14:prst="orthographicFront"/>
              <w14:lightRig w14:rig="threePt" w14:dir="t">
                <w14:rot w14:lat="0" w14:lon="0" w14:rev="0"/>
              </w14:lightRig>
            </w14:scene3d>
          </w:rPr>
          <w:t>1.1.</w:t>
        </w:r>
        <w:r w:rsidR="0063673F">
          <w:rPr>
            <w:rFonts w:asciiTheme="minorHAnsi" w:hAnsiTheme="minorHAnsi"/>
            <w:sz w:val="22"/>
          </w:rPr>
          <w:tab/>
        </w:r>
        <w:r w:rsidR="0063673F" w:rsidRPr="00674F7D">
          <w:rPr>
            <w:rStyle w:val="Hyperlink"/>
            <w:rFonts w:eastAsiaTheme="minorHAnsi"/>
          </w:rPr>
          <w:t>What is Specialist Disability Accommodation (SDA)</w:t>
        </w:r>
        <w:r w:rsidR="0063673F">
          <w:rPr>
            <w:webHidden/>
          </w:rPr>
          <w:tab/>
        </w:r>
        <w:r w:rsidR="0063673F">
          <w:rPr>
            <w:webHidden/>
          </w:rPr>
          <w:fldChar w:fldCharType="begin"/>
        </w:r>
        <w:r w:rsidR="0063673F">
          <w:rPr>
            <w:webHidden/>
          </w:rPr>
          <w:instrText xml:space="preserve"> PAGEREF _Toc447450380 \h </w:instrText>
        </w:r>
        <w:r w:rsidR="0063673F">
          <w:rPr>
            <w:webHidden/>
          </w:rPr>
        </w:r>
        <w:r w:rsidR="0063673F">
          <w:rPr>
            <w:webHidden/>
          </w:rPr>
          <w:fldChar w:fldCharType="separate"/>
        </w:r>
        <w:r w:rsidR="00607084">
          <w:rPr>
            <w:webHidden/>
          </w:rPr>
          <w:t>5</w:t>
        </w:r>
        <w:r w:rsidR="0063673F">
          <w:rPr>
            <w:webHidden/>
          </w:rPr>
          <w:fldChar w:fldCharType="end"/>
        </w:r>
      </w:hyperlink>
    </w:p>
    <w:p w14:paraId="689B87D0" w14:textId="77777777" w:rsidR="0063673F" w:rsidRDefault="008422A9">
      <w:pPr>
        <w:pStyle w:val="TOC3"/>
        <w:rPr>
          <w:rFonts w:asciiTheme="minorHAnsi" w:hAnsiTheme="minorHAnsi"/>
          <w:sz w:val="22"/>
        </w:rPr>
      </w:pPr>
      <w:hyperlink w:anchor="_Toc447450381" w:history="1">
        <w:r w:rsidR="0063673F" w:rsidRPr="00674F7D">
          <w:rPr>
            <w:rStyle w:val="Hyperlink"/>
            <w:rFonts w:eastAsiaTheme="minorHAnsi"/>
            <w14:scene3d>
              <w14:camera w14:prst="orthographicFront"/>
              <w14:lightRig w14:rig="threePt" w14:dir="t">
                <w14:rot w14:lat="0" w14:lon="0" w14:rev="0"/>
              </w14:lightRig>
            </w14:scene3d>
          </w:rPr>
          <w:t>1.2.</w:t>
        </w:r>
        <w:r w:rsidR="0063673F">
          <w:rPr>
            <w:rFonts w:asciiTheme="minorHAnsi" w:hAnsiTheme="minorHAnsi"/>
            <w:sz w:val="22"/>
          </w:rPr>
          <w:tab/>
        </w:r>
        <w:r w:rsidR="0063673F" w:rsidRPr="00674F7D">
          <w:rPr>
            <w:rStyle w:val="Hyperlink"/>
            <w:rFonts w:eastAsiaTheme="minorHAnsi"/>
          </w:rPr>
          <w:t>The process to-date</w:t>
        </w:r>
        <w:r w:rsidR="0063673F">
          <w:rPr>
            <w:webHidden/>
          </w:rPr>
          <w:tab/>
        </w:r>
        <w:r w:rsidR="0063673F">
          <w:rPr>
            <w:webHidden/>
          </w:rPr>
          <w:fldChar w:fldCharType="begin"/>
        </w:r>
        <w:r w:rsidR="0063673F">
          <w:rPr>
            <w:webHidden/>
          </w:rPr>
          <w:instrText xml:space="preserve"> PAGEREF _Toc447450381 \h </w:instrText>
        </w:r>
        <w:r w:rsidR="0063673F">
          <w:rPr>
            <w:webHidden/>
          </w:rPr>
        </w:r>
        <w:r w:rsidR="0063673F">
          <w:rPr>
            <w:webHidden/>
          </w:rPr>
          <w:fldChar w:fldCharType="separate"/>
        </w:r>
        <w:r w:rsidR="00607084">
          <w:rPr>
            <w:webHidden/>
          </w:rPr>
          <w:t>5</w:t>
        </w:r>
        <w:r w:rsidR="0063673F">
          <w:rPr>
            <w:webHidden/>
          </w:rPr>
          <w:fldChar w:fldCharType="end"/>
        </w:r>
      </w:hyperlink>
    </w:p>
    <w:p w14:paraId="31B62528" w14:textId="77777777" w:rsidR="0063673F" w:rsidRDefault="008422A9">
      <w:pPr>
        <w:pStyle w:val="TOC3"/>
        <w:rPr>
          <w:rFonts w:asciiTheme="minorHAnsi" w:hAnsiTheme="minorHAnsi"/>
          <w:sz w:val="22"/>
        </w:rPr>
      </w:pPr>
      <w:hyperlink w:anchor="_Toc447450382" w:history="1">
        <w:r w:rsidR="0063673F" w:rsidRPr="00674F7D">
          <w:rPr>
            <w:rStyle w:val="Hyperlink"/>
            <w:rFonts w:eastAsiaTheme="minorHAnsi"/>
            <w14:scene3d>
              <w14:camera w14:prst="orthographicFront"/>
              <w14:lightRig w14:rig="threePt" w14:dir="t">
                <w14:rot w14:lat="0" w14:lon="0" w14:rev="0"/>
              </w14:lightRig>
            </w14:scene3d>
          </w:rPr>
          <w:t>1.3.</w:t>
        </w:r>
        <w:r w:rsidR="0063673F">
          <w:rPr>
            <w:rFonts w:asciiTheme="minorHAnsi" w:hAnsiTheme="minorHAnsi"/>
            <w:sz w:val="22"/>
          </w:rPr>
          <w:tab/>
        </w:r>
        <w:r w:rsidR="0063673F" w:rsidRPr="00674F7D">
          <w:rPr>
            <w:rStyle w:val="Hyperlink"/>
            <w:rFonts w:eastAsiaTheme="minorHAnsi"/>
          </w:rPr>
          <w:t>Purpose of this position paper</w:t>
        </w:r>
        <w:r w:rsidR="0063673F">
          <w:rPr>
            <w:webHidden/>
          </w:rPr>
          <w:tab/>
        </w:r>
        <w:r w:rsidR="0063673F">
          <w:rPr>
            <w:webHidden/>
          </w:rPr>
          <w:fldChar w:fldCharType="begin"/>
        </w:r>
        <w:r w:rsidR="0063673F">
          <w:rPr>
            <w:webHidden/>
          </w:rPr>
          <w:instrText xml:space="preserve"> PAGEREF _Toc447450382 \h </w:instrText>
        </w:r>
        <w:r w:rsidR="0063673F">
          <w:rPr>
            <w:webHidden/>
          </w:rPr>
        </w:r>
        <w:r w:rsidR="0063673F">
          <w:rPr>
            <w:webHidden/>
          </w:rPr>
          <w:fldChar w:fldCharType="separate"/>
        </w:r>
        <w:r w:rsidR="00607084">
          <w:rPr>
            <w:webHidden/>
          </w:rPr>
          <w:t>6</w:t>
        </w:r>
        <w:r w:rsidR="0063673F">
          <w:rPr>
            <w:webHidden/>
          </w:rPr>
          <w:fldChar w:fldCharType="end"/>
        </w:r>
      </w:hyperlink>
    </w:p>
    <w:p w14:paraId="33BC4D45" w14:textId="77777777" w:rsidR="0063673F" w:rsidRDefault="008422A9">
      <w:pPr>
        <w:pStyle w:val="TOC3"/>
        <w:rPr>
          <w:rFonts w:asciiTheme="minorHAnsi" w:hAnsiTheme="minorHAnsi"/>
          <w:sz w:val="22"/>
        </w:rPr>
      </w:pPr>
      <w:hyperlink w:anchor="_Toc447450383" w:history="1">
        <w:r w:rsidR="0063673F" w:rsidRPr="00674F7D">
          <w:rPr>
            <w:rStyle w:val="Hyperlink"/>
            <w14:scene3d>
              <w14:camera w14:prst="orthographicFront"/>
              <w14:lightRig w14:rig="threePt" w14:dir="t">
                <w14:rot w14:lat="0" w14:lon="0" w14:rev="0"/>
              </w14:lightRig>
            </w14:scene3d>
          </w:rPr>
          <w:t>1.4.</w:t>
        </w:r>
        <w:r w:rsidR="0063673F">
          <w:rPr>
            <w:rFonts w:asciiTheme="minorHAnsi" w:hAnsiTheme="minorHAnsi"/>
            <w:sz w:val="22"/>
          </w:rPr>
          <w:tab/>
        </w:r>
        <w:r w:rsidR="0063673F" w:rsidRPr="00674F7D">
          <w:rPr>
            <w:rStyle w:val="Hyperlink"/>
          </w:rPr>
          <w:t>Next steps</w:t>
        </w:r>
        <w:r w:rsidR="0063673F">
          <w:rPr>
            <w:webHidden/>
          </w:rPr>
          <w:tab/>
        </w:r>
        <w:r w:rsidR="0063673F">
          <w:rPr>
            <w:webHidden/>
          </w:rPr>
          <w:fldChar w:fldCharType="begin"/>
        </w:r>
        <w:r w:rsidR="0063673F">
          <w:rPr>
            <w:webHidden/>
          </w:rPr>
          <w:instrText xml:space="preserve"> PAGEREF _Toc447450383 \h </w:instrText>
        </w:r>
        <w:r w:rsidR="0063673F">
          <w:rPr>
            <w:webHidden/>
          </w:rPr>
        </w:r>
        <w:r w:rsidR="0063673F">
          <w:rPr>
            <w:webHidden/>
          </w:rPr>
          <w:fldChar w:fldCharType="separate"/>
        </w:r>
        <w:r w:rsidR="00607084">
          <w:rPr>
            <w:webHidden/>
          </w:rPr>
          <w:t>6</w:t>
        </w:r>
        <w:r w:rsidR="0063673F">
          <w:rPr>
            <w:webHidden/>
          </w:rPr>
          <w:fldChar w:fldCharType="end"/>
        </w:r>
      </w:hyperlink>
    </w:p>
    <w:p w14:paraId="59ED0C75" w14:textId="77777777" w:rsidR="0063673F" w:rsidRDefault="008422A9">
      <w:pPr>
        <w:pStyle w:val="TOC3"/>
        <w:rPr>
          <w:rFonts w:asciiTheme="minorHAnsi" w:hAnsiTheme="minorHAnsi"/>
          <w:sz w:val="22"/>
        </w:rPr>
      </w:pPr>
      <w:hyperlink w:anchor="_Toc447450384" w:history="1">
        <w:r w:rsidR="0063673F" w:rsidRPr="00674F7D">
          <w:rPr>
            <w:rStyle w:val="Hyperlink"/>
            <w14:scene3d>
              <w14:camera w14:prst="orthographicFront"/>
              <w14:lightRig w14:rig="threePt" w14:dir="t">
                <w14:rot w14:lat="0" w14:lon="0" w14:rev="0"/>
              </w14:lightRig>
            </w14:scene3d>
          </w:rPr>
          <w:t>1.5.</w:t>
        </w:r>
        <w:r w:rsidR="0063673F">
          <w:rPr>
            <w:rFonts w:asciiTheme="minorHAnsi" w:hAnsiTheme="minorHAnsi"/>
            <w:sz w:val="22"/>
          </w:rPr>
          <w:tab/>
        </w:r>
        <w:r w:rsidR="0063673F" w:rsidRPr="00674F7D">
          <w:rPr>
            <w:rStyle w:val="Hyperlink"/>
          </w:rPr>
          <w:t>High level methodology for inputs to SDA prices</w:t>
        </w:r>
        <w:r w:rsidR="0063673F">
          <w:rPr>
            <w:webHidden/>
          </w:rPr>
          <w:tab/>
        </w:r>
        <w:r w:rsidR="0063673F">
          <w:rPr>
            <w:webHidden/>
          </w:rPr>
          <w:fldChar w:fldCharType="begin"/>
        </w:r>
        <w:r w:rsidR="0063673F">
          <w:rPr>
            <w:webHidden/>
          </w:rPr>
          <w:instrText xml:space="preserve"> PAGEREF _Toc447450384 \h </w:instrText>
        </w:r>
        <w:r w:rsidR="0063673F">
          <w:rPr>
            <w:webHidden/>
          </w:rPr>
        </w:r>
        <w:r w:rsidR="0063673F">
          <w:rPr>
            <w:webHidden/>
          </w:rPr>
          <w:fldChar w:fldCharType="separate"/>
        </w:r>
        <w:r w:rsidR="00607084">
          <w:rPr>
            <w:webHidden/>
          </w:rPr>
          <w:t>6</w:t>
        </w:r>
        <w:r w:rsidR="0063673F">
          <w:rPr>
            <w:webHidden/>
          </w:rPr>
          <w:fldChar w:fldCharType="end"/>
        </w:r>
      </w:hyperlink>
    </w:p>
    <w:p w14:paraId="7603CDC6" w14:textId="77777777" w:rsidR="0063673F" w:rsidRDefault="008422A9">
      <w:pPr>
        <w:pStyle w:val="TOC2"/>
        <w:rPr>
          <w:rFonts w:asciiTheme="minorHAnsi" w:hAnsiTheme="minorHAnsi"/>
          <w:b w:val="0"/>
          <w:noProof/>
          <w:sz w:val="22"/>
          <w:szCs w:val="22"/>
          <w:lang w:val="en-AU" w:eastAsia="en-AU"/>
        </w:rPr>
      </w:pPr>
      <w:hyperlink w:anchor="_Toc447450385" w:history="1">
        <w:r w:rsidR="0063673F" w:rsidRPr="00674F7D">
          <w:rPr>
            <w:rStyle w:val="Hyperlink"/>
            <w:noProof/>
          </w:rPr>
          <w:t>2.</w:t>
        </w:r>
        <w:r w:rsidR="0063673F">
          <w:rPr>
            <w:rFonts w:asciiTheme="minorHAnsi" w:hAnsiTheme="minorHAnsi"/>
            <w:b w:val="0"/>
            <w:noProof/>
            <w:sz w:val="22"/>
            <w:szCs w:val="22"/>
            <w:lang w:val="en-AU" w:eastAsia="en-AU"/>
          </w:rPr>
          <w:tab/>
        </w:r>
        <w:r w:rsidR="0063673F" w:rsidRPr="00674F7D">
          <w:rPr>
            <w:rStyle w:val="Hyperlink"/>
            <w:noProof/>
          </w:rPr>
          <w:t>Pricing and approach</w:t>
        </w:r>
        <w:r w:rsidR="0063673F">
          <w:rPr>
            <w:noProof/>
            <w:webHidden/>
          </w:rPr>
          <w:tab/>
        </w:r>
        <w:r w:rsidR="0063673F">
          <w:rPr>
            <w:noProof/>
            <w:webHidden/>
          </w:rPr>
          <w:fldChar w:fldCharType="begin"/>
        </w:r>
        <w:r w:rsidR="0063673F">
          <w:rPr>
            <w:noProof/>
            <w:webHidden/>
          </w:rPr>
          <w:instrText xml:space="preserve"> PAGEREF _Toc447450385 \h </w:instrText>
        </w:r>
        <w:r w:rsidR="0063673F">
          <w:rPr>
            <w:noProof/>
            <w:webHidden/>
          </w:rPr>
        </w:r>
        <w:r w:rsidR="0063673F">
          <w:rPr>
            <w:noProof/>
            <w:webHidden/>
          </w:rPr>
          <w:fldChar w:fldCharType="separate"/>
        </w:r>
        <w:r w:rsidR="00607084">
          <w:rPr>
            <w:noProof/>
            <w:webHidden/>
          </w:rPr>
          <w:t>8</w:t>
        </w:r>
        <w:r w:rsidR="0063673F">
          <w:rPr>
            <w:noProof/>
            <w:webHidden/>
          </w:rPr>
          <w:fldChar w:fldCharType="end"/>
        </w:r>
      </w:hyperlink>
    </w:p>
    <w:p w14:paraId="0AFA2D01" w14:textId="77777777" w:rsidR="0063673F" w:rsidRDefault="008422A9">
      <w:pPr>
        <w:pStyle w:val="TOC3"/>
        <w:rPr>
          <w:rFonts w:asciiTheme="minorHAnsi" w:hAnsiTheme="minorHAnsi"/>
          <w:sz w:val="22"/>
        </w:rPr>
      </w:pPr>
      <w:hyperlink w:anchor="_Toc447450386" w:history="1">
        <w:r w:rsidR="0063673F" w:rsidRPr="00674F7D">
          <w:rPr>
            <w:rStyle w:val="Hyperlink"/>
            <w14:scene3d>
              <w14:camera w14:prst="orthographicFront"/>
              <w14:lightRig w14:rig="threePt" w14:dir="t">
                <w14:rot w14:lat="0" w14:lon="0" w14:rev="0"/>
              </w14:lightRig>
            </w14:scene3d>
          </w:rPr>
          <w:t>2.1.</w:t>
        </w:r>
        <w:r w:rsidR="0063673F">
          <w:rPr>
            <w:rFonts w:asciiTheme="minorHAnsi" w:hAnsiTheme="minorHAnsi"/>
            <w:sz w:val="22"/>
          </w:rPr>
          <w:tab/>
        </w:r>
        <w:r w:rsidR="0063673F" w:rsidRPr="00674F7D">
          <w:rPr>
            <w:rStyle w:val="Hyperlink"/>
          </w:rPr>
          <w:t>Pricing objectives</w:t>
        </w:r>
        <w:r w:rsidR="0063673F">
          <w:rPr>
            <w:webHidden/>
          </w:rPr>
          <w:tab/>
        </w:r>
        <w:r w:rsidR="0063673F">
          <w:rPr>
            <w:webHidden/>
          </w:rPr>
          <w:fldChar w:fldCharType="begin"/>
        </w:r>
        <w:r w:rsidR="0063673F">
          <w:rPr>
            <w:webHidden/>
          </w:rPr>
          <w:instrText xml:space="preserve"> PAGEREF _Toc447450386 \h </w:instrText>
        </w:r>
        <w:r w:rsidR="0063673F">
          <w:rPr>
            <w:webHidden/>
          </w:rPr>
        </w:r>
        <w:r w:rsidR="0063673F">
          <w:rPr>
            <w:webHidden/>
          </w:rPr>
          <w:fldChar w:fldCharType="separate"/>
        </w:r>
        <w:r w:rsidR="00607084">
          <w:rPr>
            <w:webHidden/>
          </w:rPr>
          <w:t>8</w:t>
        </w:r>
        <w:r w:rsidR="0063673F">
          <w:rPr>
            <w:webHidden/>
          </w:rPr>
          <w:fldChar w:fldCharType="end"/>
        </w:r>
      </w:hyperlink>
    </w:p>
    <w:p w14:paraId="3A9D2D72" w14:textId="77777777" w:rsidR="0063673F" w:rsidRDefault="008422A9">
      <w:pPr>
        <w:pStyle w:val="TOC3"/>
        <w:rPr>
          <w:rFonts w:asciiTheme="minorHAnsi" w:hAnsiTheme="minorHAnsi"/>
          <w:sz w:val="22"/>
        </w:rPr>
      </w:pPr>
      <w:hyperlink w:anchor="_Toc447450387" w:history="1">
        <w:r w:rsidR="0063673F" w:rsidRPr="00674F7D">
          <w:rPr>
            <w:rStyle w:val="Hyperlink"/>
            <w14:scene3d>
              <w14:camera w14:prst="orthographicFront"/>
              <w14:lightRig w14:rig="threePt" w14:dir="t">
                <w14:rot w14:lat="0" w14:lon="0" w14:rev="0"/>
              </w14:lightRig>
            </w14:scene3d>
          </w:rPr>
          <w:t>2.2.</w:t>
        </w:r>
        <w:r w:rsidR="0063673F">
          <w:rPr>
            <w:rFonts w:asciiTheme="minorHAnsi" w:hAnsiTheme="minorHAnsi"/>
            <w:sz w:val="22"/>
          </w:rPr>
          <w:tab/>
        </w:r>
        <w:r w:rsidR="0063673F" w:rsidRPr="00674F7D">
          <w:rPr>
            <w:rStyle w:val="Hyperlink"/>
          </w:rPr>
          <w:t>Approach to pricing</w:t>
        </w:r>
        <w:r w:rsidR="0063673F">
          <w:rPr>
            <w:webHidden/>
          </w:rPr>
          <w:tab/>
        </w:r>
        <w:r w:rsidR="0063673F">
          <w:rPr>
            <w:webHidden/>
          </w:rPr>
          <w:fldChar w:fldCharType="begin"/>
        </w:r>
        <w:r w:rsidR="0063673F">
          <w:rPr>
            <w:webHidden/>
          </w:rPr>
          <w:instrText xml:space="preserve"> PAGEREF _Toc447450387 \h </w:instrText>
        </w:r>
        <w:r w:rsidR="0063673F">
          <w:rPr>
            <w:webHidden/>
          </w:rPr>
        </w:r>
        <w:r w:rsidR="0063673F">
          <w:rPr>
            <w:webHidden/>
          </w:rPr>
          <w:fldChar w:fldCharType="separate"/>
        </w:r>
        <w:r w:rsidR="00607084">
          <w:rPr>
            <w:webHidden/>
          </w:rPr>
          <w:t>9</w:t>
        </w:r>
        <w:r w:rsidR="0063673F">
          <w:rPr>
            <w:webHidden/>
          </w:rPr>
          <w:fldChar w:fldCharType="end"/>
        </w:r>
      </w:hyperlink>
    </w:p>
    <w:p w14:paraId="3AE53D17" w14:textId="77777777" w:rsidR="0063673F" w:rsidRDefault="008422A9">
      <w:pPr>
        <w:pStyle w:val="TOC3"/>
        <w:rPr>
          <w:rFonts w:asciiTheme="minorHAnsi" w:hAnsiTheme="minorHAnsi"/>
          <w:sz w:val="22"/>
        </w:rPr>
      </w:pPr>
      <w:hyperlink w:anchor="_Toc447450388" w:history="1">
        <w:r w:rsidR="0063673F" w:rsidRPr="00674F7D">
          <w:rPr>
            <w:rStyle w:val="Hyperlink"/>
            <w14:scene3d>
              <w14:camera w14:prst="orthographicFront"/>
              <w14:lightRig w14:rig="threePt" w14:dir="t">
                <w14:rot w14:lat="0" w14:lon="0" w14:rev="0"/>
              </w14:lightRig>
            </w14:scene3d>
          </w:rPr>
          <w:t>2.3.</w:t>
        </w:r>
        <w:r w:rsidR="0063673F">
          <w:rPr>
            <w:rFonts w:asciiTheme="minorHAnsi" w:hAnsiTheme="minorHAnsi"/>
            <w:sz w:val="22"/>
          </w:rPr>
          <w:tab/>
        </w:r>
        <w:r w:rsidR="0063673F" w:rsidRPr="00674F7D">
          <w:rPr>
            <w:rStyle w:val="Hyperlink"/>
          </w:rPr>
          <w:t>Pricing model and Price matrix</w:t>
        </w:r>
        <w:r w:rsidR="0063673F">
          <w:rPr>
            <w:webHidden/>
          </w:rPr>
          <w:tab/>
        </w:r>
        <w:r w:rsidR="0063673F">
          <w:rPr>
            <w:webHidden/>
          </w:rPr>
          <w:fldChar w:fldCharType="begin"/>
        </w:r>
        <w:r w:rsidR="0063673F">
          <w:rPr>
            <w:webHidden/>
          </w:rPr>
          <w:instrText xml:space="preserve"> PAGEREF _Toc447450388 \h </w:instrText>
        </w:r>
        <w:r w:rsidR="0063673F">
          <w:rPr>
            <w:webHidden/>
          </w:rPr>
        </w:r>
        <w:r w:rsidR="0063673F">
          <w:rPr>
            <w:webHidden/>
          </w:rPr>
          <w:fldChar w:fldCharType="separate"/>
        </w:r>
        <w:r w:rsidR="00607084">
          <w:rPr>
            <w:webHidden/>
          </w:rPr>
          <w:t>10</w:t>
        </w:r>
        <w:r w:rsidR="0063673F">
          <w:rPr>
            <w:webHidden/>
          </w:rPr>
          <w:fldChar w:fldCharType="end"/>
        </w:r>
      </w:hyperlink>
    </w:p>
    <w:p w14:paraId="07656A8F" w14:textId="77777777" w:rsidR="0063673F" w:rsidRDefault="008422A9">
      <w:pPr>
        <w:pStyle w:val="TOC3"/>
        <w:rPr>
          <w:rFonts w:asciiTheme="minorHAnsi" w:hAnsiTheme="minorHAnsi"/>
          <w:sz w:val="22"/>
        </w:rPr>
      </w:pPr>
      <w:hyperlink w:anchor="_Toc447450389" w:history="1">
        <w:r w:rsidR="0063673F" w:rsidRPr="00674F7D">
          <w:rPr>
            <w:rStyle w:val="Hyperlink"/>
            <w14:scene3d>
              <w14:camera w14:prst="orthographicFront"/>
              <w14:lightRig w14:rig="threePt" w14:dir="t">
                <w14:rot w14:lat="0" w14:lon="0" w14:rev="0"/>
              </w14:lightRig>
            </w14:scene3d>
          </w:rPr>
          <w:t>2.4.</w:t>
        </w:r>
        <w:r w:rsidR="0063673F">
          <w:rPr>
            <w:rFonts w:asciiTheme="minorHAnsi" w:hAnsiTheme="minorHAnsi"/>
            <w:sz w:val="22"/>
          </w:rPr>
          <w:tab/>
        </w:r>
        <w:r w:rsidR="0063673F" w:rsidRPr="00674F7D">
          <w:rPr>
            <w:rStyle w:val="Hyperlink"/>
            <w:rFonts w:eastAsiaTheme="minorHAnsi"/>
          </w:rPr>
          <w:t>Benchmark pricing formula</w:t>
        </w:r>
        <w:r w:rsidR="0063673F">
          <w:rPr>
            <w:webHidden/>
          </w:rPr>
          <w:tab/>
        </w:r>
        <w:r w:rsidR="0063673F">
          <w:rPr>
            <w:webHidden/>
          </w:rPr>
          <w:fldChar w:fldCharType="begin"/>
        </w:r>
        <w:r w:rsidR="0063673F">
          <w:rPr>
            <w:webHidden/>
          </w:rPr>
          <w:instrText xml:space="preserve"> PAGEREF _Toc447450389 \h </w:instrText>
        </w:r>
        <w:r w:rsidR="0063673F">
          <w:rPr>
            <w:webHidden/>
          </w:rPr>
        </w:r>
        <w:r w:rsidR="0063673F">
          <w:rPr>
            <w:webHidden/>
          </w:rPr>
          <w:fldChar w:fldCharType="separate"/>
        </w:r>
        <w:r w:rsidR="00607084">
          <w:rPr>
            <w:webHidden/>
          </w:rPr>
          <w:t>10</w:t>
        </w:r>
        <w:r w:rsidR="0063673F">
          <w:rPr>
            <w:webHidden/>
          </w:rPr>
          <w:fldChar w:fldCharType="end"/>
        </w:r>
      </w:hyperlink>
    </w:p>
    <w:p w14:paraId="58B5A333" w14:textId="77777777" w:rsidR="0063673F" w:rsidRDefault="008422A9">
      <w:pPr>
        <w:pStyle w:val="TOC3"/>
        <w:rPr>
          <w:rFonts w:asciiTheme="minorHAnsi" w:hAnsiTheme="minorHAnsi"/>
          <w:sz w:val="22"/>
        </w:rPr>
      </w:pPr>
      <w:hyperlink w:anchor="_Toc447450390" w:history="1">
        <w:r w:rsidR="0063673F" w:rsidRPr="00674F7D">
          <w:rPr>
            <w:rStyle w:val="Hyperlink"/>
            <w14:scene3d>
              <w14:camera w14:prst="orthographicFront"/>
              <w14:lightRig w14:rig="threePt" w14:dir="t">
                <w14:rot w14:lat="0" w14:lon="0" w14:rev="0"/>
              </w14:lightRig>
            </w14:scene3d>
          </w:rPr>
          <w:t>2.5.</w:t>
        </w:r>
        <w:r w:rsidR="0063673F">
          <w:rPr>
            <w:rFonts w:asciiTheme="minorHAnsi" w:hAnsiTheme="minorHAnsi"/>
            <w:sz w:val="22"/>
          </w:rPr>
          <w:tab/>
        </w:r>
        <w:r w:rsidR="0063673F" w:rsidRPr="00674F7D">
          <w:rPr>
            <w:rStyle w:val="Hyperlink"/>
          </w:rPr>
          <w:t>Accommodation design categories</w:t>
        </w:r>
        <w:r w:rsidR="0063673F">
          <w:rPr>
            <w:webHidden/>
          </w:rPr>
          <w:tab/>
        </w:r>
        <w:r w:rsidR="0063673F">
          <w:rPr>
            <w:webHidden/>
          </w:rPr>
          <w:fldChar w:fldCharType="begin"/>
        </w:r>
        <w:r w:rsidR="0063673F">
          <w:rPr>
            <w:webHidden/>
          </w:rPr>
          <w:instrText xml:space="preserve"> PAGEREF _Toc447450390 \h </w:instrText>
        </w:r>
        <w:r w:rsidR="0063673F">
          <w:rPr>
            <w:webHidden/>
          </w:rPr>
        </w:r>
        <w:r w:rsidR="0063673F">
          <w:rPr>
            <w:webHidden/>
          </w:rPr>
          <w:fldChar w:fldCharType="separate"/>
        </w:r>
        <w:r w:rsidR="00607084">
          <w:rPr>
            <w:webHidden/>
          </w:rPr>
          <w:t>13</w:t>
        </w:r>
        <w:r w:rsidR="0063673F">
          <w:rPr>
            <w:webHidden/>
          </w:rPr>
          <w:fldChar w:fldCharType="end"/>
        </w:r>
      </w:hyperlink>
    </w:p>
    <w:p w14:paraId="4B42BEA8" w14:textId="77777777" w:rsidR="0063673F" w:rsidRDefault="008422A9">
      <w:pPr>
        <w:pStyle w:val="TOC3"/>
        <w:rPr>
          <w:rFonts w:asciiTheme="minorHAnsi" w:hAnsiTheme="minorHAnsi"/>
          <w:sz w:val="22"/>
        </w:rPr>
      </w:pPr>
      <w:hyperlink w:anchor="_Toc447450391" w:history="1">
        <w:r w:rsidR="0063673F" w:rsidRPr="00674F7D">
          <w:rPr>
            <w:rStyle w:val="Hyperlink"/>
            <w14:scene3d>
              <w14:camera w14:prst="orthographicFront"/>
              <w14:lightRig w14:rig="threePt" w14:dir="t">
                <w14:rot w14:lat="0" w14:lon="0" w14:rev="0"/>
              </w14:lightRig>
            </w14:scene3d>
          </w:rPr>
          <w:t>2.6.</w:t>
        </w:r>
        <w:r w:rsidR="0063673F">
          <w:rPr>
            <w:rFonts w:asciiTheme="minorHAnsi" w:hAnsiTheme="minorHAnsi"/>
            <w:sz w:val="22"/>
          </w:rPr>
          <w:tab/>
        </w:r>
        <w:r w:rsidR="0063673F" w:rsidRPr="00674F7D">
          <w:rPr>
            <w:rStyle w:val="Hyperlink"/>
          </w:rPr>
          <w:t>Building types</w:t>
        </w:r>
        <w:r w:rsidR="0063673F">
          <w:rPr>
            <w:webHidden/>
          </w:rPr>
          <w:tab/>
        </w:r>
        <w:r w:rsidR="0063673F">
          <w:rPr>
            <w:webHidden/>
          </w:rPr>
          <w:fldChar w:fldCharType="begin"/>
        </w:r>
        <w:r w:rsidR="0063673F">
          <w:rPr>
            <w:webHidden/>
          </w:rPr>
          <w:instrText xml:space="preserve"> PAGEREF _Toc447450391 \h </w:instrText>
        </w:r>
        <w:r w:rsidR="0063673F">
          <w:rPr>
            <w:webHidden/>
          </w:rPr>
        </w:r>
        <w:r w:rsidR="0063673F">
          <w:rPr>
            <w:webHidden/>
          </w:rPr>
          <w:fldChar w:fldCharType="separate"/>
        </w:r>
        <w:r w:rsidR="00607084">
          <w:rPr>
            <w:webHidden/>
          </w:rPr>
          <w:t>13</w:t>
        </w:r>
        <w:r w:rsidR="0063673F">
          <w:rPr>
            <w:webHidden/>
          </w:rPr>
          <w:fldChar w:fldCharType="end"/>
        </w:r>
      </w:hyperlink>
    </w:p>
    <w:p w14:paraId="5A9918C8" w14:textId="77777777" w:rsidR="0063673F" w:rsidRDefault="008422A9">
      <w:pPr>
        <w:pStyle w:val="TOC3"/>
        <w:rPr>
          <w:rFonts w:asciiTheme="minorHAnsi" w:hAnsiTheme="minorHAnsi"/>
          <w:sz w:val="22"/>
        </w:rPr>
      </w:pPr>
      <w:hyperlink w:anchor="_Toc447450392" w:history="1">
        <w:r w:rsidR="0063673F" w:rsidRPr="00674F7D">
          <w:rPr>
            <w:rStyle w:val="Hyperlink"/>
            <w14:scene3d>
              <w14:camera w14:prst="orthographicFront"/>
              <w14:lightRig w14:rig="threePt" w14:dir="t">
                <w14:rot w14:lat="0" w14:lon="0" w14:rev="0"/>
              </w14:lightRig>
            </w14:scene3d>
          </w:rPr>
          <w:t>2.7.</w:t>
        </w:r>
        <w:r w:rsidR="0063673F">
          <w:rPr>
            <w:rFonts w:asciiTheme="minorHAnsi" w:hAnsiTheme="minorHAnsi"/>
            <w:sz w:val="22"/>
          </w:rPr>
          <w:tab/>
        </w:r>
        <w:r w:rsidR="0063673F" w:rsidRPr="00674F7D">
          <w:rPr>
            <w:rStyle w:val="Hyperlink"/>
          </w:rPr>
          <w:t>Adjusting for Geography</w:t>
        </w:r>
        <w:r w:rsidR="0063673F">
          <w:rPr>
            <w:webHidden/>
          </w:rPr>
          <w:tab/>
        </w:r>
        <w:r w:rsidR="0063673F">
          <w:rPr>
            <w:webHidden/>
          </w:rPr>
          <w:fldChar w:fldCharType="begin"/>
        </w:r>
        <w:r w:rsidR="0063673F">
          <w:rPr>
            <w:webHidden/>
          </w:rPr>
          <w:instrText xml:space="preserve"> PAGEREF _Toc447450392 \h </w:instrText>
        </w:r>
        <w:r w:rsidR="0063673F">
          <w:rPr>
            <w:webHidden/>
          </w:rPr>
        </w:r>
        <w:r w:rsidR="0063673F">
          <w:rPr>
            <w:webHidden/>
          </w:rPr>
          <w:fldChar w:fldCharType="separate"/>
        </w:r>
        <w:r w:rsidR="00607084">
          <w:rPr>
            <w:webHidden/>
          </w:rPr>
          <w:t>14</w:t>
        </w:r>
        <w:r w:rsidR="0063673F">
          <w:rPr>
            <w:webHidden/>
          </w:rPr>
          <w:fldChar w:fldCharType="end"/>
        </w:r>
      </w:hyperlink>
    </w:p>
    <w:p w14:paraId="3E58A41F" w14:textId="77777777" w:rsidR="0063673F" w:rsidRDefault="008422A9">
      <w:pPr>
        <w:pStyle w:val="TOC3"/>
        <w:rPr>
          <w:rFonts w:asciiTheme="minorHAnsi" w:hAnsiTheme="minorHAnsi"/>
          <w:sz w:val="22"/>
        </w:rPr>
      </w:pPr>
      <w:hyperlink w:anchor="_Toc447450393" w:history="1">
        <w:r w:rsidR="0063673F" w:rsidRPr="00674F7D">
          <w:rPr>
            <w:rStyle w:val="Hyperlink"/>
            <w14:scene3d>
              <w14:camera w14:prst="orthographicFront"/>
              <w14:lightRig w14:rig="threePt" w14:dir="t">
                <w14:rot w14:lat="0" w14:lon="0" w14:rev="0"/>
              </w14:lightRig>
            </w14:scene3d>
          </w:rPr>
          <w:t>2.8.</w:t>
        </w:r>
        <w:r w:rsidR="0063673F">
          <w:rPr>
            <w:rFonts w:asciiTheme="minorHAnsi" w:hAnsiTheme="minorHAnsi"/>
            <w:sz w:val="22"/>
          </w:rPr>
          <w:tab/>
        </w:r>
        <w:r w:rsidR="0063673F" w:rsidRPr="00674F7D">
          <w:rPr>
            <w:rStyle w:val="Hyperlink"/>
          </w:rPr>
          <w:t>Additional factors impacting building costs</w:t>
        </w:r>
        <w:r w:rsidR="0063673F">
          <w:rPr>
            <w:webHidden/>
          </w:rPr>
          <w:tab/>
        </w:r>
        <w:r w:rsidR="0063673F">
          <w:rPr>
            <w:webHidden/>
          </w:rPr>
          <w:fldChar w:fldCharType="begin"/>
        </w:r>
        <w:r w:rsidR="0063673F">
          <w:rPr>
            <w:webHidden/>
          </w:rPr>
          <w:instrText xml:space="preserve"> PAGEREF _Toc447450393 \h </w:instrText>
        </w:r>
        <w:r w:rsidR="0063673F">
          <w:rPr>
            <w:webHidden/>
          </w:rPr>
        </w:r>
        <w:r w:rsidR="0063673F">
          <w:rPr>
            <w:webHidden/>
          </w:rPr>
          <w:fldChar w:fldCharType="separate"/>
        </w:r>
        <w:r w:rsidR="00607084">
          <w:rPr>
            <w:webHidden/>
          </w:rPr>
          <w:t>15</w:t>
        </w:r>
        <w:r w:rsidR="0063673F">
          <w:rPr>
            <w:webHidden/>
          </w:rPr>
          <w:fldChar w:fldCharType="end"/>
        </w:r>
      </w:hyperlink>
    </w:p>
    <w:p w14:paraId="699D0F94" w14:textId="77777777" w:rsidR="0063673F" w:rsidRDefault="008422A9">
      <w:pPr>
        <w:pStyle w:val="TOC3"/>
        <w:rPr>
          <w:rFonts w:asciiTheme="minorHAnsi" w:hAnsiTheme="minorHAnsi"/>
          <w:sz w:val="22"/>
        </w:rPr>
      </w:pPr>
      <w:hyperlink w:anchor="_Toc447450394" w:history="1">
        <w:r w:rsidR="0063673F" w:rsidRPr="00674F7D">
          <w:rPr>
            <w:rStyle w:val="Hyperlink"/>
            <w14:scene3d>
              <w14:camera w14:prst="orthographicFront"/>
              <w14:lightRig w14:rig="threePt" w14:dir="t">
                <w14:rot w14:lat="0" w14:lon="0" w14:rev="0"/>
              </w14:lightRig>
            </w14:scene3d>
          </w:rPr>
          <w:t>2.9.</w:t>
        </w:r>
        <w:r w:rsidR="0063673F">
          <w:rPr>
            <w:rFonts w:asciiTheme="minorHAnsi" w:hAnsiTheme="minorHAnsi"/>
            <w:sz w:val="22"/>
          </w:rPr>
          <w:tab/>
        </w:r>
        <w:r w:rsidR="0063673F" w:rsidRPr="00674F7D">
          <w:rPr>
            <w:rStyle w:val="Hyperlink"/>
          </w:rPr>
          <w:t>Additional pricing considerations</w:t>
        </w:r>
        <w:r w:rsidR="0063673F">
          <w:rPr>
            <w:webHidden/>
          </w:rPr>
          <w:tab/>
        </w:r>
        <w:r w:rsidR="0063673F">
          <w:rPr>
            <w:webHidden/>
          </w:rPr>
          <w:fldChar w:fldCharType="begin"/>
        </w:r>
        <w:r w:rsidR="0063673F">
          <w:rPr>
            <w:webHidden/>
          </w:rPr>
          <w:instrText xml:space="preserve"> PAGEREF _Toc447450394 \h </w:instrText>
        </w:r>
        <w:r w:rsidR="0063673F">
          <w:rPr>
            <w:webHidden/>
          </w:rPr>
        </w:r>
        <w:r w:rsidR="0063673F">
          <w:rPr>
            <w:webHidden/>
          </w:rPr>
          <w:fldChar w:fldCharType="separate"/>
        </w:r>
        <w:r w:rsidR="00607084">
          <w:rPr>
            <w:webHidden/>
          </w:rPr>
          <w:t>15</w:t>
        </w:r>
        <w:r w:rsidR="0063673F">
          <w:rPr>
            <w:webHidden/>
          </w:rPr>
          <w:fldChar w:fldCharType="end"/>
        </w:r>
      </w:hyperlink>
    </w:p>
    <w:p w14:paraId="496B8432" w14:textId="77777777" w:rsidR="0063673F" w:rsidRDefault="008422A9">
      <w:pPr>
        <w:pStyle w:val="TOC3"/>
        <w:rPr>
          <w:rFonts w:asciiTheme="minorHAnsi" w:hAnsiTheme="minorHAnsi"/>
          <w:sz w:val="22"/>
        </w:rPr>
      </w:pPr>
      <w:hyperlink w:anchor="_Toc447450395" w:history="1">
        <w:r w:rsidR="0063673F" w:rsidRPr="00674F7D">
          <w:rPr>
            <w:rStyle w:val="Hyperlink"/>
            <w14:scene3d>
              <w14:camera w14:prst="orthographicFront"/>
              <w14:lightRig w14:rig="threePt" w14:dir="t">
                <w14:rot w14:lat="0" w14:lon="0" w14:rev="0"/>
              </w14:lightRig>
            </w14:scene3d>
          </w:rPr>
          <w:t>2.10.</w:t>
        </w:r>
        <w:r w:rsidR="0063673F">
          <w:rPr>
            <w:rFonts w:asciiTheme="minorHAnsi" w:hAnsiTheme="minorHAnsi"/>
            <w:sz w:val="22"/>
          </w:rPr>
          <w:tab/>
        </w:r>
        <w:r w:rsidR="0063673F" w:rsidRPr="00674F7D">
          <w:rPr>
            <w:rStyle w:val="Hyperlink"/>
          </w:rPr>
          <w:t>Price differential for existing and new housing</w:t>
        </w:r>
        <w:r w:rsidR="0063673F">
          <w:rPr>
            <w:webHidden/>
          </w:rPr>
          <w:tab/>
        </w:r>
        <w:r w:rsidR="0063673F">
          <w:rPr>
            <w:webHidden/>
          </w:rPr>
          <w:fldChar w:fldCharType="begin"/>
        </w:r>
        <w:r w:rsidR="0063673F">
          <w:rPr>
            <w:webHidden/>
          </w:rPr>
          <w:instrText xml:space="preserve"> PAGEREF _Toc447450395 \h </w:instrText>
        </w:r>
        <w:r w:rsidR="0063673F">
          <w:rPr>
            <w:webHidden/>
          </w:rPr>
        </w:r>
        <w:r w:rsidR="0063673F">
          <w:rPr>
            <w:webHidden/>
          </w:rPr>
          <w:fldChar w:fldCharType="separate"/>
        </w:r>
        <w:r w:rsidR="00607084">
          <w:rPr>
            <w:webHidden/>
          </w:rPr>
          <w:t>17</w:t>
        </w:r>
        <w:r w:rsidR="0063673F">
          <w:rPr>
            <w:webHidden/>
          </w:rPr>
          <w:fldChar w:fldCharType="end"/>
        </w:r>
      </w:hyperlink>
    </w:p>
    <w:p w14:paraId="3CBB4D6D" w14:textId="77777777" w:rsidR="0063673F" w:rsidRDefault="008422A9">
      <w:pPr>
        <w:pStyle w:val="TOC3"/>
        <w:rPr>
          <w:rFonts w:asciiTheme="minorHAnsi" w:hAnsiTheme="minorHAnsi"/>
          <w:sz w:val="22"/>
        </w:rPr>
      </w:pPr>
      <w:hyperlink w:anchor="_Toc447450396" w:history="1">
        <w:r w:rsidR="0063673F" w:rsidRPr="00674F7D">
          <w:rPr>
            <w:rStyle w:val="Hyperlink"/>
            <w14:scene3d>
              <w14:camera w14:prst="orthographicFront"/>
              <w14:lightRig w14:rig="threePt" w14:dir="t">
                <w14:rot w14:lat="0" w14:lon="0" w14:rev="0"/>
              </w14:lightRig>
            </w14:scene3d>
          </w:rPr>
          <w:t>2.11.</w:t>
        </w:r>
        <w:r w:rsidR="0063673F">
          <w:rPr>
            <w:rFonts w:asciiTheme="minorHAnsi" w:hAnsiTheme="minorHAnsi"/>
            <w:sz w:val="22"/>
          </w:rPr>
          <w:tab/>
        </w:r>
        <w:r w:rsidR="0063673F" w:rsidRPr="00674F7D">
          <w:rPr>
            <w:rStyle w:val="Hyperlink"/>
          </w:rPr>
          <w:t>Reasonable rent contributions</w:t>
        </w:r>
        <w:r w:rsidR="0063673F">
          <w:rPr>
            <w:webHidden/>
          </w:rPr>
          <w:tab/>
        </w:r>
        <w:r w:rsidR="0063673F">
          <w:rPr>
            <w:webHidden/>
          </w:rPr>
          <w:fldChar w:fldCharType="begin"/>
        </w:r>
        <w:r w:rsidR="0063673F">
          <w:rPr>
            <w:webHidden/>
          </w:rPr>
          <w:instrText xml:space="preserve"> PAGEREF _Toc447450396 \h </w:instrText>
        </w:r>
        <w:r w:rsidR="0063673F">
          <w:rPr>
            <w:webHidden/>
          </w:rPr>
        </w:r>
        <w:r w:rsidR="0063673F">
          <w:rPr>
            <w:webHidden/>
          </w:rPr>
          <w:fldChar w:fldCharType="separate"/>
        </w:r>
        <w:r w:rsidR="00607084">
          <w:rPr>
            <w:webHidden/>
          </w:rPr>
          <w:t>19</w:t>
        </w:r>
        <w:r w:rsidR="0063673F">
          <w:rPr>
            <w:webHidden/>
          </w:rPr>
          <w:fldChar w:fldCharType="end"/>
        </w:r>
      </w:hyperlink>
    </w:p>
    <w:p w14:paraId="78963193" w14:textId="77777777" w:rsidR="0063673F" w:rsidRDefault="008422A9">
      <w:pPr>
        <w:pStyle w:val="TOC3"/>
        <w:rPr>
          <w:rFonts w:asciiTheme="minorHAnsi" w:hAnsiTheme="minorHAnsi"/>
          <w:sz w:val="22"/>
        </w:rPr>
      </w:pPr>
      <w:hyperlink w:anchor="_Toc447450397" w:history="1">
        <w:r w:rsidR="0063673F" w:rsidRPr="00674F7D">
          <w:rPr>
            <w:rStyle w:val="Hyperlink"/>
            <w:rFonts w:eastAsiaTheme="minorHAnsi"/>
            <w14:scene3d>
              <w14:camera w14:prst="orthographicFront"/>
              <w14:lightRig w14:rig="threePt" w14:dir="t">
                <w14:rot w14:lat="0" w14:lon="0" w14:rev="0"/>
              </w14:lightRig>
            </w14:scene3d>
          </w:rPr>
          <w:t>2.12.</w:t>
        </w:r>
        <w:r w:rsidR="0063673F">
          <w:rPr>
            <w:rFonts w:asciiTheme="minorHAnsi" w:hAnsiTheme="minorHAnsi"/>
            <w:sz w:val="22"/>
          </w:rPr>
          <w:tab/>
        </w:r>
        <w:r w:rsidR="0063673F" w:rsidRPr="00674F7D">
          <w:rPr>
            <w:rStyle w:val="Hyperlink"/>
            <w:rFonts w:eastAsiaTheme="minorHAnsi"/>
          </w:rPr>
          <w:t>Key pricing assumptions</w:t>
        </w:r>
        <w:r w:rsidR="0063673F">
          <w:rPr>
            <w:webHidden/>
          </w:rPr>
          <w:tab/>
        </w:r>
        <w:r w:rsidR="0063673F">
          <w:rPr>
            <w:webHidden/>
          </w:rPr>
          <w:fldChar w:fldCharType="begin"/>
        </w:r>
        <w:r w:rsidR="0063673F">
          <w:rPr>
            <w:webHidden/>
          </w:rPr>
          <w:instrText xml:space="preserve"> PAGEREF _Toc447450397 \h </w:instrText>
        </w:r>
        <w:r w:rsidR="0063673F">
          <w:rPr>
            <w:webHidden/>
          </w:rPr>
        </w:r>
        <w:r w:rsidR="0063673F">
          <w:rPr>
            <w:webHidden/>
          </w:rPr>
          <w:fldChar w:fldCharType="separate"/>
        </w:r>
        <w:r w:rsidR="00607084">
          <w:rPr>
            <w:webHidden/>
          </w:rPr>
          <w:t>20</w:t>
        </w:r>
        <w:r w:rsidR="0063673F">
          <w:rPr>
            <w:webHidden/>
          </w:rPr>
          <w:fldChar w:fldCharType="end"/>
        </w:r>
      </w:hyperlink>
    </w:p>
    <w:p w14:paraId="34F8D295" w14:textId="77777777" w:rsidR="0063673F" w:rsidRDefault="008422A9">
      <w:pPr>
        <w:pStyle w:val="TOC2"/>
        <w:rPr>
          <w:rFonts w:asciiTheme="minorHAnsi" w:hAnsiTheme="minorHAnsi"/>
          <w:b w:val="0"/>
          <w:noProof/>
          <w:sz w:val="22"/>
          <w:szCs w:val="22"/>
          <w:lang w:val="en-AU" w:eastAsia="en-AU"/>
        </w:rPr>
      </w:pPr>
      <w:hyperlink w:anchor="_Toc447450398" w:history="1">
        <w:r w:rsidR="0063673F" w:rsidRPr="00674F7D">
          <w:rPr>
            <w:rStyle w:val="Hyperlink"/>
            <w:noProof/>
          </w:rPr>
          <w:t>3.</w:t>
        </w:r>
        <w:r w:rsidR="0063673F">
          <w:rPr>
            <w:rFonts w:asciiTheme="minorHAnsi" w:hAnsiTheme="minorHAnsi"/>
            <w:b w:val="0"/>
            <w:noProof/>
            <w:sz w:val="22"/>
            <w:szCs w:val="22"/>
            <w:lang w:val="en-AU" w:eastAsia="en-AU"/>
          </w:rPr>
          <w:tab/>
        </w:r>
        <w:r w:rsidR="0063673F" w:rsidRPr="00674F7D">
          <w:rPr>
            <w:rStyle w:val="Hyperlink"/>
            <w:noProof/>
          </w:rPr>
          <w:t>Demand and assessment</w:t>
        </w:r>
        <w:r w:rsidR="0063673F">
          <w:rPr>
            <w:noProof/>
            <w:webHidden/>
          </w:rPr>
          <w:tab/>
        </w:r>
        <w:r w:rsidR="0063673F">
          <w:rPr>
            <w:noProof/>
            <w:webHidden/>
          </w:rPr>
          <w:fldChar w:fldCharType="begin"/>
        </w:r>
        <w:r w:rsidR="0063673F">
          <w:rPr>
            <w:noProof/>
            <w:webHidden/>
          </w:rPr>
          <w:instrText xml:space="preserve"> PAGEREF _Toc447450398 \h </w:instrText>
        </w:r>
        <w:r w:rsidR="0063673F">
          <w:rPr>
            <w:noProof/>
            <w:webHidden/>
          </w:rPr>
        </w:r>
        <w:r w:rsidR="0063673F">
          <w:rPr>
            <w:noProof/>
            <w:webHidden/>
          </w:rPr>
          <w:fldChar w:fldCharType="separate"/>
        </w:r>
        <w:r w:rsidR="00607084">
          <w:rPr>
            <w:noProof/>
            <w:webHidden/>
          </w:rPr>
          <w:t>25</w:t>
        </w:r>
        <w:r w:rsidR="0063673F">
          <w:rPr>
            <w:noProof/>
            <w:webHidden/>
          </w:rPr>
          <w:fldChar w:fldCharType="end"/>
        </w:r>
      </w:hyperlink>
    </w:p>
    <w:p w14:paraId="48B37379" w14:textId="77777777" w:rsidR="0063673F" w:rsidRDefault="008422A9">
      <w:pPr>
        <w:pStyle w:val="TOC3"/>
        <w:rPr>
          <w:rFonts w:asciiTheme="minorHAnsi" w:hAnsiTheme="minorHAnsi"/>
          <w:sz w:val="22"/>
        </w:rPr>
      </w:pPr>
      <w:hyperlink w:anchor="_Toc447450399" w:history="1">
        <w:r w:rsidR="0063673F" w:rsidRPr="00674F7D">
          <w:rPr>
            <w:rStyle w:val="Hyperlink"/>
            <w14:scene3d>
              <w14:camera w14:prst="orthographicFront"/>
              <w14:lightRig w14:rig="threePt" w14:dir="t">
                <w14:rot w14:lat="0" w14:lon="0" w14:rev="0"/>
              </w14:lightRig>
            </w14:scene3d>
          </w:rPr>
          <w:t>3.1.</w:t>
        </w:r>
        <w:r w:rsidR="0063673F">
          <w:rPr>
            <w:rFonts w:asciiTheme="minorHAnsi" w:hAnsiTheme="minorHAnsi"/>
            <w:sz w:val="22"/>
          </w:rPr>
          <w:tab/>
        </w:r>
        <w:r w:rsidR="0063673F" w:rsidRPr="00674F7D">
          <w:rPr>
            <w:rStyle w:val="Hyperlink"/>
          </w:rPr>
          <w:t>Assessment criteria and considerations</w:t>
        </w:r>
        <w:r w:rsidR="0063673F">
          <w:rPr>
            <w:webHidden/>
          </w:rPr>
          <w:tab/>
        </w:r>
        <w:r w:rsidR="0063673F">
          <w:rPr>
            <w:webHidden/>
          </w:rPr>
          <w:fldChar w:fldCharType="begin"/>
        </w:r>
        <w:r w:rsidR="0063673F">
          <w:rPr>
            <w:webHidden/>
          </w:rPr>
          <w:instrText xml:space="preserve"> PAGEREF _Toc447450399 \h </w:instrText>
        </w:r>
        <w:r w:rsidR="0063673F">
          <w:rPr>
            <w:webHidden/>
          </w:rPr>
        </w:r>
        <w:r w:rsidR="0063673F">
          <w:rPr>
            <w:webHidden/>
          </w:rPr>
          <w:fldChar w:fldCharType="separate"/>
        </w:r>
        <w:r w:rsidR="00607084">
          <w:rPr>
            <w:webHidden/>
          </w:rPr>
          <w:t>25</w:t>
        </w:r>
        <w:r w:rsidR="0063673F">
          <w:rPr>
            <w:webHidden/>
          </w:rPr>
          <w:fldChar w:fldCharType="end"/>
        </w:r>
      </w:hyperlink>
    </w:p>
    <w:p w14:paraId="2761BE87" w14:textId="77777777" w:rsidR="0063673F" w:rsidRDefault="008422A9">
      <w:pPr>
        <w:pStyle w:val="TOC2"/>
        <w:rPr>
          <w:rFonts w:asciiTheme="minorHAnsi" w:hAnsiTheme="minorHAnsi"/>
          <w:b w:val="0"/>
          <w:noProof/>
          <w:sz w:val="22"/>
          <w:szCs w:val="22"/>
          <w:lang w:val="en-AU" w:eastAsia="en-AU"/>
        </w:rPr>
      </w:pPr>
      <w:hyperlink w:anchor="_Toc447450400" w:history="1">
        <w:r w:rsidR="0063673F" w:rsidRPr="00674F7D">
          <w:rPr>
            <w:rStyle w:val="Hyperlink"/>
            <w:noProof/>
          </w:rPr>
          <w:t>4.</w:t>
        </w:r>
        <w:r w:rsidR="0063673F">
          <w:rPr>
            <w:rFonts w:asciiTheme="minorHAnsi" w:hAnsiTheme="minorHAnsi"/>
            <w:b w:val="0"/>
            <w:noProof/>
            <w:sz w:val="22"/>
            <w:szCs w:val="22"/>
            <w:lang w:val="en-AU" w:eastAsia="en-AU"/>
          </w:rPr>
          <w:tab/>
        </w:r>
        <w:r w:rsidR="0063673F" w:rsidRPr="00674F7D">
          <w:rPr>
            <w:rStyle w:val="Hyperlink"/>
            <w:noProof/>
          </w:rPr>
          <w:t>Administration arrangements</w:t>
        </w:r>
        <w:r w:rsidR="0063673F">
          <w:rPr>
            <w:noProof/>
            <w:webHidden/>
          </w:rPr>
          <w:tab/>
        </w:r>
        <w:r w:rsidR="0063673F">
          <w:rPr>
            <w:noProof/>
            <w:webHidden/>
          </w:rPr>
          <w:fldChar w:fldCharType="begin"/>
        </w:r>
        <w:r w:rsidR="0063673F">
          <w:rPr>
            <w:noProof/>
            <w:webHidden/>
          </w:rPr>
          <w:instrText xml:space="preserve"> PAGEREF _Toc447450400 \h </w:instrText>
        </w:r>
        <w:r w:rsidR="0063673F">
          <w:rPr>
            <w:noProof/>
            <w:webHidden/>
          </w:rPr>
        </w:r>
        <w:r w:rsidR="0063673F">
          <w:rPr>
            <w:noProof/>
            <w:webHidden/>
          </w:rPr>
          <w:fldChar w:fldCharType="separate"/>
        </w:r>
        <w:r w:rsidR="00607084">
          <w:rPr>
            <w:noProof/>
            <w:webHidden/>
          </w:rPr>
          <w:t>28</w:t>
        </w:r>
        <w:r w:rsidR="0063673F">
          <w:rPr>
            <w:noProof/>
            <w:webHidden/>
          </w:rPr>
          <w:fldChar w:fldCharType="end"/>
        </w:r>
      </w:hyperlink>
    </w:p>
    <w:p w14:paraId="6BD70527" w14:textId="77777777" w:rsidR="0063673F" w:rsidRDefault="008422A9">
      <w:pPr>
        <w:pStyle w:val="TOC3"/>
        <w:rPr>
          <w:rFonts w:asciiTheme="minorHAnsi" w:hAnsiTheme="minorHAnsi"/>
          <w:sz w:val="22"/>
        </w:rPr>
      </w:pPr>
      <w:hyperlink w:anchor="_Toc447450401" w:history="1">
        <w:r w:rsidR="0063673F" w:rsidRPr="00674F7D">
          <w:rPr>
            <w:rStyle w:val="Hyperlink"/>
            <w14:scene3d>
              <w14:camera w14:prst="orthographicFront"/>
              <w14:lightRig w14:rig="threePt" w14:dir="t">
                <w14:rot w14:lat="0" w14:lon="0" w14:rev="0"/>
              </w14:lightRig>
            </w14:scene3d>
          </w:rPr>
          <w:t>4.1.</w:t>
        </w:r>
        <w:r w:rsidR="0063673F">
          <w:rPr>
            <w:rFonts w:asciiTheme="minorHAnsi" w:hAnsiTheme="minorHAnsi"/>
            <w:sz w:val="22"/>
          </w:rPr>
          <w:tab/>
        </w:r>
        <w:r w:rsidR="0063673F" w:rsidRPr="00674F7D">
          <w:rPr>
            <w:rStyle w:val="Hyperlink"/>
          </w:rPr>
          <w:t>Purchase of SDA supports</w:t>
        </w:r>
        <w:r w:rsidR="0063673F">
          <w:rPr>
            <w:webHidden/>
          </w:rPr>
          <w:tab/>
        </w:r>
        <w:r w:rsidR="0063673F">
          <w:rPr>
            <w:webHidden/>
          </w:rPr>
          <w:fldChar w:fldCharType="begin"/>
        </w:r>
        <w:r w:rsidR="0063673F">
          <w:rPr>
            <w:webHidden/>
          </w:rPr>
          <w:instrText xml:space="preserve"> PAGEREF _Toc447450401 \h </w:instrText>
        </w:r>
        <w:r w:rsidR="0063673F">
          <w:rPr>
            <w:webHidden/>
          </w:rPr>
        </w:r>
        <w:r w:rsidR="0063673F">
          <w:rPr>
            <w:webHidden/>
          </w:rPr>
          <w:fldChar w:fldCharType="separate"/>
        </w:r>
        <w:r w:rsidR="00607084">
          <w:rPr>
            <w:webHidden/>
          </w:rPr>
          <w:t>28</w:t>
        </w:r>
        <w:r w:rsidR="0063673F">
          <w:rPr>
            <w:webHidden/>
          </w:rPr>
          <w:fldChar w:fldCharType="end"/>
        </w:r>
      </w:hyperlink>
    </w:p>
    <w:p w14:paraId="32ED8747" w14:textId="77777777" w:rsidR="0063673F" w:rsidRDefault="008422A9">
      <w:pPr>
        <w:pStyle w:val="TOC3"/>
        <w:rPr>
          <w:rFonts w:asciiTheme="minorHAnsi" w:hAnsiTheme="minorHAnsi"/>
          <w:sz w:val="22"/>
        </w:rPr>
      </w:pPr>
      <w:hyperlink w:anchor="_Toc447450402" w:history="1">
        <w:r w:rsidR="0063673F" w:rsidRPr="00674F7D">
          <w:rPr>
            <w:rStyle w:val="Hyperlink"/>
            <w14:scene3d>
              <w14:camera w14:prst="orthographicFront"/>
              <w14:lightRig w14:rig="threePt" w14:dir="t">
                <w14:rot w14:lat="0" w14:lon="0" w14:rev="0"/>
              </w14:lightRig>
            </w14:scene3d>
          </w:rPr>
          <w:t>4.2.</w:t>
        </w:r>
        <w:r w:rsidR="0063673F">
          <w:rPr>
            <w:rFonts w:asciiTheme="minorHAnsi" w:hAnsiTheme="minorHAnsi"/>
            <w:sz w:val="22"/>
          </w:rPr>
          <w:tab/>
        </w:r>
        <w:r w:rsidR="0063673F" w:rsidRPr="00674F7D">
          <w:rPr>
            <w:rStyle w:val="Hyperlink"/>
          </w:rPr>
          <w:t>Registration of providers</w:t>
        </w:r>
        <w:r w:rsidR="0063673F">
          <w:rPr>
            <w:webHidden/>
          </w:rPr>
          <w:tab/>
        </w:r>
        <w:r w:rsidR="0063673F">
          <w:rPr>
            <w:webHidden/>
          </w:rPr>
          <w:fldChar w:fldCharType="begin"/>
        </w:r>
        <w:r w:rsidR="0063673F">
          <w:rPr>
            <w:webHidden/>
          </w:rPr>
          <w:instrText xml:space="preserve"> PAGEREF _Toc447450402 \h </w:instrText>
        </w:r>
        <w:r w:rsidR="0063673F">
          <w:rPr>
            <w:webHidden/>
          </w:rPr>
        </w:r>
        <w:r w:rsidR="0063673F">
          <w:rPr>
            <w:webHidden/>
          </w:rPr>
          <w:fldChar w:fldCharType="separate"/>
        </w:r>
        <w:r w:rsidR="00607084">
          <w:rPr>
            <w:webHidden/>
          </w:rPr>
          <w:t>28</w:t>
        </w:r>
        <w:r w:rsidR="0063673F">
          <w:rPr>
            <w:webHidden/>
          </w:rPr>
          <w:fldChar w:fldCharType="end"/>
        </w:r>
      </w:hyperlink>
    </w:p>
    <w:p w14:paraId="5D6B8E06" w14:textId="77777777" w:rsidR="0063673F" w:rsidRDefault="008422A9">
      <w:pPr>
        <w:pStyle w:val="TOC3"/>
        <w:rPr>
          <w:rFonts w:asciiTheme="minorHAnsi" w:hAnsiTheme="minorHAnsi"/>
          <w:sz w:val="22"/>
        </w:rPr>
      </w:pPr>
      <w:hyperlink w:anchor="_Toc447450403" w:history="1">
        <w:r w:rsidR="0063673F" w:rsidRPr="00674F7D">
          <w:rPr>
            <w:rStyle w:val="Hyperlink"/>
            <w14:scene3d>
              <w14:camera w14:prst="orthographicFront"/>
              <w14:lightRig w14:rig="threePt" w14:dir="t">
                <w14:rot w14:lat="0" w14:lon="0" w14:rev="0"/>
              </w14:lightRig>
            </w14:scene3d>
          </w:rPr>
          <w:t>4.3.</w:t>
        </w:r>
        <w:r w:rsidR="0063673F">
          <w:rPr>
            <w:rFonts w:asciiTheme="minorHAnsi" w:hAnsiTheme="minorHAnsi"/>
            <w:sz w:val="22"/>
          </w:rPr>
          <w:tab/>
        </w:r>
        <w:r w:rsidR="0063673F" w:rsidRPr="00674F7D">
          <w:rPr>
            <w:rStyle w:val="Hyperlink"/>
          </w:rPr>
          <w:t>Registration of dwellings</w:t>
        </w:r>
        <w:r w:rsidR="0063673F">
          <w:rPr>
            <w:webHidden/>
          </w:rPr>
          <w:tab/>
        </w:r>
        <w:r w:rsidR="0063673F">
          <w:rPr>
            <w:webHidden/>
          </w:rPr>
          <w:fldChar w:fldCharType="begin"/>
        </w:r>
        <w:r w:rsidR="0063673F">
          <w:rPr>
            <w:webHidden/>
          </w:rPr>
          <w:instrText xml:space="preserve"> PAGEREF _Toc447450403 \h </w:instrText>
        </w:r>
        <w:r w:rsidR="0063673F">
          <w:rPr>
            <w:webHidden/>
          </w:rPr>
        </w:r>
        <w:r w:rsidR="0063673F">
          <w:rPr>
            <w:webHidden/>
          </w:rPr>
          <w:fldChar w:fldCharType="separate"/>
        </w:r>
        <w:r w:rsidR="00607084">
          <w:rPr>
            <w:webHidden/>
          </w:rPr>
          <w:t>29</w:t>
        </w:r>
        <w:r w:rsidR="0063673F">
          <w:rPr>
            <w:webHidden/>
          </w:rPr>
          <w:fldChar w:fldCharType="end"/>
        </w:r>
      </w:hyperlink>
    </w:p>
    <w:p w14:paraId="02347737" w14:textId="77777777" w:rsidR="0063673F" w:rsidRDefault="008422A9">
      <w:pPr>
        <w:pStyle w:val="TOC3"/>
        <w:rPr>
          <w:rFonts w:asciiTheme="minorHAnsi" w:hAnsiTheme="minorHAnsi"/>
          <w:sz w:val="22"/>
        </w:rPr>
      </w:pPr>
      <w:hyperlink w:anchor="_Toc447450404" w:history="1">
        <w:r w:rsidR="0063673F" w:rsidRPr="00674F7D">
          <w:rPr>
            <w:rStyle w:val="Hyperlink"/>
            <w14:scene3d>
              <w14:camera w14:prst="orthographicFront"/>
              <w14:lightRig w14:rig="threePt" w14:dir="t">
                <w14:rot w14:lat="0" w14:lon="0" w14:rev="0"/>
              </w14:lightRig>
            </w14:scene3d>
          </w:rPr>
          <w:t>4.4.</w:t>
        </w:r>
        <w:r w:rsidR="0063673F">
          <w:rPr>
            <w:rFonts w:asciiTheme="minorHAnsi" w:hAnsiTheme="minorHAnsi"/>
            <w:sz w:val="22"/>
          </w:rPr>
          <w:tab/>
        </w:r>
        <w:r w:rsidR="0063673F" w:rsidRPr="00674F7D">
          <w:rPr>
            <w:rStyle w:val="Hyperlink"/>
          </w:rPr>
          <w:t>Quality and safeguarding</w:t>
        </w:r>
        <w:r w:rsidR="0063673F">
          <w:rPr>
            <w:webHidden/>
          </w:rPr>
          <w:tab/>
        </w:r>
        <w:r w:rsidR="0063673F">
          <w:rPr>
            <w:webHidden/>
          </w:rPr>
          <w:fldChar w:fldCharType="begin"/>
        </w:r>
        <w:r w:rsidR="0063673F">
          <w:rPr>
            <w:webHidden/>
          </w:rPr>
          <w:instrText xml:space="preserve"> PAGEREF _Toc447450404 \h </w:instrText>
        </w:r>
        <w:r w:rsidR="0063673F">
          <w:rPr>
            <w:webHidden/>
          </w:rPr>
        </w:r>
        <w:r w:rsidR="0063673F">
          <w:rPr>
            <w:webHidden/>
          </w:rPr>
          <w:fldChar w:fldCharType="separate"/>
        </w:r>
        <w:r w:rsidR="00607084">
          <w:rPr>
            <w:webHidden/>
          </w:rPr>
          <w:t>30</w:t>
        </w:r>
        <w:r w:rsidR="0063673F">
          <w:rPr>
            <w:webHidden/>
          </w:rPr>
          <w:fldChar w:fldCharType="end"/>
        </w:r>
      </w:hyperlink>
    </w:p>
    <w:p w14:paraId="31CE3633" w14:textId="77777777" w:rsidR="0063673F" w:rsidRDefault="008422A9">
      <w:pPr>
        <w:pStyle w:val="TOC3"/>
        <w:rPr>
          <w:rFonts w:asciiTheme="minorHAnsi" w:hAnsiTheme="minorHAnsi"/>
          <w:sz w:val="22"/>
        </w:rPr>
      </w:pPr>
      <w:hyperlink w:anchor="_Toc447450405" w:history="1">
        <w:r w:rsidR="0063673F" w:rsidRPr="00674F7D">
          <w:rPr>
            <w:rStyle w:val="Hyperlink"/>
            <w14:scene3d>
              <w14:camera w14:prst="orthographicFront"/>
              <w14:lightRig w14:rig="threePt" w14:dir="t">
                <w14:rot w14:lat="0" w14:lon="0" w14:rev="0"/>
              </w14:lightRig>
            </w14:scene3d>
          </w:rPr>
          <w:t>4.5.</w:t>
        </w:r>
        <w:r w:rsidR="0063673F">
          <w:rPr>
            <w:rFonts w:asciiTheme="minorHAnsi" w:hAnsiTheme="minorHAnsi"/>
            <w:sz w:val="22"/>
          </w:rPr>
          <w:tab/>
        </w:r>
        <w:r w:rsidR="0063673F" w:rsidRPr="00674F7D">
          <w:rPr>
            <w:rStyle w:val="Hyperlink"/>
          </w:rPr>
          <w:t>Implementation considerations</w:t>
        </w:r>
        <w:r w:rsidR="0063673F">
          <w:rPr>
            <w:webHidden/>
          </w:rPr>
          <w:tab/>
        </w:r>
        <w:r w:rsidR="0063673F">
          <w:rPr>
            <w:webHidden/>
          </w:rPr>
          <w:fldChar w:fldCharType="begin"/>
        </w:r>
        <w:r w:rsidR="0063673F">
          <w:rPr>
            <w:webHidden/>
          </w:rPr>
          <w:instrText xml:space="preserve"> PAGEREF _Toc447450405 \h </w:instrText>
        </w:r>
        <w:r w:rsidR="0063673F">
          <w:rPr>
            <w:webHidden/>
          </w:rPr>
        </w:r>
        <w:r w:rsidR="0063673F">
          <w:rPr>
            <w:webHidden/>
          </w:rPr>
          <w:fldChar w:fldCharType="separate"/>
        </w:r>
        <w:r w:rsidR="00607084">
          <w:rPr>
            <w:webHidden/>
          </w:rPr>
          <w:t>31</w:t>
        </w:r>
        <w:r w:rsidR="0063673F">
          <w:rPr>
            <w:webHidden/>
          </w:rPr>
          <w:fldChar w:fldCharType="end"/>
        </w:r>
      </w:hyperlink>
    </w:p>
    <w:p w14:paraId="4F02055D" w14:textId="77777777" w:rsidR="0063673F" w:rsidRDefault="008422A9">
      <w:pPr>
        <w:pStyle w:val="TOC2"/>
        <w:rPr>
          <w:rFonts w:asciiTheme="minorHAnsi" w:hAnsiTheme="minorHAnsi"/>
          <w:b w:val="0"/>
          <w:noProof/>
          <w:sz w:val="22"/>
          <w:szCs w:val="22"/>
          <w:lang w:val="en-AU" w:eastAsia="en-AU"/>
        </w:rPr>
      </w:pPr>
      <w:hyperlink w:anchor="_Toc447450406" w:history="1">
        <w:r w:rsidR="0063673F" w:rsidRPr="00674F7D">
          <w:rPr>
            <w:rStyle w:val="Hyperlink"/>
            <w:noProof/>
          </w:rPr>
          <w:t>5.</w:t>
        </w:r>
        <w:r w:rsidR="0063673F">
          <w:rPr>
            <w:rFonts w:asciiTheme="minorHAnsi" w:hAnsiTheme="minorHAnsi"/>
            <w:b w:val="0"/>
            <w:noProof/>
            <w:sz w:val="22"/>
            <w:szCs w:val="22"/>
            <w:lang w:val="en-AU" w:eastAsia="en-AU"/>
          </w:rPr>
          <w:tab/>
        </w:r>
        <w:r w:rsidR="0063673F" w:rsidRPr="00674F7D">
          <w:rPr>
            <w:rStyle w:val="Hyperlink"/>
            <w:noProof/>
          </w:rPr>
          <w:t>Appendices</w:t>
        </w:r>
        <w:r w:rsidR="0063673F">
          <w:rPr>
            <w:noProof/>
            <w:webHidden/>
          </w:rPr>
          <w:tab/>
        </w:r>
        <w:r w:rsidR="0063673F">
          <w:rPr>
            <w:noProof/>
            <w:webHidden/>
          </w:rPr>
          <w:fldChar w:fldCharType="begin"/>
        </w:r>
        <w:r w:rsidR="0063673F">
          <w:rPr>
            <w:noProof/>
            <w:webHidden/>
          </w:rPr>
          <w:instrText xml:space="preserve"> PAGEREF _Toc447450406 \h </w:instrText>
        </w:r>
        <w:r w:rsidR="0063673F">
          <w:rPr>
            <w:noProof/>
            <w:webHidden/>
          </w:rPr>
        </w:r>
        <w:r w:rsidR="0063673F">
          <w:rPr>
            <w:noProof/>
            <w:webHidden/>
          </w:rPr>
          <w:fldChar w:fldCharType="separate"/>
        </w:r>
        <w:r w:rsidR="00607084">
          <w:rPr>
            <w:noProof/>
            <w:webHidden/>
          </w:rPr>
          <w:t>32</w:t>
        </w:r>
        <w:r w:rsidR="0063673F">
          <w:rPr>
            <w:noProof/>
            <w:webHidden/>
          </w:rPr>
          <w:fldChar w:fldCharType="end"/>
        </w:r>
      </w:hyperlink>
    </w:p>
    <w:p w14:paraId="1B94B287" w14:textId="77777777" w:rsidR="0063673F" w:rsidRDefault="008422A9">
      <w:pPr>
        <w:pStyle w:val="TOC3"/>
        <w:rPr>
          <w:rFonts w:asciiTheme="minorHAnsi" w:hAnsiTheme="minorHAnsi"/>
          <w:sz w:val="22"/>
        </w:rPr>
      </w:pPr>
      <w:hyperlink w:anchor="_Toc447450407" w:history="1">
        <w:r w:rsidR="0063673F" w:rsidRPr="00674F7D">
          <w:rPr>
            <w:rStyle w:val="Hyperlink"/>
            <w14:scene3d>
              <w14:camera w14:prst="orthographicFront"/>
              <w14:lightRig w14:rig="threePt" w14:dir="t">
                <w14:rot w14:lat="0" w14:lon="0" w14:rev="0"/>
              </w14:lightRig>
            </w14:scene3d>
          </w:rPr>
          <w:t>5.1.</w:t>
        </w:r>
        <w:r w:rsidR="0063673F">
          <w:rPr>
            <w:rFonts w:asciiTheme="minorHAnsi" w:hAnsiTheme="minorHAnsi"/>
            <w:sz w:val="22"/>
          </w:rPr>
          <w:tab/>
        </w:r>
        <w:r w:rsidR="0063673F" w:rsidRPr="00674F7D">
          <w:rPr>
            <w:rStyle w:val="Hyperlink"/>
          </w:rPr>
          <w:t>Appendix A: SDA Pricing and Payments Framework</w:t>
        </w:r>
        <w:r w:rsidR="0063673F">
          <w:rPr>
            <w:webHidden/>
          </w:rPr>
          <w:tab/>
        </w:r>
        <w:r w:rsidR="0063673F">
          <w:rPr>
            <w:webHidden/>
          </w:rPr>
          <w:fldChar w:fldCharType="begin"/>
        </w:r>
        <w:r w:rsidR="0063673F">
          <w:rPr>
            <w:webHidden/>
          </w:rPr>
          <w:instrText xml:space="preserve"> PAGEREF _Toc447450407 \h </w:instrText>
        </w:r>
        <w:r w:rsidR="0063673F">
          <w:rPr>
            <w:webHidden/>
          </w:rPr>
        </w:r>
        <w:r w:rsidR="0063673F">
          <w:rPr>
            <w:webHidden/>
          </w:rPr>
          <w:fldChar w:fldCharType="separate"/>
        </w:r>
        <w:r w:rsidR="00607084">
          <w:rPr>
            <w:webHidden/>
          </w:rPr>
          <w:t>32</w:t>
        </w:r>
        <w:r w:rsidR="0063673F">
          <w:rPr>
            <w:webHidden/>
          </w:rPr>
          <w:fldChar w:fldCharType="end"/>
        </w:r>
      </w:hyperlink>
    </w:p>
    <w:p w14:paraId="309FBF9C" w14:textId="77777777" w:rsidR="0063673F" w:rsidRDefault="008422A9">
      <w:pPr>
        <w:pStyle w:val="TOC3"/>
        <w:rPr>
          <w:rFonts w:asciiTheme="minorHAnsi" w:hAnsiTheme="minorHAnsi"/>
          <w:sz w:val="22"/>
        </w:rPr>
      </w:pPr>
      <w:hyperlink w:anchor="_Toc447450440" w:history="1">
        <w:r w:rsidR="0063673F" w:rsidRPr="00674F7D">
          <w:rPr>
            <w:rStyle w:val="Hyperlink"/>
          </w:rPr>
          <w:t>5.2</w:t>
        </w:r>
        <w:r w:rsidR="0063673F">
          <w:rPr>
            <w:rFonts w:asciiTheme="minorHAnsi" w:hAnsiTheme="minorHAnsi"/>
            <w:sz w:val="22"/>
          </w:rPr>
          <w:tab/>
        </w:r>
        <w:r w:rsidR="0063673F" w:rsidRPr="00674F7D">
          <w:rPr>
            <w:rStyle w:val="Hyperlink"/>
          </w:rPr>
          <w:t>Appendix B: Building Specifications for SDA design categories</w:t>
        </w:r>
        <w:r w:rsidR="0063673F">
          <w:rPr>
            <w:webHidden/>
          </w:rPr>
          <w:tab/>
        </w:r>
        <w:r w:rsidR="0063673F">
          <w:rPr>
            <w:webHidden/>
          </w:rPr>
          <w:fldChar w:fldCharType="begin"/>
        </w:r>
        <w:r w:rsidR="0063673F">
          <w:rPr>
            <w:webHidden/>
          </w:rPr>
          <w:instrText xml:space="preserve"> PAGEREF _Toc447450440 \h </w:instrText>
        </w:r>
        <w:r w:rsidR="0063673F">
          <w:rPr>
            <w:webHidden/>
          </w:rPr>
        </w:r>
        <w:r w:rsidR="0063673F">
          <w:rPr>
            <w:webHidden/>
          </w:rPr>
          <w:fldChar w:fldCharType="separate"/>
        </w:r>
        <w:r w:rsidR="00607084">
          <w:rPr>
            <w:webHidden/>
          </w:rPr>
          <w:t>46</w:t>
        </w:r>
        <w:r w:rsidR="0063673F">
          <w:rPr>
            <w:webHidden/>
          </w:rPr>
          <w:fldChar w:fldCharType="end"/>
        </w:r>
      </w:hyperlink>
    </w:p>
    <w:p w14:paraId="5A84F3CB" w14:textId="77777777" w:rsidR="0063673F" w:rsidRDefault="008422A9">
      <w:pPr>
        <w:pStyle w:val="TOC3"/>
        <w:rPr>
          <w:rFonts w:asciiTheme="minorHAnsi" w:hAnsiTheme="minorHAnsi"/>
          <w:sz w:val="22"/>
        </w:rPr>
      </w:pPr>
      <w:hyperlink w:anchor="_Toc447450450" w:history="1">
        <w:r w:rsidR="0063673F" w:rsidRPr="00674F7D">
          <w:rPr>
            <w:rStyle w:val="Hyperlink"/>
          </w:rPr>
          <w:t>5.3</w:t>
        </w:r>
        <w:r w:rsidR="0063673F">
          <w:rPr>
            <w:rFonts w:asciiTheme="minorHAnsi" w:hAnsiTheme="minorHAnsi"/>
            <w:sz w:val="22"/>
          </w:rPr>
          <w:tab/>
        </w:r>
        <w:r w:rsidR="0063673F" w:rsidRPr="00674F7D">
          <w:rPr>
            <w:rStyle w:val="Hyperlink"/>
          </w:rPr>
          <w:t>Appendix C: Location Factors</w:t>
        </w:r>
        <w:r w:rsidR="0063673F">
          <w:rPr>
            <w:webHidden/>
          </w:rPr>
          <w:tab/>
        </w:r>
        <w:r w:rsidR="0063673F">
          <w:rPr>
            <w:webHidden/>
          </w:rPr>
          <w:fldChar w:fldCharType="begin"/>
        </w:r>
        <w:r w:rsidR="0063673F">
          <w:rPr>
            <w:webHidden/>
          </w:rPr>
          <w:instrText xml:space="preserve"> PAGEREF _Toc447450450 \h </w:instrText>
        </w:r>
        <w:r w:rsidR="0063673F">
          <w:rPr>
            <w:webHidden/>
          </w:rPr>
        </w:r>
        <w:r w:rsidR="0063673F">
          <w:rPr>
            <w:webHidden/>
          </w:rPr>
          <w:fldChar w:fldCharType="separate"/>
        </w:r>
        <w:r w:rsidR="00607084">
          <w:rPr>
            <w:webHidden/>
          </w:rPr>
          <w:t>64</w:t>
        </w:r>
        <w:r w:rsidR="0063673F">
          <w:rPr>
            <w:webHidden/>
          </w:rPr>
          <w:fldChar w:fldCharType="end"/>
        </w:r>
      </w:hyperlink>
    </w:p>
    <w:p w14:paraId="411A43D2" w14:textId="78A3F43D" w:rsidR="004171D8" w:rsidRPr="00775553" w:rsidRDefault="0063673F" w:rsidP="00DD5A44">
      <w:pPr>
        <w:pStyle w:val="TOC2"/>
        <w:rPr>
          <w:rFonts w:asciiTheme="minorHAnsi" w:hAnsiTheme="minorHAnsi"/>
          <w:noProof/>
          <w:szCs w:val="22"/>
          <w:lang w:val="en-AU" w:eastAsia="en-AU"/>
        </w:rPr>
      </w:pPr>
      <w:r>
        <w:rPr>
          <w:b w:val="0"/>
          <w:lang w:val="en-AU"/>
        </w:rPr>
        <w:fldChar w:fldCharType="end"/>
      </w:r>
    </w:p>
    <w:p w14:paraId="411A43D3" w14:textId="77777777" w:rsidR="00484B08" w:rsidRDefault="00484B08" w:rsidP="00DD5A44">
      <w:pPr>
        <w:pStyle w:val="TOC2"/>
        <w:rPr>
          <w:lang w:val="en-AU"/>
        </w:rPr>
      </w:pPr>
    </w:p>
    <w:p w14:paraId="411A43D4" w14:textId="77777777" w:rsidR="00484B08" w:rsidRDefault="00484B08" w:rsidP="00DD5A44">
      <w:pPr>
        <w:pStyle w:val="TOC2"/>
        <w:rPr>
          <w:lang w:val="en-AU"/>
        </w:rPr>
      </w:pPr>
    </w:p>
    <w:p w14:paraId="411A43E1" w14:textId="77777777" w:rsidR="00484B08" w:rsidRDefault="00484B08" w:rsidP="00DD5A44">
      <w:pPr>
        <w:pStyle w:val="TOC2"/>
        <w:rPr>
          <w:lang w:val="en-AU"/>
        </w:rPr>
      </w:pPr>
    </w:p>
    <w:p w14:paraId="411A43E2" w14:textId="77777777" w:rsidR="00484B08" w:rsidRDefault="00484B08" w:rsidP="00DD5A44">
      <w:pPr>
        <w:pStyle w:val="TOC2"/>
        <w:rPr>
          <w:lang w:val="en-AU"/>
        </w:rPr>
      </w:pPr>
    </w:p>
    <w:p w14:paraId="411A43E3" w14:textId="77777777" w:rsidR="00484B08" w:rsidRDefault="00484B08" w:rsidP="00DD5A44">
      <w:pPr>
        <w:pStyle w:val="TOC2"/>
        <w:rPr>
          <w:lang w:val="en-AU"/>
        </w:rPr>
      </w:pPr>
    </w:p>
    <w:p w14:paraId="411A43E4" w14:textId="77777777" w:rsidR="00484B08" w:rsidRDefault="00484B08" w:rsidP="00DD5A44">
      <w:pPr>
        <w:pStyle w:val="TOC2"/>
        <w:rPr>
          <w:lang w:val="en-AU"/>
        </w:rPr>
      </w:pPr>
    </w:p>
    <w:p w14:paraId="411A43E5" w14:textId="77777777" w:rsidR="00484B08" w:rsidRDefault="00484B08" w:rsidP="00DD5A44">
      <w:pPr>
        <w:pStyle w:val="TOC2"/>
        <w:rPr>
          <w:lang w:val="en-AU"/>
        </w:rPr>
      </w:pPr>
    </w:p>
    <w:p w14:paraId="411A43E6" w14:textId="77777777" w:rsidR="00484B08" w:rsidRDefault="00484B08" w:rsidP="00DD5A44">
      <w:pPr>
        <w:pStyle w:val="TOC2"/>
        <w:rPr>
          <w:lang w:val="en-AU"/>
        </w:rPr>
      </w:pPr>
    </w:p>
    <w:p w14:paraId="411A43E7" w14:textId="77777777" w:rsidR="00484B08" w:rsidRDefault="00484B08" w:rsidP="00DD5A44">
      <w:pPr>
        <w:pStyle w:val="TOC2"/>
        <w:rPr>
          <w:lang w:val="en-AU"/>
        </w:rPr>
      </w:pPr>
    </w:p>
    <w:p w14:paraId="411A43E8" w14:textId="77777777" w:rsidR="00484B08" w:rsidRDefault="00484B08" w:rsidP="00DD5A44">
      <w:pPr>
        <w:pStyle w:val="TOC2"/>
        <w:rPr>
          <w:lang w:val="en-AU"/>
        </w:rPr>
      </w:pPr>
    </w:p>
    <w:p w14:paraId="411A43E9" w14:textId="77777777" w:rsidR="00484B08" w:rsidRDefault="00484B08" w:rsidP="00DD5A44">
      <w:pPr>
        <w:pStyle w:val="TOC2"/>
        <w:rPr>
          <w:lang w:val="en-AU"/>
        </w:rPr>
      </w:pPr>
    </w:p>
    <w:p w14:paraId="411A43EA" w14:textId="77777777" w:rsidR="00484B08" w:rsidRDefault="00484B08" w:rsidP="00DD5A44">
      <w:pPr>
        <w:pStyle w:val="TOC2"/>
        <w:rPr>
          <w:lang w:val="en-AU"/>
        </w:rPr>
      </w:pPr>
    </w:p>
    <w:p w14:paraId="411A43EB" w14:textId="77777777" w:rsidR="00484B08" w:rsidRDefault="00484B08" w:rsidP="00DD5A44">
      <w:pPr>
        <w:pStyle w:val="TOC2"/>
        <w:rPr>
          <w:lang w:val="en-AU"/>
        </w:rPr>
      </w:pPr>
    </w:p>
    <w:p w14:paraId="411A43EC" w14:textId="77777777" w:rsidR="00484B08" w:rsidRDefault="00484B08" w:rsidP="00DD5A44">
      <w:pPr>
        <w:pStyle w:val="TOC2"/>
        <w:rPr>
          <w:lang w:val="en-AU"/>
        </w:rPr>
      </w:pPr>
    </w:p>
    <w:p w14:paraId="411A43ED" w14:textId="77777777" w:rsidR="00484B08" w:rsidRDefault="00484B08" w:rsidP="00DD5A44">
      <w:pPr>
        <w:pStyle w:val="TOC2"/>
        <w:rPr>
          <w:lang w:val="en-AU"/>
        </w:rPr>
      </w:pPr>
    </w:p>
    <w:p w14:paraId="411A43EE" w14:textId="77777777" w:rsidR="00484B08" w:rsidRDefault="00484B08" w:rsidP="00DD5A44">
      <w:pPr>
        <w:pStyle w:val="TOC2"/>
        <w:rPr>
          <w:lang w:val="en-AU"/>
        </w:rPr>
      </w:pPr>
    </w:p>
    <w:p w14:paraId="411A43F8" w14:textId="77777777" w:rsidR="00775553" w:rsidRDefault="00775553" w:rsidP="00775553">
      <w:pPr>
        <w:rPr>
          <w:lang w:val="en-AU"/>
        </w:rPr>
      </w:pPr>
    </w:p>
    <w:p w14:paraId="411A43F9" w14:textId="77777777" w:rsidR="00775553" w:rsidRDefault="00775553" w:rsidP="00775553">
      <w:pPr>
        <w:rPr>
          <w:lang w:val="en-AU"/>
        </w:rPr>
      </w:pPr>
    </w:p>
    <w:p w14:paraId="411A43FA" w14:textId="77777777" w:rsidR="00775553" w:rsidRDefault="00775553" w:rsidP="00775553">
      <w:pPr>
        <w:rPr>
          <w:lang w:val="en-AU"/>
        </w:rPr>
      </w:pPr>
    </w:p>
    <w:p w14:paraId="411A43FB" w14:textId="77777777" w:rsidR="00775553" w:rsidRDefault="00775553" w:rsidP="00775553">
      <w:pPr>
        <w:rPr>
          <w:lang w:val="en-AU"/>
        </w:rPr>
      </w:pPr>
    </w:p>
    <w:p w14:paraId="411A43FC" w14:textId="77777777" w:rsidR="00775553" w:rsidRDefault="00775553" w:rsidP="00775553">
      <w:pPr>
        <w:rPr>
          <w:lang w:val="en-AU"/>
        </w:rPr>
      </w:pPr>
    </w:p>
    <w:p w14:paraId="411A4403" w14:textId="77777777" w:rsidR="00775553" w:rsidRDefault="00775553" w:rsidP="00775553">
      <w:pPr>
        <w:rPr>
          <w:lang w:val="en-AU"/>
        </w:rPr>
      </w:pPr>
    </w:p>
    <w:p w14:paraId="415995E9" w14:textId="77777777" w:rsidR="0063673F" w:rsidRPr="00775553" w:rsidRDefault="0063673F" w:rsidP="00775553">
      <w:pPr>
        <w:rPr>
          <w:lang w:val="en-AU"/>
        </w:rPr>
      </w:pPr>
    </w:p>
    <w:p w14:paraId="411A4404" w14:textId="77777777" w:rsidR="00484B08" w:rsidRDefault="00484B08" w:rsidP="00DD5A44">
      <w:pPr>
        <w:pStyle w:val="TOC2"/>
        <w:rPr>
          <w:lang w:val="en-AU"/>
        </w:rPr>
      </w:pPr>
    </w:p>
    <w:p w14:paraId="411A4405" w14:textId="77777777" w:rsidR="004A2EAC" w:rsidRPr="00A95BCA" w:rsidRDefault="004A2EAC" w:rsidP="00DD5A44">
      <w:pPr>
        <w:pStyle w:val="TOC2"/>
        <w:rPr>
          <w:lang w:val="en-AU"/>
        </w:rPr>
      </w:pPr>
      <w:r w:rsidRPr="00A95BCA">
        <w:rPr>
          <w:lang w:val="en-AU"/>
        </w:rPr>
        <w:t>Disclaimer</w:t>
      </w:r>
    </w:p>
    <w:p w14:paraId="411A4406" w14:textId="77777777" w:rsidR="00217054" w:rsidRPr="00A95BCA" w:rsidRDefault="004A2EAC" w:rsidP="00217054">
      <w:pPr>
        <w:pStyle w:val="BodyText1"/>
        <w:rPr>
          <w:sz w:val="20"/>
          <w:lang w:val="en-AU"/>
        </w:rPr>
      </w:pPr>
      <w:r w:rsidRPr="00A95BCA">
        <w:rPr>
          <w:sz w:val="20"/>
          <w:lang w:val="en-AU"/>
        </w:rPr>
        <w:t xml:space="preserve">This document is provided for </w:t>
      </w:r>
      <w:r w:rsidR="00484B08">
        <w:rPr>
          <w:sz w:val="20"/>
          <w:lang w:val="en-AU"/>
        </w:rPr>
        <w:t>information</w:t>
      </w:r>
      <w:r w:rsidRPr="00A95BCA">
        <w:rPr>
          <w:sz w:val="20"/>
          <w:lang w:val="en-AU"/>
        </w:rPr>
        <w:t xml:space="preserve"> and to seek feedback.  The Commonwealth and the National Disability Insurance Agency have no liability to any person for any loss, damage, cost or expense suffered as a result of any use of or reliance on any of the information.  The information in this document may change, is not advice</w:t>
      </w:r>
      <w:r w:rsidR="00906F2A" w:rsidRPr="00A95BCA">
        <w:rPr>
          <w:sz w:val="20"/>
          <w:lang w:val="en-AU"/>
        </w:rPr>
        <w:t>,</w:t>
      </w:r>
      <w:r w:rsidRPr="00A95BCA">
        <w:rPr>
          <w:sz w:val="20"/>
          <w:lang w:val="en-AU"/>
        </w:rPr>
        <w:t xml:space="preserve"> and should not be relied upon for any action or failure to act. The Commonwealth and the National Disability Insurance Agency accept no responsibility for the accuracy or completeness of the material contained in this document.</w:t>
      </w:r>
      <w:r w:rsidR="00217054" w:rsidRPr="00A95BCA">
        <w:rPr>
          <w:sz w:val="20"/>
          <w:lang w:val="en-AU"/>
        </w:rPr>
        <w:t xml:space="preserve"> </w:t>
      </w:r>
    </w:p>
    <w:p w14:paraId="411A4407" w14:textId="77777777" w:rsidR="004802A3" w:rsidRPr="00E348A4" w:rsidRDefault="00302A64" w:rsidP="00906F2A">
      <w:pPr>
        <w:pStyle w:val="Heading2"/>
        <w:numPr>
          <w:ilvl w:val="0"/>
          <w:numId w:val="0"/>
        </w:numPr>
      </w:pPr>
      <w:r>
        <w:br w:type="page"/>
      </w:r>
      <w:bookmarkStart w:id="18" w:name="_Toc447447065"/>
      <w:bookmarkStart w:id="19" w:name="_Toc447450131"/>
      <w:bookmarkStart w:id="20" w:name="_Toc447450378"/>
      <w:r w:rsidR="00621474">
        <w:lastRenderedPageBreak/>
        <w:t>Foreword</w:t>
      </w:r>
      <w:bookmarkEnd w:id="18"/>
      <w:bookmarkEnd w:id="19"/>
      <w:bookmarkEnd w:id="20"/>
    </w:p>
    <w:p w14:paraId="411A4408" w14:textId="77777777" w:rsidR="00903CC1" w:rsidRDefault="00EC00BB" w:rsidP="001D02E2">
      <w:pPr>
        <w:pStyle w:val="BodyText1"/>
        <w:rPr>
          <w:lang w:val="en-AU"/>
        </w:rPr>
      </w:pPr>
      <w:r w:rsidRPr="00E348A4">
        <w:rPr>
          <w:lang w:val="en-AU"/>
        </w:rPr>
        <w:t>Specialist Disability Accommodation (</w:t>
      </w:r>
      <w:r w:rsidR="004802A3" w:rsidRPr="00E348A4">
        <w:rPr>
          <w:lang w:val="en-AU"/>
        </w:rPr>
        <w:t>SDA</w:t>
      </w:r>
      <w:r w:rsidRPr="00E348A4">
        <w:rPr>
          <w:lang w:val="en-AU"/>
        </w:rPr>
        <w:t xml:space="preserve">) </w:t>
      </w:r>
      <w:r w:rsidR="004802A3" w:rsidRPr="00E348A4">
        <w:rPr>
          <w:lang w:val="en-AU"/>
        </w:rPr>
        <w:t>refers to specialist designed housing</w:t>
      </w:r>
      <w:r w:rsidR="00C719CA">
        <w:rPr>
          <w:lang w:val="en-AU"/>
        </w:rPr>
        <w:t xml:space="preserve"> for those participants requiring integrated housing and supports, due to their </w:t>
      </w:r>
      <w:r w:rsidR="004802A3" w:rsidRPr="00E348A4">
        <w:rPr>
          <w:lang w:val="en-AU"/>
        </w:rPr>
        <w:t xml:space="preserve">significant functional </w:t>
      </w:r>
      <w:r w:rsidR="00C719CA">
        <w:rPr>
          <w:lang w:val="en-AU"/>
        </w:rPr>
        <w:t>impairment and/or complex needs.</w:t>
      </w:r>
      <w:r w:rsidR="00020C88">
        <w:rPr>
          <w:lang w:val="en-AU"/>
        </w:rPr>
        <w:t xml:space="preserve"> </w:t>
      </w:r>
    </w:p>
    <w:p w14:paraId="411A4409" w14:textId="77777777" w:rsidR="00FD329B" w:rsidRPr="00E348A4" w:rsidRDefault="00020C88" w:rsidP="001D02E2">
      <w:pPr>
        <w:pStyle w:val="BodyText1"/>
        <w:rPr>
          <w:lang w:val="en-AU"/>
        </w:rPr>
      </w:pPr>
      <w:r>
        <w:rPr>
          <w:lang w:val="en-AU"/>
        </w:rPr>
        <w:t>SDA refers only to specialist accommodation and is not intended to reflect the accommodation needs of people with disability for whom mainstream housing would be appropriate</w:t>
      </w:r>
      <w:r w:rsidR="00BE3667">
        <w:rPr>
          <w:lang w:val="en-AU"/>
        </w:rPr>
        <w:t>. T</w:t>
      </w:r>
      <w:r>
        <w:rPr>
          <w:lang w:val="en-AU"/>
        </w:rPr>
        <w:t xml:space="preserve">he </w:t>
      </w:r>
      <w:r w:rsidR="00906F2A">
        <w:rPr>
          <w:lang w:val="en-AU"/>
        </w:rPr>
        <w:t xml:space="preserve">National Disability Insurance </w:t>
      </w:r>
      <w:r>
        <w:rPr>
          <w:lang w:val="en-AU"/>
        </w:rPr>
        <w:t>Agency</w:t>
      </w:r>
      <w:r w:rsidR="004D4B94">
        <w:rPr>
          <w:lang w:val="en-AU"/>
        </w:rPr>
        <w:t xml:space="preserve"> (</w:t>
      </w:r>
      <w:r w:rsidR="00484B08">
        <w:rPr>
          <w:lang w:val="en-AU"/>
        </w:rPr>
        <w:t xml:space="preserve">NDIA; </w:t>
      </w:r>
      <w:r w:rsidR="004D4B94">
        <w:rPr>
          <w:lang w:val="en-AU"/>
        </w:rPr>
        <w:t>Agency</w:t>
      </w:r>
      <w:r w:rsidR="00906F2A">
        <w:rPr>
          <w:lang w:val="en-AU"/>
        </w:rPr>
        <w:t>)</w:t>
      </w:r>
      <w:r>
        <w:rPr>
          <w:lang w:val="en-AU"/>
        </w:rPr>
        <w:t xml:space="preserve"> will continue to work with other agencies and departments with housing responsibilities to stimulate accessible and affordable housing options</w:t>
      </w:r>
      <w:r w:rsidR="00621474">
        <w:rPr>
          <w:lang w:val="en-AU"/>
        </w:rPr>
        <w:t>.</w:t>
      </w:r>
    </w:p>
    <w:p w14:paraId="411A440A" w14:textId="2A81EF64" w:rsidR="007E2E21" w:rsidRPr="00E348A4" w:rsidRDefault="00EC00BB" w:rsidP="001D02E2">
      <w:pPr>
        <w:pStyle w:val="BodyText1"/>
        <w:rPr>
          <w:lang w:val="en-AU"/>
        </w:rPr>
      </w:pPr>
      <w:r w:rsidRPr="00E348A4">
        <w:rPr>
          <w:lang w:val="en-AU"/>
        </w:rPr>
        <w:t>Historically</w:t>
      </w:r>
      <w:r w:rsidR="00020C88">
        <w:rPr>
          <w:lang w:val="en-AU"/>
        </w:rPr>
        <w:t>, SDA has been</w:t>
      </w:r>
      <w:r w:rsidRPr="00E348A4">
        <w:rPr>
          <w:lang w:val="en-AU"/>
        </w:rPr>
        <w:t xml:space="preserve"> delivered primarily by State and Territory </w:t>
      </w:r>
      <w:r w:rsidR="002352E1">
        <w:rPr>
          <w:lang w:val="en-AU"/>
        </w:rPr>
        <w:t>g</w:t>
      </w:r>
      <w:r w:rsidRPr="00E348A4">
        <w:rPr>
          <w:lang w:val="en-AU"/>
        </w:rPr>
        <w:t>overnments</w:t>
      </w:r>
      <w:r w:rsidR="002352E1">
        <w:rPr>
          <w:lang w:val="en-AU"/>
        </w:rPr>
        <w:t xml:space="preserve"> (hereafter ‘States’)</w:t>
      </w:r>
      <w:r w:rsidR="00020C88">
        <w:rPr>
          <w:lang w:val="en-AU"/>
        </w:rPr>
        <w:t>.</w:t>
      </w:r>
      <w:r w:rsidRPr="00E348A4">
        <w:rPr>
          <w:lang w:val="en-AU"/>
        </w:rPr>
        <w:t xml:space="preserve"> </w:t>
      </w:r>
      <w:r w:rsidR="00020C88">
        <w:rPr>
          <w:lang w:val="en-AU"/>
        </w:rPr>
        <w:t>T</w:t>
      </w:r>
      <w:r w:rsidRPr="00E348A4">
        <w:rPr>
          <w:lang w:val="en-AU"/>
        </w:rPr>
        <w:t xml:space="preserve">he responsibility for funding SDA is </w:t>
      </w:r>
      <w:r w:rsidR="00020C88">
        <w:rPr>
          <w:lang w:val="en-AU"/>
        </w:rPr>
        <w:t xml:space="preserve">now </w:t>
      </w:r>
      <w:r w:rsidRPr="00E348A4">
        <w:rPr>
          <w:lang w:val="en-AU"/>
        </w:rPr>
        <w:t>transitioning to the National Disability Insurance Scheme (NDIS</w:t>
      </w:r>
      <w:r w:rsidR="00906F2A">
        <w:rPr>
          <w:lang w:val="en-AU"/>
        </w:rPr>
        <w:t>; Scheme</w:t>
      </w:r>
      <w:r w:rsidRPr="00E348A4">
        <w:rPr>
          <w:lang w:val="en-AU"/>
        </w:rPr>
        <w:t xml:space="preserve">). </w:t>
      </w:r>
      <w:r w:rsidR="007E2E21" w:rsidRPr="00E348A4">
        <w:rPr>
          <w:lang w:val="en-AU"/>
        </w:rPr>
        <w:t>Like all parts</w:t>
      </w:r>
      <w:r w:rsidRPr="00E348A4">
        <w:rPr>
          <w:lang w:val="en-AU"/>
        </w:rPr>
        <w:t xml:space="preserve"> of the Scheme, the </w:t>
      </w:r>
      <w:r w:rsidR="0002637E">
        <w:rPr>
          <w:lang w:val="en-AU"/>
        </w:rPr>
        <w:t>SDA payments approach</w:t>
      </w:r>
      <w:r w:rsidRPr="00E348A4">
        <w:rPr>
          <w:lang w:val="en-AU"/>
        </w:rPr>
        <w:t xml:space="preserve"> </w:t>
      </w:r>
      <w:r w:rsidR="0002637E">
        <w:rPr>
          <w:lang w:val="en-AU"/>
        </w:rPr>
        <w:t>seeks</w:t>
      </w:r>
      <w:r w:rsidRPr="00E348A4">
        <w:rPr>
          <w:lang w:val="en-AU"/>
        </w:rPr>
        <w:t xml:space="preserve"> to bring greater choice and control for people with disabilities in relation to their</w:t>
      </w:r>
      <w:r w:rsidR="00621474">
        <w:rPr>
          <w:lang w:val="en-AU"/>
        </w:rPr>
        <w:t xml:space="preserve"> need for</w:t>
      </w:r>
      <w:r w:rsidRPr="00E348A4">
        <w:rPr>
          <w:lang w:val="en-AU"/>
        </w:rPr>
        <w:t xml:space="preserve"> reasonable and necessary housing </w:t>
      </w:r>
      <w:r w:rsidR="00621474">
        <w:rPr>
          <w:lang w:val="en-AU"/>
        </w:rPr>
        <w:t>supports</w:t>
      </w:r>
      <w:r w:rsidR="007E2E21" w:rsidRPr="00E348A4">
        <w:rPr>
          <w:lang w:val="en-AU"/>
        </w:rPr>
        <w:t>.</w:t>
      </w:r>
      <w:r w:rsidRPr="00E348A4">
        <w:rPr>
          <w:lang w:val="en-AU"/>
        </w:rPr>
        <w:t xml:space="preserve"> </w:t>
      </w:r>
      <w:r w:rsidR="007E2E21" w:rsidRPr="00E348A4">
        <w:rPr>
          <w:lang w:val="en-AU"/>
        </w:rPr>
        <w:t>F</w:t>
      </w:r>
      <w:r w:rsidRPr="00E348A4">
        <w:rPr>
          <w:lang w:val="en-AU"/>
        </w:rPr>
        <w:t>or eligible participants</w:t>
      </w:r>
      <w:r w:rsidR="00906F2A">
        <w:rPr>
          <w:lang w:val="en-AU"/>
        </w:rPr>
        <w:t>,</w:t>
      </w:r>
      <w:r w:rsidRPr="00E348A4">
        <w:rPr>
          <w:lang w:val="en-AU"/>
        </w:rPr>
        <w:t xml:space="preserve"> SDA will be funded on a per-p</w:t>
      </w:r>
      <w:r w:rsidR="007E2E21" w:rsidRPr="00E348A4">
        <w:rPr>
          <w:lang w:val="en-AU"/>
        </w:rPr>
        <w:t>erson</w:t>
      </w:r>
      <w:r w:rsidRPr="00E348A4">
        <w:rPr>
          <w:lang w:val="en-AU"/>
        </w:rPr>
        <w:t xml:space="preserve"> basis and reflect the range of </w:t>
      </w:r>
      <w:r w:rsidR="007E2E21" w:rsidRPr="00E348A4">
        <w:rPr>
          <w:lang w:val="en-AU"/>
        </w:rPr>
        <w:t>different types</w:t>
      </w:r>
      <w:r w:rsidRPr="00E348A4">
        <w:rPr>
          <w:lang w:val="en-AU"/>
        </w:rPr>
        <w:t xml:space="preserve"> </w:t>
      </w:r>
      <w:r w:rsidR="007E2E21" w:rsidRPr="00E348A4">
        <w:rPr>
          <w:lang w:val="en-AU"/>
        </w:rPr>
        <w:t>of housing, the specific disability needs and other factors such as the age of the property and where it is located.</w:t>
      </w:r>
    </w:p>
    <w:p w14:paraId="411A440B" w14:textId="77777777" w:rsidR="00081988" w:rsidRDefault="007E2E21" w:rsidP="001D02E2">
      <w:pPr>
        <w:pStyle w:val="BodyText1"/>
        <w:rPr>
          <w:lang w:val="en-AU"/>
        </w:rPr>
      </w:pPr>
      <w:r w:rsidRPr="00E348A4">
        <w:rPr>
          <w:lang w:val="en-AU"/>
        </w:rPr>
        <w:t xml:space="preserve">The approach is also designed to </w:t>
      </w:r>
      <w:r w:rsidR="00621474">
        <w:rPr>
          <w:lang w:val="en-AU"/>
        </w:rPr>
        <w:t xml:space="preserve">enable a smooth transition of existing SDA stock, to </w:t>
      </w:r>
      <w:r w:rsidRPr="00E348A4">
        <w:rPr>
          <w:lang w:val="en-AU"/>
        </w:rPr>
        <w:t>improve the long term supply of</w:t>
      </w:r>
      <w:r w:rsidR="00621474">
        <w:rPr>
          <w:lang w:val="en-AU"/>
        </w:rPr>
        <w:t xml:space="preserve"> SDA</w:t>
      </w:r>
      <w:r w:rsidR="00906F2A">
        <w:rPr>
          <w:lang w:val="en-AU"/>
        </w:rPr>
        <w:t xml:space="preserve"> and</w:t>
      </w:r>
      <w:r w:rsidR="00621474">
        <w:rPr>
          <w:lang w:val="en-AU"/>
        </w:rPr>
        <w:t xml:space="preserve"> to incorporate provision for </w:t>
      </w:r>
      <w:r w:rsidRPr="00E348A4">
        <w:rPr>
          <w:lang w:val="en-AU"/>
        </w:rPr>
        <w:t>innovative hous</w:t>
      </w:r>
      <w:r w:rsidR="00621474">
        <w:rPr>
          <w:lang w:val="en-AU"/>
        </w:rPr>
        <w:t xml:space="preserve">ing solutions. This will contribute to greater choice and control </w:t>
      </w:r>
      <w:r w:rsidRPr="00E348A4">
        <w:rPr>
          <w:lang w:val="en-AU"/>
        </w:rPr>
        <w:t>within a commercial and sustainable framework.</w:t>
      </w:r>
      <w:r w:rsidR="00EC00BB" w:rsidRPr="00E348A4">
        <w:rPr>
          <w:lang w:val="en-AU"/>
        </w:rPr>
        <w:t xml:space="preserve"> </w:t>
      </w:r>
    </w:p>
    <w:p w14:paraId="411A440C" w14:textId="77777777" w:rsidR="004802A3" w:rsidRPr="00E348A4" w:rsidRDefault="00903CC1" w:rsidP="001D02E2">
      <w:pPr>
        <w:pStyle w:val="BodyText1"/>
        <w:rPr>
          <w:lang w:val="en-AU"/>
        </w:rPr>
      </w:pPr>
      <w:r>
        <w:rPr>
          <w:lang w:val="en-AU"/>
        </w:rPr>
        <w:t>T</w:t>
      </w:r>
      <w:r w:rsidR="002352E1">
        <w:rPr>
          <w:lang w:val="en-AU"/>
        </w:rPr>
        <w:t>he Council of Australian Governments’</w:t>
      </w:r>
      <w:r w:rsidR="004802A3" w:rsidRPr="00E348A4">
        <w:rPr>
          <w:lang w:val="en-AU"/>
        </w:rPr>
        <w:t xml:space="preserve"> Disability Reform Council</w:t>
      </w:r>
      <w:r w:rsidR="002352E1">
        <w:rPr>
          <w:lang w:val="en-AU"/>
        </w:rPr>
        <w:t xml:space="preserve"> endorsed the</w:t>
      </w:r>
      <w:r w:rsidR="004802A3" w:rsidRPr="00E2350A">
        <w:rPr>
          <w:lang w:val="en-AU"/>
        </w:rPr>
        <w:t xml:space="preserve"> Specialist Disability Accommodation Pricing and Payments Framework</w:t>
      </w:r>
      <w:r w:rsidR="007A6E09" w:rsidRPr="00E2350A">
        <w:rPr>
          <w:lang w:val="en-AU"/>
        </w:rPr>
        <w:t xml:space="preserve"> </w:t>
      </w:r>
      <w:r w:rsidR="007A6E09">
        <w:rPr>
          <w:lang w:val="en-AU"/>
        </w:rPr>
        <w:t>(the</w:t>
      </w:r>
      <w:r w:rsidR="002352E1">
        <w:rPr>
          <w:lang w:val="en-AU"/>
        </w:rPr>
        <w:t xml:space="preserve"> SDA</w:t>
      </w:r>
      <w:r w:rsidR="007A6E09">
        <w:rPr>
          <w:lang w:val="en-AU"/>
        </w:rPr>
        <w:t xml:space="preserve"> Framework</w:t>
      </w:r>
      <w:r w:rsidR="002352E1">
        <w:rPr>
          <w:lang w:val="en-AU"/>
        </w:rPr>
        <w:t>)</w:t>
      </w:r>
      <w:r w:rsidR="004802A3" w:rsidRPr="00E348A4">
        <w:rPr>
          <w:lang w:val="en-AU"/>
        </w:rPr>
        <w:t xml:space="preserve"> to guide the implementation of SDA supports as they trans</w:t>
      </w:r>
      <w:r w:rsidR="00906F2A">
        <w:rPr>
          <w:lang w:val="en-AU"/>
        </w:rPr>
        <w:t>ition from State g</w:t>
      </w:r>
      <w:r w:rsidR="004802A3" w:rsidRPr="00E348A4">
        <w:rPr>
          <w:lang w:val="en-AU"/>
        </w:rPr>
        <w:t>overnment jurisdiction into the NDIS</w:t>
      </w:r>
      <w:r w:rsidR="002352E1">
        <w:rPr>
          <w:lang w:val="en-AU"/>
        </w:rPr>
        <w:t xml:space="preserve"> (see Appendix A).</w:t>
      </w:r>
      <w:r>
        <w:rPr>
          <w:lang w:val="en-AU"/>
        </w:rPr>
        <w:t xml:space="preserve">  This </w:t>
      </w:r>
      <w:r w:rsidR="00484B08">
        <w:rPr>
          <w:lang w:val="en-AU"/>
        </w:rPr>
        <w:t>position</w:t>
      </w:r>
      <w:r>
        <w:rPr>
          <w:lang w:val="en-AU"/>
        </w:rPr>
        <w:t xml:space="preserve"> paper should be read in conjunction with that </w:t>
      </w:r>
      <w:r w:rsidR="00536843">
        <w:rPr>
          <w:lang w:val="en-AU"/>
        </w:rPr>
        <w:t>framework</w:t>
      </w:r>
      <w:r>
        <w:rPr>
          <w:lang w:val="en-AU"/>
        </w:rPr>
        <w:t>.</w:t>
      </w:r>
    </w:p>
    <w:p w14:paraId="411A440D" w14:textId="3E3AB8D3" w:rsidR="00486D8F" w:rsidRPr="00E348A4" w:rsidRDefault="0090584A" w:rsidP="001D02E2">
      <w:pPr>
        <w:pStyle w:val="BodyText1"/>
        <w:rPr>
          <w:lang w:val="en-AU"/>
        </w:rPr>
      </w:pPr>
      <w:r w:rsidRPr="00E348A4">
        <w:rPr>
          <w:lang w:val="en-AU"/>
        </w:rPr>
        <w:t>This paper sets out the NDIS benchmark pricing and payments approac</w:t>
      </w:r>
      <w:r w:rsidR="00BA6350">
        <w:rPr>
          <w:lang w:val="en-AU"/>
        </w:rPr>
        <w:t xml:space="preserve">h, </w:t>
      </w:r>
      <w:r w:rsidRPr="00E348A4">
        <w:rPr>
          <w:lang w:val="en-AU"/>
        </w:rPr>
        <w:t>operational processes</w:t>
      </w:r>
      <w:r w:rsidR="00BA6350">
        <w:rPr>
          <w:lang w:val="en-AU"/>
        </w:rPr>
        <w:t xml:space="preserve"> and administrative arrangements</w:t>
      </w:r>
      <w:r w:rsidRPr="00E348A4">
        <w:rPr>
          <w:lang w:val="en-AU"/>
        </w:rPr>
        <w:t xml:space="preserve"> for </w:t>
      </w:r>
      <w:r w:rsidR="00BA6350">
        <w:rPr>
          <w:lang w:val="en-AU"/>
        </w:rPr>
        <w:t>SDA</w:t>
      </w:r>
      <w:r w:rsidR="00081988">
        <w:rPr>
          <w:lang w:val="en-AU"/>
        </w:rPr>
        <w:t>, designed</w:t>
      </w:r>
      <w:r w:rsidRPr="00E348A4">
        <w:rPr>
          <w:lang w:val="en-AU"/>
        </w:rPr>
        <w:t xml:space="preserve"> in accordance with </w:t>
      </w:r>
      <w:r w:rsidR="007A6E09" w:rsidRPr="00E348A4">
        <w:rPr>
          <w:lang w:val="en-AU"/>
        </w:rPr>
        <w:t>th</w:t>
      </w:r>
      <w:r w:rsidR="007A6E09">
        <w:rPr>
          <w:lang w:val="en-AU"/>
        </w:rPr>
        <w:t>e</w:t>
      </w:r>
      <w:r w:rsidR="007A6E09" w:rsidRPr="00E348A4">
        <w:rPr>
          <w:lang w:val="en-AU"/>
        </w:rPr>
        <w:t xml:space="preserve"> </w:t>
      </w:r>
      <w:r w:rsidR="00A95BCA">
        <w:rPr>
          <w:lang w:val="en-AU"/>
        </w:rPr>
        <w:t>SDA</w:t>
      </w:r>
      <w:r w:rsidR="0089401B">
        <w:rPr>
          <w:lang w:val="en-AU"/>
        </w:rPr>
        <w:t xml:space="preserve"> </w:t>
      </w:r>
      <w:r w:rsidRPr="00E348A4">
        <w:rPr>
          <w:lang w:val="en-AU"/>
        </w:rPr>
        <w:t>Framework</w:t>
      </w:r>
      <w:r w:rsidR="007A6E09">
        <w:rPr>
          <w:lang w:val="en-AU"/>
        </w:rPr>
        <w:t>,</w:t>
      </w:r>
      <w:r w:rsidRPr="00E348A4">
        <w:rPr>
          <w:lang w:val="en-AU"/>
        </w:rPr>
        <w:t xml:space="preserve"> for the funding of the land and built elements of </w:t>
      </w:r>
      <w:r w:rsidR="00621474">
        <w:rPr>
          <w:lang w:val="en-AU"/>
        </w:rPr>
        <w:t xml:space="preserve">SDA </w:t>
      </w:r>
      <w:r w:rsidRPr="00E348A4">
        <w:rPr>
          <w:lang w:val="en-AU"/>
        </w:rPr>
        <w:t xml:space="preserve">under </w:t>
      </w:r>
      <w:r w:rsidR="00536843">
        <w:rPr>
          <w:lang w:val="en-AU"/>
        </w:rPr>
        <w:t xml:space="preserve">the </w:t>
      </w:r>
      <w:r w:rsidR="006D2FB2" w:rsidRPr="00E348A4">
        <w:rPr>
          <w:lang w:val="en-AU"/>
        </w:rPr>
        <w:t>NDIS</w:t>
      </w:r>
      <w:r w:rsidRPr="00E348A4">
        <w:rPr>
          <w:lang w:val="en-AU"/>
        </w:rPr>
        <w:t>.</w:t>
      </w:r>
    </w:p>
    <w:p w14:paraId="411A440E" w14:textId="77777777" w:rsidR="00DD0842" w:rsidRDefault="006D2FB2" w:rsidP="001D02E2">
      <w:pPr>
        <w:pStyle w:val="BodyText1"/>
        <w:rPr>
          <w:lang w:val="en-AU"/>
        </w:rPr>
      </w:pPr>
      <w:r w:rsidRPr="00E348A4">
        <w:rPr>
          <w:lang w:val="en-AU"/>
        </w:rPr>
        <w:t xml:space="preserve">As </w:t>
      </w:r>
      <w:r w:rsidR="007A6E09">
        <w:rPr>
          <w:lang w:val="en-AU"/>
        </w:rPr>
        <w:t>r</w:t>
      </w:r>
      <w:r w:rsidR="000E095E">
        <w:rPr>
          <w:lang w:val="en-AU"/>
        </w:rPr>
        <w:t>equired</w:t>
      </w:r>
      <w:r w:rsidR="00906F2A">
        <w:rPr>
          <w:lang w:val="en-AU"/>
        </w:rPr>
        <w:t xml:space="preserve"> by the </w:t>
      </w:r>
      <w:r w:rsidR="00536843">
        <w:rPr>
          <w:lang w:val="en-AU"/>
        </w:rPr>
        <w:t>c</w:t>
      </w:r>
      <w:r w:rsidR="00906F2A">
        <w:rPr>
          <w:lang w:val="en-AU"/>
        </w:rPr>
        <w:t>ouncil</w:t>
      </w:r>
      <w:r w:rsidR="000E095E">
        <w:rPr>
          <w:lang w:val="en-AU"/>
        </w:rPr>
        <w:t>,</w:t>
      </w:r>
      <w:r w:rsidR="007A6E09">
        <w:rPr>
          <w:lang w:val="en-AU"/>
        </w:rPr>
        <w:t xml:space="preserve"> and as </w:t>
      </w:r>
      <w:r w:rsidRPr="00E348A4">
        <w:rPr>
          <w:lang w:val="en-AU"/>
        </w:rPr>
        <w:t>part of developing this pricing and approach</w:t>
      </w:r>
      <w:r w:rsidR="00906F2A">
        <w:rPr>
          <w:lang w:val="en-AU"/>
        </w:rPr>
        <w:t>,</w:t>
      </w:r>
      <w:r w:rsidRPr="00E348A4">
        <w:rPr>
          <w:lang w:val="en-AU"/>
        </w:rPr>
        <w:t xml:space="preserve"> the </w:t>
      </w:r>
      <w:r w:rsidR="004D4B94">
        <w:rPr>
          <w:lang w:val="en-AU"/>
        </w:rPr>
        <w:t>Agency</w:t>
      </w:r>
      <w:r w:rsidRPr="00E348A4">
        <w:rPr>
          <w:lang w:val="en-AU"/>
        </w:rPr>
        <w:t xml:space="preserve"> has held public consultations</w:t>
      </w:r>
      <w:r w:rsidR="007A6E09">
        <w:rPr>
          <w:lang w:val="en-AU"/>
        </w:rPr>
        <w:t xml:space="preserve"> </w:t>
      </w:r>
      <w:r w:rsidRPr="00E348A4">
        <w:rPr>
          <w:lang w:val="en-AU"/>
        </w:rPr>
        <w:t>in all State</w:t>
      </w:r>
      <w:r w:rsidR="00906F2A">
        <w:rPr>
          <w:lang w:val="en-AU"/>
        </w:rPr>
        <w:t>s and Territories, and with all g</w:t>
      </w:r>
      <w:r w:rsidRPr="00E348A4">
        <w:rPr>
          <w:lang w:val="en-AU"/>
        </w:rPr>
        <w:t>overnments. Th</w:t>
      </w:r>
      <w:r w:rsidR="007A6E09">
        <w:rPr>
          <w:lang w:val="en-AU"/>
        </w:rPr>
        <w:t>ese consultations have</w:t>
      </w:r>
      <w:r w:rsidRPr="00E348A4">
        <w:rPr>
          <w:lang w:val="en-AU"/>
        </w:rPr>
        <w:t xml:space="preserve"> provided valuable input which has been incorporated into the design</w:t>
      </w:r>
      <w:r w:rsidR="00DD0842">
        <w:rPr>
          <w:lang w:val="en-AU"/>
        </w:rPr>
        <w:t>.</w:t>
      </w:r>
    </w:p>
    <w:p w14:paraId="411A440F" w14:textId="77777777" w:rsidR="0090584A" w:rsidRPr="00E348A4" w:rsidRDefault="00DD0842" w:rsidP="001D02E2">
      <w:pPr>
        <w:pStyle w:val="BodyText1"/>
        <w:rPr>
          <w:lang w:val="en-AU"/>
        </w:rPr>
      </w:pPr>
      <w:r>
        <w:rPr>
          <w:lang w:val="en-AU"/>
        </w:rPr>
        <w:t>T</w:t>
      </w:r>
      <w:r w:rsidR="000E095E">
        <w:rPr>
          <w:lang w:val="en-AU"/>
        </w:rPr>
        <w:t xml:space="preserve">he </w:t>
      </w:r>
      <w:r w:rsidR="00DD5725">
        <w:rPr>
          <w:lang w:val="en-AU"/>
        </w:rPr>
        <w:t xml:space="preserve">pricing and administrative arrangements </w:t>
      </w:r>
      <w:r w:rsidR="000E095E">
        <w:rPr>
          <w:lang w:val="en-AU"/>
        </w:rPr>
        <w:t xml:space="preserve">outlined in this paper represent the </w:t>
      </w:r>
      <w:r w:rsidR="004D4B94">
        <w:rPr>
          <w:lang w:val="en-AU"/>
        </w:rPr>
        <w:t>Agency</w:t>
      </w:r>
      <w:r w:rsidR="000E095E">
        <w:rPr>
          <w:lang w:val="en-AU"/>
        </w:rPr>
        <w:t xml:space="preserve">’s intended approach for the implementation of </w:t>
      </w:r>
      <w:r w:rsidR="00906F2A">
        <w:rPr>
          <w:lang w:val="en-AU"/>
        </w:rPr>
        <w:t>SDA supports to commence from 1 </w:t>
      </w:r>
      <w:r w:rsidR="000E095E">
        <w:rPr>
          <w:lang w:val="en-AU"/>
        </w:rPr>
        <w:t>July</w:t>
      </w:r>
      <w:r w:rsidR="00312945">
        <w:rPr>
          <w:lang w:val="en-AU"/>
        </w:rPr>
        <w:t>,</w:t>
      </w:r>
      <w:r w:rsidR="00906F2A">
        <w:rPr>
          <w:lang w:val="en-AU"/>
        </w:rPr>
        <w:t> </w:t>
      </w:r>
      <w:r w:rsidR="000E095E">
        <w:rPr>
          <w:lang w:val="en-AU"/>
        </w:rPr>
        <w:t>2016.</w:t>
      </w:r>
      <w:r w:rsidR="00DD5725">
        <w:rPr>
          <w:lang w:val="en-AU"/>
        </w:rPr>
        <w:t xml:space="preserve"> </w:t>
      </w:r>
      <w:r w:rsidR="000F1798">
        <w:rPr>
          <w:lang w:val="en-AU"/>
        </w:rPr>
        <w:t>As part of</w:t>
      </w:r>
      <w:r>
        <w:rPr>
          <w:lang w:val="en-AU"/>
        </w:rPr>
        <w:t xml:space="preserve"> finalising this approach, the</w:t>
      </w:r>
      <w:r w:rsidR="0090584A" w:rsidRPr="00E348A4">
        <w:rPr>
          <w:lang w:val="en-AU"/>
        </w:rPr>
        <w:t xml:space="preserve"> </w:t>
      </w:r>
      <w:r w:rsidR="004D4B94">
        <w:rPr>
          <w:lang w:val="en-AU"/>
        </w:rPr>
        <w:t>Agency</w:t>
      </w:r>
      <w:r w:rsidR="0090584A" w:rsidRPr="00E348A4">
        <w:rPr>
          <w:lang w:val="en-AU"/>
        </w:rPr>
        <w:t xml:space="preserve"> </w:t>
      </w:r>
      <w:r w:rsidR="006D2FB2" w:rsidRPr="00E348A4">
        <w:rPr>
          <w:lang w:val="en-AU"/>
        </w:rPr>
        <w:t>is keen to</w:t>
      </w:r>
      <w:r w:rsidR="0090584A" w:rsidRPr="00E348A4">
        <w:rPr>
          <w:lang w:val="en-AU"/>
        </w:rPr>
        <w:t xml:space="preserve"> continue </w:t>
      </w:r>
      <w:r>
        <w:rPr>
          <w:lang w:val="en-AU"/>
        </w:rPr>
        <w:t>engaging</w:t>
      </w:r>
      <w:r w:rsidR="0090584A" w:rsidRPr="00E348A4">
        <w:rPr>
          <w:lang w:val="en-AU"/>
        </w:rPr>
        <w:t xml:space="preserve"> with a range of stakeholders</w:t>
      </w:r>
      <w:r w:rsidR="000F1798">
        <w:rPr>
          <w:lang w:val="en-AU"/>
        </w:rPr>
        <w:t>, seeking final feedback and comment on its consideration issues of substance</w:t>
      </w:r>
      <w:r w:rsidR="006D2FB2" w:rsidRPr="00E348A4">
        <w:rPr>
          <w:lang w:val="en-AU"/>
        </w:rPr>
        <w:t xml:space="preserve">. </w:t>
      </w:r>
      <w:r w:rsidR="000F1798">
        <w:rPr>
          <w:lang w:val="en-AU"/>
        </w:rPr>
        <w:t xml:space="preserve">We </w:t>
      </w:r>
      <w:r w:rsidR="006D2FB2" w:rsidRPr="00E348A4">
        <w:rPr>
          <w:lang w:val="en-AU"/>
        </w:rPr>
        <w:t xml:space="preserve">invite you to send your </w:t>
      </w:r>
      <w:r w:rsidR="00217054">
        <w:rPr>
          <w:lang w:val="en-AU"/>
        </w:rPr>
        <w:t>feedback</w:t>
      </w:r>
      <w:r w:rsidR="006D2FB2" w:rsidRPr="00E348A4">
        <w:rPr>
          <w:lang w:val="en-AU"/>
        </w:rPr>
        <w:t xml:space="preserve"> to </w:t>
      </w:r>
      <w:hyperlink r:id="rId9" w:history="1">
        <w:r w:rsidR="00217054" w:rsidRPr="00272841">
          <w:rPr>
            <w:rStyle w:val="Hyperlink"/>
            <w:b/>
            <w:lang w:val="en-AU"/>
          </w:rPr>
          <w:t>SDAhousing@ndis.gov.au</w:t>
        </w:r>
      </w:hyperlink>
      <w:r w:rsidR="006D2FB2" w:rsidRPr="00E348A4">
        <w:rPr>
          <w:lang w:val="en-AU"/>
        </w:rPr>
        <w:t xml:space="preserve"> by </w:t>
      </w:r>
      <w:r w:rsidR="000F1798">
        <w:rPr>
          <w:lang w:val="en-AU"/>
        </w:rPr>
        <w:t>15</w:t>
      </w:r>
      <w:r>
        <w:rPr>
          <w:lang w:val="en-AU"/>
        </w:rPr>
        <w:t> April</w:t>
      </w:r>
      <w:r w:rsidR="00312945">
        <w:rPr>
          <w:lang w:val="en-AU"/>
        </w:rPr>
        <w:t>,</w:t>
      </w:r>
      <w:r>
        <w:rPr>
          <w:lang w:val="en-AU"/>
        </w:rPr>
        <w:t> </w:t>
      </w:r>
      <w:r w:rsidR="006D2FB2" w:rsidRPr="00E348A4">
        <w:rPr>
          <w:lang w:val="en-AU"/>
        </w:rPr>
        <w:t>2016</w:t>
      </w:r>
      <w:r w:rsidR="00BC53E9">
        <w:rPr>
          <w:lang w:val="en-AU"/>
        </w:rPr>
        <w:t>.</w:t>
      </w:r>
    </w:p>
    <w:p w14:paraId="411A4410" w14:textId="77777777" w:rsidR="0090584A" w:rsidRPr="00E348A4" w:rsidRDefault="0090584A" w:rsidP="001D02E2">
      <w:pPr>
        <w:pStyle w:val="BodyText1"/>
        <w:rPr>
          <w:lang w:val="en-AU"/>
        </w:rPr>
      </w:pPr>
      <w:r w:rsidRPr="00E348A4">
        <w:rPr>
          <w:lang w:val="en-AU"/>
        </w:rPr>
        <w:t xml:space="preserve">The </w:t>
      </w:r>
      <w:r w:rsidR="004D4B94">
        <w:rPr>
          <w:lang w:val="en-AU"/>
        </w:rPr>
        <w:t>Agency</w:t>
      </w:r>
      <w:r w:rsidRPr="00E348A4">
        <w:rPr>
          <w:lang w:val="en-AU"/>
        </w:rPr>
        <w:t xml:space="preserve"> will then publish </w:t>
      </w:r>
      <w:r w:rsidR="00830DD0">
        <w:rPr>
          <w:lang w:val="en-AU"/>
        </w:rPr>
        <w:t xml:space="preserve">the </w:t>
      </w:r>
      <w:r w:rsidRPr="00E348A4">
        <w:rPr>
          <w:lang w:val="en-AU"/>
        </w:rPr>
        <w:t xml:space="preserve">final </w:t>
      </w:r>
      <w:r w:rsidR="00217054">
        <w:rPr>
          <w:lang w:val="en-AU"/>
        </w:rPr>
        <w:t xml:space="preserve">SDA </w:t>
      </w:r>
      <w:r w:rsidRPr="00E348A4">
        <w:rPr>
          <w:lang w:val="en-AU"/>
        </w:rPr>
        <w:t>benchmark pri</w:t>
      </w:r>
      <w:r w:rsidR="006D2FB2" w:rsidRPr="00E348A4">
        <w:rPr>
          <w:lang w:val="en-AU"/>
        </w:rPr>
        <w:t>cing and payments approach,</w:t>
      </w:r>
      <w:r w:rsidRPr="00E348A4">
        <w:rPr>
          <w:lang w:val="en-AU"/>
        </w:rPr>
        <w:t xml:space="preserve"> for</w:t>
      </w:r>
      <w:r w:rsidR="00DD0842">
        <w:rPr>
          <w:lang w:val="en-AU"/>
        </w:rPr>
        <w:t xml:space="preserve"> commencement on</w:t>
      </w:r>
      <w:r w:rsidRPr="00E348A4">
        <w:rPr>
          <w:lang w:val="en-AU"/>
        </w:rPr>
        <w:t xml:space="preserve"> 1</w:t>
      </w:r>
      <w:r w:rsidR="00E35230">
        <w:rPr>
          <w:lang w:val="en-AU"/>
        </w:rPr>
        <w:t> </w:t>
      </w:r>
      <w:r w:rsidRPr="00E348A4">
        <w:rPr>
          <w:lang w:val="en-AU"/>
        </w:rPr>
        <w:t>July</w:t>
      </w:r>
      <w:r w:rsidR="00312945">
        <w:rPr>
          <w:lang w:val="en-AU"/>
        </w:rPr>
        <w:t>,</w:t>
      </w:r>
      <w:r w:rsidR="00E35230">
        <w:rPr>
          <w:lang w:val="en-AU"/>
        </w:rPr>
        <w:t> </w:t>
      </w:r>
      <w:r w:rsidRPr="00E348A4">
        <w:rPr>
          <w:lang w:val="en-AU"/>
        </w:rPr>
        <w:t xml:space="preserve">2016. </w:t>
      </w:r>
    </w:p>
    <w:p w14:paraId="411A4411" w14:textId="77777777" w:rsidR="00975D2A" w:rsidRPr="00E348A4" w:rsidRDefault="00B73475" w:rsidP="001D02E2">
      <w:pPr>
        <w:pStyle w:val="Heading2"/>
      </w:pPr>
      <w:bookmarkStart w:id="21" w:name="_Toc447447066"/>
      <w:bookmarkStart w:id="22" w:name="_Toc447450379"/>
      <w:r w:rsidRPr="00E348A4">
        <w:lastRenderedPageBreak/>
        <w:t xml:space="preserve">Background and </w:t>
      </w:r>
      <w:r w:rsidR="00536843">
        <w:t>p</w:t>
      </w:r>
      <w:r w:rsidR="00536843" w:rsidRPr="00E348A4">
        <w:t>urpose</w:t>
      </w:r>
      <w:bookmarkEnd w:id="21"/>
      <w:bookmarkEnd w:id="22"/>
    </w:p>
    <w:p w14:paraId="411A4412" w14:textId="77777777" w:rsidR="00B73475" w:rsidRPr="009D193B" w:rsidRDefault="00B73475" w:rsidP="00B85F8A">
      <w:pPr>
        <w:pStyle w:val="Heading3"/>
        <w:rPr>
          <w:rFonts w:eastAsiaTheme="minorHAnsi"/>
        </w:rPr>
      </w:pPr>
      <w:bookmarkStart w:id="23" w:name="_Toc447447067"/>
      <w:bookmarkStart w:id="24" w:name="_Toc447450380"/>
      <w:r w:rsidRPr="009D193B">
        <w:rPr>
          <w:rFonts w:eastAsiaTheme="minorHAnsi"/>
        </w:rPr>
        <w:t>What is Specialist Disability Accommodation (SDA)</w:t>
      </w:r>
      <w:bookmarkEnd w:id="23"/>
      <w:bookmarkEnd w:id="24"/>
    </w:p>
    <w:p w14:paraId="411A4413" w14:textId="77777777" w:rsidR="00B73475" w:rsidRPr="00E348A4" w:rsidRDefault="00DD0842" w:rsidP="00E348A4">
      <w:pPr>
        <w:pStyle w:val="BodyText1"/>
        <w:rPr>
          <w:lang w:val="en-AU"/>
        </w:rPr>
      </w:pPr>
      <w:r>
        <w:rPr>
          <w:lang w:val="en-AU"/>
        </w:rPr>
        <w:t>SDA</w:t>
      </w:r>
      <w:r w:rsidR="00B953F9" w:rsidRPr="00E348A4">
        <w:rPr>
          <w:lang w:val="en-AU"/>
        </w:rPr>
        <w:t xml:space="preserve"> refers to specialist designed housing</w:t>
      </w:r>
      <w:r w:rsidR="00522A2F">
        <w:rPr>
          <w:lang w:val="en-AU"/>
        </w:rPr>
        <w:t>—</w:t>
      </w:r>
      <w:r w:rsidR="009D193B">
        <w:rPr>
          <w:lang w:val="en-AU"/>
        </w:rPr>
        <w:t>including land and built form</w:t>
      </w:r>
      <w:r w:rsidR="00522A2F">
        <w:rPr>
          <w:lang w:val="en-AU"/>
        </w:rPr>
        <w:t xml:space="preserve"> </w:t>
      </w:r>
      <w:r w:rsidR="00522A2F" w:rsidRPr="00E348A4">
        <w:rPr>
          <w:lang w:val="en-AU"/>
        </w:rPr>
        <w:t>(user cost of capital)</w:t>
      </w:r>
      <w:r w:rsidR="00522A2F">
        <w:rPr>
          <w:lang w:val="en-AU"/>
        </w:rPr>
        <w:t>—</w:t>
      </w:r>
      <w:r w:rsidR="00C719CA">
        <w:rPr>
          <w:lang w:val="en-AU"/>
        </w:rPr>
        <w:t xml:space="preserve">for </w:t>
      </w:r>
      <w:r w:rsidR="001E2292">
        <w:rPr>
          <w:lang w:val="en-AU"/>
        </w:rPr>
        <w:t>NDIS</w:t>
      </w:r>
      <w:r w:rsidR="00C719CA">
        <w:rPr>
          <w:lang w:val="en-AU"/>
        </w:rPr>
        <w:t xml:space="preserve"> participants requiring integrated housing and supports, due to their </w:t>
      </w:r>
      <w:r w:rsidR="00C719CA" w:rsidRPr="00E348A4">
        <w:rPr>
          <w:lang w:val="en-AU"/>
        </w:rPr>
        <w:t xml:space="preserve">significant functional </w:t>
      </w:r>
      <w:r w:rsidR="00C719CA">
        <w:rPr>
          <w:lang w:val="en-AU"/>
        </w:rPr>
        <w:t>impairment and/or complex needs.</w:t>
      </w:r>
    </w:p>
    <w:p w14:paraId="411A4414" w14:textId="77777777" w:rsidR="00E348A4" w:rsidRDefault="00E348A4" w:rsidP="00E348A4">
      <w:pPr>
        <w:pStyle w:val="BodyText1"/>
        <w:rPr>
          <w:lang w:val="en-AU"/>
        </w:rPr>
      </w:pPr>
      <w:r w:rsidRPr="00E348A4">
        <w:rPr>
          <w:lang w:val="en-AU"/>
        </w:rPr>
        <w:t xml:space="preserve">In designing this </w:t>
      </w:r>
      <w:r w:rsidR="007A6E09">
        <w:rPr>
          <w:lang w:val="en-AU"/>
        </w:rPr>
        <w:t>pricing and payments approach</w:t>
      </w:r>
      <w:r w:rsidR="007A6E09" w:rsidRPr="00E348A4">
        <w:rPr>
          <w:lang w:val="en-AU"/>
        </w:rPr>
        <w:t xml:space="preserve"> </w:t>
      </w:r>
      <w:r w:rsidR="00FB47D2">
        <w:rPr>
          <w:lang w:val="en-AU"/>
        </w:rPr>
        <w:t xml:space="preserve">the </w:t>
      </w:r>
      <w:r w:rsidR="004D4B94">
        <w:rPr>
          <w:lang w:val="en-AU"/>
        </w:rPr>
        <w:t>Agency</w:t>
      </w:r>
      <w:r w:rsidRPr="00E348A4">
        <w:rPr>
          <w:lang w:val="en-AU"/>
        </w:rPr>
        <w:t xml:space="preserve"> is cogni</w:t>
      </w:r>
      <w:r>
        <w:rPr>
          <w:lang w:val="en-AU"/>
        </w:rPr>
        <w:t>s</w:t>
      </w:r>
      <w:r w:rsidRPr="00E348A4">
        <w:rPr>
          <w:lang w:val="en-AU"/>
        </w:rPr>
        <w:t xml:space="preserve">ant that the definition of SDA includes both the existing specialist accommodation where people </w:t>
      </w:r>
      <w:r>
        <w:rPr>
          <w:lang w:val="en-AU"/>
        </w:rPr>
        <w:t xml:space="preserve">are currently living, as well as new and innovative models </w:t>
      </w:r>
      <w:r w:rsidR="00DD0842">
        <w:rPr>
          <w:lang w:val="en-AU"/>
        </w:rPr>
        <w:t>that</w:t>
      </w:r>
      <w:r>
        <w:rPr>
          <w:lang w:val="en-AU"/>
        </w:rPr>
        <w:t xml:space="preserve"> are not yet widely available.</w:t>
      </w:r>
    </w:p>
    <w:p w14:paraId="411A4415" w14:textId="443BFBD2" w:rsidR="00E348A4" w:rsidRPr="00E348A4" w:rsidRDefault="00E348A4" w:rsidP="00E348A4">
      <w:pPr>
        <w:pStyle w:val="BodyText1"/>
        <w:rPr>
          <w:lang w:val="en-AU"/>
        </w:rPr>
      </w:pPr>
      <w:r>
        <w:rPr>
          <w:lang w:val="en-AU"/>
        </w:rPr>
        <w:t>This definition also explicitly separates</w:t>
      </w:r>
      <w:r w:rsidR="0089401B">
        <w:rPr>
          <w:lang w:val="en-AU"/>
        </w:rPr>
        <w:t xml:space="preserve"> out</w:t>
      </w:r>
      <w:r>
        <w:rPr>
          <w:lang w:val="en-AU"/>
        </w:rPr>
        <w:t xml:space="preserve"> </w:t>
      </w:r>
      <w:r w:rsidRPr="00E348A4">
        <w:rPr>
          <w:lang w:val="en-AU"/>
        </w:rPr>
        <w:t xml:space="preserve">the support arrangements delivered to participants within specialist disability </w:t>
      </w:r>
      <w:r w:rsidR="009D193B" w:rsidRPr="00E348A4">
        <w:rPr>
          <w:lang w:val="en-AU"/>
        </w:rPr>
        <w:t>accommodation</w:t>
      </w:r>
      <w:r w:rsidR="00E92E20">
        <w:rPr>
          <w:lang w:val="en-AU"/>
        </w:rPr>
        <w:t>,</w:t>
      </w:r>
      <w:r w:rsidR="009D193B">
        <w:rPr>
          <w:lang w:val="en-AU"/>
        </w:rPr>
        <w:t xml:space="preserve"> </w:t>
      </w:r>
      <w:r w:rsidR="00633056">
        <w:rPr>
          <w:lang w:val="en-AU"/>
        </w:rPr>
        <w:t>such as</w:t>
      </w:r>
      <w:r w:rsidR="009D193B">
        <w:rPr>
          <w:lang w:val="en-AU"/>
        </w:rPr>
        <w:t xml:space="preserve"> home modifications where a person does not require specialist accommodation. </w:t>
      </w:r>
      <w:r w:rsidR="00233FDD">
        <w:rPr>
          <w:lang w:val="en-AU"/>
        </w:rPr>
        <w:t>These supports</w:t>
      </w:r>
      <w:r w:rsidR="009D193B">
        <w:rPr>
          <w:lang w:val="en-AU"/>
        </w:rPr>
        <w:t>,</w:t>
      </w:r>
      <w:r w:rsidR="00633056">
        <w:rPr>
          <w:lang w:val="en-AU"/>
        </w:rPr>
        <w:t xml:space="preserve"> </w:t>
      </w:r>
      <w:r w:rsidR="009D193B">
        <w:rPr>
          <w:lang w:val="en-AU"/>
        </w:rPr>
        <w:t>where reasonable and necessary</w:t>
      </w:r>
      <w:r w:rsidR="000E095E">
        <w:rPr>
          <w:lang w:val="en-AU"/>
        </w:rPr>
        <w:t>,</w:t>
      </w:r>
      <w:r w:rsidRPr="00E348A4">
        <w:rPr>
          <w:lang w:val="en-AU"/>
        </w:rPr>
        <w:t xml:space="preserve"> are  funded through </w:t>
      </w:r>
      <w:r w:rsidR="00487A18">
        <w:rPr>
          <w:lang w:val="en-AU"/>
        </w:rPr>
        <w:t xml:space="preserve">a </w:t>
      </w:r>
      <w:r w:rsidR="00536843">
        <w:rPr>
          <w:lang w:val="en-AU"/>
        </w:rPr>
        <w:t xml:space="preserve">participant’s </w:t>
      </w:r>
      <w:r w:rsidR="00487A18">
        <w:rPr>
          <w:lang w:val="en-AU"/>
        </w:rPr>
        <w:t>NDIS plan</w:t>
      </w:r>
      <w:r w:rsidRPr="00E348A4">
        <w:rPr>
          <w:lang w:val="en-AU"/>
        </w:rPr>
        <w:t>.</w:t>
      </w:r>
    </w:p>
    <w:p w14:paraId="411A4416" w14:textId="77777777" w:rsidR="00975D2A" w:rsidRDefault="00B73475" w:rsidP="00B85F8A">
      <w:pPr>
        <w:pStyle w:val="Heading3"/>
        <w:rPr>
          <w:rFonts w:eastAsiaTheme="minorHAnsi"/>
        </w:rPr>
      </w:pPr>
      <w:bookmarkStart w:id="25" w:name="_Toc447447068"/>
      <w:bookmarkStart w:id="26" w:name="_Toc447450381"/>
      <w:r w:rsidRPr="00E348A4">
        <w:rPr>
          <w:rFonts w:eastAsiaTheme="minorHAnsi"/>
        </w:rPr>
        <w:t>The process to-date</w:t>
      </w:r>
      <w:bookmarkEnd w:id="25"/>
      <w:bookmarkEnd w:id="26"/>
    </w:p>
    <w:p w14:paraId="411A4417" w14:textId="31456390" w:rsidR="00B73475" w:rsidRPr="00487A18" w:rsidRDefault="00487A18" w:rsidP="00487A18">
      <w:pPr>
        <w:pStyle w:val="BodyText1"/>
        <w:rPr>
          <w:lang w:val="en-AU"/>
        </w:rPr>
      </w:pPr>
      <w:r w:rsidRPr="00487A18">
        <w:rPr>
          <w:lang w:val="en-AU"/>
        </w:rPr>
        <w:t xml:space="preserve">In November 2015, </w:t>
      </w:r>
      <w:r w:rsidR="00DD0842">
        <w:rPr>
          <w:lang w:val="en-AU"/>
        </w:rPr>
        <w:t>the</w:t>
      </w:r>
      <w:r w:rsidRPr="00487A18">
        <w:rPr>
          <w:lang w:val="en-AU"/>
        </w:rPr>
        <w:t xml:space="preserve"> Disability Reform Council endorsed </w:t>
      </w:r>
      <w:r w:rsidR="002352E1">
        <w:rPr>
          <w:lang w:val="en-AU"/>
        </w:rPr>
        <w:t xml:space="preserve">the SDA Framework. </w:t>
      </w:r>
      <w:r w:rsidRPr="00487A18">
        <w:rPr>
          <w:lang w:val="en-AU"/>
        </w:rPr>
        <w:t xml:space="preserve">The </w:t>
      </w:r>
      <w:r w:rsidR="0089401B">
        <w:rPr>
          <w:lang w:val="en-AU"/>
        </w:rPr>
        <w:t>SDA F</w:t>
      </w:r>
      <w:r w:rsidR="0089401B" w:rsidRPr="00487A18">
        <w:rPr>
          <w:lang w:val="en-AU"/>
        </w:rPr>
        <w:t xml:space="preserve">ramework </w:t>
      </w:r>
      <w:r w:rsidRPr="00487A18">
        <w:rPr>
          <w:lang w:val="en-AU"/>
        </w:rPr>
        <w:t xml:space="preserve">outlines how benchmark prices for SDA will be developed by the </w:t>
      </w:r>
      <w:r w:rsidR="004D4B94">
        <w:rPr>
          <w:lang w:val="en-AU"/>
        </w:rPr>
        <w:t>Agency</w:t>
      </w:r>
      <w:r w:rsidRPr="00487A18">
        <w:rPr>
          <w:lang w:val="en-AU"/>
        </w:rPr>
        <w:t xml:space="preserve"> and provides guidance on for whom</w:t>
      </w:r>
      <w:r w:rsidR="002352E1">
        <w:rPr>
          <w:lang w:val="en-AU"/>
        </w:rPr>
        <w:t>,</w:t>
      </w:r>
      <w:r w:rsidRPr="00487A18">
        <w:rPr>
          <w:lang w:val="en-AU"/>
        </w:rPr>
        <w:t xml:space="preserve"> and under what circumstances</w:t>
      </w:r>
      <w:r w:rsidR="002352E1">
        <w:rPr>
          <w:lang w:val="en-AU"/>
        </w:rPr>
        <w:t>,</w:t>
      </w:r>
      <w:r w:rsidRPr="00487A18">
        <w:rPr>
          <w:lang w:val="en-AU"/>
        </w:rPr>
        <w:t xml:space="preserve"> SDA will be provided. </w:t>
      </w:r>
      <w:r w:rsidR="000D4E41" w:rsidRPr="00675E74">
        <w:rPr>
          <w:lang w:val="en-AU"/>
        </w:rPr>
        <w:t>A copy of the SDA Framework has been included in Appendix B.</w:t>
      </w:r>
    </w:p>
    <w:p w14:paraId="411A4418" w14:textId="77777777" w:rsidR="00486D8F" w:rsidRPr="00E348A4" w:rsidRDefault="00486D8F" w:rsidP="00487A18">
      <w:pPr>
        <w:pStyle w:val="BodyText1"/>
        <w:rPr>
          <w:lang w:val="en-AU"/>
        </w:rPr>
      </w:pPr>
      <w:r w:rsidRPr="00E348A4">
        <w:rPr>
          <w:lang w:val="en-AU"/>
        </w:rPr>
        <w:t xml:space="preserve">In the development of the benchmark pricing, </w:t>
      </w:r>
      <w:r w:rsidR="00FB47D2">
        <w:rPr>
          <w:lang w:val="en-AU"/>
        </w:rPr>
        <w:t>the</w:t>
      </w:r>
      <w:r w:rsidR="002352E1">
        <w:rPr>
          <w:lang w:val="en-AU"/>
        </w:rPr>
        <w:t xml:space="preserve"> SDA</w:t>
      </w:r>
      <w:r w:rsidR="00FB47D2">
        <w:rPr>
          <w:lang w:val="en-AU"/>
        </w:rPr>
        <w:t xml:space="preserve"> </w:t>
      </w:r>
      <w:r w:rsidR="00A25BB3">
        <w:rPr>
          <w:lang w:val="en-AU"/>
        </w:rPr>
        <w:t>Framework</w:t>
      </w:r>
      <w:r w:rsidRPr="00E348A4">
        <w:rPr>
          <w:lang w:val="en-AU"/>
        </w:rPr>
        <w:t xml:space="preserve"> required</w:t>
      </w:r>
      <w:r w:rsidR="00A25BB3">
        <w:rPr>
          <w:lang w:val="en-AU"/>
        </w:rPr>
        <w:t xml:space="preserve"> the </w:t>
      </w:r>
      <w:r w:rsidR="004D4B94">
        <w:rPr>
          <w:lang w:val="en-AU"/>
        </w:rPr>
        <w:t>Agency</w:t>
      </w:r>
      <w:r w:rsidRPr="00E348A4">
        <w:rPr>
          <w:lang w:val="en-AU"/>
        </w:rPr>
        <w:t xml:space="preserve"> to follow a process where</w:t>
      </w:r>
      <w:r w:rsidR="002352E1">
        <w:rPr>
          <w:lang w:val="en-AU"/>
        </w:rPr>
        <w:t xml:space="preserve"> it</w:t>
      </w:r>
      <w:r w:rsidRPr="00E348A4">
        <w:rPr>
          <w:lang w:val="en-AU"/>
        </w:rPr>
        <w:t xml:space="preserve">: </w:t>
      </w:r>
    </w:p>
    <w:p w14:paraId="411A4419" w14:textId="650FDB7B" w:rsidR="00486D8F" w:rsidRPr="00E348A4" w:rsidRDefault="002352E1" w:rsidP="000F045D">
      <w:pPr>
        <w:pStyle w:val="BodyText1"/>
        <w:numPr>
          <w:ilvl w:val="0"/>
          <w:numId w:val="46"/>
        </w:numPr>
        <w:rPr>
          <w:lang w:val="en-AU"/>
        </w:rPr>
      </w:pPr>
      <w:r>
        <w:rPr>
          <w:lang w:val="en-AU"/>
        </w:rPr>
        <w:t>S</w:t>
      </w:r>
      <w:r w:rsidR="00486D8F" w:rsidRPr="00E348A4">
        <w:rPr>
          <w:lang w:val="en-AU"/>
        </w:rPr>
        <w:t>ought the views of the Commonwealth</w:t>
      </w:r>
      <w:r>
        <w:rPr>
          <w:lang w:val="en-AU"/>
        </w:rPr>
        <w:t xml:space="preserve"> and State governments</w:t>
      </w:r>
      <w:r w:rsidR="00486D8F" w:rsidRPr="00E348A4">
        <w:rPr>
          <w:lang w:val="en-AU"/>
        </w:rPr>
        <w:t xml:space="preserve"> on the pricing and payments arrangements for </w:t>
      </w:r>
      <w:r w:rsidR="005859AF">
        <w:rPr>
          <w:lang w:val="en-AU"/>
        </w:rPr>
        <w:t>SDA</w:t>
      </w:r>
      <w:r w:rsidR="000D4E41">
        <w:rPr>
          <w:lang w:val="en-AU"/>
        </w:rPr>
        <w:t>;</w:t>
      </w:r>
      <w:r w:rsidR="00486D8F" w:rsidRPr="00E348A4">
        <w:rPr>
          <w:lang w:val="en-AU"/>
        </w:rPr>
        <w:t xml:space="preserve"> </w:t>
      </w:r>
    </w:p>
    <w:p w14:paraId="411A441A" w14:textId="06033418" w:rsidR="00486D8F" w:rsidRPr="00E348A4" w:rsidRDefault="002352E1" w:rsidP="000F045D">
      <w:pPr>
        <w:pStyle w:val="BodyText1"/>
        <w:numPr>
          <w:ilvl w:val="0"/>
          <w:numId w:val="46"/>
        </w:numPr>
        <w:rPr>
          <w:lang w:val="en-AU"/>
        </w:rPr>
      </w:pPr>
      <w:r>
        <w:rPr>
          <w:lang w:val="en-AU"/>
        </w:rPr>
        <w:t>I</w:t>
      </w:r>
      <w:r w:rsidR="00486D8F" w:rsidRPr="00E348A4">
        <w:rPr>
          <w:lang w:val="en-AU"/>
        </w:rPr>
        <w:t xml:space="preserve">ssued discussion papers on the arrangements it might adopt and consulted with current and future residents of </w:t>
      </w:r>
      <w:r w:rsidR="004778AB">
        <w:rPr>
          <w:lang w:val="en-AU"/>
        </w:rPr>
        <w:t>SDA</w:t>
      </w:r>
      <w:r w:rsidR="00486D8F" w:rsidRPr="00E348A4">
        <w:rPr>
          <w:lang w:val="en-AU"/>
        </w:rPr>
        <w:t xml:space="preserve"> and government and non-government providers of </w:t>
      </w:r>
      <w:r w:rsidR="004778AB">
        <w:rPr>
          <w:lang w:val="en-AU"/>
        </w:rPr>
        <w:t>SDA</w:t>
      </w:r>
      <w:r w:rsidR="000D4E41">
        <w:rPr>
          <w:lang w:val="en-AU"/>
        </w:rPr>
        <w:t>;</w:t>
      </w:r>
      <w:r w:rsidR="00486D8F" w:rsidRPr="00E348A4">
        <w:rPr>
          <w:lang w:val="en-AU"/>
        </w:rPr>
        <w:t xml:space="preserve"> </w:t>
      </w:r>
    </w:p>
    <w:p w14:paraId="411A441B" w14:textId="43F22D7F" w:rsidR="00486D8F" w:rsidRPr="00E348A4" w:rsidRDefault="002352E1" w:rsidP="000F045D">
      <w:pPr>
        <w:pStyle w:val="BodyText1"/>
        <w:numPr>
          <w:ilvl w:val="0"/>
          <w:numId w:val="46"/>
        </w:numPr>
        <w:rPr>
          <w:lang w:val="en-AU"/>
        </w:rPr>
      </w:pPr>
      <w:r>
        <w:rPr>
          <w:lang w:val="en-AU"/>
        </w:rPr>
        <w:t>S</w:t>
      </w:r>
      <w:r w:rsidR="00486D8F" w:rsidRPr="00E348A4">
        <w:rPr>
          <w:lang w:val="en-AU"/>
        </w:rPr>
        <w:t>ought feedback from other stakeholders including: families, carers, disability interest groups, provider peak bodies and financiers</w:t>
      </w:r>
      <w:r w:rsidR="000D4E41">
        <w:rPr>
          <w:lang w:val="en-AU"/>
        </w:rPr>
        <w:t>;</w:t>
      </w:r>
    </w:p>
    <w:p w14:paraId="411A441C" w14:textId="4E095E2F" w:rsidR="00486D8F" w:rsidRPr="00E348A4" w:rsidRDefault="002352E1" w:rsidP="000F045D">
      <w:pPr>
        <w:pStyle w:val="BodyText1"/>
        <w:numPr>
          <w:ilvl w:val="0"/>
          <w:numId w:val="46"/>
        </w:numPr>
        <w:rPr>
          <w:lang w:val="en-AU"/>
        </w:rPr>
      </w:pPr>
      <w:r>
        <w:rPr>
          <w:lang w:val="en-AU"/>
        </w:rPr>
        <w:t>D</w:t>
      </w:r>
      <w:r w:rsidR="00486D8F" w:rsidRPr="00E348A4">
        <w:rPr>
          <w:lang w:val="en-AU"/>
        </w:rPr>
        <w:t>eveloped draft benchmark prices on which it sought views of residents, providers and other</w:t>
      </w:r>
      <w:r w:rsidR="00903CC1">
        <w:rPr>
          <w:lang w:val="en-AU"/>
        </w:rPr>
        <w:t xml:space="preserve"> stakeholders as necessary</w:t>
      </w:r>
      <w:r w:rsidR="000D4E41">
        <w:rPr>
          <w:lang w:val="en-AU"/>
        </w:rPr>
        <w:t>; and</w:t>
      </w:r>
    </w:p>
    <w:p w14:paraId="411A441D" w14:textId="77777777" w:rsidR="00486D8F" w:rsidRPr="00E348A4" w:rsidRDefault="002352E1" w:rsidP="000F045D">
      <w:pPr>
        <w:pStyle w:val="BodyText1"/>
        <w:numPr>
          <w:ilvl w:val="0"/>
          <w:numId w:val="46"/>
        </w:numPr>
        <w:rPr>
          <w:lang w:val="en-AU"/>
        </w:rPr>
      </w:pPr>
      <w:r>
        <w:rPr>
          <w:lang w:val="en-AU"/>
        </w:rPr>
        <w:t>Made</w:t>
      </w:r>
      <w:r w:rsidR="00486D8F" w:rsidRPr="00E348A4">
        <w:rPr>
          <w:lang w:val="en-AU"/>
        </w:rPr>
        <w:t xml:space="preserve"> any adjustments it </w:t>
      </w:r>
      <w:r w:rsidR="00487A18" w:rsidRPr="00E348A4">
        <w:rPr>
          <w:lang w:val="en-AU"/>
        </w:rPr>
        <w:t>deem</w:t>
      </w:r>
      <w:r w:rsidR="00536843">
        <w:rPr>
          <w:lang w:val="en-AU"/>
        </w:rPr>
        <w:t>ed</w:t>
      </w:r>
      <w:r w:rsidR="00487A18">
        <w:rPr>
          <w:lang w:val="en-AU"/>
        </w:rPr>
        <w:t xml:space="preserve"> </w:t>
      </w:r>
      <w:r w:rsidR="00486D8F" w:rsidRPr="00E348A4">
        <w:rPr>
          <w:lang w:val="en-AU"/>
        </w:rPr>
        <w:t xml:space="preserve">necessary before publishing its final benchmark prices (and any associated weights and factors). </w:t>
      </w:r>
    </w:p>
    <w:p w14:paraId="411A441E" w14:textId="36674BAA" w:rsidR="00B73475" w:rsidRPr="00487A18" w:rsidRDefault="00486D8F" w:rsidP="00487A18">
      <w:pPr>
        <w:pStyle w:val="BodyText1"/>
        <w:rPr>
          <w:lang w:val="en-AU"/>
        </w:rPr>
      </w:pPr>
      <w:r w:rsidRPr="00487A18">
        <w:rPr>
          <w:lang w:val="en-AU"/>
        </w:rPr>
        <w:t>Over</w:t>
      </w:r>
      <w:r w:rsidR="000D4E41">
        <w:rPr>
          <w:lang w:val="en-AU"/>
        </w:rPr>
        <w:t xml:space="preserve"> the period</w:t>
      </w:r>
      <w:r w:rsidRPr="00487A18">
        <w:rPr>
          <w:lang w:val="en-AU"/>
        </w:rPr>
        <w:t xml:space="preserve"> January </w:t>
      </w:r>
      <w:r w:rsidR="000D4E41">
        <w:rPr>
          <w:lang w:val="en-AU"/>
        </w:rPr>
        <w:t xml:space="preserve">2016 </w:t>
      </w:r>
      <w:r w:rsidRPr="00487A18">
        <w:rPr>
          <w:lang w:val="en-AU"/>
        </w:rPr>
        <w:t xml:space="preserve">through to March 2016, in accordance with </w:t>
      </w:r>
      <w:r w:rsidR="00312945">
        <w:rPr>
          <w:lang w:val="en-AU"/>
        </w:rPr>
        <w:t>item one</w:t>
      </w:r>
      <w:r w:rsidRPr="00487A18">
        <w:rPr>
          <w:lang w:val="en-AU"/>
        </w:rPr>
        <w:t xml:space="preserve"> through to </w:t>
      </w:r>
      <w:r w:rsidR="00312945">
        <w:rPr>
          <w:lang w:val="en-AU"/>
        </w:rPr>
        <w:t>three</w:t>
      </w:r>
      <w:r w:rsidR="00312945" w:rsidRPr="00487A18">
        <w:rPr>
          <w:lang w:val="en-AU"/>
        </w:rPr>
        <w:t xml:space="preserve"> </w:t>
      </w:r>
      <w:r w:rsidRPr="00487A18">
        <w:rPr>
          <w:lang w:val="en-AU"/>
        </w:rPr>
        <w:t xml:space="preserve">above, </w:t>
      </w:r>
      <w:r w:rsidR="00FB47D2">
        <w:rPr>
          <w:lang w:val="en-AU"/>
        </w:rPr>
        <w:t xml:space="preserve">the </w:t>
      </w:r>
      <w:r w:rsidR="004D4B94">
        <w:rPr>
          <w:lang w:val="en-AU"/>
        </w:rPr>
        <w:t>Agency</w:t>
      </w:r>
      <w:r w:rsidRPr="00487A18">
        <w:rPr>
          <w:lang w:val="en-AU"/>
        </w:rPr>
        <w:t xml:space="preserve"> sought the views of each State </w:t>
      </w:r>
      <w:r w:rsidR="002352E1">
        <w:rPr>
          <w:lang w:val="en-AU"/>
        </w:rPr>
        <w:t>government</w:t>
      </w:r>
      <w:r w:rsidRPr="00487A18">
        <w:rPr>
          <w:lang w:val="en-AU"/>
        </w:rPr>
        <w:t xml:space="preserve"> on the </w:t>
      </w:r>
      <w:r w:rsidR="005859AF">
        <w:rPr>
          <w:lang w:val="en-AU"/>
        </w:rPr>
        <w:t xml:space="preserve">SDA </w:t>
      </w:r>
      <w:r w:rsidRPr="00487A18">
        <w:rPr>
          <w:lang w:val="en-AU"/>
        </w:rPr>
        <w:t xml:space="preserve">pricing and payment arrangements, issued discussion papers, and consulted widely with stakeholders through open consultations scheduled in every State and Territory. </w:t>
      </w:r>
      <w:r w:rsidR="000D4E41">
        <w:rPr>
          <w:lang w:val="en-AU"/>
        </w:rPr>
        <w:t>Public forums held as part of the open consultation process attracted more than</w:t>
      </w:r>
      <w:r w:rsidR="00312945" w:rsidRPr="00487A18">
        <w:rPr>
          <w:lang w:val="en-AU"/>
        </w:rPr>
        <w:t xml:space="preserve"> </w:t>
      </w:r>
      <w:r w:rsidRPr="00487A18">
        <w:rPr>
          <w:lang w:val="en-AU"/>
        </w:rPr>
        <w:t xml:space="preserve">500 individuals representing a broad </w:t>
      </w:r>
      <w:r w:rsidRPr="00487A18">
        <w:rPr>
          <w:lang w:val="en-AU"/>
        </w:rPr>
        <w:lastRenderedPageBreak/>
        <w:t xml:space="preserve">range of stakeholders </w:t>
      </w:r>
      <w:r w:rsidR="0072158D" w:rsidRPr="00487A18">
        <w:rPr>
          <w:lang w:val="en-AU"/>
        </w:rPr>
        <w:t xml:space="preserve">including: families, carers, disability interest groups, </w:t>
      </w:r>
      <w:r w:rsidR="000D4E41">
        <w:rPr>
          <w:lang w:val="en-AU"/>
        </w:rPr>
        <w:t xml:space="preserve">disability service providers, </w:t>
      </w:r>
      <w:r w:rsidR="0072158D" w:rsidRPr="00487A18">
        <w:rPr>
          <w:lang w:val="en-AU"/>
        </w:rPr>
        <w:t>provider peak bodies and financiers</w:t>
      </w:r>
      <w:r w:rsidRPr="00487A18">
        <w:rPr>
          <w:lang w:val="en-AU"/>
        </w:rPr>
        <w:t>.</w:t>
      </w:r>
    </w:p>
    <w:p w14:paraId="411A441F" w14:textId="77777777" w:rsidR="0072158D" w:rsidRPr="00E348A4" w:rsidRDefault="00B73475" w:rsidP="00B85F8A">
      <w:pPr>
        <w:pStyle w:val="Heading3"/>
        <w:rPr>
          <w:rFonts w:eastAsiaTheme="minorHAnsi"/>
        </w:rPr>
      </w:pPr>
      <w:bookmarkStart w:id="27" w:name="_Toc447447069"/>
      <w:bookmarkStart w:id="28" w:name="_Toc447450382"/>
      <w:r w:rsidRPr="00E348A4">
        <w:rPr>
          <w:rFonts w:eastAsiaTheme="minorHAnsi"/>
        </w:rPr>
        <w:t xml:space="preserve">Purpose of this </w:t>
      </w:r>
      <w:r w:rsidR="00484B08">
        <w:rPr>
          <w:rFonts w:eastAsiaTheme="minorHAnsi"/>
        </w:rPr>
        <w:t>position</w:t>
      </w:r>
      <w:r w:rsidRPr="00E348A4">
        <w:rPr>
          <w:rFonts w:eastAsiaTheme="minorHAnsi"/>
        </w:rPr>
        <w:t xml:space="preserve"> </w:t>
      </w:r>
      <w:r w:rsidR="003A578D">
        <w:rPr>
          <w:rFonts w:eastAsiaTheme="minorHAnsi"/>
        </w:rPr>
        <w:t>p</w:t>
      </w:r>
      <w:r w:rsidRPr="00E348A4">
        <w:rPr>
          <w:rFonts w:eastAsiaTheme="minorHAnsi"/>
        </w:rPr>
        <w:t>aper</w:t>
      </w:r>
      <w:bookmarkEnd w:id="27"/>
      <w:bookmarkEnd w:id="28"/>
      <w:r w:rsidRPr="00E348A4">
        <w:rPr>
          <w:rFonts w:eastAsiaTheme="minorHAnsi"/>
        </w:rPr>
        <w:t xml:space="preserve"> </w:t>
      </w:r>
    </w:p>
    <w:p w14:paraId="411A4420" w14:textId="33CE8A81" w:rsidR="00A05661" w:rsidRPr="00E2350A" w:rsidRDefault="00A05661" w:rsidP="00487A18">
      <w:pPr>
        <w:pStyle w:val="BodyText1"/>
        <w:rPr>
          <w:lang w:val="en-AU"/>
        </w:rPr>
      </w:pPr>
      <w:r w:rsidRPr="00E2350A">
        <w:rPr>
          <w:lang w:val="en-AU"/>
        </w:rPr>
        <w:t xml:space="preserve">This paper sets </w:t>
      </w:r>
      <w:r w:rsidR="00A25BB3" w:rsidRPr="00E2350A">
        <w:rPr>
          <w:lang w:val="en-AU"/>
        </w:rPr>
        <w:t>out the</w:t>
      </w:r>
      <w:r w:rsidR="00BA6350" w:rsidRPr="00E2350A">
        <w:rPr>
          <w:lang w:val="en-AU"/>
        </w:rPr>
        <w:t xml:space="preserve"> draft </w:t>
      </w:r>
      <w:r w:rsidRPr="00E2350A">
        <w:rPr>
          <w:lang w:val="en-AU"/>
        </w:rPr>
        <w:t xml:space="preserve">benchmark pricing and payments </w:t>
      </w:r>
      <w:r w:rsidR="00DD5725" w:rsidRPr="00E2350A">
        <w:rPr>
          <w:lang w:val="en-AU"/>
        </w:rPr>
        <w:t>approach</w:t>
      </w:r>
      <w:r w:rsidR="00BA6350" w:rsidRPr="00E2350A">
        <w:rPr>
          <w:lang w:val="en-AU"/>
        </w:rPr>
        <w:t xml:space="preserve">, </w:t>
      </w:r>
      <w:r w:rsidR="00A25BB3" w:rsidRPr="00E2350A">
        <w:rPr>
          <w:lang w:val="en-AU"/>
        </w:rPr>
        <w:t xml:space="preserve">that the Agency will use to fund SDA for eligible participants </w:t>
      </w:r>
      <w:r w:rsidR="00B1112B" w:rsidRPr="00E2350A">
        <w:rPr>
          <w:lang w:val="en-AU"/>
        </w:rPr>
        <w:t>commenc</w:t>
      </w:r>
      <w:r w:rsidR="00B1112B">
        <w:rPr>
          <w:lang w:val="en-AU"/>
        </w:rPr>
        <w:t>ing from</w:t>
      </w:r>
      <w:r w:rsidR="00B1112B" w:rsidRPr="00E2350A">
        <w:rPr>
          <w:lang w:val="en-AU"/>
        </w:rPr>
        <w:t xml:space="preserve"> </w:t>
      </w:r>
      <w:r w:rsidR="00BA6350" w:rsidRPr="00E2350A">
        <w:rPr>
          <w:lang w:val="en-AU"/>
        </w:rPr>
        <w:t xml:space="preserve">1 </w:t>
      </w:r>
      <w:r w:rsidR="00A25BB3" w:rsidRPr="00E2350A">
        <w:rPr>
          <w:lang w:val="en-AU"/>
        </w:rPr>
        <w:t>July</w:t>
      </w:r>
      <w:r w:rsidR="00312945">
        <w:rPr>
          <w:lang w:val="en-AU"/>
        </w:rPr>
        <w:t>,</w:t>
      </w:r>
      <w:r w:rsidR="00A25BB3" w:rsidRPr="00E2350A">
        <w:rPr>
          <w:lang w:val="en-AU"/>
        </w:rPr>
        <w:t xml:space="preserve"> 2016.</w:t>
      </w:r>
    </w:p>
    <w:p w14:paraId="411A4421" w14:textId="57A6CAB0" w:rsidR="00BC53E9" w:rsidRPr="00E2350A" w:rsidRDefault="00B73475" w:rsidP="00BC53E9">
      <w:pPr>
        <w:pStyle w:val="BodyText1"/>
        <w:rPr>
          <w:lang w:val="en-AU"/>
        </w:rPr>
      </w:pPr>
      <w:r w:rsidRPr="00E2350A">
        <w:rPr>
          <w:lang w:val="en-AU"/>
        </w:rPr>
        <w:t>This paper is being released for two purposes</w:t>
      </w:r>
      <w:r w:rsidR="00487A18" w:rsidRPr="00E2350A">
        <w:rPr>
          <w:lang w:val="en-AU"/>
        </w:rPr>
        <w:t xml:space="preserve">. Firstly, </w:t>
      </w:r>
      <w:r w:rsidRPr="00E2350A">
        <w:rPr>
          <w:lang w:val="en-AU"/>
        </w:rPr>
        <w:t xml:space="preserve">to provide guidance to the market on </w:t>
      </w:r>
      <w:r w:rsidR="00487A18" w:rsidRPr="00E2350A">
        <w:rPr>
          <w:lang w:val="en-AU"/>
        </w:rPr>
        <w:t xml:space="preserve">benchmark </w:t>
      </w:r>
      <w:r w:rsidRPr="00E2350A">
        <w:rPr>
          <w:lang w:val="en-AU"/>
        </w:rPr>
        <w:t>pric</w:t>
      </w:r>
      <w:r w:rsidR="00487A18" w:rsidRPr="00E2350A">
        <w:rPr>
          <w:lang w:val="en-AU"/>
        </w:rPr>
        <w:t xml:space="preserve">ing, </w:t>
      </w:r>
      <w:r w:rsidR="00B1112B">
        <w:rPr>
          <w:lang w:val="en-AU"/>
        </w:rPr>
        <w:t>pricing</w:t>
      </w:r>
      <w:r w:rsidRPr="00E2350A">
        <w:rPr>
          <w:lang w:val="en-AU"/>
        </w:rPr>
        <w:t xml:space="preserve"> structures and the rules and administration arrangements that sit alongside the</w:t>
      </w:r>
      <w:r w:rsidR="00487A18" w:rsidRPr="00E2350A">
        <w:rPr>
          <w:lang w:val="en-AU"/>
        </w:rPr>
        <w:t>se</w:t>
      </w:r>
      <w:r w:rsidRPr="00E2350A">
        <w:rPr>
          <w:lang w:val="en-AU"/>
        </w:rPr>
        <w:t xml:space="preserve"> prices</w:t>
      </w:r>
      <w:r w:rsidR="00E35230" w:rsidRPr="00E2350A">
        <w:rPr>
          <w:lang w:val="en-AU"/>
        </w:rPr>
        <w:t>;</w:t>
      </w:r>
      <w:r w:rsidR="00487A18" w:rsidRPr="00E2350A">
        <w:rPr>
          <w:lang w:val="en-AU"/>
        </w:rPr>
        <w:t xml:space="preserve"> </w:t>
      </w:r>
      <w:r w:rsidRPr="00E2350A">
        <w:rPr>
          <w:lang w:val="en-AU"/>
        </w:rPr>
        <w:t xml:space="preserve">and </w:t>
      </w:r>
      <w:r w:rsidR="00487A18" w:rsidRPr="00E2350A">
        <w:rPr>
          <w:lang w:val="en-AU"/>
        </w:rPr>
        <w:t>secondly</w:t>
      </w:r>
      <w:r w:rsidR="00BA6350" w:rsidRPr="00E2350A">
        <w:rPr>
          <w:lang w:val="en-AU"/>
        </w:rPr>
        <w:t>,</w:t>
      </w:r>
      <w:r w:rsidR="00487A18" w:rsidRPr="00E2350A">
        <w:rPr>
          <w:lang w:val="en-AU"/>
        </w:rPr>
        <w:t xml:space="preserve"> </w:t>
      </w:r>
      <w:r w:rsidRPr="00E2350A">
        <w:rPr>
          <w:lang w:val="en-AU"/>
        </w:rPr>
        <w:t xml:space="preserve">for </w:t>
      </w:r>
      <w:r w:rsidR="00FB47D2" w:rsidRPr="00E2350A">
        <w:rPr>
          <w:lang w:val="en-AU"/>
        </w:rPr>
        <w:t xml:space="preserve">the </w:t>
      </w:r>
      <w:r w:rsidR="004D4B94">
        <w:rPr>
          <w:lang w:val="en-AU"/>
        </w:rPr>
        <w:t>Agency</w:t>
      </w:r>
      <w:r w:rsidRPr="00E2350A">
        <w:rPr>
          <w:lang w:val="en-AU"/>
        </w:rPr>
        <w:t xml:space="preserve"> to seek </w:t>
      </w:r>
      <w:r w:rsidR="00045B7D">
        <w:rPr>
          <w:lang w:val="en-AU"/>
        </w:rPr>
        <w:t xml:space="preserve">final </w:t>
      </w:r>
      <w:r w:rsidRPr="00E2350A">
        <w:rPr>
          <w:lang w:val="en-AU"/>
        </w:rPr>
        <w:t xml:space="preserve">feedback </w:t>
      </w:r>
      <w:r w:rsidR="00487A18" w:rsidRPr="00E2350A">
        <w:rPr>
          <w:lang w:val="en-AU"/>
        </w:rPr>
        <w:t xml:space="preserve">from the market </w:t>
      </w:r>
      <w:r w:rsidRPr="00E2350A">
        <w:rPr>
          <w:lang w:val="en-AU"/>
        </w:rPr>
        <w:t xml:space="preserve">in relation to </w:t>
      </w:r>
      <w:r w:rsidR="00487A18" w:rsidRPr="00E2350A">
        <w:rPr>
          <w:lang w:val="en-AU"/>
        </w:rPr>
        <w:t>the same prior to publishing final pricing</w:t>
      </w:r>
      <w:r w:rsidR="00F3768C" w:rsidRPr="00E2350A">
        <w:rPr>
          <w:lang w:val="en-AU"/>
        </w:rPr>
        <w:t xml:space="preserve"> which will apply to SDA under the NDIS from 2016</w:t>
      </w:r>
      <w:r w:rsidR="002073C1">
        <w:rPr>
          <w:lang w:val="en-AU"/>
        </w:rPr>
        <w:t xml:space="preserve"> </w:t>
      </w:r>
      <w:r w:rsidR="00B1112B">
        <w:rPr>
          <w:lang w:val="en-AU"/>
        </w:rPr>
        <w:t>to 2021</w:t>
      </w:r>
      <w:r w:rsidR="00F3768C" w:rsidRPr="00E2350A">
        <w:rPr>
          <w:lang w:val="en-AU"/>
        </w:rPr>
        <w:t>.</w:t>
      </w:r>
    </w:p>
    <w:p w14:paraId="411A4422" w14:textId="77777777" w:rsidR="00B73475" w:rsidRPr="00BC53E9" w:rsidRDefault="00B73475" w:rsidP="00B85F8A">
      <w:pPr>
        <w:pStyle w:val="Heading3"/>
      </w:pPr>
      <w:bookmarkStart w:id="29" w:name="_Toc447447070"/>
      <w:bookmarkStart w:id="30" w:name="_Toc447450383"/>
      <w:r w:rsidRPr="00E348A4">
        <w:t>Next steps</w:t>
      </w:r>
      <w:bookmarkEnd w:id="29"/>
      <w:bookmarkEnd w:id="30"/>
    </w:p>
    <w:p w14:paraId="75EE48F1" w14:textId="096C1B1B" w:rsidR="002073C1" w:rsidRPr="007C6FAC" w:rsidRDefault="00B1112B" w:rsidP="000B6F7C">
      <w:pPr>
        <w:pStyle w:val="BodyText1"/>
        <w:rPr>
          <w:lang w:val="en-AU"/>
        </w:rPr>
      </w:pPr>
      <w:r w:rsidRPr="007C6FAC">
        <w:rPr>
          <w:lang w:val="en-AU"/>
        </w:rPr>
        <w:t xml:space="preserve">The Agency </w:t>
      </w:r>
      <w:r w:rsidRPr="00675E74">
        <w:rPr>
          <w:lang w:val="en-AU"/>
        </w:rPr>
        <w:t>seeks</w:t>
      </w:r>
      <w:r w:rsidRPr="007C6FAC">
        <w:rPr>
          <w:lang w:val="en-AU"/>
        </w:rPr>
        <w:t xml:space="preserve"> the views of all interested stakeholders </w:t>
      </w:r>
      <w:r w:rsidRPr="00CE4852">
        <w:rPr>
          <w:lang w:val="en-AU"/>
        </w:rPr>
        <w:t>on the content of this position paper</w:t>
      </w:r>
      <w:r w:rsidRPr="007C6FAC">
        <w:rPr>
          <w:lang w:val="en-AU"/>
        </w:rPr>
        <w:t xml:space="preserve"> by 15 April 2016.</w:t>
      </w:r>
      <w:r w:rsidR="002073C1">
        <w:rPr>
          <w:lang w:val="en-AU"/>
        </w:rPr>
        <w:t xml:space="preserve"> </w:t>
      </w:r>
      <w:r w:rsidRPr="00CE4852">
        <w:rPr>
          <w:lang w:val="en-AU"/>
        </w:rPr>
        <w:t>Responses can be provided to the Agency via email</w:t>
      </w:r>
      <w:r w:rsidRPr="00CE4852">
        <w:rPr>
          <w:szCs w:val="24"/>
          <w:lang w:val="en-AU"/>
        </w:rPr>
        <w:t xml:space="preserve"> </w:t>
      </w:r>
      <w:r>
        <w:rPr>
          <w:szCs w:val="24"/>
          <w:lang w:val="en-AU"/>
        </w:rPr>
        <w:t>to</w:t>
      </w:r>
      <w:r w:rsidR="002073C1">
        <w:rPr>
          <w:szCs w:val="24"/>
          <w:lang w:val="en-AU"/>
        </w:rPr>
        <w:t xml:space="preserve"> </w:t>
      </w:r>
      <w:hyperlink r:id="rId10" w:history="1">
        <w:r w:rsidRPr="000F045D">
          <w:rPr>
            <w:rStyle w:val="Hyperlink"/>
            <w:b/>
            <w:szCs w:val="24"/>
            <w:lang w:val="en-AU"/>
          </w:rPr>
          <w:t>SDAhousing@ndis.gov.au</w:t>
        </w:r>
      </w:hyperlink>
      <w:r w:rsidRPr="00CE4852">
        <w:rPr>
          <w:lang w:val="en-AU"/>
        </w:rPr>
        <w:t>.</w:t>
      </w:r>
    </w:p>
    <w:p w14:paraId="3BB970A0" w14:textId="49DCEFE0" w:rsidR="00B1112B" w:rsidRPr="00096D2C" w:rsidRDefault="00045B7D" w:rsidP="00096D2C">
      <w:pPr>
        <w:pStyle w:val="BodyText1"/>
        <w:rPr>
          <w:lang w:val="en-AU"/>
        </w:rPr>
      </w:pPr>
      <w:r>
        <w:rPr>
          <w:lang w:val="en-AU"/>
        </w:rPr>
        <w:t>The</w:t>
      </w:r>
      <w:r w:rsidR="00FB47D2" w:rsidRPr="00E2350A">
        <w:rPr>
          <w:lang w:val="en-AU"/>
        </w:rPr>
        <w:t xml:space="preserve"> </w:t>
      </w:r>
      <w:r w:rsidR="004D4B94">
        <w:rPr>
          <w:lang w:val="en-AU"/>
        </w:rPr>
        <w:t>Agency</w:t>
      </w:r>
      <w:r w:rsidR="00F3768C" w:rsidRPr="00E2350A">
        <w:rPr>
          <w:lang w:val="en-AU"/>
        </w:rPr>
        <w:t xml:space="preserve"> will consider any feedback prior to </w:t>
      </w:r>
      <w:r w:rsidR="00FB47D2" w:rsidRPr="00E2350A">
        <w:rPr>
          <w:lang w:val="en-AU"/>
        </w:rPr>
        <w:t>finali</w:t>
      </w:r>
      <w:r w:rsidR="00E35230" w:rsidRPr="00E2350A">
        <w:rPr>
          <w:lang w:val="en-AU"/>
        </w:rPr>
        <w:t>s</w:t>
      </w:r>
      <w:r w:rsidR="00FB47D2" w:rsidRPr="00E2350A">
        <w:rPr>
          <w:lang w:val="en-AU"/>
        </w:rPr>
        <w:t>ing</w:t>
      </w:r>
      <w:r w:rsidR="00F3768C" w:rsidRPr="00E2350A">
        <w:rPr>
          <w:lang w:val="en-AU"/>
        </w:rPr>
        <w:t xml:space="preserve"> the prices to apply from 1 July</w:t>
      </w:r>
      <w:r w:rsidR="00312945">
        <w:rPr>
          <w:lang w:val="en-AU"/>
        </w:rPr>
        <w:t>,</w:t>
      </w:r>
      <w:r w:rsidR="00F3768C" w:rsidRPr="00E2350A">
        <w:rPr>
          <w:lang w:val="en-AU"/>
        </w:rPr>
        <w:t xml:space="preserve"> 2016.</w:t>
      </w:r>
      <w:r w:rsidR="00B1112B">
        <w:rPr>
          <w:lang w:val="en-AU"/>
        </w:rPr>
        <w:br/>
      </w:r>
      <w:r w:rsidR="00B1112B" w:rsidRPr="00B1112B">
        <w:rPr>
          <w:lang w:val="en-AU"/>
        </w:rPr>
        <w:t xml:space="preserve">The Agency does not intent to publish or share comments received in response to this position paper.  All submissions will be treated as confidential unless otherwise indicated by the author. </w:t>
      </w:r>
    </w:p>
    <w:p w14:paraId="0EF26C14" w14:textId="77777777" w:rsidR="00B1112B" w:rsidRDefault="00BC53E9" w:rsidP="00096D2C">
      <w:pPr>
        <w:pStyle w:val="BodyText1"/>
        <w:rPr>
          <w:lang w:val="en-AU"/>
        </w:rPr>
      </w:pPr>
      <w:r w:rsidRPr="00E2350A">
        <w:rPr>
          <w:lang w:val="en-AU"/>
        </w:rPr>
        <w:t xml:space="preserve">In parallel, </w:t>
      </w:r>
      <w:r w:rsidR="00FB47D2" w:rsidRPr="00E2350A">
        <w:rPr>
          <w:lang w:val="en-AU"/>
        </w:rPr>
        <w:t xml:space="preserve">the </w:t>
      </w:r>
      <w:r w:rsidR="004D4B94">
        <w:rPr>
          <w:lang w:val="en-AU"/>
        </w:rPr>
        <w:t>Agency</w:t>
      </w:r>
      <w:r w:rsidRPr="00E2350A">
        <w:rPr>
          <w:lang w:val="en-AU"/>
        </w:rPr>
        <w:t xml:space="preserve"> will </w:t>
      </w:r>
      <w:r w:rsidR="00B1112B">
        <w:rPr>
          <w:lang w:val="en-AU"/>
        </w:rPr>
        <w:t xml:space="preserve">continue to </w:t>
      </w:r>
      <w:r w:rsidRPr="00E2350A">
        <w:rPr>
          <w:lang w:val="en-AU"/>
        </w:rPr>
        <w:t>work with</w:t>
      </w:r>
      <w:r w:rsidR="00EE557B" w:rsidRPr="00E2350A">
        <w:rPr>
          <w:lang w:val="en-AU"/>
        </w:rPr>
        <w:t xml:space="preserve"> governments </w:t>
      </w:r>
      <w:r w:rsidR="00F3768C" w:rsidRPr="00E2350A">
        <w:rPr>
          <w:lang w:val="en-AU"/>
        </w:rPr>
        <w:t xml:space="preserve">on a number of </w:t>
      </w:r>
      <w:r w:rsidR="00E35230" w:rsidRPr="00E2350A">
        <w:rPr>
          <w:lang w:val="en-AU"/>
        </w:rPr>
        <w:t xml:space="preserve">interrelated </w:t>
      </w:r>
      <w:r w:rsidR="00F3768C" w:rsidRPr="00E2350A">
        <w:rPr>
          <w:lang w:val="en-AU"/>
        </w:rPr>
        <w:t xml:space="preserve">projects, some of which are external to </w:t>
      </w:r>
      <w:r w:rsidR="00FB47D2" w:rsidRPr="00E2350A">
        <w:rPr>
          <w:lang w:val="en-AU"/>
        </w:rPr>
        <w:t xml:space="preserve">the </w:t>
      </w:r>
      <w:r w:rsidR="004D4B94">
        <w:rPr>
          <w:lang w:val="en-AU"/>
        </w:rPr>
        <w:t>Agency</w:t>
      </w:r>
      <w:r w:rsidR="00B1112B">
        <w:rPr>
          <w:lang w:val="en-AU"/>
        </w:rPr>
        <w:t xml:space="preserve"> </w:t>
      </w:r>
      <w:r w:rsidR="00B1112B" w:rsidRPr="00CE4852">
        <w:rPr>
          <w:lang w:val="en-AU"/>
        </w:rPr>
        <w:t>which support or facilitate the pricing and payment approach outlined in this position paper</w:t>
      </w:r>
      <w:r w:rsidR="00E2350A" w:rsidRPr="00E2350A">
        <w:rPr>
          <w:lang w:val="en-AU"/>
        </w:rPr>
        <w:t xml:space="preserve">. </w:t>
      </w:r>
    </w:p>
    <w:p w14:paraId="411A4425" w14:textId="0EE0EDED" w:rsidR="00BC53E9" w:rsidRPr="00E2350A" w:rsidRDefault="00B1112B" w:rsidP="00096D2C">
      <w:pPr>
        <w:pStyle w:val="BodyText1"/>
        <w:rPr>
          <w:lang w:val="en-AU"/>
        </w:rPr>
      </w:pPr>
      <w:r w:rsidRPr="00CE4852">
        <w:rPr>
          <w:lang w:val="en-AU"/>
        </w:rPr>
        <w:t>Related projects which do not form the scope of this</w:t>
      </w:r>
      <w:r w:rsidRPr="00E2350A">
        <w:rPr>
          <w:lang w:val="en-AU"/>
        </w:rPr>
        <w:t xml:space="preserve"> </w:t>
      </w:r>
      <w:r>
        <w:rPr>
          <w:lang w:val="en-AU"/>
        </w:rPr>
        <w:t xml:space="preserve">paper, </w:t>
      </w:r>
      <w:r w:rsidR="00E35230" w:rsidRPr="00E2350A">
        <w:rPr>
          <w:lang w:val="en-AU"/>
        </w:rPr>
        <w:t xml:space="preserve">include, </w:t>
      </w:r>
      <w:r w:rsidR="00F3768C" w:rsidRPr="00E2350A">
        <w:rPr>
          <w:lang w:val="en-AU"/>
        </w:rPr>
        <w:t xml:space="preserve">but </w:t>
      </w:r>
      <w:r>
        <w:rPr>
          <w:lang w:val="en-AU"/>
        </w:rPr>
        <w:t xml:space="preserve">are </w:t>
      </w:r>
      <w:r w:rsidR="00F3768C" w:rsidRPr="00E2350A">
        <w:rPr>
          <w:lang w:val="en-AU"/>
        </w:rPr>
        <w:t>not limited to</w:t>
      </w:r>
      <w:r w:rsidR="00E35230" w:rsidRPr="00E2350A">
        <w:rPr>
          <w:lang w:val="en-AU"/>
        </w:rPr>
        <w:t>:</w:t>
      </w:r>
      <w:r w:rsidR="00F3768C" w:rsidRPr="00E2350A">
        <w:rPr>
          <w:lang w:val="en-AU"/>
        </w:rPr>
        <w:t xml:space="preserve"> </w:t>
      </w:r>
      <w:r w:rsidR="00E35230" w:rsidRPr="00E2350A">
        <w:rPr>
          <w:lang w:val="en-AU"/>
        </w:rPr>
        <w:t>development of</w:t>
      </w:r>
      <w:r w:rsidR="00F3768C" w:rsidRPr="00E2350A">
        <w:rPr>
          <w:lang w:val="en-AU"/>
        </w:rPr>
        <w:t xml:space="preserve"> the </w:t>
      </w:r>
      <w:r w:rsidR="00C0464F">
        <w:rPr>
          <w:lang w:val="en-AU"/>
        </w:rPr>
        <w:t>r</w:t>
      </w:r>
      <w:r w:rsidR="00F3768C" w:rsidRPr="00E2350A">
        <w:rPr>
          <w:lang w:val="en-AU"/>
        </w:rPr>
        <w:t xml:space="preserve">ule(s) </w:t>
      </w:r>
      <w:r w:rsidR="007402CF" w:rsidRPr="00E2350A">
        <w:rPr>
          <w:lang w:val="en-AU"/>
        </w:rPr>
        <w:t xml:space="preserve">under the </w:t>
      </w:r>
      <w:r w:rsidR="007402CF" w:rsidRPr="00A02E9F">
        <w:rPr>
          <w:i/>
          <w:lang w:val="en-AU"/>
        </w:rPr>
        <w:t>National Disab</w:t>
      </w:r>
      <w:r w:rsidR="00EE557B" w:rsidRPr="00A02E9F">
        <w:rPr>
          <w:i/>
          <w:lang w:val="en-AU"/>
        </w:rPr>
        <w:t>ility Insurance Scheme Act (2013)</w:t>
      </w:r>
      <w:r w:rsidR="00EE557B" w:rsidRPr="00E2350A">
        <w:rPr>
          <w:lang w:val="en-AU"/>
        </w:rPr>
        <w:t xml:space="preserve"> (NDIS Act);</w:t>
      </w:r>
      <w:r w:rsidR="007402CF" w:rsidRPr="00E2350A">
        <w:rPr>
          <w:lang w:val="en-AU"/>
        </w:rPr>
        <w:t xml:space="preserve"> </w:t>
      </w:r>
      <w:r w:rsidR="00F3768C" w:rsidRPr="00E2350A">
        <w:rPr>
          <w:lang w:val="en-AU"/>
        </w:rPr>
        <w:t xml:space="preserve">settling mechanisms for </w:t>
      </w:r>
      <w:r>
        <w:rPr>
          <w:lang w:val="en-AU"/>
        </w:rPr>
        <w:t>r</w:t>
      </w:r>
      <w:r w:rsidR="00F3768C" w:rsidRPr="00E2350A">
        <w:rPr>
          <w:lang w:val="en-AU"/>
        </w:rPr>
        <w:t xml:space="preserve">easonable </w:t>
      </w:r>
      <w:r>
        <w:rPr>
          <w:lang w:val="en-AU"/>
        </w:rPr>
        <w:t>r</w:t>
      </w:r>
      <w:r w:rsidRPr="00E2350A">
        <w:rPr>
          <w:lang w:val="en-AU"/>
        </w:rPr>
        <w:t xml:space="preserve">ent </w:t>
      </w:r>
      <w:r>
        <w:rPr>
          <w:lang w:val="en-AU"/>
        </w:rPr>
        <w:t>c</w:t>
      </w:r>
      <w:r w:rsidRPr="00E2350A">
        <w:rPr>
          <w:lang w:val="en-AU"/>
        </w:rPr>
        <w:t xml:space="preserve">ontribution </w:t>
      </w:r>
      <w:r w:rsidR="00F955DB" w:rsidRPr="00E2350A">
        <w:rPr>
          <w:lang w:val="en-AU"/>
        </w:rPr>
        <w:t>and land-payment pass</w:t>
      </w:r>
      <w:r w:rsidR="00E35230" w:rsidRPr="00E2350A">
        <w:rPr>
          <w:lang w:val="en-AU"/>
        </w:rPr>
        <w:t xml:space="preserve"> </w:t>
      </w:r>
      <w:r w:rsidR="00F955DB" w:rsidRPr="00E2350A">
        <w:rPr>
          <w:lang w:val="en-AU"/>
        </w:rPr>
        <w:t>through</w:t>
      </w:r>
      <w:r w:rsidR="00EE557B" w:rsidRPr="00E2350A">
        <w:rPr>
          <w:lang w:val="en-AU"/>
        </w:rPr>
        <w:t>;</w:t>
      </w:r>
      <w:r w:rsidR="00F3768C" w:rsidRPr="00E2350A">
        <w:rPr>
          <w:lang w:val="en-AU"/>
        </w:rPr>
        <w:t xml:space="preserve"> and finali</w:t>
      </w:r>
      <w:r w:rsidR="00E35230" w:rsidRPr="00E2350A">
        <w:rPr>
          <w:lang w:val="en-AU"/>
        </w:rPr>
        <w:t>s</w:t>
      </w:r>
      <w:r w:rsidR="00F3768C" w:rsidRPr="00E2350A">
        <w:rPr>
          <w:lang w:val="en-AU"/>
        </w:rPr>
        <w:t>ation of policies and working arrangements with States relating to grandfathering arrangements.</w:t>
      </w:r>
    </w:p>
    <w:p w14:paraId="411A4426" w14:textId="77777777" w:rsidR="00302A64" w:rsidRPr="00E2350A" w:rsidRDefault="00E35230" w:rsidP="00302A64">
      <w:pPr>
        <w:pStyle w:val="BodyText1"/>
        <w:rPr>
          <w:lang w:val="en-AU"/>
        </w:rPr>
      </w:pPr>
      <w:r w:rsidRPr="00E2350A">
        <w:rPr>
          <w:lang w:val="en-AU"/>
        </w:rPr>
        <w:t>The</w:t>
      </w:r>
      <w:r w:rsidR="00BC53E9" w:rsidRPr="00E2350A">
        <w:rPr>
          <w:lang w:val="en-AU"/>
        </w:rPr>
        <w:t xml:space="preserve"> </w:t>
      </w:r>
      <w:r w:rsidR="00C0464F">
        <w:rPr>
          <w:lang w:val="en-AU"/>
        </w:rPr>
        <w:t>r</w:t>
      </w:r>
      <w:r w:rsidR="00BC53E9" w:rsidRPr="00E2350A">
        <w:rPr>
          <w:lang w:val="en-AU"/>
        </w:rPr>
        <w:t>ule(s)</w:t>
      </w:r>
      <w:r w:rsidR="00BC53E9" w:rsidRPr="00EE557B">
        <w:rPr>
          <w:lang w:val="en-AU"/>
        </w:rPr>
        <w:t xml:space="preserve"> </w:t>
      </w:r>
      <w:r w:rsidR="00EE557B" w:rsidRPr="00EE557B">
        <w:rPr>
          <w:lang w:val="en-AU"/>
        </w:rPr>
        <w:t>authorising</w:t>
      </w:r>
      <w:r w:rsidR="00BC53E9" w:rsidRPr="00E2350A">
        <w:rPr>
          <w:lang w:val="en-AU"/>
        </w:rPr>
        <w:t xml:space="preserve"> </w:t>
      </w:r>
      <w:r w:rsidR="00FB47D2" w:rsidRPr="00E2350A">
        <w:rPr>
          <w:lang w:val="en-AU"/>
        </w:rPr>
        <w:t xml:space="preserve">the </w:t>
      </w:r>
      <w:r w:rsidR="004D4B94">
        <w:rPr>
          <w:lang w:val="en-AU"/>
        </w:rPr>
        <w:t>Agency</w:t>
      </w:r>
      <w:r w:rsidR="00BC53E9" w:rsidRPr="00E2350A">
        <w:rPr>
          <w:lang w:val="en-AU"/>
        </w:rPr>
        <w:t xml:space="preserve"> to </w:t>
      </w:r>
      <w:r w:rsidR="00F955DB" w:rsidRPr="00E2350A">
        <w:rPr>
          <w:lang w:val="en-AU"/>
        </w:rPr>
        <w:t xml:space="preserve">apply SDA </w:t>
      </w:r>
      <w:r w:rsidR="004778AB">
        <w:rPr>
          <w:lang w:val="en-AU"/>
        </w:rPr>
        <w:t xml:space="preserve">criteria </w:t>
      </w:r>
      <w:r w:rsidR="00F955DB" w:rsidRPr="00E2350A">
        <w:rPr>
          <w:lang w:val="en-AU"/>
        </w:rPr>
        <w:t xml:space="preserve">to reasonable and necessary decisions and </w:t>
      </w:r>
      <w:r w:rsidR="00BC53E9" w:rsidRPr="00E2350A">
        <w:rPr>
          <w:lang w:val="en-AU"/>
        </w:rPr>
        <w:t>payments for SDA</w:t>
      </w:r>
      <w:r w:rsidR="00D57C26" w:rsidRPr="00E2350A">
        <w:rPr>
          <w:lang w:val="en-AU"/>
        </w:rPr>
        <w:t xml:space="preserve"> is a precondition to finalising prices. </w:t>
      </w:r>
    </w:p>
    <w:p w14:paraId="411A4427" w14:textId="77777777" w:rsidR="002A6A8B" w:rsidRPr="00DE0B5E" w:rsidRDefault="0091770A" w:rsidP="00B85F8A">
      <w:pPr>
        <w:pStyle w:val="Heading3"/>
      </w:pPr>
      <w:bookmarkStart w:id="31" w:name="_Toc447447071"/>
      <w:bookmarkStart w:id="32" w:name="_Toc447450384"/>
      <w:r w:rsidRPr="00DE0B5E">
        <w:t xml:space="preserve">High level </w:t>
      </w:r>
      <w:r w:rsidR="002849BC" w:rsidRPr="00DE0B5E">
        <w:t>methodology for</w:t>
      </w:r>
      <w:r w:rsidR="00BC53E9" w:rsidRPr="00DE0B5E">
        <w:t xml:space="preserve"> </w:t>
      </w:r>
      <w:r w:rsidR="002849BC" w:rsidRPr="00DE0B5E">
        <w:t>inputs to</w:t>
      </w:r>
      <w:r w:rsidR="00BC53E9" w:rsidRPr="00DE0B5E">
        <w:t xml:space="preserve"> SDA prices</w:t>
      </w:r>
      <w:bookmarkEnd w:id="31"/>
      <w:bookmarkEnd w:id="32"/>
    </w:p>
    <w:p w14:paraId="411A4428" w14:textId="6CF8E75A" w:rsidR="00BB5F96" w:rsidRPr="00E2350A" w:rsidRDefault="00312945" w:rsidP="0002637E">
      <w:pPr>
        <w:pStyle w:val="BodyText1"/>
        <w:rPr>
          <w:lang w:val="en-AU"/>
        </w:rPr>
      </w:pPr>
      <w:r w:rsidRPr="00DE28E9">
        <w:rPr>
          <w:lang w:val="en-AU"/>
        </w:rPr>
        <w:t xml:space="preserve">In order to determine a sustainable benchmark price, the agency has applied data from a range of sources in its modelling, the basic elements of which are outlined </w:t>
      </w:r>
      <w:r>
        <w:rPr>
          <w:lang w:val="en-AU"/>
        </w:rPr>
        <w:t xml:space="preserve">in </w:t>
      </w:r>
      <w:r w:rsidR="0002637E">
        <w:rPr>
          <w:lang w:val="en-AU"/>
        </w:rPr>
        <w:fldChar w:fldCharType="begin"/>
      </w:r>
      <w:r w:rsidR="0002637E">
        <w:rPr>
          <w:lang w:val="en-AU"/>
        </w:rPr>
        <w:instrText xml:space="preserve"> REF _Ref447480361 \h  \* MERGEFORMAT </w:instrText>
      </w:r>
      <w:r w:rsidR="0002637E">
        <w:rPr>
          <w:lang w:val="en-AU"/>
        </w:rPr>
      </w:r>
      <w:r w:rsidR="0002637E">
        <w:rPr>
          <w:lang w:val="en-AU"/>
        </w:rPr>
        <w:fldChar w:fldCharType="separate"/>
      </w:r>
      <w:r w:rsidR="00607084">
        <w:t xml:space="preserve">Figure </w:t>
      </w:r>
      <w:r w:rsidR="00607084">
        <w:rPr>
          <w:noProof/>
        </w:rPr>
        <w:t>1</w:t>
      </w:r>
      <w:r w:rsidR="0002637E">
        <w:rPr>
          <w:lang w:val="en-AU"/>
        </w:rPr>
        <w:fldChar w:fldCharType="end"/>
      </w:r>
    </w:p>
    <w:p w14:paraId="411A442B" w14:textId="35D3D885" w:rsidR="0056104B" w:rsidRDefault="0091770A" w:rsidP="000B6F7C">
      <w:pPr>
        <w:pStyle w:val="BodyText1"/>
      </w:pPr>
      <w:r w:rsidRPr="00E2350A">
        <w:rPr>
          <w:lang w:val="en-AU"/>
        </w:rPr>
        <w:t>T</w:t>
      </w:r>
      <w:r w:rsidR="003A578D" w:rsidRPr="00E2350A">
        <w:rPr>
          <w:lang w:val="en-AU"/>
        </w:rPr>
        <w:t xml:space="preserve">he cost of SDA to the Scheme is a product of </w:t>
      </w:r>
      <w:r w:rsidR="00312945">
        <w:rPr>
          <w:lang w:val="en-AU"/>
        </w:rPr>
        <w:t>p</w:t>
      </w:r>
      <w:r w:rsidR="00312945" w:rsidRPr="00E2350A">
        <w:rPr>
          <w:lang w:val="en-AU"/>
        </w:rPr>
        <w:t xml:space="preserve">ricing </w:t>
      </w:r>
      <w:r w:rsidR="00FB47D2" w:rsidRPr="00E2350A">
        <w:rPr>
          <w:lang w:val="en-AU"/>
        </w:rPr>
        <w:t xml:space="preserve">(1) </w:t>
      </w:r>
      <w:r w:rsidR="003A578D" w:rsidRPr="00E2350A">
        <w:rPr>
          <w:lang w:val="en-AU"/>
        </w:rPr>
        <w:t xml:space="preserve">and </w:t>
      </w:r>
      <w:r w:rsidR="00312945">
        <w:rPr>
          <w:lang w:val="en-AU"/>
        </w:rPr>
        <w:t>d</w:t>
      </w:r>
      <w:r w:rsidR="00312945" w:rsidRPr="00E2350A">
        <w:rPr>
          <w:lang w:val="en-AU"/>
        </w:rPr>
        <w:t xml:space="preserve">emand </w:t>
      </w:r>
      <w:r w:rsidR="003A578D" w:rsidRPr="00E2350A">
        <w:rPr>
          <w:lang w:val="en-AU"/>
        </w:rPr>
        <w:t xml:space="preserve">(2). Demand is in turn driven by </w:t>
      </w:r>
      <w:r w:rsidR="004778AB">
        <w:rPr>
          <w:lang w:val="en-AU"/>
        </w:rPr>
        <w:t>assessment</w:t>
      </w:r>
      <w:r w:rsidR="004778AB" w:rsidRPr="00E2350A">
        <w:rPr>
          <w:lang w:val="en-AU"/>
        </w:rPr>
        <w:t xml:space="preserve"> </w:t>
      </w:r>
      <w:r w:rsidR="003A578D" w:rsidRPr="00E2350A">
        <w:rPr>
          <w:lang w:val="en-AU"/>
        </w:rPr>
        <w:t>criteria (3) and estimates of the number of NDIS participants that may require SDA, given their need</w:t>
      </w:r>
      <w:r w:rsidR="00633056" w:rsidRPr="00E2350A">
        <w:rPr>
          <w:lang w:val="en-AU"/>
        </w:rPr>
        <w:t xml:space="preserve">s and </w:t>
      </w:r>
      <w:r w:rsidR="003A578D" w:rsidRPr="00E2350A">
        <w:rPr>
          <w:lang w:val="en-AU"/>
        </w:rPr>
        <w:t xml:space="preserve">circumstances. Pricing </w:t>
      </w:r>
      <w:r w:rsidRPr="00E2350A">
        <w:rPr>
          <w:lang w:val="en-AU"/>
        </w:rPr>
        <w:t>inputs include</w:t>
      </w:r>
      <w:r w:rsidR="00FB47D2" w:rsidRPr="00E2350A">
        <w:rPr>
          <w:lang w:val="en-AU"/>
        </w:rPr>
        <w:t xml:space="preserve"> </w:t>
      </w:r>
      <w:r w:rsidR="003A578D" w:rsidRPr="00E2350A">
        <w:rPr>
          <w:lang w:val="en-AU"/>
        </w:rPr>
        <w:t xml:space="preserve">supply data, </w:t>
      </w:r>
      <w:r w:rsidRPr="00E2350A">
        <w:rPr>
          <w:lang w:val="en-AU"/>
        </w:rPr>
        <w:t>such as</w:t>
      </w:r>
      <w:r w:rsidR="003A578D" w:rsidRPr="00E2350A">
        <w:rPr>
          <w:lang w:val="en-AU"/>
        </w:rPr>
        <w:t xml:space="preserve"> the nature and location of existing stock, provider registration and building requirements (4), </w:t>
      </w:r>
      <w:r w:rsidR="006A4183" w:rsidRPr="00E2350A">
        <w:rPr>
          <w:lang w:val="en-AU"/>
        </w:rPr>
        <w:t xml:space="preserve">tenancy rights and obligations (5) and </w:t>
      </w:r>
      <w:r w:rsidR="003A578D" w:rsidRPr="00E2350A">
        <w:rPr>
          <w:lang w:val="en-AU"/>
        </w:rPr>
        <w:t xml:space="preserve">capital and ongoing costs including vacancy rates (6) </w:t>
      </w:r>
      <w:r w:rsidR="003A578D" w:rsidRPr="00E2350A">
        <w:rPr>
          <w:lang w:val="en-AU"/>
        </w:rPr>
        <w:lastRenderedPageBreak/>
        <w:t xml:space="preserve">and </w:t>
      </w:r>
      <w:r w:rsidR="006A4183" w:rsidRPr="00E2350A">
        <w:rPr>
          <w:lang w:val="en-AU"/>
        </w:rPr>
        <w:t xml:space="preserve">offset by </w:t>
      </w:r>
      <w:r w:rsidR="003A578D" w:rsidRPr="00E2350A">
        <w:rPr>
          <w:lang w:val="en-AU"/>
        </w:rPr>
        <w:t xml:space="preserve">the proportion of costs to be met by </w:t>
      </w:r>
      <w:r w:rsidR="00742CB7" w:rsidRPr="00E2350A">
        <w:rPr>
          <w:lang w:val="en-AU"/>
        </w:rPr>
        <w:t>reasonable rent contribution</w:t>
      </w:r>
      <w:r w:rsidR="003A578D" w:rsidRPr="00E2350A">
        <w:rPr>
          <w:lang w:val="en-AU"/>
        </w:rPr>
        <w:t>.</w:t>
      </w:r>
      <w:r w:rsidR="006A4183" w:rsidRPr="00E2350A">
        <w:rPr>
          <w:lang w:val="en-AU"/>
        </w:rPr>
        <w:t xml:space="preserve"> </w:t>
      </w:r>
      <w:r w:rsidR="003A578D" w:rsidRPr="00E2350A">
        <w:rPr>
          <w:lang w:val="en-AU"/>
        </w:rPr>
        <w:t xml:space="preserve">The </w:t>
      </w:r>
      <w:r w:rsidRPr="00E2350A">
        <w:rPr>
          <w:lang w:val="en-AU"/>
        </w:rPr>
        <w:t xml:space="preserve">various potential </w:t>
      </w:r>
      <w:r w:rsidR="003A578D" w:rsidRPr="00E2350A">
        <w:rPr>
          <w:lang w:val="en-AU"/>
        </w:rPr>
        <w:t xml:space="preserve">scenarios that these factors drive (7) are then assessed by the </w:t>
      </w:r>
      <w:r w:rsidR="00BB5F96" w:rsidRPr="00E2350A">
        <w:rPr>
          <w:lang w:val="en-AU"/>
        </w:rPr>
        <w:t>A</w:t>
      </w:r>
      <w:r w:rsidR="003A578D" w:rsidRPr="00E2350A">
        <w:rPr>
          <w:lang w:val="en-AU"/>
        </w:rPr>
        <w:t>gency for their impact on p</w:t>
      </w:r>
      <w:r w:rsidR="00E2350A" w:rsidRPr="00E2350A">
        <w:rPr>
          <w:lang w:val="en-AU"/>
        </w:rPr>
        <w:t>articipant choice and control, S</w:t>
      </w:r>
      <w:r w:rsidR="003A578D" w:rsidRPr="00E2350A">
        <w:rPr>
          <w:lang w:val="en-AU"/>
        </w:rPr>
        <w:t xml:space="preserve">cheme </w:t>
      </w:r>
      <w:r w:rsidRPr="00E2350A">
        <w:rPr>
          <w:lang w:val="en-AU"/>
        </w:rPr>
        <w:t>and</w:t>
      </w:r>
      <w:r w:rsidR="003A578D" w:rsidRPr="00E2350A">
        <w:rPr>
          <w:lang w:val="en-AU"/>
        </w:rPr>
        <w:t xml:space="preserve"> administrative cost</w:t>
      </w:r>
      <w:r w:rsidRPr="00E2350A">
        <w:rPr>
          <w:lang w:val="en-AU"/>
        </w:rPr>
        <w:t>s</w:t>
      </w:r>
      <w:r w:rsidR="003A578D" w:rsidRPr="00E2350A">
        <w:rPr>
          <w:lang w:val="en-AU"/>
        </w:rPr>
        <w:t xml:space="preserve"> (both internal and external) and </w:t>
      </w:r>
      <w:r w:rsidRPr="00E2350A">
        <w:rPr>
          <w:lang w:val="en-AU"/>
        </w:rPr>
        <w:t xml:space="preserve">the ability for that solution to be implemented during transition and to support the desired market objectives. </w:t>
      </w:r>
      <w:r w:rsidR="006A4183" w:rsidRPr="00E2350A">
        <w:rPr>
          <w:lang w:val="en-AU"/>
        </w:rPr>
        <w:t>N</w:t>
      </w:r>
      <w:r w:rsidRPr="00E2350A">
        <w:rPr>
          <w:lang w:val="en-AU"/>
        </w:rPr>
        <w:t xml:space="preserve">ecessary amendments to legislation, systems and operational guidelines </w:t>
      </w:r>
      <w:r w:rsidR="006A4183" w:rsidRPr="00E2350A">
        <w:rPr>
          <w:lang w:val="en-AU"/>
        </w:rPr>
        <w:t>support</w:t>
      </w:r>
      <w:r w:rsidRPr="00E2350A">
        <w:rPr>
          <w:lang w:val="en-AU"/>
        </w:rPr>
        <w:t xml:space="preserve"> implementation.</w:t>
      </w:r>
      <w:bookmarkStart w:id="33" w:name="_Ref447198454"/>
      <w:bookmarkStart w:id="34" w:name="_Ref447198447"/>
    </w:p>
    <w:p w14:paraId="2782BB71" w14:textId="749BEE39" w:rsidR="0002637E" w:rsidRDefault="0002637E" w:rsidP="0002637E">
      <w:pPr>
        <w:pStyle w:val="Caption"/>
      </w:pPr>
      <w:bookmarkStart w:id="35" w:name="_Ref447480361"/>
      <w:r>
        <w:t xml:space="preserve">Figure </w:t>
      </w:r>
      <w:r>
        <w:fldChar w:fldCharType="begin"/>
      </w:r>
      <w:r>
        <w:instrText xml:space="preserve"> SEQ Figure \* ARABIC </w:instrText>
      </w:r>
      <w:r>
        <w:fldChar w:fldCharType="separate"/>
      </w:r>
      <w:r w:rsidR="00607084">
        <w:rPr>
          <w:noProof/>
        </w:rPr>
        <w:t>1</w:t>
      </w:r>
      <w:r>
        <w:fldChar w:fldCharType="end"/>
      </w:r>
      <w:bookmarkEnd w:id="35"/>
      <w:r>
        <w:t xml:space="preserve"> - CALCULATION OF BENCHMARK SDA PRICING AND COSTS</w:t>
      </w:r>
    </w:p>
    <w:p w14:paraId="411A442D" w14:textId="77777777" w:rsidR="0056104B" w:rsidRDefault="0056104B" w:rsidP="000F045D">
      <w:pPr>
        <w:pStyle w:val="Caption"/>
        <w:jc w:val="center"/>
      </w:pPr>
      <w:r>
        <w:rPr>
          <w:noProof/>
          <w:lang w:val="en-AU" w:eastAsia="en-AU"/>
        </w:rPr>
        <w:drawing>
          <wp:inline distT="0" distB="0" distL="0" distR="0" wp14:anchorId="411A4FA4" wp14:editId="05623690">
            <wp:extent cx="4667250" cy="707437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4521" cy="7085399"/>
                    </a:xfrm>
                    <a:prstGeom prst="rect">
                      <a:avLst/>
                    </a:prstGeom>
                  </pic:spPr>
                </pic:pic>
              </a:graphicData>
            </a:graphic>
          </wp:inline>
        </w:drawing>
      </w:r>
    </w:p>
    <w:p w14:paraId="411A4430" w14:textId="77777777" w:rsidR="00055D4F" w:rsidRPr="00E348A4" w:rsidRDefault="00055D4F" w:rsidP="00797FB2">
      <w:pPr>
        <w:pStyle w:val="Heading2"/>
        <w:numPr>
          <w:ilvl w:val="0"/>
          <w:numId w:val="8"/>
        </w:numPr>
      </w:pPr>
      <w:bookmarkStart w:id="36" w:name="_Toc447447072"/>
      <w:bookmarkStart w:id="37" w:name="_Toc447450385"/>
      <w:bookmarkEnd w:id="33"/>
      <w:bookmarkEnd w:id="34"/>
      <w:r w:rsidRPr="00E348A4">
        <w:lastRenderedPageBreak/>
        <w:t>Pricing</w:t>
      </w:r>
      <w:r w:rsidR="009C0770" w:rsidRPr="00E348A4">
        <w:t xml:space="preserve"> and </w:t>
      </w:r>
      <w:r w:rsidR="00312945">
        <w:t>a</w:t>
      </w:r>
      <w:r w:rsidR="00312945" w:rsidRPr="00E348A4">
        <w:t>pproach</w:t>
      </w:r>
      <w:bookmarkEnd w:id="36"/>
      <w:bookmarkEnd w:id="37"/>
    </w:p>
    <w:p w14:paraId="411A4431" w14:textId="77777777" w:rsidR="001D02E2" w:rsidRPr="001E2292" w:rsidRDefault="001D02E2" w:rsidP="000A02A6">
      <w:pPr>
        <w:pStyle w:val="Heading3"/>
        <w:numPr>
          <w:ilvl w:val="1"/>
          <w:numId w:val="8"/>
        </w:numPr>
        <w:ind w:left="432"/>
      </w:pPr>
      <w:bookmarkStart w:id="38" w:name="_Toc447447073"/>
      <w:bookmarkStart w:id="39" w:name="_Toc447450386"/>
      <w:r w:rsidRPr="001E2292">
        <w:t xml:space="preserve">Pricing </w:t>
      </w:r>
      <w:r w:rsidR="00312945">
        <w:t>o</w:t>
      </w:r>
      <w:r w:rsidR="00312945" w:rsidRPr="001E2292">
        <w:t>bjectives</w:t>
      </w:r>
      <w:bookmarkEnd w:id="38"/>
      <w:bookmarkEnd w:id="39"/>
    </w:p>
    <w:p w14:paraId="411A4432" w14:textId="7DCBB03D" w:rsidR="00F955DB" w:rsidRPr="00EE557B" w:rsidRDefault="00EE557B" w:rsidP="00EE557B">
      <w:pPr>
        <w:pStyle w:val="BodyText1"/>
        <w:rPr>
          <w:lang w:val="en-AU"/>
        </w:rPr>
      </w:pPr>
      <w:r>
        <w:rPr>
          <w:lang w:val="en-AU"/>
        </w:rPr>
        <w:t xml:space="preserve">The </w:t>
      </w:r>
      <w:r w:rsidR="004D4B94">
        <w:rPr>
          <w:lang w:val="en-AU"/>
        </w:rPr>
        <w:t>Agency</w:t>
      </w:r>
      <w:r>
        <w:rPr>
          <w:lang w:val="en-AU"/>
        </w:rPr>
        <w:t xml:space="preserve">’s </w:t>
      </w:r>
      <w:r w:rsidRPr="00E2350A">
        <w:rPr>
          <w:lang w:val="en-AU"/>
        </w:rPr>
        <w:t>draft benchmark pricing and payments approach</w:t>
      </w:r>
      <w:r w:rsidR="006A4183">
        <w:rPr>
          <w:lang w:val="en-AU"/>
        </w:rPr>
        <w:t xml:space="preserve"> recognises that</w:t>
      </w:r>
      <w:r>
        <w:rPr>
          <w:lang w:val="en-AU"/>
        </w:rPr>
        <w:t xml:space="preserve"> two important goals of the Scheme are to enable people requiring SDA to </w:t>
      </w:r>
      <w:r w:rsidR="006A4183" w:rsidRPr="00EE557B">
        <w:rPr>
          <w:lang w:val="en-AU"/>
        </w:rPr>
        <w:t xml:space="preserve">obtain appropriate accommodation suitable for their needs and </w:t>
      </w:r>
      <w:r w:rsidR="002073C1">
        <w:rPr>
          <w:lang w:val="en-AU"/>
        </w:rPr>
        <w:t xml:space="preserve">for these people to </w:t>
      </w:r>
      <w:r w:rsidR="006A4183" w:rsidRPr="00EE557B">
        <w:rPr>
          <w:lang w:val="en-AU"/>
        </w:rPr>
        <w:t>have greater choice and control over where and how they live</w:t>
      </w:r>
      <w:r>
        <w:rPr>
          <w:lang w:val="en-AU"/>
        </w:rPr>
        <w:t>.</w:t>
      </w:r>
    </w:p>
    <w:p w14:paraId="411A4433" w14:textId="77777777" w:rsidR="00F3768C" w:rsidRPr="00F3768C" w:rsidRDefault="006A4183" w:rsidP="000003D6">
      <w:pPr>
        <w:pStyle w:val="BodyText1"/>
        <w:rPr>
          <w:lang w:val="en-AU"/>
        </w:rPr>
      </w:pPr>
      <w:r>
        <w:rPr>
          <w:lang w:val="en-AU"/>
        </w:rPr>
        <w:t xml:space="preserve">The </w:t>
      </w:r>
      <w:r w:rsidR="00F955DB">
        <w:rPr>
          <w:lang w:val="en-AU"/>
        </w:rPr>
        <w:t>A</w:t>
      </w:r>
      <w:r>
        <w:rPr>
          <w:lang w:val="en-AU"/>
        </w:rPr>
        <w:t>gency has applied the following objecti</w:t>
      </w:r>
      <w:r w:rsidR="0056104B">
        <w:rPr>
          <w:lang w:val="en-AU"/>
        </w:rPr>
        <w:t>ves in developing this approach:</w:t>
      </w:r>
      <w:r>
        <w:rPr>
          <w:lang w:val="en-AU"/>
        </w:rPr>
        <w:t xml:space="preserve"> </w:t>
      </w:r>
    </w:p>
    <w:p w14:paraId="411A4434" w14:textId="0A350F0C" w:rsidR="009B73BB" w:rsidRPr="000003D6" w:rsidRDefault="00E348A4" w:rsidP="0056104B">
      <w:pPr>
        <w:pStyle w:val="BodyText1"/>
        <w:numPr>
          <w:ilvl w:val="0"/>
          <w:numId w:val="38"/>
        </w:numPr>
        <w:spacing w:after="120"/>
        <w:rPr>
          <w:lang w:val="en-AU"/>
        </w:rPr>
      </w:pPr>
      <w:r w:rsidRPr="000003D6">
        <w:rPr>
          <w:lang w:val="en-AU"/>
        </w:rPr>
        <w:t xml:space="preserve">The NDIS will support the availability of </w:t>
      </w:r>
      <w:r w:rsidR="0056104B">
        <w:rPr>
          <w:lang w:val="en-AU"/>
        </w:rPr>
        <w:t>SDA</w:t>
      </w:r>
      <w:r w:rsidRPr="000003D6">
        <w:rPr>
          <w:lang w:val="en-AU"/>
        </w:rPr>
        <w:t xml:space="preserve"> for participants who are assessed as requiring such specialist accommodation</w:t>
      </w:r>
      <w:r w:rsidR="002073C1">
        <w:rPr>
          <w:lang w:val="en-AU"/>
        </w:rPr>
        <w:t>.</w:t>
      </w:r>
    </w:p>
    <w:p w14:paraId="411A4435" w14:textId="308EEEA4" w:rsidR="009B73BB" w:rsidRPr="000003D6" w:rsidRDefault="00E348A4" w:rsidP="0056104B">
      <w:pPr>
        <w:pStyle w:val="BodyText1"/>
        <w:numPr>
          <w:ilvl w:val="0"/>
          <w:numId w:val="38"/>
        </w:numPr>
        <w:spacing w:after="120"/>
        <w:rPr>
          <w:lang w:val="en-AU"/>
        </w:rPr>
      </w:pPr>
      <w:r w:rsidRPr="000003D6">
        <w:rPr>
          <w:lang w:val="en-AU"/>
        </w:rPr>
        <w:t xml:space="preserve">The NDIS will support a sustainable </w:t>
      </w:r>
      <w:r w:rsidR="0056104B">
        <w:rPr>
          <w:lang w:val="en-AU"/>
        </w:rPr>
        <w:t>SDA</w:t>
      </w:r>
      <w:r w:rsidRPr="000003D6">
        <w:rPr>
          <w:lang w:val="en-AU"/>
        </w:rPr>
        <w:t xml:space="preserve"> market that fosters choice and control, encourages innovation </w:t>
      </w:r>
      <w:r w:rsidR="001F0704" w:rsidRPr="000003D6">
        <w:rPr>
          <w:lang w:val="en-AU"/>
        </w:rPr>
        <w:t>and provides</w:t>
      </w:r>
      <w:r w:rsidRPr="000003D6">
        <w:rPr>
          <w:lang w:val="en-AU"/>
        </w:rPr>
        <w:t xml:space="preserve"> options for participants, continuity of supply and financial sustainability for governments, participants and providers</w:t>
      </w:r>
      <w:r w:rsidR="002073C1">
        <w:rPr>
          <w:lang w:val="en-AU"/>
        </w:rPr>
        <w:t>.</w:t>
      </w:r>
    </w:p>
    <w:p w14:paraId="411A4436" w14:textId="30056A5F" w:rsidR="009B73BB" w:rsidRPr="000003D6" w:rsidRDefault="00E348A4" w:rsidP="0056104B">
      <w:pPr>
        <w:pStyle w:val="BodyText1"/>
        <w:numPr>
          <w:ilvl w:val="0"/>
          <w:numId w:val="38"/>
        </w:numPr>
        <w:spacing w:after="120"/>
        <w:rPr>
          <w:lang w:val="en-AU"/>
        </w:rPr>
      </w:pPr>
      <w:r w:rsidRPr="000003D6">
        <w:rPr>
          <w:lang w:val="en-AU"/>
        </w:rPr>
        <w:t xml:space="preserve">The </w:t>
      </w:r>
      <w:r w:rsidR="00F955DB">
        <w:rPr>
          <w:lang w:val="en-AU"/>
        </w:rPr>
        <w:t>approach</w:t>
      </w:r>
      <w:r w:rsidR="00F955DB" w:rsidRPr="000003D6">
        <w:rPr>
          <w:lang w:val="en-AU"/>
        </w:rPr>
        <w:t xml:space="preserve"> </w:t>
      </w:r>
      <w:r w:rsidRPr="000003D6">
        <w:rPr>
          <w:lang w:val="en-AU"/>
        </w:rPr>
        <w:t xml:space="preserve">is designed to give effect to the </w:t>
      </w:r>
      <w:r w:rsidR="002073C1" w:rsidRPr="000003D6">
        <w:rPr>
          <w:lang w:val="en-AU"/>
        </w:rPr>
        <w:t>object</w:t>
      </w:r>
      <w:r w:rsidR="002073C1">
        <w:rPr>
          <w:lang w:val="en-AU"/>
        </w:rPr>
        <w:t>ives</w:t>
      </w:r>
      <w:r w:rsidR="002073C1" w:rsidRPr="000003D6">
        <w:rPr>
          <w:lang w:val="en-AU"/>
        </w:rPr>
        <w:t xml:space="preserve"> </w:t>
      </w:r>
      <w:r w:rsidRPr="000003D6">
        <w:rPr>
          <w:lang w:val="en-AU"/>
        </w:rPr>
        <w:t xml:space="preserve">of the </w:t>
      </w:r>
      <w:r w:rsidR="000609FB">
        <w:rPr>
          <w:lang w:val="en-AU"/>
        </w:rPr>
        <w:t>NDIS Act</w:t>
      </w:r>
      <w:r w:rsidRPr="000003D6">
        <w:rPr>
          <w:lang w:val="en-AU"/>
        </w:rPr>
        <w:t>, in particular, to promote the provision of high quality and innovative supports that enable people with disability to maximise independent lifestyles and full inclusion in the community</w:t>
      </w:r>
      <w:r w:rsidR="002073C1">
        <w:rPr>
          <w:lang w:val="en-AU"/>
        </w:rPr>
        <w:t>.</w:t>
      </w:r>
    </w:p>
    <w:p w14:paraId="411A4437" w14:textId="3B9C0B05" w:rsidR="00976AAB" w:rsidRPr="000003D6" w:rsidRDefault="00633056" w:rsidP="0056104B">
      <w:pPr>
        <w:pStyle w:val="BodyText1"/>
        <w:numPr>
          <w:ilvl w:val="0"/>
          <w:numId w:val="38"/>
        </w:numPr>
        <w:spacing w:after="120"/>
        <w:rPr>
          <w:lang w:val="en-AU"/>
        </w:rPr>
      </w:pPr>
      <w:r>
        <w:rPr>
          <w:lang w:val="en-AU"/>
        </w:rPr>
        <w:t xml:space="preserve">The approach seeks to </w:t>
      </w:r>
      <w:r w:rsidR="004D4B94">
        <w:rPr>
          <w:lang w:val="en-AU"/>
        </w:rPr>
        <w:t xml:space="preserve">address </w:t>
      </w:r>
      <w:r w:rsidR="004D4B94" w:rsidRPr="000003D6">
        <w:rPr>
          <w:lang w:val="en-AU"/>
        </w:rPr>
        <w:t>uncertainty</w:t>
      </w:r>
      <w:r w:rsidR="00976AAB" w:rsidRPr="000003D6">
        <w:rPr>
          <w:lang w:val="en-AU"/>
        </w:rPr>
        <w:t xml:space="preserve"> in the market for </w:t>
      </w:r>
      <w:r w:rsidR="0056104B">
        <w:rPr>
          <w:lang w:val="en-AU"/>
        </w:rPr>
        <w:t>SDA</w:t>
      </w:r>
      <w:r w:rsidR="00976AAB" w:rsidRPr="000003D6">
        <w:rPr>
          <w:lang w:val="en-AU"/>
        </w:rPr>
        <w:t xml:space="preserve"> as it is initially and progressively established and as accommodation support services transition from block grant funding into the market</w:t>
      </w:r>
      <w:r w:rsidR="002073C1">
        <w:rPr>
          <w:lang w:val="en-AU"/>
        </w:rPr>
        <w:t>.</w:t>
      </w:r>
    </w:p>
    <w:p w14:paraId="411A4438" w14:textId="6C5F9E7F" w:rsidR="009B73BB" w:rsidRPr="000003D6" w:rsidRDefault="009B73B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is committed to a model which allows a sustainable and commercially viable </w:t>
      </w:r>
      <w:r w:rsidR="00976AAB" w:rsidRPr="000003D6">
        <w:rPr>
          <w:lang w:val="en-AU"/>
        </w:rPr>
        <w:t>supply</w:t>
      </w:r>
      <w:r w:rsidRPr="000003D6">
        <w:rPr>
          <w:lang w:val="en-AU"/>
        </w:rPr>
        <w:t xml:space="preserve"> </w:t>
      </w:r>
      <w:r w:rsidR="009C451A">
        <w:rPr>
          <w:lang w:val="en-AU"/>
        </w:rPr>
        <w:t xml:space="preserve">of </w:t>
      </w:r>
      <w:r w:rsidRPr="000003D6">
        <w:rPr>
          <w:lang w:val="en-AU"/>
        </w:rPr>
        <w:t>accommodation</w:t>
      </w:r>
      <w:r w:rsidR="00976AAB" w:rsidRPr="000003D6">
        <w:rPr>
          <w:lang w:val="en-AU"/>
        </w:rPr>
        <w:t xml:space="preserve"> </w:t>
      </w:r>
      <w:r w:rsidRPr="000003D6">
        <w:rPr>
          <w:lang w:val="en-AU"/>
        </w:rPr>
        <w:t xml:space="preserve">to reduce </w:t>
      </w:r>
      <w:r w:rsidR="00DF0597">
        <w:rPr>
          <w:lang w:val="en-AU"/>
        </w:rPr>
        <w:t>the</w:t>
      </w:r>
      <w:r w:rsidRPr="000003D6">
        <w:rPr>
          <w:lang w:val="en-AU"/>
        </w:rPr>
        <w:t xml:space="preserve"> number of people on waiting lists and living in settings that are inappropriate to their needs</w:t>
      </w:r>
      <w:r w:rsidR="002073C1">
        <w:rPr>
          <w:lang w:val="en-AU"/>
        </w:rPr>
        <w:t>.</w:t>
      </w:r>
    </w:p>
    <w:p w14:paraId="411A4439" w14:textId="2B506C9E" w:rsidR="009B73BB" w:rsidRPr="000003D6" w:rsidRDefault="009B73B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w:t>
      </w:r>
      <w:r w:rsidR="004D4B94">
        <w:rPr>
          <w:lang w:val="en-AU"/>
        </w:rPr>
        <w:t>supports</w:t>
      </w:r>
      <w:r w:rsidRPr="000003D6">
        <w:rPr>
          <w:lang w:val="en-AU"/>
        </w:rPr>
        <w:t xml:space="preserve"> fostering a model which, as far as possible, explicitly separates provision of housing infrastructure from supply of supports and services to residents</w:t>
      </w:r>
      <w:r w:rsidR="00976AAB" w:rsidRPr="000003D6">
        <w:rPr>
          <w:lang w:val="en-AU"/>
        </w:rPr>
        <w:t xml:space="preserve"> in order to maximise participant outcomes, choice and control</w:t>
      </w:r>
      <w:r w:rsidR="002073C1">
        <w:rPr>
          <w:lang w:val="en-AU"/>
        </w:rPr>
        <w:t>.</w:t>
      </w:r>
    </w:p>
    <w:p w14:paraId="411A443A" w14:textId="5ACE9C9F" w:rsidR="009B73BB" w:rsidRPr="000003D6" w:rsidRDefault="009B73BB" w:rsidP="0056104B">
      <w:pPr>
        <w:pStyle w:val="BodyText1"/>
        <w:numPr>
          <w:ilvl w:val="0"/>
          <w:numId w:val="38"/>
        </w:numPr>
        <w:spacing w:after="120"/>
        <w:rPr>
          <w:lang w:val="en-AU"/>
        </w:rPr>
      </w:pPr>
      <w:r w:rsidRPr="000003D6">
        <w:rPr>
          <w:lang w:val="en-AU"/>
        </w:rPr>
        <w:t xml:space="preserve">Based on evidence, </w:t>
      </w:r>
      <w:r w:rsidR="00976AAB" w:rsidRPr="000003D6">
        <w:rPr>
          <w:lang w:val="en-AU"/>
        </w:rPr>
        <w:t xml:space="preserve">and the insurance principles of the Scheme, </w:t>
      </w:r>
      <w:r w:rsidRPr="000003D6">
        <w:rPr>
          <w:lang w:val="en-AU"/>
        </w:rPr>
        <w:t xml:space="preserve">the </w:t>
      </w:r>
      <w:r w:rsidR="004D4B94">
        <w:rPr>
          <w:lang w:val="en-AU"/>
        </w:rPr>
        <w:t>Agency</w:t>
      </w:r>
      <w:r w:rsidRPr="000003D6">
        <w:rPr>
          <w:lang w:val="en-AU"/>
        </w:rPr>
        <w:t xml:space="preserve"> may build in strategies </w:t>
      </w:r>
      <w:r w:rsidR="00976AAB" w:rsidRPr="000003D6">
        <w:rPr>
          <w:lang w:val="en-AU"/>
        </w:rPr>
        <w:t xml:space="preserve">to influence greater supply of particular types of accommodation </w:t>
      </w:r>
      <w:r w:rsidR="00633056">
        <w:rPr>
          <w:lang w:val="en-AU"/>
        </w:rPr>
        <w:t>and to</w:t>
      </w:r>
      <w:r w:rsidR="00976AAB" w:rsidRPr="000003D6">
        <w:rPr>
          <w:lang w:val="en-AU"/>
        </w:rPr>
        <w:t xml:space="preserve"> maximise participant outcomes over the long term</w:t>
      </w:r>
      <w:r w:rsidR="002073C1">
        <w:rPr>
          <w:lang w:val="en-AU"/>
        </w:rPr>
        <w:t>.</w:t>
      </w:r>
    </w:p>
    <w:p w14:paraId="411A443B" w14:textId="5706E6B2" w:rsidR="00976AAB" w:rsidRPr="000003D6" w:rsidRDefault="009B73BB" w:rsidP="0056104B">
      <w:pPr>
        <w:pStyle w:val="BodyText1"/>
        <w:numPr>
          <w:ilvl w:val="0"/>
          <w:numId w:val="38"/>
        </w:numPr>
        <w:spacing w:after="120"/>
        <w:rPr>
          <w:lang w:val="en-AU"/>
        </w:rPr>
      </w:pPr>
      <w:r w:rsidRPr="000003D6">
        <w:rPr>
          <w:lang w:val="en-AU"/>
        </w:rPr>
        <w:t>The approach needs to support the market</w:t>
      </w:r>
      <w:r w:rsidR="00E348A4" w:rsidRPr="000003D6">
        <w:rPr>
          <w:lang w:val="en-AU"/>
        </w:rPr>
        <w:t xml:space="preserve"> moving, over time, towards achiev</w:t>
      </w:r>
      <w:r w:rsidRPr="000003D6">
        <w:rPr>
          <w:lang w:val="en-AU"/>
        </w:rPr>
        <w:t>ing</w:t>
      </w:r>
      <w:r w:rsidR="00976AAB" w:rsidRPr="000003D6">
        <w:rPr>
          <w:lang w:val="en-AU"/>
        </w:rPr>
        <w:t xml:space="preserve"> this vision and is also intended to ensure there is scope for growth, replacement, change and innovation in the supply of </w:t>
      </w:r>
      <w:r w:rsidR="0056104B">
        <w:rPr>
          <w:lang w:val="en-AU"/>
        </w:rPr>
        <w:t xml:space="preserve">SDA </w:t>
      </w:r>
      <w:r w:rsidR="00976AAB" w:rsidRPr="000003D6">
        <w:rPr>
          <w:lang w:val="en-AU"/>
        </w:rPr>
        <w:t>over time</w:t>
      </w:r>
      <w:r w:rsidR="002073C1">
        <w:rPr>
          <w:lang w:val="en-AU"/>
        </w:rPr>
        <w:t>.</w:t>
      </w:r>
    </w:p>
    <w:p w14:paraId="411A443C" w14:textId="3ECD26A3" w:rsidR="00976AAB" w:rsidRPr="000003D6" w:rsidRDefault="009B73BB" w:rsidP="0056104B">
      <w:pPr>
        <w:pStyle w:val="BodyText1"/>
        <w:numPr>
          <w:ilvl w:val="0"/>
          <w:numId w:val="38"/>
        </w:numPr>
        <w:spacing w:after="120"/>
        <w:rPr>
          <w:lang w:val="en-AU"/>
        </w:rPr>
      </w:pPr>
      <w:r w:rsidRPr="000003D6">
        <w:rPr>
          <w:lang w:val="en-AU"/>
        </w:rPr>
        <w:t>This</w:t>
      </w:r>
      <w:r w:rsidR="00976AAB" w:rsidRPr="000003D6">
        <w:rPr>
          <w:lang w:val="en-AU"/>
        </w:rPr>
        <w:t xml:space="preserve"> benchmark pricing </w:t>
      </w:r>
      <w:r w:rsidRPr="000003D6">
        <w:rPr>
          <w:lang w:val="en-AU"/>
        </w:rPr>
        <w:t>will apply for the peri</w:t>
      </w:r>
      <w:r w:rsidR="00976AAB" w:rsidRPr="000003D6">
        <w:rPr>
          <w:lang w:val="en-AU"/>
        </w:rPr>
        <w:t>od 1 July 2016 to 30 June 2021 but will be reviewed regularly as experience and participant data grows</w:t>
      </w:r>
      <w:r w:rsidR="002073C1">
        <w:rPr>
          <w:lang w:val="en-AU"/>
        </w:rPr>
        <w:t>.</w:t>
      </w:r>
    </w:p>
    <w:p w14:paraId="411A443D" w14:textId="5F500B3D" w:rsidR="00976AAB" w:rsidRPr="000003D6" w:rsidRDefault="00976AAB" w:rsidP="0056104B">
      <w:pPr>
        <w:pStyle w:val="BodyText1"/>
        <w:numPr>
          <w:ilvl w:val="0"/>
          <w:numId w:val="38"/>
        </w:numPr>
        <w:spacing w:after="120"/>
        <w:rPr>
          <w:lang w:val="en-AU"/>
        </w:rPr>
      </w:pPr>
      <w:r w:rsidRPr="000003D6">
        <w:rPr>
          <w:lang w:val="en-AU"/>
        </w:rPr>
        <w:t>The approach adopted will be nationally consistent</w:t>
      </w:r>
      <w:r w:rsidR="002073C1">
        <w:rPr>
          <w:lang w:val="en-AU"/>
        </w:rPr>
        <w:t>.</w:t>
      </w:r>
    </w:p>
    <w:p w14:paraId="411A443E" w14:textId="77777777" w:rsidR="0056104B" w:rsidRDefault="00976AA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will work jointly with</w:t>
      </w:r>
      <w:r w:rsidR="009B73BB" w:rsidRPr="000003D6">
        <w:rPr>
          <w:lang w:val="en-AU"/>
        </w:rPr>
        <w:t xml:space="preserve"> the Commonwealth</w:t>
      </w:r>
      <w:r w:rsidR="000609FB">
        <w:rPr>
          <w:lang w:val="en-AU"/>
        </w:rPr>
        <w:t xml:space="preserve"> and States governments</w:t>
      </w:r>
      <w:r w:rsidR="009B73BB" w:rsidRPr="000003D6">
        <w:rPr>
          <w:lang w:val="en-AU"/>
        </w:rPr>
        <w:t xml:space="preserve"> </w:t>
      </w:r>
      <w:r w:rsidRPr="000003D6">
        <w:rPr>
          <w:lang w:val="en-AU"/>
        </w:rPr>
        <w:t>on any material amendments that impact the SDA pricing and payments approach.</w:t>
      </w:r>
      <w:r w:rsidR="0056104B">
        <w:rPr>
          <w:lang w:val="en-AU"/>
        </w:rPr>
        <w:br w:type="page"/>
      </w:r>
    </w:p>
    <w:p w14:paraId="411A443F" w14:textId="77777777" w:rsidR="00055D4F" w:rsidRPr="00E348A4" w:rsidRDefault="00055D4F" w:rsidP="00B85F8A">
      <w:pPr>
        <w:pStyle w:val="Heading3"/>
      </w:pPr>
      <w:bookmarkStart w:id="40" w:name="_Toc447447074"/>
      <w:bookmarkStart w:id="41" w:name="_Toc447450387"/>
      <w:r w:rsidRPr="00E348A4">
        <w:lastRenderedPageBreak/>
        <w:t xml:space="preserve">Approach to </w:t>
      </w:r>
      <w:r w:rsidR="009C451A">
        <w:t>p</w:t>
      </w:r>
      <w:r w:rsidR="009C451A" w:rsidRPr="00E348A4">
        <w:t>ricing</w:t>
      </w:r>
      <w:bookmarkEnd w:id="40"/>
      <w:bookmarkEnd w:id="41"/>
    </w:p>
    <w:p w14:paraId="411A4440" w14:textId="045ADA36" w:rsidR="004802A3" w:rsidRDefault="004802A3" w:rsidP="00ED4DF6">
      <w:pPr>
        <w:pStyle w:val="BodyText1"/>
        <w:rPr>
          <w:lang w:val="en-AU"/>
        </w:rPr>
      </w:pPr>
      <w:r w:rsidRPr="00E2350A">
        <w:rPr>
          <w:lang w:val="en-AU"/>
        </w:rPr>
        <w:t xml:space="preserve">The purpose of </w:t>
      </w:r>
      <w:r w:rsidR="00843173" w:rsidRPr="00E2350A">
        <w:rPr>
          <w:lang w:val="en-AU"/>
        </w:rPr>
        <w:t xml:space="preserve">publishing </w:t>
      </w:r>
      <w:r w:rsidR="00BB5F96" w:rsidRPr="00E2350A">
        <w:rPr>
          <w:lang w:val="en-AU"/>
        </w:rPr>
        <w:t xml:space="preserve">benchmark </w:t>
      </w:r>
      <w:r w:rsidR="007402CF" w:rsidRPr="00E2350A">
        <w:rPr>
          <w:lang w:val="en-AU"/>
        </w:rPr>
        <w:t>prices</w:t>
      </w:r>
      <w:r w:rsidRPr="00E2350A">
        <w:rPr>
          <w:lang w:val="en-AU"/>
        </w:rPr>
        <w:t xml:space="preserve"> is to </w:t>
      </w:r>
      <w:r w:rsidR="007402CF" w:rsidRPr="00E2350A">
        <w:rPr>
          <w:lang w:val="en-AU"/>
        </w:rPr>
        <w:t>provide guidance to the market on the Agency’s proposed approach to pricing for SDA.</w:t>
      </w:r>
      <w:r w:rsidRPr="00E2350A">
        <w:rPr>
          <w:lang w:val="en-AU"/>
        </w:rPr>
        <w:t xml:space="preserve"> </w:t>
      </w:r>
      <w:r w:rsidR="00BB5F96" w:rsidRPr="00E2350A">
        <w:rPr>
          <w:lang w:val="en-AU"/>
        </w:rPr>
        <w:t>In addition, t</w:t>
      </w:r>
      <w:r w:rsidRPr="00E2350A">
        <w:rPr>
          <w:lang w:val="en-AU"/>
        </w:rPr>
        <w:t xml:space="preserve">he </w:t>
      </w:r>
      <w:r w:rsidR="00DD5E4E" w:rsidRPr="00E2350A">
        <w:rPr>
          <w:lang w:val="en-AU"/>
        </w:rPr>
        <w:t xml:space="preserve">benchmarking </w:t>
      </w:r>
      <w:r w:rsidRPr="00E2350A">
        <w:rPr>
          <w:lang w:val="en-AU"/>
        </w:rPr>
        <w:t>pricing</w:t>
      </w:r>
      <w:r w:rsidR="00DD5E4E" w:rsidRPr="00E2350A">
        <w:rPr>
          <w:lang w:val="en-AU"/>
        </w:rPr>
        <w:t xml:space="preserve"> will</w:t>
      </w:r>
      <w:r w:rsidRPr="00E2350A">
        <w:rPr>
          <w:lang w:val="en-AU"/>
        </w:rPr>
        <w:t xml:space="preserve"> </w:t>
      </w:r>
      <w:r w:rsidR="00843173" w:rsidRPr="00E2350A">
        <w:rPr>
          <w:lang w:val="en-AU"/>
        </w:rPr>
        <w:t xml:space="preserve">guide planners when determining the reasonable and necessary supports for the cohort of participants identified as </w:t>
      </w:r>
      <w:r w:rsidR="00045B7D">
        <w:rPr>
          <w:lang w:val="en-AU"/>
        </w:rPr>
        <w:t>requiring</w:t>
      </w:r>
      <w:r w:rsidR="00843173" w:rsidRPr="00E2350A">
        <w:rPr>
          <w:lang w:val="en-AU"/>
        </w:rPr>
        <w:t xml:space="preserve"> SDA </w:t>
      </w:r>
      <w:r w:rsidR="002073C1">
        <w:rPr>
          <w:lang w:val="en-AU"/>
        </w:rPr>
        <w:t>(</w:t>
      </w:r>
      <w:r w:rsidR="00843173" w:rsidRPr="00E2350A">
        <w:rPr>
          <w:lang w:val="en-AU"/>
        </w:rPr>
        <w:t xml:space="preserve">as will be set out in the SDA </w:t>
      </w:r>
      <w:r w:rsidR="00C0464F">
        <w:rPr>
          <w:lang w:val="en-AU"/>
        </w:rPr>
        <w:t>r</w:t>
      </w:r>
      <w:r w:rsidR="00843173" w:rsidRPr="00E2350A">
        <w:rPr>
          <w:lang w:val="en-AU"/>
        </w:rPr>
        <w:t>ule(s</w:t>
      </w:r>
      <w:r w:rsidR="002073C1" w:rsidRPr="00E2350A">
        <w:rPr>
          <w:lang w:val="en-AU"/>
        </w:rPr>
        <w:t>)</w:t>
      </w:r>
      <w:r w:rsidR="002073C1">
        <w:rPr>
          <w:lang w:val="en-AU"/>
        </w:rPr>
        <w:t>)</w:t>
      </w:r>
      <w:r w:rsidR="002073C1" w:rsidRPr="00E2350A">
        <w:rPr>
          <w:lang w:val="en-AU"/>
        </w:rPr>
        <w:t xml:space="preserve">. </w:t>
      </w:r>
      <w:r w:rsidR="00233FDD" w:rsidRPr="00E2350A">
        <w:rPr>
          <w:lang w:val="en-AU"/>
        </w:rPr>
        <w:t xml:space="preserve">Funding will be allocated as each </w:t>
      </w:r>
      <w:r w:rsidR="00045B7D">
        <w:rPr>
          <w:lang w:val="en-AU"/>
        </w:rPr>
        <w:t xml:space="preserve">of these </w:t>
      </w:r>
      <w:r w:rsidR="00233FDD" w:rsidRPr="00E2350A">
        <w:rPr>
          <w:lang w:val="en-AU"/>
        </w:rPr>
        <w:t>participant</w:t>
      </w:r>
      <w:r w:rsidR="00045B7D">
        <w:rPr>
          <w:lang w:val="en-AU"/>
        </w:rPr>
        <w:t>s are</w:t>
      </w:r>
      <w:r w:rsidR="00233FDD" w:rsidRPr="00E2350A">
        <w:rPr>
          <w:lang w:val="en-AU"/>
        </w:rPr>
        <w:t xml:space="preserve"> identified at entry to the Scheme and the SDA support stated, but not explicitly quantified in their package. For sake of certainty this also will be confirmed by the SDA </w:t>
      </w:r>
      <w:r w:rsidR="00C0464F">
        <w:rPr>
          <w:lang w:val="en-AU"/>
        </w:rPr>
        <w:t>r</w:t>
      </w:r>
      <w:r w:rsidR="00233FDD" w:rsidRPr="00E2350A">
        <w:rPr>
          <w:lang w:val="en-AU"/>
        </w:rPr>
        <w:t>ule(s).</w:t>
      </w:r>
    </w:p>
    <w:p w14:paraId="5C8D09D7" w14:textId="573BE489" w:rsidR="00096447" w:rsidRPr="00E2350A" w:rsidRDefault="00096447" w:rsidP="00ED4DF6">
      <w:pPr>
        <w:pStyle w:val="BodyText1"/>
        <w:rPr>
          <w:lang w:val="en-AU"/>
        </w:rPr>
      </w:pPr>
      <w:r w:rsidRPr="00096447">
        <w:rPr>
          <w:lang w:val="en-AU"/>
        </w:rPr>
        <w:t>In determining the benchmark prices, the Agency is seeking to allocate SDA funding at a level which results in overall payments to service providers (inclusive of rent contributions) which are commensurate with the market rate of return on investment. The Agency will provide pricing which considers two levels of return based on whether the property is newly constructed or an existing property. As set out in the SDA Framework and relevant sections of this position paper, prices for individual properties vary based on a number of factors including property type, nature of construction, number of bedrooms, allowances for overnight carer facilities, and geographic weightings.</w:t>
      </w:r>
    </w:p>
    <w:p w14:paraId="411A4441" w14:textId="2E419DB9" w:rsidR="00C129B9" w:rsidRPr="00E2350A" w:rsidRDefault="00843173" w:rsidP="00ED4DF6">
      <w:pPr>
        <w:pStyle w:val="BodyText1"/>
        <w:rPr>
          <w:lang w:val="en-AU"/>
        </w:rPr>
      </w:pPr>
      <w:r w:rsidRPr="00E2350A">
        <w:rPr>
          <w:lang w:val="en-AU"/>
        </w:rPr>
        <w:t xml:space="preserve">All SDA providers will need to be registered, as will the properties. The registration and monitoring process will capture and maintain sufficient details about the property and the tenants to enable the </w:t>
      </w:r>
      <w:r w:rsidR="004D4B94">
        <w:rPr>
          <w:lang w:val="en-AU"/>
        </w:rPr>
        <w:t>Agency</w:t>
      </w:r>
      <w:r w:rsidRPr="00E2350A">
        <w:rPr>
          <w:lang w:val="en-AU"/>
        </w:rPr>
        <w:t xml:space="preserve"> to apply the appropriate pricing</w:t>
      </w:r>
      <w:r w:rsidR="00E2350A" w:rsidRPr="00E2350A">
        <w:rPr>
          <w:lang w:val="en-AU"/>
        </w:rPr>
        <w:t xml:space="preserve">. </w:t>
      </w:r>
    </w:p>
    <w:p w14:paraId="411A4443" w14:textId="15207374" w:rsidR="00C129B9" w:rsidRPr="00E2350A" w:rsidRDefault="00096447" w:rsidP="00ED4DF6">
      <w:pPr>
        <w:pStyle w:val="BodyText1"/>
        <w:rPr>
          <w:lang w:val="en-AU"/>
        </w:rPr>
      </w:pPr>
      <w:r w:rsidRPr="00675E74">
        <w:rPr>
          <w:lang w:val="en-AU"/>
        </w:rPr>
        <w:t xml:space="preserve">Consistent with the SDA Framework, the </w:t>
      </w:r>
      <w:r w:rsidR="004802A3" w:rsidRPr="00E2350A">
        <w:rPr>
          <w:lang w:val="en-AU"/>
        </w:rPr>
        <w:t xml:space="preserve">payment by </w:t>
      </w:r>
      <w:r w:rsidR="00FB47D2" w:rsidRPr="00E2350A">
        <w:rPr>
          <w:lang w:val="en-AU"/>
        </w:rPr>
        <w:t xml:space="preserve">the </w:t>
      </w:r>
      <w:r w:rsidR="001174B2" w:rsidRPr="00E2350A">
        <w:rPr>
          <w:lang w:val="en-AU"/>
        </w:rPr>
        <w:t xml:space="preserve">Agency </w:t>
      </w:r>
      <w:r w:rsidR="004802A3" w:rsidRPr="00E2350A">
        <w:rPr>
          <w:lang w:val="en-AU"/>
        </w:rPr>
        <w:t>will be per participant</w:t>
      </w:r>
      <w:r w:rsidR="00ED4DF6" w:rsidRPr="00E2350A">
        <w:rPr>
          <w:lang w:val="en-AU"/>
        </w:rPr>
        <w:t>,</w:t>
      </w:r>
      <w:r w:rsidR="004802A3" w:rsidRPr="00E2350A">
        <w:rPr>
          <w:lang w:val="en-AU"/>
        </w:rPr>
        <w:t xml:space="preserve"> while the property is occupied. </w:t>
      </w:r>
      <w:r>
        <w:rPr>
          <w:lang w:val="en-AU"/>
        </w:rPr>
        <w:t>O</w:t>
      </w:r>
      <w:r w:rsidR="004802A3" w:rsidRPr="00E2350A">
        <w:rPr>
          <w:lang w:val="en-AU"/>
        </w:rPr>
        <w:t xml:space="preserve">ccupancy and vacancy risk </w:t>
      </w:r>
      <w:r w:rsidR="00ED4DF6" w:rsidRPr="00E2350A">
        <w:rPr>
          <w:lang w:val="en-AU"/>
        </w:rPr>
        <w:t>rests</w:t>
      </w:r>
      <w:r w:rsidR="004802A3" w:rsidRPr="00E2350A">
        <w:rPr>
          <w:lang w:val="en-AU"/>
        </w:rPr>
        <w:t xml:space="preserve"> with the housing </w:t>
      </w:r>
      <w:r w:rsidR="00F041C6" w:rsidRPr="00E2350A">
        <w:rPr>
          <w:lang w:val="en-AU"/>
        </w:rPr>
        <w:t>provider. Each</w:t>
      </w:r>
      <w:r w:rsidR="004802A3" w:rsidRPr="00E2350A">
        <w:rPr>
          <w:lang w:val="en-AU"/>
        </w:rPr>
        <w:t xml:space="preserve"> participant is free to choose whether or not they wish to reside in a property. The rate of return adopted by </w:t>
      </w:r>
      <w:r w:rsidR="00FB47D2" w:rsidRPr="00E2350A">
        <w:rPr>
          <w:lang w:val="en-AU"/>
        </w:rPr>
        <w:t xml:space="preserve">the </w:t>
      </w:r>
      <w:r w:rsidR="004D4B94">
        <w:rPr>
          <w:lang w:val="en-AU"/>
        </w:rPr>
        <w:t>Agency</w:t>
      </w:r>
      <w:r w:rsidR="004802A3" w:rsidRPr="00E2350A">
        <w:rPr>
          <w:lang w:val="en-AU"/>
        </w:rPr>
        <w:t xml:space="preserve"> </w:t>
      </w:r>
      <w:r>
        <w:rPr>
          <w:lang w:val="en-AU"/>
        </w:rPr>
        <w:t>has been designed to</w:t>
      </w:r>
      <w:r w:rsidRPr="00E2350A">
        <w:rPr>
          <w:lang w:val="en-AU"/>
        </w:rPr>
        <w:t xml:space="preserve"> </w:t>
      </w:r>
      <w:r w:rsidR="004802A3" w:rsidRPr="00E2350A">
        <w:rPr>
          <w:lang w:val="en-AU"/>
        </w:rPr>
        <w:t xml:space="preserve">reflect this risk. </w:t>
      </w:r>
    </w:p>
    <w:p w14:paraId="411A4444" w14:textId="0B59D4F1" w:rsidR="00233FDD" w:rsidRDefault="00233FDD" w:rsidP="00ED4DF6">
      <w:pPr>
        <w:pStyle w:val="BodyText1"/>
        <w:rPr>
          <w:lang w:val="en-AU"/>
        </w:rPr>
      </w:pPr>
      <w:r w:rsidRPr="00E2350A">
        <w:rPr>
          <w:lang w:val="en-AU"/>
        </w:rPr>
        <w:t xml:space="preserve">The </w:t>
      </w:r>
      <w:r w:rsidR="004D4B94">
        <w:rPr>
          <w:lang w:val="en-AU"/>
        </w:rPr>
        <w:t>Agency</w:t>
      </w:r>
      <w:r w:rsidRPr="00E2350A">
        <w:rPr>
          <w:lang w:val="en-AU"/>
        </w:rPr>
        <w:t xml:space="preserve"> will examine the feasibility of stimulating the market to supply housing in particular areas as demand for specialist housing becomes clear through transition</w:t>
      </w:r>
      <w:r w:rsidR="00E2350A" w:rsidRPr="00E2350A">
        <w:rPr>
          <w:lang w:val="en-AU"/>
        </w:rPr>
        <w:t xml:space="preserve">. </w:t>
      </w:r>
      <w:r w:rsidRPr="00E2350A">
        <w:rPr>
          <w:lang w:val="en-AU"/>
        </w:rPr>
        <w:t xml:space="preserve">Subject to policy and legal authority, this may include directly commissioning property. This may be necessary to achieve the short-term growth in accommodation supply necessary to accelerate clearance of waiting lists and support the forecast numbers of full-scheme NDIS participants. This </w:t>
      </w:r>
      <w:r w:rsidR="00096447">
        <w:rPr>
          <w:lang w:val="en-AU"/>
        </w:rPr>
        <w:t xml:space="preserve">type of procurement </w:t>
      </w:r>
      <w:r w:rsidRPr="00E2350A">
        <w:rPr>
          <w:lang w:val="en-AU"/>
        </w:rPr>
        <w:t xml:space="preserve">is similar to existing approaches where the </w:t>
      </w:r>
      <w:r w:rsidR="004D4B94">
        <w:rPr>
          <w:lang w:val="en-AU"/>
        </w:rPr>
        <w:t>Agency</w:t>
      </w:r>
      <w:r w:rsidRPr="00E2350A">
        <w:rPr>
          <w:lang w:val="en-AU"/>
        </w:rPr>
        <w:t xml:space="preserve"> </w:t>
      </w:r>
      <w:r w:rsidR="00691FBB">
        <w:rPr>
          <w:lang w:val="en-AU"/>
        </w:rPr>
        <w:t xml:space="preserve">may choose </w:t>
      </w:r>
      <w:r w:rsidRPr="00E2350A">
        <w:rPr>
          <w:lang w:val="en-AU"/>
        </w:rPr>
        <w:t xml:space="preserve">to bulk purchase supports. In such circumstances the </w:t>
      </w:r>
      <w:r w:rsidR="004D4B94">
        <w:rPr>
          <w:lang w:val="en-AU"/>
        </w:rPr>
        <w:t>Agency</w:t>
      </w:r>
      <w:r w:rsidRPr="00E2350A">
        <w:rPr>
          <w:lang w:val="en-AU"/>
        </w:rPr>
        <w:t xml:space="preserve"> will consider taking on occupancy/vacancy risk and providing an agreed term of funding. In this case a lower rate of return will be applicable.</w:t>
      </w:r>
    </w:p>
    <w:p w14:paraId="2A5100DD" w14:textId="700EEFD1" w:rsidR="004C5FEE" w:rsidRDefault="00096D2C" w:rsidP="00096D2C">
      <w:pPr>
        <w:pStyle w:val="BodyText1"/>
        <w:rPr>
          <w:lang w:val="en-AU"/>
        </w:rPr>
      </w:pPr>
      <w:r w:rsidRPr="00675E74">
        <w:rPr>
          <w:lang w:val="en-AU"/>
        </w:rPr>
        <w:t xml:space="preserve">The following sections detail benchmark pricing formula set out in the SDA Framework, then describe the Agency’s proposed scope for variation in elements of the formula and pricing considerations. The final section sets out the key assumptions </w:t>
      </w:r>
      <w:r w:rsidR="004C5FEE">
        <w:rPr>
          <w:lang w:val="en-AU"/>
        </w:rPr>
        <w:t>underpinning</w:t>
      </w:r>
      <w:r w:rsidRPr="00675E74">
        <w:rPr>
          <w:lang w:val="en-AU"/>
        </w:rPr>
        <w:t xml:space="preserve"> the draft benchmark prices.</w:t>
      </w:r>
    </w:p>
    <w:p w14:paraId="08131CD1" w14:textId="77777777" w:rsidR="004C5FEE" w:rsidRDefault="004C5FEE">
      <w:pPr>
        <w:spacing w:line="276" w:lineRule="auto"/>
        <w:rPr>
          <w:rFonts w:asciiTheme="minorHAnsi" w:eastAsia="MS Mincho" w:hAnsiTheme="minorHAnsi" w:cs="FSMe-Bold"/>
          <w:spacing w:val="-2"/>
          <w:sz w:val="24"/>
          <w:szCs w:val="20"/>
          <w:lang w:val="en-AU" w:eastAsia="en-US"/>
        </w:rPr>
      </w:pPr>
      <w:r>
        <w:rPr>
          <w:lang w:val="en-AU"/>
        </w:rPr>
        <w:br w:type="page"/>
      </w:r>
    </w:p>
    <w:p w14:paraId="411A4445" w14:textId="77777777" w:rsidR="00055D4F" w:rsidRPr="00E348A4" w:rsidRDefault="00055D4F" w:rsidP="00B85F8A">
      <w:pPr>
        <w:pStyle w:val="Heading3"/>
      </w:pPr>
      <w:bookmarkStart w:id="42" w:name="_Toc447447075"/>
      <w:bookmarkStart w:id="43" w:name="_Toc447450388"/>
      <w:r w:rsidRPr="00E348A4">
        <w:lastRenderedPageBreak/>
        <w:t xml:space="preserve">Pricing </w:t>
      </w:r>
      <w:r w:rsidR="009C451A">
        <w:t>m</w:t>
      </w:r>
      <w:r w:rsidR="009C451A" w:rsidRPr="00E348A4">
        <w:t xml:space="preserve">odel </w:t>
      </w:r>
      <w:r w:rsidRPr="00E348A4">
        <w:t xml:space="preserve">and Price </w:t>
      </w:r>
      <w:r w:rsidR="009C451A">
        <w:t>m</w:t>
      </w:r>
      <w:r w:rsidR="009C451A" w:rsidRPr="00E348A4">
        <w:t>atrix</w:t>
      </w:r>
      <w:bookmarkEnd w:id="42"/>
      <w:bookmarkEnd w:id="43"/>
    </w:p>
    <w:p w14:paraId="411A4446" w14:textId="77777777" w:rsidR="00055D4F" w:rsidRPr="00E2350A" w:rsidRDefault="001174B2" w:rsidP="001E2292">
      <w:pPr>
        <w:pStyle w:val="BodyText1"/>
        <w:rPr>
          <w:lang w:val="en-AU"/>
        </w:rPr>
      </w:pPr>
      <w:r w:rsidRPr="00E2350A">
        <w:rPr>
          <w:lang w:val="en-AU"/>
        </w:rPr>
        <w:t>The</w:t>
      </w:r>
      <w:r w:rsidR="005C14D4" w:rsidRPr="00E2350A">
        <w:rPr>
          <w:lang w:val="en-AU"/>
        </w:rPr>
        <w:t xml:space="preserve"> benchmark</w:t>
      </w:r>
      <w:r w:rsidRPr="00E2350A">
        <w:rPr>
          <w:lang w:val="en-AU"/>
        </w:rPr>
        <w:t xml:space="preserve"> </w:t>
      </w:r>
      <w:r w:rsidR="00055D4F" w:rsidRPr="00E2350A">
        <w:rPr>
          <w:lang w:val="en-AU"/>
        </w:rPr>
        <w:t xml:space="preserve">pricing model for SDA has been developed based on the formula </w:t>
      </w:r>
      <w:r w:rsidR="0004014D" w:rsidRPr="00E2350A">
        <w:rPr>
          <w:lang w:val="en-AU"/>
        </w:rPr>
        <w:t xml:space="preserve">and expected adjustment factors </w:t>
      </w:r>
      <w:r w:rsidR="00055D4F" w:rsidRPr="00E2350A">
        <w:rPr>
          <w:lang w:val="en-AU"/>
        </w:rPr>
        <w:t xml:space="preserve">outlined in the </w:t>
      </w:r>
      <w:r w:rsidRPr="00E2350A">
        <w:rPr>
          <w:lang w:val="en-AU"/>
        </w:rPr>
        <w:t xml:space="preserve">SDA </w:t>
      </w:r>
      <w:r w:rsidR="00055D4F" w:rsidRPr="00E2350A">
        <w:rPr>
          <w:lang w:val="en-AU"/>
        </w:rPr>
        <w:t>Framework</w:t>
      </w:r>
      <w:r w:rsidR="0004014D" w:rsidRPr="00E2350A">
        <w:rPr>
          <w:lang w:val="en-AU"/>
        </w:rPr>
        <w:t>.</w:t>
      </w:r>
      <w:r w:rsidR="00055D4F" w:rsidRPr="00E2350A">
        <w:rPr>
          <w:lang w:val="en-AU"/>
        </w:rPr>
        <w:t xml:space="preserve"> To the extent possible, the model assumptions have been developed from industry benchmarks, but have referenced </w:t>
      </w:r>
      <w:r w:rsidR="00DD5E4E" w:rsidRPr="00E2350A">
        <w:rPr>
          <w:lang w:val="en-AU"/>
        </w:rPr>
        <w:t>S</w:t>
      </w:r>
      <w:r w:rsidR="00055D4F" w:rsidRPr="00E2350A">
        <w:rPr>
          <w:lang w:val="en-AU"/>
        </w:rPr>
        <w:t xml:space="preserve">tate </w:t>
      </w:r>
      <w:r w:rsidRPr="00E2350A">
        <w:rPr>
          <w:lang w:val="en-AU"/>
        </w:rPr>
        <w:t>government</w:t>
      </w:r>
      <w:r w:rsidR="00055D4F" w:rsidRPr="00E2350A">
        <w:rPr>
          <w:lang w:val="en-AU"/>
        </w:rPr>
        <w:t xml:space="preserve"> data to </w:t>
      </w:r>
      <w:r w:rsidR="0004014D" w:rsidRPr="00E2350A">
        <w:rPr>
          <w:lang w:val="en-AU"/>
        </w:rPr>
        <w:t>test</w:t>
      </w:r>
      <w:r w:rsidR="00055D4F" w:rsidRPr="00E2350A">
        <w:rPr>
          <w:lang w:val="en-AU"/>
        </w:rPr>
        <w:t xml:space="preserve"> and calibrate the results. </w:t>
      </w:r>
    </w:p>
    <w:p w14:paraId="411A4447" w14:textId="18F9F619" w:rsidR="00055D4F" w:rsidRPr="00E2350A" w:rsidRDefault="00055D4F" w:rsidP="001E2292">
      <w:pPr>
        <w:pStyle w:val="BodyText1"/>
        <w:rPr>
          <w:lang w:val="en-AU"/>
        </w:rPr>
      </w:pPr>
      <w:r w:rsidRPr="00E2350A">
        <w:rPr>
          <w:lang w:val="en-AU"/>
        </w:rPr>
        <w:t xml:space="preserve">There are separate prices for new </w:t>
      </w:r>
      <w:r w:rsidR="00096D2C">
        <w:rPr>
          <w:lang w:val="en-AU"/>
        </w:rPr>
        <w:t>housing</w:t>
      </w:r>
      <w:r w:rsidR="00096D2C" w:rsidRPr="00E2350A">
        <w:rPr>
          <w:lang w:val="en-AU"/>
        </w:rPr>
        <w:t xml:space="preserve"> </w:t>
      </w:r>
      <w:r w:rsidRPr="00E2350A">
        <w:rPr>
          <w:lang w:val="en-AU"/>
        </w:rPr>
        <w:t xml:space="preserve">and for existing </w:t>
      </w:r>
      <w:r w:rsidR="00096D2C">
        <w:rPr>
          <w:lang w:val="en-AU"/>
        </w:rPr>
        <w:t xml:space="preserve">housing </w:t>
      </w:r>
      <w:r w:rsidRPr="00E2350A">
        <w:rPr>
          <w:lang w:val="en-AU"/>
        </w:rPr>
        <w:t xml:space="preserve">stock. The price for new builds is set to provide an incentive to a broad range of potential investors to respond quickly in constructing new properties to provide for unmet SDA demand. The price for existing </w:t>
      </w:r>
      <w:r w:rsidR="00096D2C">
        <w:rPr>
          <w:lang w:val="en-AU"/>
        </w:rPr>
        <w:t xml:space="preserve">housing </w:t>
      </w:r>
      <w:r w:rsidRPr="00E2350A">
        <w:rPr>
          <w:lang w:val="en-AU"/>
        </w:rPr>
        <w:t>stock is lower and provides yields more in line with the established rental market to ensure owners have a financial incentive to retain participants for as long as they choose</w:t>
      </w:r>
      <w:r w:rsidR="001852AF" w:rsidRPr="00E2350A">
        <w:rPr>
          <w:lang w:val="en-AU"/>
        </w:rPr>
        <w:t xml:space="preserve"> to live at the property</w:t>
      </w:r>
      <w:r w:rsidR="00E2350A" w:rsidRPr="00E2350A">
        <w:rPr>
          <w:lang w:val="en-AU"/>
        </w:rPr>
        <w:t xml:space="preserve">. </w:t>
      </w:r>
      <w:r w:rsidRPr="00E2350A">
        <w:rPr>
          <w:lang w:val="en-AU"/>
        </w:rPr>
        <w:t xml:space="preserve">   </w:t>
      </w:r>
    </w:p>
    <w:p w14:paraId="411A4448" w14:textId="77777777" w:rsidR="001E2292" w:rsidRPr="00E2350A" w:rsidRDefault="00661051" w:rsidP="001E2292">
      <w:pPr>
        <w:pStyle w:val="BodyText1"/>
        <w:rPr>
          <w:lang w:val="en-AU"/>
        </w:rPr>
      </w:pPr>
      <w:r w:rsidRPr="00E2350A">
        <w:rPr>
          <w:lang w:val="en-AU"/>
        </w:rPr>
        <w:t>The benchmark prices have additive and/or multiplicative factors or weights for classes of dwellings (determined by the Agency) that can be applied by the Agency as necessary</w:t>
      </w:r>
      <w:r w:rsidR="001E2292" w:rsidRPr="00E2350A">
        <w:rPr>
          <w:lang w:val="en-AU"/>
        </w:rPr>
        <w:t xml:space="preserve">. </w:t>
      </w:r>
    </w:p>
    <w:p w14:paraId="411A4449" w14:textId="12BC860E" w:rsidR="00516385" w:rsidRDefault="00055D4F" w:rsidP="001E2292">
      <w:pPr>
        <w:pStyle w:val="BodyText1"/>
        <w:rPr>
          <w:lang w:val="en-AU"/>
        </w:rPr>
      </w:pPr>
      <w:r w:rsidRPr="00E2350A">
        <w:rPr>
          <w:lang w:val="en-AU"/>
        </w:rPr>
        <w:t xml:space="preserve">Prices are differentiated by building type and design </w:t>
      </w:r>
      <w:r w:rsidR="00096D2C">
        <w:rPr>
          <w:lang w:val="en-AU"/>
        </w:rPr>
        <w:t>category</w:t>
      </w:r>
      <w:r w:rsidRPr="00E2350A">
        <w:rPr>
          <w:lang w:val="en-AU"/>
        </w:rPr>
        <w:t xml:space="preserve">. The </w:t>
      </w:r>
      <w:r w:rsidR="00096D2C">
        <w:rPr>
          <w:lang w:val="en-AU"/>
        </w:rPr>
        <w:t xml:space="preserve">building type and design </w:t>
      </w:r>
      <w:r w:rsidRPr="00E2350A">
        <w:rPr>
          <w:lang w:val="en-AU"/>
        </w:rPr>
        <w:t>categories were developed through consultation with stakeholders, with detailed specifications developed by architects</w:t>
      </w:r>
      <w:r w:rsidR="001852AF" w:rsidRPr="00E2350A">
        <w:rPr>
          <w:lang w:val="en-AU"/>
        </w:rPr>
        <w:t>,</w:t>
      </w:r>
      <w:r w:rsidR="004A2EAC" w:rsidRPr="00E2350A">
        <w:rPr>
          <w:lang w:val="en-AU"/>
        </w:rPr>
        <w:t xml:space="preserve"> reflect</w:t>
      </w:r>
      <w:r w:rsidR="001852AF" w:rsidRPr="00E2350A">
        <w:rPr>
          <w:lang w:val="en-AU"/>
        </w:rPr>
        <w:t>ing</w:t>
      </w:r>
      <w:r w:rsidR="004A2EAC" w:rsidRPr="00E2350A">
        <w:rPr>
          <w:lang w:val="en-AU"/>
        </w:rPr>
        <w:t xml:space="preserve"> the range of different types of accommodation that the </w:t>
      </w:r>
      <w:r w:rsidR="00096D2C">
        <w:rPr>
          <w:lang w:val="en-AU"/>
        </w:rPr>
        <w:t>Agency</w:t>
      </w:r>
      <w:r w:rsidR="00096D2C" w:rsidRPr="00E2350A">
        <w:rPr>
          <w:lang w:val="en-AU"/>
        </w:rPr>
        <w:t xml:space="preserve"> </w:t>
      </w:r>
      <w:r w:rsidR="004A2EAC" w:rsidRPr="00E2350A">
        <w:rPr>
          <w:lang w:val="en-AU"/>
        </w:rPr>
        <w:t>may need to fund, including existing accommodation</w:t>
      </w:r>
      <w:r w:rsidRPr="00E2350A">
        <w:rPr>
          <w:lang w:val="en-AU"/>
        </w:rPr>
        <w:t>.</w:t>
      </w:r>
    </w:p>
    <w:p w14:paraId="383910C9" w14:textId="36523971" w:rsidR="00096D2C" w:rsidRPr="00E2350A" w:rsidRDefault="00096D2C" w:rsidP="00096D2C">
      <w:pPr>
        <w:pStyle w:val="BodyText1"/>
        <w:rPr>
          <w:lang w:val="en-AU"/>
        </w:rPr>
      </w:pPr>
      <w:r w:rsidRPr="00675E74">
        <w:rPr>
          <w:lang w:val="en-AU"/>
        </w:rPr>
        <w:t xml:space="preserve">For clarity it is noted that the benchmark pricing formula and the SDA Framework (as set out in Appendix B) have been agreed and endorsed by the States and therefore no changes will be made to these aspects as a result of feedback received in this consultation. Comments should be directed towards the interpretation and proposed approach </w:t>
      </w:r>
      <w:r>
        <w:rPr>
          <w:lang w:val="en-AU"/>
        </w:rPr>
        <w:t>as outlined in this paper</w:t>
      </w:r>
      <w:r w:rsidRPr="00675E74">
        <w:rPr>
          <w:lang w:val="en-AU"/>
        </w:rPr>
        <w:t>.</w:t>
      </w:r>
    </w:p>
    <w:p w14:paraId="411A444A" w14:textId="77777777" w:rsidR="00CE5764" w:rsidRPr="00E348A4" w:rsidRDefault="00CE5764" w:rsidP="00B85F8A">
      <w:pPr>
        <w:pStyle w:val="Heading3"/>
      </w:pPr>
      <w:bookmarkStart w:id="44" w:name="_Toc447447076"/>
      <w:bookmarkStart w:id="45" w:name="_Toc447450389"/>
      <w:r w:rsidRPr="00E348A4">
        <w:rPr>
          <w:rFonts w:eastAsiaTheme="minorHAnsi"/>
        </w:rPr>
        <w:t>Benchmark pricing formula</w:t>
      </w:r>
      <w:bookmarkEnd w:id="44"/>
      <w:bookmarkEnd w:id="45"/>
    </w:p>
    <w:p w14:paraId="411A444B" w14:textId="6C7F7D50" w:rsidR="00CE5764" w:rsidRPr="00E2350A" w:rsidRDefault="006E6C2A" w:rsidP="000F045D">
      <w:pPr>
        <w:pStyle w:val="BodyText1"/>
        <w:jc w:val="both"/>
        <w:rPr>
          <w:lang w:val="en-AU"/>
        </w:rPr>
      </w:pPr>
      <w:r w:rsidRPr="00E2350A">
        <w:rPr>
          <w:lang w:val="en-AU"/>
        </w:rPr>
        <w:t xml:space="preserve">In accordance with the </w:t>
      </w:r>
      <w:r w:rsidR="001174B2" w:rsidRPr="00E2350A">
        <w:rPr>
          <w:lang w:val="en-AU"/>
        </w:rPr>
        <w:t xml:space="preserve">SDA </w:t>
      </w:r>
      <w:r w:rsidRPr="00E2350A">
        <w:rPr>
          <w:lang w:val="en-AU"/>
        </w:rPr>
        <w:t>Framework</w:t>
      </w:r>
      <w:r w:rsidR="001174B2" w:rsidRPr="00E2350A">
        <w:rPr>
          <w:lang w:val="en-AU"/>
        </w:rPr>
        <w:t>,</w:t>
      </w:r>
      <w:r w:rsidRPr="00E2350A">
        <w:rPr>
          <w:lang w:val="en-AU"/>
        </w:rPr>
        <w:t xml:space="preserve"> the </w:t>
      </w:r>
      <w:r w:rsidR="004D4B94">
        <w:rPr>
          <w:lang w:val="en-AU"/>
        </w:rPr>
        <w:t>Agency</w:t>
      </w:r>
      <w:r w:rsidRPr="00E2350A">
        <w:rPr>
          <w:lang w:val="en-AU"/>
        </w:rPr>
        <w:t>’s benchmark pricing for SDA is based on an efficient representative provider, with representative configurations of dwelling stock. Prices are calculated based on the formula illustrated below and expressed as a price per participant.</w:t>
      </w:r>
      <w:r w:rsidR="000F6A95">
        <w:rPr>
          <w:lang w:val="en-AU"/>
        </w:rPr>
        <w:t xml:space="preserve"> </w:t>
      </w:r>
      <w:r w:rsidR="000F6A95" w:rsidRPr="00CE4852">
        <w:rPr>
          <w:lang w:val="en-AU"/>
        </w:rPr>
        <w:t xml:space="preserve">The numbers in brackets refer to elements described </w:t>
      </w:r>
      <w:r w:rsidR="000F6A95" w:rsidRPr="004C5FEE">
        <w:t xml:space="preserve">in </w:t>
      </w:r>
      <w:r w:rsidR="004C5FEE" w:rsidRPr="004C5FEE">
        <w:fldChar w:fldCharType="begin"/>
      </w:r>
      <w:r w:rsidR="004C5FEE" w:rsidRPr="004C5FEE">
        <w:instrText xml:space="preserve"> REF _Ref447480887 \h </w:instrText>
      </w:r>
      <w:r w:rsidR="004C5FEE">
        <w:instrText xml:space="preserve"> \* MERGEFORMAT </w:instrText>
      </w:r>
      <w:r w:rsidR="004C5FEE" w:rsidRPr="004C5FEE">
        <w:fldChar w:fldCharType="separate"/>
      </w:r>
      <w:r w:rsidR="00607084" w:rsidRPr="00607084">
        <w:t>Table 1</w:t>
      </w:r>
      <w:r w:rsidR="004C5FEE" w:rsidRPr="004C5FEE">
        <w:fldChar w:fldCharType="end"/>
      </w:r>
      <w:r w:rsidR="004C5FEE" w:rsidRPr="004C5FEE">
        <w:t xml:space="preserve"> </w:t>
      </w:r>
      <w:r w:rsidR="000F6A95" w:rsidRPr="004C5FEE">
        <w:t>below.</w:t>
      </w:r>
    </w:p>
    <w:tbl>
      <w:tblPr>
        <w:tblStyle w:val="TableGrid"/>
        <w:tblW w:w="0" w:type="auto"/>
        <w:tblLook w:val="04A0" w:firstRow="1" w:lastRow="0" w:firstColumn="1" w:lastColumn="0" w:noHBand="0" w:noVBand="1"/>
      </w:tblPr>
      <w:tblGrid>
        <w:gridCol w:w="9016"/>
      </w:tblGrid>
      <w:tr w:rsidR="008B10CA" w14:paraId="411A4454" w14:textId="77777777" w:rsidTr="008B10CA">
        <w:tc>
          <w:tcPr>
            <w:tcW w:w="9016" w:type="dxa"/>
          </w:tcPr>
          <w:p w14:paraId="411A444C" w14:textId="77777777" w:rsidR="00857150" w:rsidRPr="000F045D" w:rsidRDefault="00857150" w:rsidP="008B10CA">
            <w:pPr>
              <w:pStyle w:val="BodyText1"/>
              <w:rPr>
                <w:rFonts w:ascii="Calibri" w:eastAsiaTheme="minorHAnsi" w:hAnsi="Calibri" w:cs="Calibri"/>
                <w:b/>
                <w:u w:val="single"/>
              </w:rPr>
            </w:pPr>
            <w:r w:rsidRPr="000F045D">
              <w:rPr>
                <w:rFonts w:ascii="Calibri" w:eastAsiaTheme="minorHAnsi" w:hAnsi="Calibri" w:cs="Calibri"/>
                <w:b/>
                <w:u w:val="single"/>
              </w:rPr>
              <w:t>Benchmark pricing formula</w:t>
            </w:r>
          </w:p>
          <w:p w14:paraId="411A444D" w14:textId="77777777" w:rsidR="008B10CA" w:rsidRPr="00E348A4" w:rsidRDefault="008B10CA" w:rsidP="00302A64">
            <w:pPr>
              <w:pStyle w:val="MJAnormal"/>
              <w:spacing w:before="240"/>
              <w:rPr>
                <w:rFonts w:ascii="Calibri" w:eastAsiaTheme="minorHAnsi" w:hAnsi="Calibri" w:cs="Calibri"/>
                <w:b/>
                <w:sz w:val="24"/>
                <w:szCs w:val="24"/>
              </w:rPr>
            </w:pPr>
            <w:r w:rsidRPr="00E348A4">
              <w:rPr>
                <w:rFonts w:ascii="Calibri" w:eastAsiaTheme="minorHAnsi" w:hAnsi="Calibri" w:cs="Calibri"/>
                <w:b/>
                <w:sz w:val="24"/>
                <w:szCs w:val="24"/>
              </w:rPr>
              <w:t xml:space="preserve">Dwelling price </w:t>
            </w:r>
            <w:r w:rsidR="0049691F">
              <w:rPr>
                <w:rFonts w:ascii="Calibri" w:eastAsiaTheme="minorHAnsi" w:hAnsi="Calibri" w:cs="Calibri"/>
                <w:b/>
                <w:sz w:val="24"/>
                <w:szCs w:val="24"/>
              </w:rPr>
              <w:t xml:space="preserve">(1) </w:t>
            </w:r>
            <w:r w:rsidRPr="00E348A4">
              <w:rPr>
                <w:rFonts w:ascii="Calibri" w:eastAsiaTheme="minorHAnsi" w:hAnsi="Calibri" w:cs="Calibri"/>
                <w:b/>
                <w:sz w:val="24"/>
                <w:szCs w:val="24"/>
              </w:rPr>
              <w:t xml:space="preserve">= </w:t>
            </w:r>
          </w:p>
          <w:p w14:paraId="411A444E"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Consumption costs </w:t>
            </w:r>
            <w:r w:rsidR="0049691F">
              <w:rPr>
                <w:rFonts w:ascii="Calibri" w:eastAsiaTheme="minorHAnsi" w:hAnsi="Calibri" w:cs="Calibri"/>
                <w:b/>
                <w:sz w:val="24"/>
                <w:szCs w:val="24"/>
              </w:rPr>
              <w:t>(2)</w:t>
            </w:r>
          </w:p>
          <w:p w14:paraId="411A444F"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Opportunity costs of capital</w:t>
            </w:r>
            <w:r w:rsidR="0049691F">
              <w:rPr>
                <w:rFonts w:ascii="Calibri" w:eastAsiaTheme="minorHAnsi" w:hAnsi="Calibri" w:cs="Calibri"/>
                <w:b/>
                <w:sz w:val="24"/>
                <w:szCs w:val="24"/>
              </w:rPr>
              <w:t xml:space="preserve"> (3)</w:t>
            </w:r>
            <w:r w:rsidRPr="00E348A4">
              <w:rPr>
                <w:rFonts w:ascii="Calibri" w:eastAsiaTheme="minorHAnsi" w:hAnsi="Calibri" w:cs="Calibri"/>
                <w:b/>
                <w:sz w:val="24"/>
                <w:szCs w:val="24"/>
              </w:rPr>
              <w:t xml:space="preserve"> </w:t>
            </w:r>
          </w:p>
          <w:p w14:paraId="411A4450"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Costs of ownership </w:t>
            </w:r>
            <w:r w:rsidR="0049691F">
              <w:rPr>
                <w:rFonts w:ascii="Calibri" w:eastAsiaTheme="minorHAnsi" w:hAnsi="Calibri" w:cs="Calibri"/>
                <w:b/>
                <w:sz w:val="24"/>
                <w:szCs w:val="24"/>
              </w:rPr>
              <w:t>(4)</w:t>
            </w:r>
          </w:p>
          <w:p w14:paraId="411A4451"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Land price inflation </w:t>
            </w:r>
            <w:r w:rsidR="0049691F">
              <w:rPr>
                <w:rFonts w:ascii="Calibri" w:eastAsiaTheme="minorHAnsi" w:hAnsi="Calibri" w:cs="Calibri"/>
                <w:b/>
                <w:sz w:val="24"/>
                <w:szCs w:val="24"/>
              </w:rPr>
              <w:t>(5)</w:t>
            </w:r>
          </w:p>
          <w:p w14:paraId="411A4452"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w:t>
            </w:r>
            <w:r>
              <w:rPr>
                <w:rFonts w:ascii="Calibri" w:eastAsiaTheme="minorHAnsi" w:hAnsi="Calibri" w:cs="Calibri"/>
                <w:b/>
                <w:sz w:val="24"/>
                <w:szCs w:val="24"/>
              </w:rPr>
              <w:t>Reasonable rent contribution</w:t>
            </w:r>
            <w:r w:rsidRPr="00E348A4">
              <w:rPr>
                <w:rFonts w:ascii="Calibri" w:eastAsiaTheme="minorHAnsi" w:hAnsi="Calibri" w:cs="Calibri"/>
                <w:b/>
                <w:sz w:val="24"/>
                <w:szCs w:val="24"/>
              </w:rPr>
              <w:t xml:space="preserve"> (from all participants in dwelling)</w:t>
            </w:r>
            <w:r w:rsidR="0049691F">
              <w:rPr>
                <w:rFonts w:ascii="Calibri" w:eastAsiaTheme="minorHAnsi" w:hAnsi="Calibri" w:cs="Calibri"/>
                <w:b/>
                <w:sz w:val="24"/>
                <w:szCs w:val="24"/>
              </w:rPr>
              <w:t xml:space="preserve"> (6)</w:t>
            </w:r>
          </w:p>
          <w:p w14:paraId="411A4453" w14:textId="77777777" w:rsidR="008B10CA" w:rsidRPr="008B10CA" w:rsidRDefault="008B10CA" w:rsidP="00302A64">
            <w:pPr>
              <w:pStyle w:val="MJAnormal"/>
              <w:spacing w:before="240"/>
              <w:rPr>
                <w:rFonts w:ascii="Calibri" w:eastAsiaTheme="minorHAnsi" w:hAnsi="Calibri" w:cs="Calibri"/>
                <w:b/>
                <w:sz w:val="24"/>
                <w:szCs w:val="24"/>
              </w:rPr>
            </w:pPr>
            <w:r w:rsidRPr="00E348A4">
              <w:rPr>
                <w:rFonts w:ascii="Calibri" w:eastAsiaTheme="minorHAnsi" w:hAnsi="Calibri" w:cs="Calibri"/>
                <w:b/>
                <w:sz w:val="24"/>
                <w:szCs w:val="24"/>
              </w:rPr>
              <w:t xml:space="preserve">Benchmark price </w:t>
            </w:r>
            <w:r w:rsidR="0049691F">
              <w:rPr>
                <w:rFonts w:ascii="Calibri" w:eastAsiaTheme="minorHAnsi" w:hAnsi="Calibri" w:cs="Calibri"/>
                <w:b/>
                <w:sz w:val="24"/>
                <w:szCs w:val="24"/>
              </w:rPr>
              <w:t xml:space="preserve">(7) </w:t>
            </w:r>
            <w:r w:rsidRPr="00E348A4">
              <w:rPr>
                <w:rFonts w:ascii="Calibri" w:eastAsiaTheme="minorHAnsi" w:hAnsi="Calibri" w:cs="Calibri"/>
                <w:b/>
                <w:sz w:val="24"/>
                <w:szCs w:val="24"/>
              </w:rPr>
              <w:t xml:space="preserve">= Dwelling price </w:t>
            </w:r>
            <w:r w:rsidR="0049691F">
              <w:rPr>
                <w:rFonts w:ascii="Calibri" w:eastAsiaTheme="minorHAnsi" w:hAnsi="Calibri" w:cs="Calibri"/>
                <w:b/>
                <w:sz w:val="24"/>
                <w:szCs w:val="24"/>
              </w:rPr>
              <w:t xml:space="preserve">(1) </w:t>
            </w:r>
            <w:r w:rsidRPr="00E348A4">
              <w:rPr>
                <w:rFonts w:ascii="Calibri" w:eastAsiaTheme="minorHAnsi" w:hAnsi="Calibri" w:cs="Calibri"/>
                <w:b/>
                <w:sz w:val="24"/>
                <w:szCs w:val="24"/>
              </w:rPr>
              <w:t>/ anticipated number of residents</w:t>
            </w:r>
            <w:r w:rsidR="0049691F">
              <w:rPr>
                <w:rFonts w:ascii="Calibri" w:eastAsiaTheme="minorHAnsi" w:hAnsi="Calibri" w:cs="Calibri"/>
                <w:b/>
                <w:sz w:val="24"/>
                <w:szCs w:val="24"/>
              </w:rPr>
              <w:t xml:space="preserve"> (8)</w:t>
            </w:r>
          </w:p>
        </w:tc>
      </w:tr>
    </w:tbl>
    <w:p w14:paraId="7B882928" w14:textId="00F73567" w:rsidR="00D378E7" w:rsidRDefault="008B10CA" w:rsidP="00EC7935">
      <w:pPr>
        <w:pStyle w:val="BodyText1"/>
        <w:spacing w:before="120"/>
        <w:rPr>
          <w:lang w:val="en-AU"/>
        </w:rPr>
      </w:pPr>
      <w:r w:rsidRPr="00E2350A">
        <w:rPr>
          <w:lang w:val="en-AU"/>
        </w:rPr>
        <w:lastRenderedPageBreak/>
        <w:t>In addition, the benchmark price</w:t>
      </w:r>
      <w:r w:rsidR="000F6A95">
        <w:rPr>
          <w:lang w:val="en-AU"/>
        </w:rPr>
        <w:t>s</w:t>
      </w:r>
      <w:r w:rsidRPr="00E2350A">
        <w:rPr>
          <w:lang w:val="en-AU"/>
        </w:rPr>
        <w:t xml:space="preserve"> </w:t>
      </w:r>
      <w:r w:rsidR="000F6A95">
        <w:rPr>
          <w:lang w:val="en-AU"/>
        </w:rPr>
        <w:t>also allow for adjustments based on</w:t>
      </w:r>
      <w:r w:rsidRPr="00E2350A">
        <w:rPr>
          <w:lang w:val="en-AU"/>
        </w:rPr>
        <w:t xml:space="preserve"> location and other approved allowances. </w:t>
      </w:r>
    </w:p>
    <w:p w14:paraId="22BBA7D0" w14:textId="6A1CAAB2" w:rsidR="00D378E7" w:rsidRDefault="008B10CA" w:rsidP="00D378E7">
      <w:pPr>
        <w:pStyle w:val="BodyText1"/>
        <w:spacing w:before="120"/>
        <w:rPr>
          <w:lang w:val="en-AU"/>
        </w:rPr>
      </w:pPr>
      <w:r w:rsidRPr="00E2350A">
        <w:rPr>
          <w:lang w:val="en-AU"/>
        </w:rPr>
        <w:t xml:space="preserve">Assuming an average occupancy rate, the total income to the housing provider for a particular dwelling </w:t>
      </w:r>
      <w:r w:rsidR="00D378E7" w:rsidRPr="00CE4852">
        <w:rPr>
          <w:lang w:val="en-AU"/>
        </w:rPr>
        <w:t xml:space="preserve">is described in the following equation. As with the previous formulas, the numbers in brackets refer to elements </w:t>
      </w:r>
      <w:r w:rsidR="00D378E7" w:rsidRPr="004C5FEE">
        <w:t xml:space="preserve">described in </w:t>
      </w:r>
      <w:r w:rsidR="004C5FEE" w:rsidRPr="004C5FEE">
        <w:fldChar w:fldCharType="begin"/>
      </w:r>
      <w:r w:rsidR="004C5FEE" w:rsidRPr="004C5FEE">
        <w:instrText xml:space="preserve"> REF _Ref447480887 \h </w:instrText>
      </w:r>
      <w:r w:rsidR="004C5FEE">
        <w:instrText xml:space="preserve"> \* MERGEFORMAT </w:instrText>
      </w:r>
      <w:r w:rsidR="004C5FEE" w:rsidRPr="004C5FEE">
        <w:fldChar w:fldCharType="separate"/>
      </w:r>
      <w:r w:rsidR="00607084" w:rsidRPr="00607084">
        <w:t>Table 1</w:t>
      </w:r>
      <w:r w:rsidR="004C5FEE" w:rsidRPr="004C5FEE">
        <w:fldChar w:fldCharType="end"/>
      </w:r>
      <w:r w:rsidR="004C5FEE">
        <w:t xml:space="preserve"> </w:t>
      </w:r>
      <w:r w:rsidR="00D378E7" w:rsidRPr="004C5FEE">
        <w:t>below</w:t>
      </w:r>
      <w:r w:rsidR="00D378E7" w:rsidRPr="00CE4852">
        <w:rPr>
          <w:lang w:val="en-AU"/>
        </w:rPr>
        <w:t>.</w:t>
      </w:r>
    </w:p>
    <w:p w14:paraId="1108D392" w14:textId="5D5DD84A" w:rsidR="00D378E7" w:rsidRPr="000F045D" w:rsidRDefault="00D378E7" w:rsidP="000F045D">
      <w:pPr>
        <w:pStyle w:val="BodyText1"/>
        <w:pBdr>
          <w:top w:val="single" w:sz="4" w:space="1" w:color="auto"/>
          <w:left w:val="single" w:sz="4" w:space="4" w:color="auto"/>
          <w:bottom w:val="single" w:sz="4" w:space="1" w:color="auto"/>
          <w:right w:val="single" w:sz="4" w:space="4" w:color="auto"/>
        </w:pBdr>
        <w:spacing w:before="120"/>
        <w:rPr>
          <w:b/>
          <w:u w:val="single"/>
          <w:lang w:val="en-AU"/>
        </w:rPr>
      </w:pPr>
      <w:r w:rsidRPr="000F045D">
        <w:rPr>
          <w:b/>
          <w:u w:val="single"/>
          <w:lang w:val="en-AU"/>
        </w:rPr>
        <w:t>Calculating Housing Provider Income per dwelling</w:t>
      </w:r>
    </w:p>
    <w:p w14:paraId="411A4456" w14:textId="77777777" w:rsidR="008B10CA" w:rsidRPr="001E2292" w:rsidRDefault="007321A7" w:rsidP="000F045D">
      <w:pPr>
        <w:pStyle w:val="BodyText1"/>
        <w:pBdr>
          <w:top w:val="single" w:sz="4" w:space="1" w:color="auto"/>
          <w:left w:val="single" w:sz="4" w:space="4" w:color="auto"/>
          <w:bottom w:val="single" w:sz="4" w:space="1" w:color="auto"/>
          <w:right w:val="single" w:sz="4" w:space="4" w:color="auto"/>
        </w:pBdr>
        <w:spacing w:before="120"/>
        <w:rPr>
          <w:rFonts w:ascii="Calibri" w:eastAsiaTheme="minorHAnsi" w:hAnsi="Calibri" w:cs="Calibri"/>
          <w:b/>
          <w:szCs w:val="24"/>
        </w:rPr>
      </w:pPr>
      <w:r>
        <w:rPr>
          <w:rFonts w:ascii="Calibri" w:eastAsiaTheme="minorHAnsi" w:hAnsi="Calibri" w:cs="Calibri"/>
          <w:b/>
          <w:szCs w:val="24"/>
        </w:rPr>
        <w:t>T</w:t>
      </w:r>
      <w:r w:rsidR="008B10CA" w:rsidRPr="001E2292">
        <w:rPr>
          <w:rFonts w:ascii="Calibri" w:eastAsiaTheme="minorHAnsi" w:hAnsi="Calibri" w:cs="Calibri"/>
          <w:b/>
          <w:szCs w:val="24"/>
        </w:rPr>
        <w:t>otal dwelling i</w:t>
      </w:r>
      <w:r w:rsidR="0049691F" w:rsidRPr="001E2292">
        <w:rPr>
          <w:rFonts w:ascii="Calibri" w:eastAsiaTheme="minorHAnsi" w:hAnsi="Calibri" w:cs="Calibri"/>
          <w:b/>
          <w:szCs w:val="24"/>
        </w:rPr>
        <w:t xml:space="preserve">ncome (9) </w:t>
      </w:r>
      <w:r w:rsidR="008B10CA" w:rsidRPr="001E2292">
        <w:rPr>
          <w:rFonts w:ascii="Calibri" w:eastAsiaTheme="minorHAnsi" w:hAnsi="Calibri" w:cs="Calibri"/>
          <w:b/>
          <w:szCs w:val="24"/>
        </w:rPr>
        <w:t xml:space="preserve">= </w:t>
      </w:r>
    </w:p>
    <w:p w14:paraId="411A4457" w14:textId="77777777" w:rsidR="003D2C4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Benchmark price</w:t>
      </w:r>
      <w:r w:rsidR="003D2C4A" w:rsidRPr="001E2292">
        <w:rPr>
          <w:rFonts w:ascii="Calibri" w:eastAsiaTheme="minorHAnsi" w:hAnsi="Calibri" w:cs="Calibri"/>
          <w:b/>
          <w:sz w:val="24"/>
          <w:szCs w:val="24"/>
        </w:rPr>
        <w:t xml:space="preserve"> (7)</w:t>
      </w:r>
    </w:p>
    <w:p w14:paraId="411A4458" w14:textId="77777777" w:rsidR="003D2C4A" w:rsidRPr="001E2292" w:rsidRDefault="003D2C4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x Location factor (10)</w:t>
      </w:r>
    </w:p>
    <w:p w14:paraId="411A4459" w14:textId="77777777" w:rsidR="008B10CA" w:rsidRPr="001E2292" w:rsidRDefault="003D2C4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x A</w:t>
      </w:r>
      <w:r w:rsidR="008B10CA" w:rsidRPr="001E2292">
        <w:rPr>
          <w:rFonts w:ascii="Calibri" w:eastAsiaTheme="minorHAnsi" w:hAnsi="Calibri" w:cs="Calibri"/>
          <w:b/>
          <w:sz w:val="24"/>
          <w:szCs w:val="24"/>
        </w:rPr>
        <w:t>nticipated number of residents</w:t>
      </w:r>
      <w:r w:rsidRPr="001E2292">
        <w:rPr>
          <w:rFonts w:ascii="Calibri" w:eastAsiaTheme="minorHAnsi" w:hAnsi="Calibri" w:cs="Calibri"/>
          <w:b/>
          <w:sz w:val="24"/>
          <w:szCs w:val="24"/>
        </w:rPr>
        <w:t xml:space="preserve"> (8</w:t>
      </w:r>
      <w:r w:rsidR="0049691F" w:rsidRPr="001E2292">
        <w:rPr>
          <w:rFonts w:ascii="Calibri" w:eastAsiaTheme="minorHAnsi" w:hAnsi="Calibri" w:cs="Calibri"/>
          <w:b/>
          <w:sz w:val="24"/>
          <w:szCs w:val="24"/>
        </w:rPr>
        <w:t>)</w:t>
      </w:r>
    </w:p>
    <w:p w14:paraId="411A445A" w14:textId="77777777" w:rsidR="008B10C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 Reasonable rent contributions</w:t>
      </w:r>
      <w:r w:rsidR="0049691F" w:rsidRPr="001E2292">
        <w:rPr>
          <w:rFonts w:ascii="Calibri" w:eastAsiaTheme="minorHAnsi" w:hAnsi="Calibri" w:cs="Calibri"/>
          <w:b/>
          <w:sz w:val="24"/>
          <w:szCs w:val="24"/>
        </w:rPr>
        <w:t xml:space="preserve"> (6)</w:t>
      </w:r>
    </w:p>
    <w:p w14:paraId="411A445B" w14:textId="77777777" w:rsidR="008B10C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 Other allowances</w:t>
      </w:r>
      <w:r w:rsidR="003D2C4A" w:rsidRPr="001E2292">
        <w:rPr>
          <w:rFonts w:ascii="Calibri" w:eastAsiaTheme="minorHAnsi" w:hAnsi="Calibri" w:cs="Calibri"/>
          <w:b/>
          <w:sz w:val="24"/>
          <w:szCs w:val="24"/>
        </w:rPr>
        <w:t xml:space="preserve"> (11</w:t>
      </w:r>
      <w:r w:rsidR="0049691F" w:rsidRPr="001E2292">
        <w:rPr>
          <w:rFonts w:ascii="Calibri" w:eastAsiaTheme="minorHAnsi" w:hAnsi="Calibri" w:cs="Calibri"/>
          <w:b/>
          <w:sz w:val="24"/>
          <w:szCs w:val="24"/>
        </w:rPr>
        <w:t>)</w:t>
      </w:r>
    </w:p>
    <w:p w14:paraId="411A445F" w14:textId="2B28A2B5" w:rsidR="00EC7935" w:rsidRDefault="001174B2" w:rsidP="000F045D">
      <w:pPr>
        <w:pStyle w:val="BodyText1"/>
        <w:rPr>
          <w:lang w:val="en-AU"/>
        </w:rPr>
      </w:pPr>
      <w:r w:rsidRPr="00E2350A">
        <w:rPr>
          <w:lang w:val="en-AU"/>
        </w:rPr>
        <w:t>T</w:t>
      </w:r>
      <w:r w:rsidR="001852AF" w:rsidRPr="00E2350A">
        <w:rPr>
          <w:lang w:val="en-AU"/>
        </w:rPr>
        <w:t>he elements of the pricing formula are</w:t>
      </w:r>
      <w:r w:rsidR="00CE5764" w:rsidRPr="00E2350A">
        <w:rPr>
          <w:lang w:val="en-AU"/>
        </w:rPr>
        <w:t xml:space="preserve"> set out in</w:t>
      </w:r>
      <w:r w:rsidR="005E0B5D">
        <w:rPr>
          <w:lang w:val="en-AU"/>
        </w:rPr>
        <w:t xml:space="preserve"> </w:t>
      </w:r>
      <w:r w:rsidR="005E0B5D" w:rsidRPr="005E0B5D">
        <w:fldChar w:fldCharType="begin"/>
      </w:r>
      <w:r w:rsidR="005E0B5D" w:rsidRPr="005E0B5D">
        <w:instrText xml:space="preserve"> REF _Ref447480887 \h </w:instrText>
      </w:r>
      <w:r w:rsidR="005E0B5D">
        <w:instrText xml:space="preserve"> \* MERGEFORMAT </w:instrText>
      </w:r>
      <w:r w:rsidR="005E0B5D" w:rsidRPr="005E0B5D">
        <w:fldChar w:fldCharType="separate"/>
      </w:r>
      <w:r w:rsidR="00607084" w:rsidRPr="00607084">
        <w:t>Table 1</w:t>
      </w:r>
      <w:r w:rsidR="005E0B5D" w:rsidRPr="005E0B5D">
        <w:fldChar w:fldCharType="end"/>
      </w:r>
      <w:r w:rsidR="009C451A">
        <w:rPr>
          <w:lang w:val="en-AU"/>
        </w:rPr>
        <w:t>.</w:t>
      </w:r>
      <w:bookmarkStart w:id="46" w:name="_Ref446963889"/>
    </w:p>
    <w:p w14:paraId="411A4460" w14:textId="77777777" w:rsidR="00CE5764" w:rsidRPr="005C14D4" w:rsidRDefault="001E2292" w:rsidP="006E6C2A">
      <w:pPr>
        <w:pStyle w:val="Caption"/>
        <w:spacing w:before="60" w:after="0"/>
        <w:rPr>
          <w:rFonts w:asciiTheme="minorHAnsi" w:hAnsiTheme="minorHAnsi"/>
          <w:sz w:val="20"/>
          <w:szCs w:val="20"/>
          <w:lang w:val="en-AU"/>
        </w:rPr>
      </w:pPr>
      <w:bookmarkStart w:id="47" w:name="_Ref447480887"/>
      <w:r w:rsidRPr="005C14D4">
        <w:rPr>
          <w:rFonts w:asciiTheme="minorHAnsi" w:hAnsiTheme="minorHAnsi"/>
          <w:sz w:val="20"/>
          <w:szCs w:val="20"/>
          <w:lang w:val="en-AU"/>
        </w:rPr>
        <w:t>Table</w:t>
      </w:r>
      <w:r w:rsidR="00CE5764" w:rsidRPr="005C14D4">
        <w:rPr>
          <w:rFonts w:asciiTheme="minorHAnsi" w:hAnsiTheme="minorHAnsi"/>
          <w:sz w:val="20"/>
          <w:szCs w:val="20"/>
          <w:lang w:val="en-AU"/>
        </w:rPr>
        <w:t xml:space="preserve"> </w:t>
      </w:r>
      <w:r w:rsidRPr="005C14D4">
        <w:rPr>
          <w:rFonts w:asciiTheme="minorHAnsi" w:hAnsiTheme="minorHAnsi"/>
          <w:sz w:val="20"/>
          <w:szCs w:val="20"/>
          <w:lang w:val="en-AU"/>
        </w:rPr>
        <w:fldChar w:fldCharType="begin"/>
      </w:r>
      <w:r w:rsidRPr="005C14D4">
        <w:rPr>
          <w:rFonts w:asciiTheme="minorHAnsi" w:hAnsiTheme="minorHAnsi"/>
          <w:sz w:val="20"/>
          <w:szCs w:val="20"/>
          <w:lang w:val="en-AU"/>
        </w:rPr>
        <w:instrText xml:space="preserve"> SEQ Table \* ARABIC </w:instrText>
      </w:r>
      <w:r w:rsidRPr="005C14D4">
        <w:rPr>
          <w:rFonts w:asciiTheme="minorHAnsi" w:hAnsiTheme="minorHAnsi"/>
          <w:sz w:val="20"/>
          <w:szCs w:val="20"/>
          <w:lang w:val="en-AU"/>
        </w:rPr>
        <w:fldChar w:fldCharType="separate"/>
      </w:r>
      <w:r w:rsidR="00607084">
        <w:rPr>
          <w:rFonts w:asciiTheme="minorHAnsi" w:hAnsiTheme="minorHAnsi"/>
          <w:noProof/>
          <w:sz w:val="20"/>
          <w:szCs w:val="20"/>
          <w:lang w:val="en-AU"/>
        </w:rPr>
        <w:t>1</w:t>
      </w:r>
      <w:r w:rsidRPr="005C14D4">
        <w:rPr>
          <w:rFonts w:asciiTheme="minorHAnsi" w:hAnsiTheme="minorHAnsi"/>
          <w:sz w:val="20"/>
          <w:szCs w:val="20"/>
          <w:lang w:val="en-AU"/>
        </w:rPr>
        <w:fldChar w:fldCharType="end"/>
      </w:r>
      <w:bookmarkEnd w:id="46"/>
      <w:bookmarkEnd w:id="47"/>
      <w:r w:rsidR="00CE5764" w:rsidRPr="005C14D4">
        <w:rPr>
          <w:rFonts w:asciiTheme="minorHAnsi" w:hAnsiTheme="minorHAnsi"/>
          <w:sz w:val="20"/>
          <w:szCs w:val="20"/>
          <w:lang w:val="en-AU"/>
        </w:rPr>
        <w:t xml:space="preserve">: Description Benchmark </w:t>
      </w:r>
      <w:r w:rsidR="00857150" w:rsidRPr="005C14D4">
        <w:rPr>
          <w:rFonts w:asciiTheme="minorHAnsi" w:hAnsiTheme="minorHAnsi"/>
          <w:sz w:val="20"/>
          <w:szCs w:val="20"/>
          <w:lang w:val="en-AU"/>
        </w:rPr>
        <w:t xml:space="preserve">pricing </w:t>
      </w:r>
      <w:r w:rsidR="00CE5764" w:rsidRPr="005C14D4">
        <w:rPr>
          <w:rFonts w:asciiTheme="minorHAnsi" w:hAnsiTheme="minorHAnsi"/>
          <w:sz w:val="20"/>
          <w:szCs w:val="20"/>
          <w:lang w:val="en-AU"/>
        </w:rPr>
        <w:t>formula</w:t>
      </w:r>
    </w:p>
    <w:tbl>
      <w:tblPr>
        <w:tblStyle w:val="TableGrid"/>
        <w:tblW w:w="9072"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ook w:val="04A0" w:firstRow="1" w:lastRow="0" w:firstColumn="1" w:lastColumn="0" w:noHBand="0" w:noVBand="1"/>
      </w:tblPr>
      <w:tblGrid>
        <w:gridCol w:w="1843"/>
        <w:gridCol w:w="7229"/>
      </w:tblGrid>
      <w:tr w:rsidR="00CE5764" w:rsidRPr="00E348A4" w14:paraId="411A4463" w14:textId="77777777" w:rsidTr="00B85F8A">
        <w:trPr>
          <w:tblHeader/>
        </w:trPr>
        <w:tc>
          <w:tcPr>
            <w:tcW w:w="1843" w:type="dxa"/>
            <w:shd w:val="clear" w:color="auto" w:fill="7030A0"/>
          </w:tcPr>
          <w:p w14:paraId="411A4461" w14:textId="77777777" w:rsidR="00CE5764" w:rsidRPr="00E348A4" w:rsidRDefault="00CE5764" w:rsidP="00FA5F62">
            <w:pPr>
              <w:pStyle w:val="MJATableRow"/>
              <w:keepNext/>
              <w:keepLines/>
              <w:rPr>
                <w:rFonts w:ascii="Arial" w:hAnsi="Arial" w:cs="Arial"/>
                <w:b/>
                <w:color w:val="FFFFFF" w:themeColor="background1"/>
                <w:sz w:val="18"/>
              </w:rPr>
            </w:pPr>
            <w:r>
              <w:rPr>
                <w:rFonts w:ascii="Arial" w:hAnsi="Arial" w:cs="Arial"/>
                <w:b/>
                <w:color w:val="FFFFFF" w:themeColor="background1"/>
                <w:sz w:val="18"/>
              </w:rPr>
              <w:t>Metric</w:t>
            </w:r>
          </w:p>
        </w:tc>
        <w:tc>
          <w:tcPr>
            <w:tcW w:w="7229" w:type="dxa"/>
            <w:shd w:val="clear" w:color="auto" w:fill="7030A0"/>
          </w:tcPr>
          <w:p w14:paraId="411A4462" w14:textId="77777777" w:rsidR="00CE5764" w:rsidRPr="00E348A4" w:rsidRDefault="00CE5764" w:rsidP="00FA5F62">
            <w:pPr>
              <w:pStyle w:val="MJATableRow"/>
              <w:keepNext/>
              <w:keepLines/>
              <w:rPr>
                <w:rFonts w:ascii="Arial" w:hAnsi="Arial" w:cs="Arial"/>
                <w:b/>
                <w:color w:val="FFFFFF" w:themeColor="background1"/>
                <w:sz w:val="18"/>
              </w:rPr>
            </w:pPr>
            <w:r w:rsidRPr="00E348A4">
              <w:rPr>
                <w:rFonts w:ascii="Arial" w:hAnsi="Arial" w:cs="Arial"/>
                <w:b/>
                <w:color w:val="FFFFFF" w:themeColor="background1"/>
                <w:sz w:val="18"/>
              </w:rPr>
              <w:t>Description</w:t>
            </w:r>
          </w:p>
        </w:tc>
      </w:tr>
      <w:tr w:rsidR="00CE5764" w:rsidRPr="00E348A4" w14:paraId="411A4468" w14:textId="77777777" w:rsidTr="00B85F8A">
        <w:trPr>
          <w:cantSplit/>
          <w:trHeight w:val="427"/>
        </w:trPr>
        <w:tc>
          <w:tcPr>
            <w:tcW w:w="1843" w:type="dxa"/>
          </w:tcPr>
          <w:p w14:paraId="411A4464" w14:textId="77777777" w:rsidR="00CE5764" w:rsidRPr="005C14D4" w:rsidRDefault="0049691F" w:rsidP="00FA5F62">
            <w:pPr>
              <w:pStyle w:val="MJATableRow"/>
              <w:keepNext/>
              <w:keepLines/>
              <w:rPr>
                <w:rFonts w:asciiTheme="minorHAnsi" w:hAnsiTheme="minorHAnsi" w:cs="Arial"/>
                <w:szCs w:val="20"/>
              </w:rPr>
            </w:pPr>
            <w:r w:rsidRPr="005C14D4">
              <w:rPr>
                <w:rFonts w:asciiTheme="minorHAnsi" w:hAnsiTheme="minorHAnsi" w:cs="Arial"/>
                <w:szCs w:val="20"/>
              </w:rPr>
              <w:t xml:space="preserve">1) </w:t>
            </w:r>
            <w:r w:rsidR="00CE5764" w:rsidRPr="005C14D4">
              <w:rPr>
                <w:rFonts w:asciiTheme="minorHAnsi" w:hAnsiTheme="minorHAnsi" w:cs="Arial"/>
                <w:szCs w:val="20"/>
              </w:rPr>
              <w:t xml:space="preserve">Dwelling </w:t>
            </w:r>
            <w:r w:rsidR="009C451A">
              <w:rPr>
                <w:rFonts w:asciiTheme="minorHAnsi" w:hAnsiTheme="minorHAnsi" w:cs="Arial"/>
                <w:szCs w:val="20"/>
              </w:rPr>
              <w:t>p</w:t>
            </w:r>
            <w:r w:rsidR="00CE5764" w:rsidRPr="005C14D4">
              <w:rPr>
                <w:rFonts w:asciiTheme="minorHAnsi" w:hAnsiTheme="minorHAnsi" w:cs="Arial"/>
                <w:szCs w:val="20"/>
              </w:rPr>
              <w:t>rice</w:t>
            </w:r>
          </w:p>
        </w:tc>
        <w:tc>
          <w:tcPr>
            <w:tcW w:w="7229" w:type="dxa"/>
          </w:tcPr>
          <w:p w14:paraId="411A4465" w14:textId="77777777" w:rsidR="002D134C" w:rsidRPr="005C14D4" w:rsidRDefault="00CE5764" w:rsidP="000E50D2">
            <w:pPr>
              <w:pStyle w:val="MJATableRow"/>
              <w:keepNext/>
              <w:keepLines/>
              <w:rPr>
                <w:rFonts w:asciiTheme="minorHAnsi" w:hAnsiTheme="minorHAnsi" w:cs="Arial"/>
                <w:szCs w:val="20"/>
              </w:rPr>
            </w:pPr>
            <w:r w:rsidRPr="005C14D4">
              <w:rPr>
                <w:rFonts w:asciiTheme="minorHAnsi" w:hAnsiTheme="minorHAnsi" w:cs="Arial"/>
                <w:szCs w:val="20"/>
              </w:rPr>
              <w:t xml:space="preserve">The </w:t>
            </w:r>
            <w:r w:rsidR="00A27B61" w:rsidRPr="005C14D4">
              <w:rPr>
                <w:rFonts w:asciiTheme="minorHAnsi" w:hAnsiTheme="minorHAnsi" w:cs="Arial"/>
                <w:szCs w:val="20"/>
              </w:rPr>
              <w:t xml:space="preserve">annual </w:t>
            </w:r>
            <w:r w:rsidR="000E50D2" w:rsidRPr="005C14D4">
              <w:rPr>
                <w:rFonts w:asciiTheme="minorHAnsi" w:hAnsiTheme="minorHAnsi" w:cs="Arial"/>
                <w:szCs w:val="20"/>
              </w:rPr>
              <w:t>cost of a dwelling</w:t>
            </w:r>
            <w:r w:rsidR="001852AF" w:rsidRPr="005C14D4">
              <w:rPr>
                <w:rFonts w:asciiTheme="minorHAnsi" w:hAnsiTheme="minorHAnsi" w:cs="Arial"/>
                <w:szCs w:val="20"/>
              </w:rPr>
              <w:t xml:space="preserve">, including land, buildings and recurring annual costs, net of land price inflation and reasonable rent contributions. The </w:t>
            </w:r>
            <w:r w:rsidR="009C451A">
              <w:rPr>
                <w:rFonts w:asciiTheme="minorHAnsi" w:hAnsiTheme="minorHAnsi" w:cs="Arial"/>
                <w:szCs w:val="20"/>
              </w:rPr>
              <w:t>d</w:t>
            </w:r>
            <w:r w:rsidR="001852AF" w:rsidRPr="005C14D4">
              <w:rPr>
                <w:rFonts w:asciiTheme="minorHAnsi" w:hAnsiTheme="minorHAnsi" w:cs="Arial"/>
                <w:szCs w:val="20"/>
              </w:rPr>
              <w:t xml:space="preserve">welling </w:t>
            </w:r>
            <w:r w:rsidR="009C451A">
              <w:rPr>
                <w:rFonts w:asciiTheme="minorHAnsi" w:hAnsiTheme="minorHAnsi" w:cs="Arial"/>
                <w:szCs w:val="20"/>
              </w:rPr>
              <w:t>p</w:t>
            </w:r>
            <w:r w:rsidR="001852AF" w:rsidRPr="005C14D4">
              <w:rPr>
                <w:rFonts w:asciiTheme="minorHAnsi" w:hAnsiTheme="minorHAnsi" w:cs="Arial"/>
                <w:szCs w:val="20"/>
              </w:rPr>
              <w:t xml:space="preserve">rice is </w:t>
            </w:r>
            <w:r w:rsidR="002D134C" w:rsidRPr="005C14D4">
              <w:rPr>
                <w:rFonts w:asciiTheme="minorHAnsi" w:hAnsiTheme="minorHAnsi" w:cs="Arial"/>
                <w:szCs w:val="20"/>
              </w:rPr>
              <w:t xml:space="preserve">the total paid for a dwelling by the NDIS, before other allowances. </w:t>
            </w:r>
          </w:p>
          <w:p w14:paraId="411A4466" w14:textId="77777777" w:rsidR="002D134C" w:rsidRPr="005C14D4" w:rsidRDefault="002D134C" w:rsidP="000E50D2">
            <w:pPr>
              <w:pStyle w:val="MJATableRow"/>
              <w:keepNext/>
              <w:keepLines/>
              <w:rPr>
                <w:rFonts w:asciiTheme="minorHAnsi" w:hAnsiTheme="minorHAnsi" w:cs="Arial"/>
                <w:szCs w:val="20"/>
              </w:rPr>
            </w:pPr>
            <w:r w:rsidRPr="005C14D4">
              <w:rPr>
                <w:rFonts w:asciiTheme="minorHAnsi" w:hAnsiTheme="minorHAnsi" w:cs="Arial"/>
                <w:szCs w:val="20"/>
              </w:rPr>
              <w:t xml:space="preserve">The </w:t>
            </w:r>
            <w:r w:rsidR="009C451A">
              <w:rPr>
                <w:rFonts w:asciiTheme="minorHAnsi" w:hAnsiTheme="minorHAnsi" w:cs="Arial"/>
                <w:szCs w:val="20"/>
              </w:rPr>
              <w:t>d</w:t>
            </w:r>
            <w:r w:rsidR="009C451A" w:rsidRPr="005C14D4">
              <w:rPr>
                <w:rFonts w:asciiTheme="minorHAnsi" w:hAnsiTheme="minorHAnsi" w:cs="Arial"/>
                <w:szCs w:val="20"/>
              </w:rPr>
              <w:t xml:space="preserve">welling </w:t>
            </w:r>
            <w:r w:rsidR="009C451A">
              <w:rPr>
                <w:rFonts w:asciiTheme="minorHAnsi" w:hAnsiTheme="minorHAnsi" w:cs="Arial"/>
                <w:szCs w:val="20"/>
              </w:rPr>
              <w:t>p</w:t>
            </w:r>
            <w:r w:rsidR="009C451A" w:rsidRPr="005C14D4">
              <w:rPr>
                <w:rFonts w:asciiTheme="minorHAnsi" w:hAnsiTheme="minorHAnsi" w:cs="Arial"/>
                <w:szCs w:val="20"/>
              </w:rPr>
              <w:t xml:space="preserve">rice </w:t>
            </w:r>
            <w:r w:rsidRPr="005C14D4">
              <w:rPr>
                <w:rFonts w:asciiTheme="minorHAnsi" w:hAnsiTheme="minorHAnsi" w:cs="Arial"/>
                <w:szCs w:val="20"/>
              </w:rPr>
              <w:t xml:space="preserve">is </w:t>
            </w:r>
            <w:r w:rsidR="001852AF" w:rsidRPr="005C14D4">
              <w:rPr>
                <w:rFonts w:asciiTheme="minorHAnsi" w:hAnsiTheme="minorHAnsi" w:cs="Arial"/>
                <w:szCs w:val="20"/>
              </w:rPr>
              <w:t>divided by the anticipated number of residents</w:t>
            </w:r>
            <w:r w:rsidR="00861C01" w:rsidRPr="005C14D4">
              <w:rPr>
                <w:rFonts w:asciiTheme="minorHAnsi" w:hAnsiTheme="minorHAnsi" w:cs="Arial"/>
                <w:szCs w:val="20"/>
              </w:rPr>
              <w:t xml:space="preserve"> </w:t>
            </w:r>
            <w:r w:rsidR="001852AF" w:rsidRPr="005C14D4">
              <w:rPr>
                <w:rFonts w:asciiTheme="minorHAnsi" w:hAnsiTheme="minorHAnsi" w:cs="Arial"/>
                <w:szCs w:val="20"/>
              </w:rPr>
              <w:t xml:space="preserve">to provide a </w:t>
            </w:r>
            <w:r w:rsidR="009C451A">
              <w:rPr>
                <w:rFonts w:asciiTheme="minorHAnsi" w:hAnsiTheme="minorHAnsi" w:cs="Arial"/>
                <w:szCs w:val="20"/>
              </w:rPr>
              <w:t>b</w:t>
            </w:r>
            <w:r w:rsidR="009C451A" w:rsidRPr="005C14D4">
              <w:rPr>
                <w:rFonts w:asciiTheme="minorHAnsi" w:hAnsiTheme="minorHAnsi" w:cs="Arial"/>
                <w:szCs w:val="20"/>
              </w:rPr>
              <w:t xml:space="preserve">enchmark </w:t>
            </w:r>
            <w:r w:rsidR="009C451A">
              <w:rPr>
                <w:rFonts w:asciiTheme="minorHAnsi" w:hAnsiTheme="minorHAnsi" w:cs="Arial"/>
                <w:szCs w:val="20"/>
              </w:rPr>
              <w:t>p</w:t>
            </w:r>
            <w:r w:rsidR="009C451A" w:rsidRPr="005C14D4">
              <w:rPr>
                <w:rFonts w:asciiTheme="minorHAnsi" w:hAnsiTheme="minorHAnsi" w:cs="Arial"/>
                <w:szCs w:val="20"/>
              </w:rPr>
              <w:t xml:space="preserve">rice </w:t>
            </w:r>
            <w:r w:rsidR="001852AF" w:rsidRPr="005C14D4">
              <w:rPr>
                <w:rFonts w:asciiTheme="minorHAnsi" w:hAnsiTheme="minorHAnsi" w:cs="Arial"/>
                <w:szCs w:val="20"/>
              </w:rPr>
              <w:t>per participant</w:t>
            </w:r>
            <w:r w:rsidR="00E2350A">
              <w:rPr>
                <w:rFonts w:asciiTheme="minorHAnsi" w:hAnsiTheme="minorHAnsi" w:cs="Arial"/>
                <w:szCs w:val="20"/>
              </w:rPr>
              <w:t xml:space="preserve">. </w:t>
            </w:r>
            <w:r w:rsidR="000062D9" w:rsidRPr="005C14D4">
              <w:rPr>
                <w:rFonts w:asciiTheme="minorHAnsi" w:hAnsiTheme="minorHAnsi" w:cs="Arial"/>
                <w:szCs w:val="20"/>
              </w:rPr>
              <w:t xml:space="preserve"> </w:t>
            </w:r>
          </w:p>
          <w:p w14:paraId="411A4467" w14:textId="77777777" w:rsidR="00CE5764" w:rsidRPr="005C14D4" w:rsidRDefault="000062D9" w:rsidP="00FA5F62">
            <w:pPr>
              <w:pStyle w:val="MJATableRow"/>
              <w:keepNext/>
              <w:keepLines/>
              <w:rPr>
                <w:rFonts w:asciiTheme="minorHAnsi" w:hAnsiTheme="minorHAnsi" w:cs="Arial"/>
                <w:szCs w:val="20"/>
              </w:rPr>
            </w:pPr>
            <w:r w:rsidRPr="005C14D4">
              <w:rPr>
                <w:rFonts w:asciiTheme="minorHAnsi" w:hAnsiTheme="minorHAnsi" w:cs="Arial"/>
                <w:szCs w:val="20"/>
              </w:rPr>
              <w:t>For the sake of clarity</w:t>
            </w:r>
            <w:r w:rsidR="002D134C" w:rsidRPr="005C14D4">
              <w:rPr>
                <w:rFonts w:asciiTheme="minorHAnsi" w:hAnsiTheme="minorHAnsi" w:cs="Arial"/>
                <w:szCs w:val="20"/>
              </w:rPr>
              <w:t xml:space="preserve">, the total income for the dwelling owner will be the </w:t>
            </w:r>
            <w:r w:rsidR="009C451A">
              <w:rPr>
                <w:rFonts w:asciiTheme="minorHAnsi" w:hAnsiTheme="minorHAnsi" w:cs="Arial"/>
                <w:szCs w:val="20"/>
              </w:rPr>
              <w:t>t</w:t>
            </w:r>
            <w:r w:rsidR="002D134C" w:rsidRPr="005C14D4">
              <w:rPr>
                <w:rFonts w:asciiTheme="minorHAnsi" w:hAnsiTheme="minorHAnsi" w:cs="Arial"/>
                <w:szCs w:val="20"/>
              </w:rPr>
              <w:t xml:space="preserve">otal </w:t>
            </w:r>
            <w:r w:rsidR="009C451A">
              <w:rPr>
                <w:rFonts w:asciiTheme="minorHAnsi" w:hAnsiTheme="minorHAnsi" w:cs="Arial"/>
                <w:szCs w:val="20"/>
              </w:rPr>
              <w:t>d</w:t>
            </w:r>
            <w:r w:rsidR="002D134C" w:rsidRPr="005C14D4">
              <w:rPr>
                <w:rFonts w:asciiTheme="minorHAnsi" w:hAnsiTheme="minorHAnsi" w:cs="Arial"/>
                <w:szCs w:val="20"/>
              </w:rPr>
              <w:t xml:space="preserve">welling </w:t>
            </w:r>
            <w:r w:rsidR="009C451A">
              <w:rPr>
                <w:rFonts w:asciiTheme="minorHAnsi" w:hAnsiTheme="minorHAnsi" w:cs="Arial"/>
                <w:szCs w:val="20"/>
              </w:rPr>
              <w:t>i</w:t>
            </w:r>
            <w:r w:rsidR="002D134C" w:rsidRPr="005C14D4">
              <w:rPr>
                <w:rFonts w:asciiTheme="minorHAnsi" w:hAnsiTheme="minorHAnsi" w:cs="Arial"/>
                <w:szCs w:val="20"/>
              </w:rPr>
              <w:t xml:space="preserve">ncome (9), </w:t>
            </w:r>
            <w:r w:rsidR="000A6AFD" w:rsidRPr="005C14D4">
              <w:rPr>
                <w:rFonts w:asciiTheme="minorHAnsi" w:hAnsiTheme="minorHAnsi" w:cs="Arial"/>
                <w:szCs w:val="20"/>
              </w:rPr>
              <w:t>described below.</w:t>
            </w:r>
          </w:p>
        </w:tc>
      </w:tr>
      <w:tr w:rsidR="00CE5764" w:rsidRPr="00E348A4" w14:paraId="411A446B" w14:textId="77777777" w:rsidTr="00B85F8A">
        <w:trPr>
          <w:cantSplit/>
        </w:trPr>
        <w:tc>
          <w:tcPr>
            <w:tcW w:w="1843" w:type="dxa"/>
          </w:tcPr>
          <w:p w14:paraId="411A4469"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2) </w:t>
            </w:r>
            <w:r w:rsidR="00CE5764" w:rsidRPr="005C14D4">
              <w:rPr>
                <w:rFonts w:asciiTheme="minorHAnsi" w:hAnsiTheme="minorHAnsi" w:cs="Arial"/>
                <w:szCs w:val="20"/>
              </w:rPr>
              <w:t xml:space="preserve">Consumption </w:t>
            </w:r>
            <w:r w:rsidR="009C451A">
              <w:rPr>
                <w:rFonts w:asciiTheme="minorHAnsi" w:hAnsiTheme="minorHAnsi" w:cs="Arial"/>
                <w:szCs w:val="20"/>
              </w:rPr>
              <w:t>c</w:t>
            </w:r>
            <w:r w:rsidR="00CE5764" w:rsidRPr="005C14D4">
              <w:rPr>
                <w:rFonts w:asciiTheme="minorHAnsi" w:hAnsiTheme="minorHAnsi" w:cs="Arial"/>
                <w:szCs w:val="20"/>
              </w:rPr>
              <w:t>osts</w:t>
            </w:r>
          </w:p>
        </w:tc>
        <w:tc>
          <w:tcPr>
            <w:tcW w:w="7229" w:type="dxa"/>
          </w:tcPr>
          <w:p w14:paraId="411A446A"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w:t>
            </w:r>
            <w:r w:rsidR="001852AF" w:rsidRPr="005C14D4">
              <w:rPr>
                <w:rFonts w:asciiTheme="minorHAnsi" w:hAnsiTheme="minorHAnsi" w:cs="Arial"/>
                <w:szCs w:val="20"/>
              </w:rPr>
              <w:t xml:space="preserve">depreciation in the value of the building </w:t>
            </w:r>
            <w:r w:rsidR="00740FC9" w:rsidRPr="005C14D4">
              <w:rPr>
                <w:rFonts w:asciiTheme="minorHAnsi" w:hAnsiTheme="minorHAnsi" w:cs="Arial"/>
                <w:szCs w:val="20"/>
              </w:rPr>
              <w:t xml:space="preserve">and other assets </w:t>
            </w:r>
            <w:r w:rsidR="001852AF" w:rsidRPr="005C14D4">
              <w:rPr>
                <w:rFonts w:asciiTheme="minorHAnsi" w:hAnsiTheme="minorHAnsi" w:cs="Arial"/>
                <w:szCs w:val="20"/>
              </w:rPr>
              <w:t>over time.</w:t>
            </w:r>
            <w:r w:rsidRPr="005C14D4">
              <w:rPr>
                <w:rFonts w:asciiTheme="minorHAnsi" w:hAnsiTheme="minorHAnsi" w:cs="Arial"/>
                <w:szCs w:val="20"/>
              </w:rPr>
              <w:t xml:space="preserve"> </w:t>
            </w:r>
          </w:p>
        </w:tc>
      </w:tr>
      <w:tr w:rsidR="00CE5764" w:rsidRPr="00E348A4" w14:paraId="411A446E" w14:textId="77777777" w:rsidTr="00B85F8A">
        <w:trPr>
          <w:cantSplit/>
        </w:trPr>
        <w:tc>
          <w:tcPr>
            <w:tcW w:w="1843" w:type="dxa"/>
          </w:tcPr>
          <w:p w14:paraId="411A446C"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3) </w:t>
            </w:r>
            <w:r w:rsidR="00CE5764" w:rsidRPr="005C14D4">
              <w:rPr>
                <w:rFonts w:asciiTheme="minorHAnsi" w:hAnsiTheme="minorHAnsi" w:cs="Arial"/>
                <w:szCs w:val="20"/>
              </w:rPr>
              <w:t xml:space="preserve">Opportunity </w:t>
            </w:r>
            <w:r w:rsidR="009C451A">
              <w:rPr>
                <w:rFonts w:asciiTheme="minorHAnsi" w:hAnsiTheme="minorHAnsi" w:cs="Arial"/>
                <w:szCs w:val="20"/>
              </w:rPr>
              <w:t>c</w:t>
            </w:r>
            <w:r w:rsidR="00CE5764" w:rsidRPr="005C14D4">
              <w:rPr>
                <w:rFonts w:asciiTheme="minorHAnsi" w:hAnsiTheme="minorHAnsi" w:cs="Arial"/>
                <w:szCs w:val="20"/>
              </w:rPr>
              <w:t xml:space="preserve">ost of </w:t>
            </w:r>
            <w:r w:rsidR="009C451A">
              <w:rPr>
                <w:rFonts w:asciiTheme="minorHAnsi" w:hAnsiTheme="minorHAnsi" w:cs="Arial"/>
                <w:szCs w:val="20"/>
              </w:rPr>
              <w:t>c</w:t>
            </w:r>
            <w:r w:rsidR="00CE5764" w:rsidRPr="005C14D4">
              <w:rPr>
                <w:rFonts w:asciiTheme="minorHAnsi" w:hAnsiTheme="minorHAnsi" w:cs="Arial"/>
                <w:szCs w:val="20"/>
              </w:rPr>
              <w:t>apital</w:t>
            </w:r>
          </w:p>
        </w:tc>
        <w:tc>
          <w:tcPr>
            <w:tcW w:w="7229" w:type="dxa"/>
          </w:tcPr>
          <w:p w14:paraId="411A446D"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w:t>
            </w:r>
            <w:r w:rsidR="00740FC9" w:rsidRPr="005C14D4">
              <w:rPr>
                <w:rFonts w:asciiTheme="minorHAnsi" w:hAnsiTheme="minorHAnsi" w:cs="Arial"/>
                <w:szCs w:val="20"/>
              </w:rPr>
              <w:t>efficient financing costs associated with</w:t>
            </w:r>
            <w:r w:rsidRPr="005C14D4">
              <w:rPr>
                <w:rFonts w:asciiTheme="minorHAnsi" w:hAnsiTheme="minorHAnsi" w:cs="Arial"/>
                <w:szCs w:val="20"/>
              </w:rPr>
              <w:t xml:space="preserve"> the typical sources of capital (debt or equity), across all aspects of the capital investment (land, buildings, plant and equipment).</w:t>
            </w:r>
            <w:r w:rsidRPr="005C14D4">
              <w:rPr>
                <w:szCs w:val="20"/>
              </w:rPr>
              <w:t xml:space="preserve"> </w:t>
            </w:r>
            <w:r w:rsidRPr="005C14D4">
              <w:rPr>
                <w:rFonts w:asciiTheme="minorHAnsi" w:hAnsiTheme="minorHAnsi" w:cs="Arial"/>
                <w:szCs w:val="20"/>
              </w:rPr>
              <w:t>Th</w:t>
            </w:r>
            <w:r w:rsidR="00740FC9" w:rsidRPr="005C14D4">
              <w:rPr>
                <w:rFonts w:asciiTheme="minorHAnsi" w:hAnsiTheme="minorHAnsi" w:cs="Arial"/>
                <w:szCs w:val="20"/>
              </w:rPr>
              <w:t>e</w:t>
            </w:r>
            <w:r w:rsidRPr="005C14D4">
              <w:rPr>
                <w:rFonts w:asciiTheme="minorHAnsi" w:hAnsiTheme="minorHAnsi" w:cs="Arial"/>
                <w:szCs w:val="20"/>
              </w:rPr>
              <w:t xml:space="preserve"> weighted average cost of capital will be </w:t>
            </w:r>
            <w:r w:rsidR="00740FC9" w:rsidRPr="005C14D4">
              <w:rPr>
                <w:rFonts w:asciiTheme="minorHAnsi" w:hAnsiTheme="minorHAnsi" w:cs="Arial"/>
                <w:szCs w:val="20"/>
              </w:rPr>
              <w:t xml:space="preserve">determined </w:t>
            </w:r>
            <w:r w:rsidRPr="005C14D4">
              <w:rPr>
                <w:rFonts w:asciiTheme="minorHAnsi" w:hAnsiTheme="minorHAnsi" w:cs="Arial"/>
                <w:szCs w:val="20"/>
              </w:rPr>
              <w:t>by the Agency.</w:t>
            </w:r>
          </w:p>
        </w:tc>
      </w:tr>
      <w:tr w:rsidR="00CE5764" w:rsidRPr="00E348A4" w14:paraId="411A4471" w14:textId="77777777" w:rsidTr="00B85F8A">
        <w:trPr>
          <w:cantSplit/>
        </w:trPr>
        <w:tc>
          <w:tcPr>
            <w:tcW w:w="1843" w:type="dxa"/>
          </w:tcPr>
          <w:p w14:paraId="411A446F"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4) </w:t>
            </w:r>
            <w:r w:rsidR="00CE5764" w:rsidRPr="005C14D4">
              <w:rPr>
                <w:rFonts w:asciiTheme="minorHAnsi" w:hAnsiTheme="minorHAnsi" w:cs="Arial"/>
                <w:szCs w:val="20"/>
              </w:rPr>
              <w:t xml:space="preserve">Cost of </w:t>
            </w:r>
            <w:r w:rsidR="009C451A">
              <w:rPr>
                <w:rFonts w:asciiTheme="minorHAnsi" w:hAnsiTheme="minorHAnsi" w:cs="Arial"/>
                <w:szCs w:val="20"/>
              </w:rPr>
              <w:t>o</w:t>
            </w:r>
            <w:r w:rsidR="00CE5764" w:rsidRPr="005C14D4">
              <w:rPr>
                <w:rFonts w:asciiTheme="minorHAnsi" w:hAnsiTheme="minorHAnsi" w:cs="Arial"/>
                <w:szCs w:val="20"/>
              </w:rPr>
              <w:t>wnership</w:t>
            </w:r>
          </w:p>
        </w:tc>
        <w:tc>
          <w:tcPr>
            <w:tcW w:w="7229" w:type="dxa"/>
          </w:tcPr>
          <w:p w14:paraId="411A4470" w14:textId="77777777" w:rsidR="00CE5764" w:rsidRPr="005C14D4" w:rsidRDefault="00740FC9" w:rsidP="00EC7935">
            <w:pPr>
              <w:pStyle w:val="MJATableRow"/>
              <w:rPr>
                <w:rFonts w:asciiTheme="minorHAnsi" w:hAnsiTheme="minorHAnsi" w:cs="Arial"/>
                <w:szCs w:val="20"/>
              </w:rPr>
            </w:pPr>
            <w:r w:rsidRPr="005C14D4">
              <w:rPr>
                <w:rFonts w:asciiTheme="minorHAnsi" w:hAnsiTheme="minorHAnsi" w:cs="Arial"/>
                <w:szCs w:val="20"/>
              </w:rPr>
              <w:t xml:space="preserve">Recurring </w:t>
            </w:r>
            <w:r w:rsidR="00CE5764" w:rsidRPr="005C14D4">
              <w:rPr>
                <w:rFonts w:asciiTheme="minorHAnsi" w:hAnsiTheme="minorHAnsi" w:cs="Arial"/>
                <w:szCs w:val="20"/>
              </w:rPr>
              <w:t xml:space="preserve">costs </w:t>
            </w:r>
            <w:r w:rsidRPr="005C14D4">
              <w:rPr>
                <w:rFonts w:asciiTheme="minorHAnsi" w:hAnsiTheme="minorHAnsi" w:cs="Arial"/>
                <w:szCs w:val="20"/>
              </w:rPr>
              <w:t>including those</w:t>
            </w:r>
            <w:r w:rsidR="00CE5764" w:rsidRPr="005C14D4">
              <w:rPr>
                <w:rFonts w:asciiTheme="minorHAnsi" w:hAnsiTheme="minorHAnsi" w:cs="Arial"/>
                <w:szCs w:val="20"/>
              </w:rPr>
              <w:t xml:space="preserve"> that are legally required, that extend the operating life of the accommodation, or that are otherwise necessary. An efficient accommodation-related operational cost of </w:t>
            </w:r>
            <w:r w:rsidR="00EC7935">
              <w:rPr>
                <w:rFonts w:asciiTheme="minorHAnsi" w:hAnsiTheme="minorHAnsi" w:cs="Arial"/>
                <w:szCs w:val="20"/>
              </w:rPr>
              <w:t>SDA</w:t>
            </w:r>
            <w:r w:rsidR="00CE5764" w:rsidRPr="005C14D4">
              <w:rPr>
                <w:rFonts w:asciiTheme="minorHAnsi" w:hAnsiTheme="minorHAnsi" w:cs="Arial"/>
                <w:szCs w:val="20"/>
              </w:rPr>
              <w:t xml:space="preserve"> could include: facilities management, rates, insurance, utilities not met by the tenants, repairs and maintenance, and tenancy management.</w:t>
            </w:r>
          </w:p>
        </w:tc>
      </w:tr>
      <w:tr w:rsidR="00CE5764" w:rsidRPr="00E348A4" w14:paraId="411A4476" w14:textId="77777777" w:rsidTr="00B85F8A">
        <w:trPr>
          <w:cantSplit/>
        </w:trPr>
        <w:tc>
          <w:tcPr>
            <w:tcW w:w="1843" w:type="dxa"/>
          </w:tcPr>
          <w:p w14:paraId="411A4472"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lastRenderedPageBreak/>
              <w:t xml:space="preserve">5) </w:t>
            </w:r>
            <w:r w:rsidR="00CE5764" w:rsidRPr="005C14D4">
              <w:rPr>
                <w:rFonts w:asciiTheme="minorHAnsi" w:hAnsiTheme="minorHAnsi" w:cs="Arial"/>
                <w:szCs w:val="20"/>
              </w:rPr>
              <w:t>Land price inflation</w:t>
            </w:r>
          </w:p>
        </w:tc>
        <w:tc>
          <w:tcPr>
            <w:tcW w:w="7229" w:type="dxa"/>
          </w:tcPr>
          <w:p w14:paraId="411A4473"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gain or loss the accommodation owner incurs over time due to changes in the value of land. To minimise short-run volatility in pricing arrangements, the Agency </w:t>
            </w:r>
            <w:r w:rsidR="00740FC9" w:rsidRPr="005C14D4">
              <w:rPr>
                <w:rFonts w:asciiTheme="minorHAnsi" w:hAnsiTheme="minorHAnsi" w:cs="Arial"/>
                <w:szCs w:val="20"/>
              </w:rPr>
              <w:t xml:space="preserve">has </w:t>
            </w:r>
            <w:r w:rsidRPr="005C14D4">
              <w:rPr>
                <w:rFonts w:asciiTheme="minorHAnsi" w:hAnsiTheme="minorHAnsi" w:cs="Arial"/>
                <w:szCs w:val="20"/>
              </w:rPr>
              <w:t>adopt</w:t>
            </w:r>
            <w:r w:rsidR="00740FC9" w:rsidRPr="005C14D4">
              <w:rPr>
                <w:rFonts w:asciiTheme="minorHAnsi" w:hAnsiTheme="minorHAnsi" w:cs="Arial"/>
                <w:szCs w:val="20"/>
              </w:rPr>
              <w:t>ed</w:t>
            </w:r>
            <w:r w:rsidRPr="005C14D4">
              <w:rPr>
                <w:rFonts w:asciiTheme="minorHAnsi" w:hAnsiTheme="minorHAnsi" w:cs="Arial"/>
                <w:szCs w:val="20"/>
              </w:rPr>
              <w:t xml:space="preserve"> a long-run</w:t>
            </w:r>
            <w:r w:rsidR="000A6AFD" w:rsidRPr="005C14D4">
              <w:rPr>
                <w:rFonts w:asciiTheme="minorHAnsi" w:hAnsiTheme="minorHAnsi" w:cs="Arial"/>
                <w:szCs w:val="20"/>
              </w:rPr>
              <w:t xml:space="preserve"> (20 year+)</w:t>
            </w:r>
            <w:r w:rsidRPr="005C14D4">
              <w:rPr>
                <w:rFonts w:asciiTheme="minorHAnsi" w:hAnsiTheme="minorHAnsi" w:cs="Arial"/>
                <w:szCs w:val="20"/>
              </w:rPr>
              <w:t xml:space="preserve"> approach to establishing this component of the benchmark prices.</w:t>
            </w:r>
            <w:r w:rsidR="000A6AFD" w:rsidRPr="005C14D4">
              <w:rPr>
                <w:rFonts w:asciiTheme="minorHAnsi" w:hAnsiTheme="minorHAnsi" w:cs="Arial"/>
                <w:szCs w:val="20"/>
              </w:rPr>
              <w:t xml:space="preserve"> This factor will not vary from year to year but may be varied at the nominated review periods if expectations for long term inflation have materially changed since the last review</w:t>
            </w:r>
            <w:r w:rsidRPr="005C14D4">
              <w:rPr>
                <w:rFonts w:asciiTheme="minorHAnsi" w:hAnsiTheme="minorHAnsi" w:cs="Arial"/>
                <w:szCs w:val="20"/>
              </w:rPr>
              <w:t>.</w:t>
            </w:r>
          </w:p>
          <w:p w14:paraId="411A4474" w14:textId="77777777" w:rsidR="00CE5764" w:rsidRPr="005C14D4" w:rsidRDefault="000A6AFD" w:rsidP="00FA5F62">
            <w:pPr>
              <w:pStyle w:val="MJATableRow"/>
              <w:rPr>
                <w:rFonts w:asciiTheme="minorHAnsi" w:hAnsiTheme="minorHAnsi" w:cs="Arial"/>
                <w:szCs w:val="20"/>
              </w:rPr>
            </w:pPr>
            <w:r w:rsidRPr="005C14D4">
              <w:rPr>
                <w:rFonts w:asciiTheme="minorHAnsi" w:hAnsiTheme="minorHAnsi" w:cs="Arial"/>
                <w:szCs w:val="20"/>
              </w:rPr>
              <w:t>The</w:t>
            </w:r>
            <w:r w:rsidR="000062D9" w:rsidRPr="005C14D4">
              <w:rPr>
                <w:rFonts w:asciiTheme="minorHAnsi" w:hAnsiTheme="minorHAnsi" w:cs="Arial"/>
                <w:szCs w:val="20"/>
              </w:rPr>
              <w:t xml:space="preserve"> </w:t>
            </w:r>
            <w:r w:rsidR="001174B2" w:rsidRPr="005C14D4">
              <w:rPr>
                <w:rFonts w:asciiTheme="minorHAnsi" w:hAnsiTheme="minorHAnsi" w:cs="Arial"/>
                <w:szCs w:val="20"/>
              </w:rPr>
              <w:t xml:space="preserve">SDA </w:t>
            </w:r>
            <w:r w:rsidR="000062D9" w:rsidRPr="005C14D4">
              <w:rPr>
                <w:rFonts w:asciiTheme="minorHAnsi" w:hAnsiTheme="minorHAnsi" w:cs="Arial"/>
                <w:szCs w:val="20"/>
              </w:rPr>
              <w:t xml:space="preserve">Framework </w:t>
            </w:r>
            <w:r w:rsidRPr="005C14D4">
              <w:rPr>
                <w:rFonts w:asciiTheme="minorHAnsi" w:hAnsiTheme="minorHAnsi" w:cs="Arial"/>
                <w:szCs w:val="20"/>
              </w:rPr>
              <w:t>notes that l</w:t>
            </w:r>
            <w:r w:rsidR="00CE5764" w:rsidRPr="005C14D4">
              <w:rPr>
                <w:rFonts w:asciiTheme="minorHAnsi" w:hAnsiTheme="minorHAnsi" w:cs="Arial"/>
                <w:szCs w:val="20"/>
              </w:rPr>
              <w:t>and that is procured through a leasing arrangement by the provider will also be funded consistent with the formula outlined above. That is, the benchmark price will not be adjusted for land ownership arrangements (own versus lease). This recognises that while the provider is leasing the land, if they are paying a market price, then the owner of the land will be incurring costs and inflation consistent with the formula above, and this will, in theory, be reflected in the market rental price for the land.</w:t>
            </w:r>
          </w:p>
          <w:p w14:paraId="411A4475"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Where other gains and losses from the revaluation or inflation of assets can be identified these may be taken into account by the </w:t>
            </w:r>
            <w:r w:rsidR="004D4B94">
              <w:rPr>
                <w:rFonts w:asciiTheme="minorHAnsi" w:hAnsiTheme="minorHAnsi" w:cs="Arial"/>
                <w:szCs w:val="20"/>
              </w:rPr>
              <w:t>Agency</w:t>
            </w:r>
            <w:r w:rsidRPr="005C14D4">
              <w:rPr>
                <w:rFonts w:asciiTheme="minorHAnsi" w:hAnsiTheme="minorHAnsi" w:cs="Arial"/>
                <w:szCs w:val="20"/>
              </w:rPr>
              <w:t xml:space="preserve"> in setting the dwelling price.</w:t>
            </w:r>
          </w:p>
        </w:tc>
      </w:tr>
      <w:tr w:rsidR="00CE5764" w:rsidRPr="00E348A4" w14:paraId="411A447B" w14:textId="77777777" w:rsidTr="00B85F8A">
        <w:trPr>
          <w:cantSplit/>
        </w:trPr>
        <w:tc>
          <w:tcPr>
            <w:tcW w:w="1843" w:type="dxa"/>
          </w:tcPr>
          <w:p w14:paraId="411A4477"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6) </w:t>
            </w:r>
            <w:r w:rsidR="00CE5764" w:rsidRPr="005C14D4">
              <w:rPr>
                <w:rFonts w:asciiTheme="minorHAnsi" w:hAnsiTheme="minorHAnsi" w:cs="Arial"/>
                <w:szCs w:val="20"/>
              </w:rPr>
              <w:t xml:space="preserve">Reasonable </w:t>
            </w:r>
            <w:r w:rsidR="009C451A">
              <w:rPr>
                <w:rFonts w:asciiTheme="minorHAnsi" w:hAnsiTheme="minorHAnsi" w:cs="Arial"/>
                <w:szCs w:val="20"/>
              </w:rPr>
              <w:t>r</w:t>
            </w:r>
            <w:r w:rsidR="00CE5764" w:rsidRPr="005C14D4">
              <w:rPr>
                <w:rFonts w:asciiTheme="minorHAnsi" w:hAnsiTheme="minorHAnsi" w:cs="Arial"/>
                <w:szCs w:val="20"/>
              </w:rPr>
              <w:t xml:space="preserve">ent </w:t>
            </w:r>
            <w:r w:rsidR="009C451A">
              <w:rPr>
                <w:rFonts w:asciiTheme="minorHAnsi" w:hAnsiTheme="minorHAnsi" w:cs="Arial"/>
                <w:szCs w:val="20"/>
              </w:rPr>
              <w:t>c</w:t>
            </w:r>
            <w:r w:rsidR="00CE5764" w:rsidRPr="005C14D4">
              <w:rPr>
                <w:rFonts w:asciiTheme="minorHAnsi" w:hAnsiTheme="minorHAnsi" w:cs="Arial"/>
                <w:szCs w:val="20"/>
              </w:rPr>
              <w:t>ontribution</w:t>
            </w:r>
          </w:p>
        </w:tc>
        <w:tc>
          <w:tcPr>
            <w:tcW w:w="7229" w:type="dxa"/>
          </w:tcPr>
          <w:p w14:paraId="411A4478" w14:textId="5713C0E5"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In formulating a resident contribution in the benchmark prices</w:t>
            </w:r>
            <w:r w:rsidR="005E0B5D">
              <w:rPr>
                <w:rFonts w:asciiTheme="minorHAnsi" w:hAnsiTheme="minorHAnsi" w:cs="Arial"/>
                <w:szCs w:val="20"/>
              </w:rPr>
              <w:t xml:space="preserve"> as per the SDA Framework</w:t>
            </w:r>
            <w:r w:rsidRPr="005C14D4">
              <w:rPr>
                <w:rFonts w:asciiTheme="minorHAnsi" w:hAnsiTheme="minorHAnsi" w:cs="Arial"/>
                <w:szCs w:val="20"/>
              </w:rPr>
              <w:t xml:space="preserve">, the Agency has assumed </w:t>
            </w:r>
            <w:r w:rsidR="00861C01" w:rsidRPr="005C14D4">
              <w:rPr>
                <w:rFonts w:asciiTheme="minorHAnsi" w:hAnsiTheme="minorHAnsi" w:cs="Arial"/>
                <w:szCs w:val="20"/>
              </w:rPr>
              <w:t>residents will contribute</w:t>
            </w:r>
            <w:r w:rsidRPr="005C14D4">
              <w:rPr>
                <w:rFonts w:asciiTheme="minorHAnsi" w:hAnsiTheme="minorHAnsi" w:cs="Arial"/>
                <w:szCs w:val="20"/>
              </w:rPr>
              <w:t xml:space="preserve"> 25 per cent of the base rate of </w:t>
            </w:r>
            <w:r w:rsidR="00861C01" w:rsidRPr="005C14D4">
              <w:rPr>
                <w:rFonts w:asciiTheme="minorHAnsi" w:hAnsiTheme="minorHAnsi" w:cs="Arial"/>
                <w:szCs w:val="20"/>
              </w:rPr>
              <w:t xml:space="preserve">the Disability Support Pension </w:t>
            </w:r>
            <w:r w:rsidR="000A6AFD" w:rsidRPr="005C14D4">
              <w:rPr>
                <w:rFonts w:asciiTheme="minorHAnsi" w:hAnsiTheme="minorHAnsi" w:cs="Arial"/>
                <w:szCs w:val="20"/>
              </w:rPr>
              <w:t xml:space="preserve">plus any Commonwealth </w:t>
            </w:r>
            <w:r w:rsidR="00EC7935">
              <w:rPr>
                <w:rFonts w:asciiTheme="minorHAnsi" w:hAnsiTheme="minorHAnsi" w:cs="Arial"/>
                <w:szCs w:val="20"/>
              </w:rPr>
              <w:t>R</w:t>
            </w:r>
            <w:r w:rsidR="000A6AFD" w:rsidRPr="005C14D4">
              <w:rPr>
                <w:rFonts w:asciiTheme="minorHAnsi" w:hAnsiTheme="minorHAnsi" w:cs="Arial"/>
                <w:szCs w:val="20"/>
              </w:rPr>
              <w:t>ent Assistance (CRA) for which they are eligible. The reasonable</w:t>
            </w:r>
            <w:r w:rsidR="00861C01" w:rsidRPr="005C14D4">
              <w:rPr>
                <w:rFonts w:asciiTheme="minorHAnsi" w:hAnsiTheme="minorHAnsi" w:cs="Arial"/>
                <w:szCs w:val="20"/>
              </w:rPr>
              <w:t xml:space="preserve"> </w:t>
            </w:r>
            <w:r w:rsidRPr="005C14D4">
              <w:rPr>
                <w:rFonts w:asciiTheme="minorHAnsi" w:hAnsiTheme="minorHAnsi" w:cs="Arial"/>
                <w:szCs w:val="20"/>
              </w:rPr>
              <w:t xml:space="preserve">rent </w:t>
            </w:r>
            <w:r w:rsidR="000A6AFD" w:rsidRPr="005C14D4">
              <w:rPr>
                <w:rFonts w:asciiTheme="minorHAnsi" w:hAnsiTheme="minorHAnsi" w:cs="Arial"/>
                <w:szCs w:val="20"/>
              </w:rPr>
              <w:t xml:space="preserve">contribution </w:t>
            </w:r>
            <w:r w:rsidRPr="005C14D4">
              <w:rPr>
                <w:rFonts w:asciiTheme="minorHAnsi" w:hAnsiTheme="minorHAnsi" w:cs="Arial"/>
                <w:szCs w:val="20"/>
              </w:rPr>
              <w:t xml:space="preserve">excludes board. </w:t>
            </w:r>
          </w:p>
          <w:p w14:paraId="411A4479" w14:textId="77777777" w:rsidR="00CE5764" w:rsidRPr="005C14D4" w:rsidRDefault="00CE5764" w:rsidP="00FA5F62">
            <w:pPr>
              <w:pStyle w:val="MJATableRow"/>
              <w:rPr>
                <w:szCs w:val="20"/>
              </w:rPr>
            </w:pPr>
            <w:r w:rsidRPr="005C14D4">
              <w:rPr>
                <w:szCs w:val="20"/>
              </w:rPr>
              <w:t xml:space="preserve">The reasonable rent contribution component of the benchmark prices will be adjusted if Disability Support Pension </w:t>
            </w:r>
            <w:r w:rsidR="000A6AFD" w:rsidRPr="005C14D4">
              <w:rPr>
                <w:szCs w:val="20"/>
              </w:rPr>
              <w:t xml:space="preserve">or CRA </w:t>
            </w:r>
            <w:r w:rsidRPr="005C14D4">
              <w:rPr>
                <w:szCs w:val="20"/>
              </w:rPr>
              <w:t>payment rates are changed.</w:t>
            </w:r>
          </w:p>
          <w:p w14:paraId="411A447A" w14:textId="77777777" w:rsidR="008168CD" w:rsidRPr="005C14D4" w:rsidRDefault="008168CD" w:rsidP="00A02E9F">
            <w:pPr>
              <w:pStyle w:val="MJATableRow"/>
              <w:rPr>
                <w:rFonts w:asciiTheme="minorHAnsi" w:hAnsiTheme="minorHAnsi" w:cs="Arial"/>
                <w:szCs w:val="20"/>
              </w:rPr>
            </w:pPr>
            <w:r w:rsidRPr="005C14D4">
              <w:rPr>
                <w:szCs w:val="20"/>
              </w:rPr>
              <w:t xml:space="preserve">Refer to the section on </w:t>
            </w:r>
            <w:r w:rsidRPr="005C14D4">
              <w:rPr>
                <w:szCs w:val="20"/>
              </w:rPr>
              <w:fldChar w:fldCharType="begin"/>
            </w:r>
            <w:r w:rsidRPr="005C14D4">
              <w:rPr>
                <w:szCs w:val="20"/>
              </w:rPr>
              <w:instrText xml:space="preserve"> REF _Ref446969834 \h </w:instrText>
            </w:r>
            <w:r w:rsidR="005C14D4">
              <w:rPr>
                <w:szCs w:val="20"/>
              </w:rPr>
              <w:instrText xml:space="preserve"> \* MERGEFORMAT </w:instrText>
            </w:r>
            <w:r w:rsidRPr="005C14D4">
              <w:rPr>
                <w:szCs w:val="20"/>
              </w:rPr>
            </w:r>
            <w:r w:rsidRPr="005C14D4">
              <w:rPr>
                <w:szCs w:val="20"/>
              </w:rPr>
              <w:fldChar w:fldCharType="separate"/>
            </w:r>
            <w:r w:rsidR="00607084" w:rsidRPr="00607084">
              <w:rPr>
                <w:szCs w:val="20"/>
              </w:rPr>
              <w:t>Reasonable rent contributions</w:t>
            </w:r>
            <w:r w:rsidRPr="005C14D4">
              <w:rPr>
                <w:szCs w:val="20"/>
              </w:rPr>
              <w:fldChar w:fldCharType="end"/>
            </w:r>
            <w:r w:rsidRPr="005C14D4">
              <w:rPr>
                <w:szCs w:val="20"/>
              </w:rPr>
              <w:t xml:space="preserve"> for further details.</w:t>
            </w:r>
          </w:p>
        </w:tc>
      </w:tr>
      <w:tr w:rsidR="0049691F" w:rsidRPr="0049691F" w14:paraId="411A447E" w14:textId="77777777" w:rsidTr="00B85F8A">
        <w:trPr>
          <w:cantSplit/>
        </w:trPr>
        <w:tc>
          <w:tcPr>
            <w:tcW w:w="1843" w:type="dxa"/>
          </w:tcPr>
          <w:p w14:paraId="411A447C" w14:textId="77777777" w:rsidR="0049691F"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7) Benchmark </w:t>
            </w:r>
            <w:r w:rsidR="009C451A">
              <w:rPr>
                <w:rFonts w:asciiTheme="minorHAnsi" w:hAnsiTheme="minorHAnsi" w:cs="Arial"/>
                <w:szCs w:val="20"/>
              </w:rPr>
              <w:t>p</w:t>
            </w:r>
            <w:r w:rsidRPr="005C14D4">
              <w:rPr>
                <w:rFonts w:asciiTheme="minorHAnsi" w:hAnsiTheme="minorHAnsi" w:cs="Arial"/>
                <w:szCs w:val="20"/>
              </w:rPr>
              <w:t>rice</w:t>
            </w:r>
          </w:p>
        </w:tc>
        <w:tc>
          <w:tcPr>
            <w:tcW w:w="7229" w:type="dxa"/>
          </w:tcPr>
          <w:p w14:paraId="411A447D" w14:textId="77777777" w:rsidR="0049691F" w:rsidRPr="005C14D4" w:rsidRDefault="0049691F" w:rsidP="0049691F">
            <w:pPr>
              <w:pStyle w:val="MJATableRow"/>
              <w:rPr>
                <w:rFonts w:asciiTheme="minorHAnsi" w:hAnsiTheme="minorHAnsi" w:cs="Arial"/>
                <w:szCs w:val="20"/>
              </w:rPr>
            </w:pPr>
            <w:r w:rsidRPr="005C14D4">
              <w:rPr>
                <w:rFonts w:asciiTheme="minorHAnsi" w:hAnsiTheme="minorHAnsi" w:cs="Arial"/>
                <w:szCs w:val="20"/>
              </w:rPr>
              <w:t>The benchmark price is the</w:t>
            </w:r>
            <w:r w:rsidR="00504BD1" w:rsidRPr="005C14D4">
              <w:rPr>
                <w:rFonts w:asciiTheme="minorHAnsi" w:hAnsiTheme="minorHAnsi" w:cs="Arial"/>
                <w:szCs w:val="20"/>
              </w:rPr>
              <w:t xml:space="preserve"> annual </w:t>
            </w:r>
            <w:r w:rsidRPr="005C14D4">
              <w:rPr>
                <w:rFonts w:asciiTheme="minorHAnsi" w:hAnsiTheme="minorHAnsi" w:cs="Arial"/>
                <w:szCs w:val="20"/>
              </w:rPr>
              <w:t xml:space="preserve">NDIS payment for SDA that would be provided per eligible participant that resides at a property. The benchmark price is net of reasonable rent contributions and therefore does not represent the entire income to the property owner. </w:t>
            </w:r>
          </w:p>
        </w:tc>
      </w:tr>
      <w:tr w:rsidR="00CE5764" w:rsidRPr="00E348A4" w14:paraId="411A4481" w14:textId="77777777" w:rsidTr="00B85F8A">
        <w:trPr>
          <w:cantSplit/>
        </w:trPr>
        <w:tc>
          <w:tcPr>
            <w:tcW w:w="1843" w:type="dxa"/>
          </w:tcPr>
          <w:p w14:paraId="411A447F"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8) </w:t>
            </w:r>
            <w:r w:rsidR="00CE5764" w:rsidRPr="005C14D4">
              <w:rPr>
                <w:rFonts w:asciiTheme="minorHAnsi" w:hAnsiTheme="minorHAnsi" w:cs="Arial"/>
                <w:szCs w:val="20"/>
              </w:rPr>
              <w:t>Anticipated number of residents</w:t>
            </w:r>
          </w:p>
        </w:tc>
        <w:tc>
          <w:tcPr>
            <w:tcW w:w="7229" w:type="dxa"/>
          </w:tcPr>
          <w:p w14:paraId="411A4480"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The number of residents within the accommodation</w:t>
            </w:r>
            <w:r w:rsidR="003D2C4A" w:rsidRPr="005C14D4">
              <w:rPr>
                <w:rFonts w:asciiTheme="minorHAnsi" w:hAnsiTheme="minorHAnsi" w:cs="Arial"/>
                <w:szCs w:val="20"/>
              </w:rPr>
              <w:t xml:space="preserve">, </w:t>
            </w:r>
            <w:r w:rsidR="00861C01" w:rsidRPr="005C14D4">
              <w:rPr>
                <w:rFonts w:asciiTheme="minorHAnsi" w:hAnsiTheme="minorHAnsi" w:cs="Arial"/>
                <w:szCs w:val="20"/>
              </w:rPr>
              <w:t>adjusted for the average level of vacancies</w:t>
            </w:r>
            <w:r w:rsidR="003D2C4A" w:rsidRPr="005C14D4">
              <w:rPr>
                <w:rFonts w:asciiTheme="minorHAnsi" w:hAnsiTheme="minorHAnsi" w:cs="Arial"/>
                <w:szCs w:val="20"/>
              </w:rPr>
              <w:t xml:space="preserve"> for each dwelling type</w:t>
            </w:r>
            <w:r w:rsidRPr="005C14D4">
              <w:rPr>
                <w:rFonts w:asciiTheme="minorHAnsi" w:hAnsiTheme="minorHAnsi" w:cs="Arial"/>
                <w:szCs w:val="20"/>
              </w:rPr>
              <w:t xml:space="preserve">. </w:t>
            </w:r>
            <w:r w:rsidRPr="005C14D4">
              <w:rPr>
                <w:rFonts w:asciiTheme="minorHAnsi" w:hAnsiTheme="minorHAnsi"/>
                <w:szCs w:val="20"/>
              </w:rPr>
              <w:t>Note that</w:t>
            </w:r>
            <w:r w:rsidR="00652EBC" w:rsidRPr="005C14D4">
              <w:rPr>
                <w:rFonts w:asciiTheme="minorHAnsi" w:hAnsiTheme="minorHAnsi" w:cs="Arial"/>
                <w:szCs w:val="20"/>
              </w:rPr>
              <w:t>, subject to confirmation of the continuity of support arrangements,</w:t>
            </w:r>
            <w:r w:rsidRPr="005C14D4">
              <w:rPr>
                <w:rFonts w:asciiTheme="minorHAnsi" w:hAnsiTheme="minorHAnsi"/>
                <w:szCs w:val="20"/>
              </w:rPr>
              <w:t xml:space="preserve"> the </w:t>
            </w:r>
            <w:r w:rsidR="004D4B94">
              <w:rPr>
                <w:rFonts w:asciiTheme="minorHAnsi" w:hAnsiTheme="minorHAnsi"/>
                <w:szCs w:val="20"/>
              </w:rPr>
              <w:t>Agency</w:t>
            </w:r>
            <w:r w:rsidRPr="005C14D4">
              <w:rPr>
                <w:rFonts w:asciiTheme="minorHAnsi" w:hAnsiTheme="minorHAnsi"/>
                <w:szCs w:val="20"/>
              </w:rPr>
              <w:t xml:space="preserve"> will also assume any residents who are </w:t>
            </w:r>
            <w:r w:rsidRPr="005C14D4">
              <w:rPr>
                <w:rFonts w:asciiTheme="minorHAnsi" w:hAnsiTheme="minorHAnsi"/>
                <w:szCs w:val="20"/>
                <w:u w:val="single"/>
              </w:rPr>
              <w:t>not</w:t>
            </w:r>
            <w:r w:rsidRPr="005C14D4">
              <w:rPr>
                <w:rFonts w:asciiTheme="minorHAnsi" w:hAnsiTheme="minorHAnsi"/>
                <w:szCs w:val="20"/>
              </w:rPr>
              <w:t xml:space="preserve"> NDIS participants</w:t>
            </w:r>
            <w:r w:rsidR="00652EBC" w:rsidRPr="005C14D4">
              <w:rPr>
                <w:rFonts w:asciiTheme="minorHAnsi" w:hAnsiTheme="minorHAnsi"/>
                <w:szCs w:val="20"/>
              </w:rPr>
              <w:t xml:space="preserve"> </w:t>
            </w:r>
            <w:r w:rsidR="00652EBC" w:rsidRPr="005C14D4">
              <w:rPr>
                <w:rFonts w:asciiTheme="minorHAnsi" w:hAnsiTheme="minorHAnsi" w:cs="Arial"/>
                <w:szCs w:val="20"/>
              </w:rPr>
              <w:t>who have be assessed as having a reasonable and necessary requirement for SDA supports</w:t>
            </w:r>
            <w:r w:rsidRPr="005C14D4">
              <w:rPr>
                <w:rFonts w:asciiTheme="minorHAnsi" w:hAnsiTheme="minorHAnsi" w:cs="Arial"/>
                <w:szCs w:val="20"/>
              </w:rPr>
              <w:t xml:space="preserve"> </w:t>
            </w:r>
            <w:r w:rsidRPr="005C14D4">
              <w:rPr>
                <w:rFonts w:asciiTheme="minorHAnsi" w:hAnsiTheme="minorHAnsi"/>
                <w:szCs w:val="20"/>
              </w:rPr>
              <w:t>(and who are residents rather than support staff) are included in this figure.</w:t>
            </w:r>
          </w:p>
        </w:tc>
      </w:tr>
      <w:tr w:rsidR="0049691F" w:rsidRPr="00E348A4" w14:paraId="411A4484" w14:textId="77777777" w:rsidTr="00B85F8A">
        <w:trPr>
          <w:cantSplit/>
        </w:trPr>
        <w:tc>
          <w:tcPr>
            <w:tcW w:w="1843" w:type="dxa"/>
          </w:tcPr>
          <w:p w14:paraId="411A4482" w14:textId="77777777" w:rsidR="0049691F"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9) </w:t>
            </w:r>
            <w:r w:rsidR="00504BD1" w:rsidRPr="005C14D4">
              <w:rPr>
                <w:rFonts w:asciiTheme="minorHAnsi" w:hAnsiTheme="minorHAnsi" w:cs="Arial"/>
                <w:szCs w:val="20"/>
              </w:rPr>
              <w:t>Total dwelling income</w:t>
            </w:r>
          </w:p>
        </w:tc>
        <w:tc>
          <w:tcPr>
            <w:tcW w:w="7229" w:type="dxa"/>
          </w:tcPr>
          <w:p w14:paraId="411A4483" w14:textId="77777777" w:rsidR="0049691F" w:rsidRPr="005C14D4" w:rsidRDefault="00504BD1" w:rsidP="00504BD1">
            <w:pPr>
              <w:pStyle w:val="MJATableRow"/>
              <w:rPr>
                <w:rFonts w:asciiTheme="minorHAnsi" w:hAnsiTheme="minorHAnsi" w:cs="Arial"/>
                <w:szCs w:val="20"/>
              </w:rPr>
            </w:pPr>
            <w:r w:rsidRPr="005C14D4">
              <w:rPr>
                <w:rFonts w:asciiTheme="minorHAnsi" w:hAnsiTheme="minorHAnsi" w:cs="Arial"/>
                <w:szCs w:val="20"/>
              </w:rPr>
              <w:t xml:space="preserve">The total dwelling income is the total income the housing provider would expect to receive and includes the </w:t>
            </w:r>
            <w:r w:rsidR="009C451A">
              <w:rPr>
                <w:rFonts w:asciiTheme="minorHAnsi" w:hAnsiTheme="minorHAnsi" w:cs="Arial"/>
                <w:szCs w:val="20"/>
              </w:rPr>
              <w:t>b</w:t>
            </w:r>
            <w:r w:rsidRPr="005C14D4">
              <w:rPr>
                <w:rFonts w:asciiTheme="minorHAnsi" w:hAnsiTheme="minorHAnsi" w:cs="Arial"/>
                <w:szCs w:val="20"/>
              </w:rPr>
              <w:t xml:space="preserve">enchmark </w:t>
            </w:r>
            <w:r w:rsidR="009C451A">
              <w:rPr>
                <w:rFonts w:asciiTheme="minorHAnsi" w:hAnsiTheme="minorHAnsi" w:cs="Arial"/>
                <w:szCs w:val="20"/>
              </w:rPr>
              <w:t>p</w:t>
            </w:r>
            <w:r w:rsidRPr="005C14D4">
              <w:rPr>
                <w:rFonts w:asciiTheme="minorHAnsi" w:hAnsiTheme="minorHAnsi" w:cs="Arial"/>
                <w:szCs w:val="20"/>
              </w:rPr>
              <w:t>rice for each eligible participant residing at the property, plus reasonable rent contributions from the participants, plus any additional allowances (see 10 below).</w:t>
            </w:r>
          </w:p>
        </w:tc>
      </w:tr>
      <w:tr w:rsidR="003D2C4A" w:rsidRPr="00E348A4" w14:paraId="411A4487" w14:textId="77777777" w:rsidTr="000F045D">
        <w:trPr>
          <w:cantSplit/>
        </w:trPr>
        <w:tc>
          <w:tcPr>
            <w:tcW w:w="1843" w:type="dxa"/>
            <w:tcBorders>
              <w:bottom w:val="single" w:sz="4" w:space="0" w:color="7030A0"/>
            </w:tcBorders>
          </w:tcPr>
          <w:p w14:paraId="411A4485" w14:textId="77777777" w:rsidR="003D2C4A" w:rsidRPr="005C14D4" w:rsidRDefault="003D2C4A" w:rsidP="00FA5F62">
            <w:pPr>
              <w:pStyle w:val="MJATableRow"/>
              <w:rPr>
                <w:rFonts w:asciiTheme="minorHAnsi" w:hAnsiTheme="minorHAnsi" w:cs="Arial"/>
                <w:szCs w:val="20"/>
              </w:rPr>
            </w:pPr>
            <w:r w:rsidRPr="005C14D4">
              <w:rPr>
                <w:rFonts w:asciiTheme="minorHAnsi" w:hAnsiTheme="minorHAnsi" w:cs="Arial"/>
                <w:szCs w:val="20"/>
              </w:rPr>
              <w:t>10) Location factor</w:t>
            </w:r>
          </w:p>
        </w:tc>
        <w:tc>
          <w:tcPr>
            <w:tcW w:w="7229" w:type="dxa"/>
            <w:tcBorders>
              <w:bottom w:val="single" w:sz="4" w:space="0" w:color="7030A0"/>
            </w:tcBorders>
          </w:tcPr>
          <w:p w14:paraId="411A4486" w14:textId="77777777" w:rsidR="003D2C4A" w:rsidRPr="005C14D4" w:rsidRDefault="004514D4" w:rsidP="004514D4">
            <w:pPr>
              <w:pStyle w:val="MJATableRow"/>
              <w:rPr>
                <w:rFonts w:asciiTheme="minorHAnsi" w:hAnsiTheme="minorHAnsi" w:cs="Arial"/>
                <w:szCs w:val="20"/>
              </w:rPr>
            </w:pPr>
            <w:r w:rsidRPr="005C14D4">
              <w:rPr>
                <w:rFonts w:asciiTheme="minorHAnsi" w:hAnsiTheme="minorHAnsi" w:cs="Arial"/>
                <w:szCs w:val="20"/>
              </w:rPr>
              <w:t xml:space="preserve">The base price provided in the pricing schedules reflects a property constructed in a location with land values equal to the median capital city value. </w:t>
            </w:r>
            <w:r w:rsidR="003D2C4A" w:rsidRPr="005C14D4">
              <w:rPr>
                <w:rFonts w:asciiTheme="minorHAnsi" w:hAnsiTheme="minorHAnsi" w:cs="Arial"/>
                <w:szCs w:val="20"/>
              </w:rPr>
              <w:t xml:space="preserve">A </w:t>
            </w:r>
            <w:r w:rsidR="009C451A">
              <w:rPr>
                <w:rFonts w:asciiTheme="minorHAnsi" w:hAnsiTheme="minorHAnsi" w:cs="Arial"/>
                <w:szCs w:val="20"/>
              </w:rPr>
              <w:t>l</w:t>
            </w:r>
            <w:r w:rsidRPr="005C14D4">
              <w:rPr>
                <w:rFonts w:asciiTheme="minorHAnsi" w:hAnsiTheme="minorHAnsi" w:cs="Arial"/>
                <w:szCs w:val="20"/>
              </w:rPr>
              <w:t xml:space="preserve">ocation </w:t>
            </w:r>
            <w:r w:rsidR="009C451A">
              <w:rPr>
                <w:rFonts w:asciiTheme="minorHAnsi" w:hAnsiTheme="minorHAnsi" w:cs="Arial"/>
                <w:szCs w:val="20"/>
              </w:rPr>
              <w:t>f</w:t>
            </w:r>
            <w:r w:rsidRPr="005C14D4">
              <w:rPr>
                <w:rFonts w:asciiTheme="minorHAnsi" w:hAnsiTheme="minorHAnsi" w:cs="Arial"/>
                <w:szCs w:val="20"/>
              </w:rPr>
              <w:t>actor will be</w:t>
            </w:r>
            <w:r w:rsidR="003D2C4A" w:rsidRPr="005C14D4">
              <w:rPr>
                <w:rFonts w:asciiTheme="minorHAnsi" w:hAnsiTheme="minorHAnsi" w:cs="Arial"/>
                <w:szCs w:val="20"/>
              </w:rPr>
              <w:t xml:space="preserve"> applied to the </w:t>
            </w:r>
            <w:r w:rsidR="009C451A">
              <w:rPr>
                <w:rFonts w:asciiTheme="minorHAnsi" w:hAnsiTheme="minorHAnsi" w:cs="Arial"/>
                <w:szCs w:val="20"/>
              </w:rPr>
              <w:t>b</w:t>
            </w:r>
            <w:r w:rsidR="003D2C4A" w:rsidRPr="005C14D4">
              <w:rPr>
                <w:rFonts w:asciiTheme="minorHAnsi" w:hAnsiTheme="minorHAnsi" w:cs="Arial"/>
                <w:szCs w:val="20"/>
              </w:rPr>
              <w:t xml:space="preserve">enchmark </w:t>
            </w:r>
            <w:r w:rsidR="009C451A">
              <w:rPr>
                <w:rFonts w:asciiTheme="minorHAnsi" w:hAnsiTheme="minorHAnsi" w:cs="Arial"/>
                <w:szCs w:val="20"/>
              </w:rPr>
              <w:t>p</w:t>
            </w:r>
            <w:r w:rsidR="003D2C4A" w:rsidRPr="005C14D4">
              <w:rPr>
                <w:rFonts w:asciiTheme="minorHAnsi" w:hAnsiTheme="minorHAnsi" w:cs="Arial"/>
                <w:szCs w:val="20"/>
              </w:rPr>
              <w:t xml:space="preserve">rice </w:t>
            </w:r>
            <w:r w:rsidRPr="005C14D4">
              <w:rPr>
                <w:rFonts w:asciiTheme="minorHAnsi" w:hAnsiTheme="minorHAnsi" w:cs="Arial"/>
                <w:szCs w:val="20"/>
              </w:rPr>
              <w:t xml:space="preserve">based on the location of the property </w:t>
            </w:r>
            <w:r w:rsidR="003D2C4A" w:rsidRPr="005C14D4">
              <w:rPr>
                <w:rFonts w:asciiTheme="minorHAnsi" w:hAnsiTheme="minorHAnsi" w:cs="Arial"/>
                <w:szCs w:val="20"/>
              </w:rPr>
              <w:t xml:space="preserve">to reflect differences in building costs and land values in each geographic area. </w:t>
            </w:r>
          </w:p>
        </w:tc>
      </w:tr>
      <w:tr w:rsidR="00504BD1" w:rsidRPr="00E348A4" w14:paraId="411A4491" w14:textId="77777777" w:rsidTr="000F045D">
        <w:trPr>
          <w:cantSplit/>
        </w:trPr>
        <w:tc>
          <w:tcPr>
            <w:tcW w:w="1843" w:type="dxa"/>
            <w:tcBorders>
              <w:bottom w:val="single" w:sz="4" w:space="0" w:color="7030A0"/>
            </w:tcBorders>
          </w:tcPr>
          <w:p w14:paraId="411A4488" w14:textId="77777777" w:rsidR="00504BD1" w:rsidRPr="005C14D4" w:rsidRDefault="003D2C4A" w:rsidP="00FA5F62">
            <w:pPr>
              <w:pStyle w:val="MJATableRow"/>
              <w:rPr>
                <w:rFonts w:asciiTheme="minorHAnsi" w:hAnsiTheme="minorHAnsi" w:cs="Arial"/>
                <w:szCs w:val="20"/>
              </w:rPr>
            </w:pPr>
            <w:r w:rsidRPr="005C14D4">
              <w:rPr>
                <w:rFonts w:asciiTheme="minorHAnsi" w:hAnsiTheme="minorHAnsi" w:cs="Arial"/>
                <w:szCs w:val="20"/>
              </w:rPr>
              <w:t>11</w:t>
            </w:r>
            <w:r w:rsidR="00504BD1" w:rsidRPr="005C14D4">
              <w:rPr>
                <w:rFonts w:asciiTheme="minorHAnsi" w:hAnsiTheme="minorHAnsi" w:cs="Arial"/>
                <w:szCs w:val="20"/>
              </w:rPr>
              <w:t>) Other allowances</w:t>
            </w:r>
          </w:p>
        </w:tc>
        <w:tc>
          <w:tcPr>
            <w:tcW w:w="7229" w:type="dxa"/>
            <w:tcBorders>
              <w:bottom w:val="single" w:sz="4" w:space="0" w:color="7030A0"/>
            </w:tcBorders>
          </w:tcPr>
          <w:p w14:paraId="411A4489" w14:textId="77777777" w:rsidR="00504BD1" w:rsidRPr="005C14D4" w:rsidRDefault="00504BD1" w:rsidP="00504BD1">
            <w:pPr>
              <w:pStyle w:val="MJATableRow"/>
              <w:rPr>
                <w:rFonts w:asciiTheme="minorHAnsi" w:hAnsiTheme="minorHAnsi" w:cs="Arial"/>
                <w:szCs w:val="20"/>
              </w:rPr>
            </w:pPr>
            <w:r w:rsidRPr="005C14D4">
              <w:rPr>
                <w:rFonts w:asciiTheme="minorHAnsi" w:hAnsiTheme="minorHAnsi" w:cs="Arial"/>
                <w:szCs w:val="20"/>
              </w:rPr>
              <w:t>Other allowances would be paid for SDA properties with approved:</w:t>
            </w:r>
          </w:p>
          <w:p w14:paraId="411A448A"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 xml:space="preserve">Fire </w:t>
            </w:r>
            <w:r w:rsidR="009C451A">
              <w:rPr>
                <w:rFonts w:asciiTheme="minorHAnsi" w:hAnsiTheme="minorHAnsi" w:cs="Arial"/>
                <w:szCs w:val="20"/>
              </w:rPr>
              <w:t>s</w:t>
            </w:r>
            <w:r w:rsidRPr="005C14D4">
              <w:rPr>
                <w:rFonts w:asciiTheme="minorHAnsi" w:hAnsiTheme="minorHAnsi" w:cs="Arial"/>
                <w:szCs w:val="20"/>
              </w:rPr>
              <w:t>prinklers</w:t>
            </w:r>
          </w:p>
          <w:p w14:paraId="411A448B"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 xml:space="preserve">Assistive </w:t>
            </w:r>
            <w:r w:rsidR="009C451A">
              <w:rPr>
                <w:rFonts w:asciiTheme="minorHAnsi" w:hAnsiTheme="minorHAnsi" w:cs="Arial"/>
                <w:szCs w:val="20"/>
              </w:rPr>
              <w:t>t</w:t>
            </w:r>
            <w:r w:rsidRPr="005C14D4">
              <w:rPr>
                <w:rFonts w:asciiTheme="minorHAnsi" w:hAnsiTheme="minorHAnsi" w:cs="Arial"/>
                <w:szCs w:val="20"/>
              </w:rPr>
              <w:t>echnology</w:t>
            </w:r>
          </w:p>
          <w:p w14:paraId="411A448C"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Furnishings</w:t>
            </w:r>
          </w:p>
          <w:p w14:paraId="411A448D"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Communal areas for multiple dwellings</w:t>
            </w:r>
          </w:p>
          <w:p w14:paraId="411A448E"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Participants that do not receive CRA for reasons other than income</w:t>
            </w:r>
          </w:p>
          <w:p w14:paraId="411A448F"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Participant</w:t>
            </w:r>
            <w:r w:rsidR="009C451A">
              <w:rPr>
                <w:rFonts w:asciiTheme="minorHAnsi" w:hAnsiTheme="minorHAnsi" w:cs="Arial"/>
                <w:szCs w:val="20"/>
              </w:rPr>
              <w:t>s</w:t>
            </w:r>
            <w:r w:rsidRPr="005C14D4">
              <w:rPr>
                <w:rFonts w:asciiTheme="minorHAnsi" w:hAnsiTheme="minorHAnsi" w:cs="Arial"/>
                <w:szCs w:val="20"/>
              </w:rPr>
              <w:t xml:space="preserve"> under 21 that receive a reduced Disability Support Pension</w:t>
            </w:r>
          </w:p>
          <w:p w14:paraId="411A4490"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Atypical maintenance costs associated with complex behaviours</w:t>
            </w:r>
            <w:r w:rsidR="009C451A">
              <w:rPr>
                <w:rFonts w:asciiTheme="minorHAnsi" w:hAnsiTheme="minorHAnsi" w:cs="Arial"/>
                <w:szCs w:val="20"/>
              </w:rPr>
              <w:t>.</w:t>
            </w:r>
          </w:p>
        </w:tc>
      </w:tr>
    </w:tbl>
    <w:p w14:paraId="411A4492" w14:textId="77777777" w:rsidR="00516385" w:rsidRPr="00E348A4" w:rsidRDefault="009C0770" w:rsidP="00B85F8A">
      <w:pPr>
        <w:pStyle w:val="Heading3"/>
      </w:pPr>
      <w:bookmarkStart w:id="48" w:name="_Toc446631425"/>
      <w:bookmarkStart w:id="49" w:name="_Toc446631476"/>
      <w:bookmarkStart w:id="50" w:name="_Toc446631599"/>
      <w:bookmarkStart w:id="51" w:name="_Toc446662598"/>
      <w:bookmarkStart w:id="52" w:name="_Toc446666989"/>
      <w:bookmarkStart w:id="53" w:name="_Toc446667049"/>
      <w:bookmarkStart w:id="54" w:name="_Toc446631426"/>
      <w:bookmarkStart w:id="55" w:name="_Toc446631477"/>
      <w:bookmarkStart w:id="56" w:name="_Toc446631600"/>
      <w:bookmarkStart w:id="57" w:name="_Toc446662599"/>
      <w:bookmarkStart w:id="58" w:name="_Toc446666990"/>
      <w:bookmarkStart w:id="59" w:name="_Toc446667050"/>
      <w:bookmarkStart w:id="60" w:name="_Toc446631427"/>
      <w:bookmarkStart w:id="61" w:name="_Toc446631478"/>
      <w:bookmarkStart w:id="62" w:name="_Toc446631601"/>
      <w:bookmarkStart w:id="63" w:name="_Toc446662600"/>
      <w:bookmarkStart w:id="64" w:name="_Toc446666991"/>
      <w:bookmarkStart w:id="65" w:name="_Toc446667051"/>
      <w:bookmarkStart w:id="66" w:name="_Toc447447077"/>
      <w:bookmarkStart w:id="67" w:name="_Toc44745039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348A4">
        <w:lastRenderedPageBreak/>
        <w:t xml:space="preserve">Accommodation </w:t>
      </w:r>
      <w:r w:rsidR="00843173">
        <w:t>d</w:t>
      </w:r>
      <w:r w:rsidR="00516385" w:rsidRPr="00E348A4">
        <w:t>esign categories</w:t>
      </w:r>
      <w:bookmarkEnd w:id="66"/>
      <w:bookmarkEnd w:id="67"/>
    </w:p>
    <w:p w14:paraId="411A4493" w14:textId="77777777" w:rsidR="00E41B55" w:rsidRDefault="00E41B55" w:rsidP="00E46CA9">
      <w:pPr>
        <w:pStyle w:val="BodyText1"/>
        <w:rPr>
          <w:lang w:val="en-AU"/>
        </w:rPr>
      </w:pPr>
      <w:r>
        <w:rPr>
          <w:lang w:val="en-AU"/>
        </w:rPr>
        <w:t xml:space="preserve">Benchmark pricing needs to cater for a number of </w:t>
      </w:r>
      <w:r w:rsidR="00CE5764">
        <w:rPr>
          <w:lang w:val="en-AU"/>
        </w:rPr>
        <w:t xml:space="preserve">building purposes which incorporate </w:t>
      </w:r>
      <w:r>
        <w:rPr>
          <w:lang w:val="en-AU"/>
        </w:rPr>
        <w:t xml:space="preserve">different standards and characteristics of SDA specific to a person’s needs and the nature of their disability. </w:t>
      </w:r>
    </w:p>
    <w:p w14:paraId="411A4494" w14:textId="1E4DFF04" w:rsidR="00897535" w:rsidRDefault="00516385" w:rsidP="00E46CA9">
      <w:pPr>
        <w:pStyle w:val="BodyText1"/>
        <w:rPr>
          <w:lang w:val="en-AU"/>
        </w:rPr>
      </w:pPr>
      <w:r w:rsidRPr="00E348A4">
        <w:rPr>
          <w:lang w:val="en-AU"/>
        </w:rPr>
        <w:t>The benchmark pricing model is based on five broad categor</w:t>
      </w:r>
      <w:r w:rsidR="004A2EAC">
        <w:rPr>
          <w:lang w:val="en-AU"/>
        </w:rPr>
        <w:t xml:space="preserve">ies of SDA design, shown below in </w:t>
      </w:r>
      <w:r w:rsidR="002D5820">
        <w:rPr>
          <w:lang w:val="en-AU"/>
        </w:rPr>
        <w:fldChar w:fldCharType="begin"/>
      </w:r>
      <w:r w:rsidR="002D5820">
        <w:rPr>
          <w:lang w:val="en-AU"/>
        </w:rPr>
        <w:instrText xml:space="preserve"> REF _Ref447177555 \h  \* MERGEFORMAT </w:instrText>
      </w:r>
      <w:r w:rsidR="002D5820">
        <w:rPr>
          <w:lang w:val="en-AU"/>
        </w:rPr>
      </w:r>
      <w:r w:rsidR="002D5820">
        <w:rPr>
          <w:lang w:val="en-AU"/>
        </w:rPr>
        <w:fldChar w:fldCharType="separate"/>
      </w:r>
      <w:r w:rsidR="00607084" w:rsidRPr="00607084">
        <w:rPr>
          <w:lang w:val="en-AU"/>
        </w:rPr>
        <w:t>Table 2</w:t>
      </w:r>
      <w:r w:rsidR="002D5820">
        <w:rPr>
          <w:lang w:val="en-AU"/>
        </w:rPr>
        <w:fldChar w:fldCharType="end"/>
      </w:r>
      <w:r w:rsidR="004A2EAC">
        <w:rPr>
          <w:lang w:val="en-AU"/>
        </w:rPr>
        <w:t xml:space="preserve">. The category labels which </w:t>
      </w:r>
      <w:r w:rsidR="0082526F">
        <w:rPr>
          <w:lang w:val="en-AU"/>
        </w:rPr>
        <w:t>the Agency has used</w:t>
      </w:r>
      <w:r w:rsidR="004A2EAC">
        <w:rPr>
          <w:lang w:val="en-AU"/>
        </w:rPr>
        <w:t xml:space="preserve"> are new and do not reference historical approaches or standards unless explicitly referenced. </w:t>
      </w:r>
      <w:r w:rsidR="0082526F">
        <w:rPr>
          <w:lang w:val="en-AU"/>
        </w:rPr>
        <w:t>D</w:t>
      </w:r>
      <w:r w:rsidR="004A2EAC">
        <w:rPr>
          <w:lang w:val="en-AU"/>
        </w:rPr>
        <w:t>esign standards and assumptions regarding construction materials, size a</w:t>
      </w:r>
      <w:r w:rsidR="00E41B55">
        <w:rPr>
          <w:lang w:val="en-AU"/>
        </w:rPr>
        <w:t>nd fit-out have been applied and are outlined later in this document</w:t>
      </w:r>
      <w:r w:rsidR="0082526F">
        <w:rPr>
          <w:lang w:val="en-AU"/>
        </w:rPr>
        <w:t xml:space="preserve"> and in Appendix B</w:t>
      </w:r>
      <w:r w:rsidR="00E41B55">
        <w:rPr>
          <w:lang w:val="en-AU"/>
        </w:rPr>
        <w:t>.</w:t>
      </w:r>
    </w:p>
    <w:p w14:paraId="411A4495" w14:textId="0D48670C" w:rsidR="00E41B55" w:rsidRDefault="0082526F" w:rsidP="00E46CA9">
      <w:pPr>
        <w:pStyle w:val="BodyText1"/>
        <w:rPr>
          <w:lang w:val="en-AU"/>
        </w:rPr>
      </w:pPr>
      <w:r w:rsidRPr="00675E74">
        <w:rPr>
          <w:lang w:val="en-AU"/>
        </w:rPr>
        <w:t xml:space="preserve">In selecting the design categories listed in </w:t>
      </w:r>
      <w:r w:rsidRPr="00675E74">
        <w:rPr>
          <w:lang w:val="en-AU"/>
        </w:rPr>
        <w:fldChar w:fldCharType="begin"/>
      </w:r>
      <w:r w:rsidRPr="00CE4852">
        <w:rPr>
          <w:lang w:val="en-AU"/>
        </w:rPr>
        <w:instrText xml:space="preserve"> REF _Ref447177555 \h  \* MERGEFORMAT </w:instrText>
      </w:r>
      <w:r w:rsidRPr="00675E74">
        <w:rPr>
          <w:lang w:val="en-AU"/>
        </w:rPr>
      </w:r>
      <w:r w:rsidRPr="00675E74">
        <w:rPr>
          <w:lang w:val="en-AU"/>
        </w:rPr>
        <w:fldChar w:fldCharType="separate"/>
      </w:r>
      <w:r w:rsidR="00607084" w:rsidRPr="00607084">
        <w:rPr>
          <w:lang w:val="en-AU"/>
        </w:rPr>
        <w:t>Table 2</w:t>
      </w:r>
      <w:r w:rsidRPr="00675E74">
        <w:rPr>
          <w:lang w:val="en-AU"/>
        </w:rPr>
        <w:fldChar w:fldCharType="end"/>
      </w:r>
      <w:r w:rsidRPr="00675E74">
        <w:rPr>
          <w:lang w:val="en-AU"/>
        </w:rPr>
        <w:t>, the</w:t>
      </w:r>
      <w:r>
        <w:rPr>
          <w:lang w:val="en-AU"/>
        </w:rPr>
        <w:t xml:space="preserve"> </w:t>
      </w:r>
      <w:r w:rsidR="005C14D4">
        <w:rPr>
          <w:lang w:val="en-AU"/>
        </w:rPr>
        <w:t>Agency</w:t>
      </w:r>
      <w:r w:rsidR="00E41B55">
        <w:rPr>
          <w:lang w:val="en-AU"/>
        </w:rPr>
        <w:t xml:space="preserve"> considered a range of additional </w:t>
      </w:r>
      <w:r>
        <w:rPr>
          <w:lang w:val="en-AU"/>
        </w:rPr>
        <w:t xml:space="preserve">design </w:t>
      </w:r>
      <w:r w:rsidR="00E41B55">
        <w:rPr>
          <w:lang w:val="en-AU"/>
        </w:rPr>
        <w:t>categories</w:t>
      </w:r>
      <w:r w:rsidR="009C451A">
        <w:rPr>
          <w:lang w:val="en-AU"/>
        </w:rPr>
        <w:t>. T</w:t>
      </w:r>
      <w:r w:rsidR="00E41B55">
        <w:rPr>
          <w:lang w:val="en-AU"/>
        </w:rPr>
        <w:t>his level of differentiation was chosen to reduce administrative complexity as price differentials were not material between more granular definitions.</w:t>
      </w:r>
    </w:p>
    <w:p w14:paraId="411A4498" w14:textId="2321BE65" w:rsidR="00E84A86" w:rsidRPr="00E2350A" w:rsidRDefault="00E41B55" w:rsidP="00E46CA9">
      <w:pPr>
        <w:pStyle w:val="BodyText1"/>
        <w:rPr>
          <w:lang w:val="en-AU"/>
        </w:rPr>
      </w:pPr>
      <w:r>
        <w:rPr>
          <w:lang w:val="en-AU"/>
        </w:rPr>
        <w:t>By definition</w:t>
      </w:r>
      <w:r w:rsidR="0082526F">
        <w:rPr>
          <w:lang w:val="en-AU"/>
        </w:rPr>
        <w:t>,</w:t>
      </w:r>
      <w:r>
        <w:rPr>
          <w:lang w:val="en-AU"/>
        </w:rPr>
        <w:t xml:space="preserve"> where the </w:t>
      </w:r>
      <w:r w:rsidR="005C14D4">
        <w:rPr>
          <w:lang w:val="en-AU"/>
        </w:rPr>
        <w:t>Agency</w:t>
      </w:r>
      <w:r>
        <w:rPr>
          <w:lang w:val="en-AU"/>
        </w:rPr>
        <w:t xml:space="preserve"> is required to define a price for a support (in this case SDA)</w:t>
      </w:r>
      <w:r w:rsidR="005C14D4">
        <w:rPr>
          <w:lang w:val="en-AU"/>
        </w:rPr>
        <w:t>,</w:t>
      </w:r>
      <w:r>
        <w:rPr>
          <w:lang w:val="en-AU"/>
        </w:rPr>
        <w:t xml:space="preserve"> it is necessary to provide a detailed specification of what is included in that price. The </w:t>
      </w:r>
      <w:r w:rsidR="004D4B94">
        <w:rPr>
          <w:lang w:val="en-AU"/>
        </w:rPr>
        <w:t>Agency</w:t>
      </w:r>
      <w:r>
        <w:rPr>
          <w:lang w:val="en-AU"/>
        </w:rPr>
        <w:t xml:space="preserve"> is aware that this tends to stifle innovation and variation in the market. The </w:t>
      </w:r>
      <w:r w:rsidR="005C14D4">
        <w:rPr>
          <w:lang w:val="en-AU"/>
        </w:rPr>
        <w:t>‘</w:t>
      </w:r>
      <w:r w:rsidR="005D4FEF">
        <w:rPr>
          <w:lang w:val="en-AU"/>
        </w:rPr>
        <w:t>i</w:t>
      </w:r>
      <w:r>
        <w:rPr>
          <w:lang w:val="en-AU"/>
        </w:rPr>
        <w:t>nnovation</w:t>
      </w:r>
      <w:r w:rsidR="005C14D4">
        <w:rPr>
          <w:lang w:val="en-AU"/>
        </w:rPr>
        <w:t>’</w:t>
      </w:r>
      <w:r>
        <w:rPr>
          <w:lang w:val="en-AU"/>
        </w:rPr>
        <w:t xml:space="preserve"> category </w:t>
      </w:r>
      <w:r w:rsidR="0082526F">
        <w:rPr>
          <w:lang w:val="en-AU"/>
        </w:rPr>
        <w:t>therefore</w:t>
      </w:r>
      <w:r>
        <w:rPr>
          <w:lang w:val="en-AU"/>
        </w:rPr>
        <w:t xml:space="preserve"> allows providers to develop services that do not fit one of the specific definitions satisfactorily.</w:t>
      </w:r>
    </w:p>
    <w:p w14:paraId="411A4499" w14:textId="77777777" w:rsidR="00516385" w:rsidRPr="005C14D4" w:rsidRDefault="001E2292" w:rsidP="001E2292">
      <w:pPr>
        <w:pStyle w:val="Caption"/>
        <w:spacing w:after="0"/>
        <w:rPr>
          <w:rFonts w:asciiTheme="minorHAnsi" w:hAnsiTheme="minorHAnsi"/>
          <w:sz w:val="20"/>
          <w:szCs w:val="20"/>
          <w:lang w:val="en-AU"/>
        </w:rPr>
      </w:pPr>
      <w:bookmarkStart w:id="68" w:name="_Ref447177555"/>
      <w:r w:rsidRPr="005C14D4">
        <w:rPr>
          <w:rFonts w:asciiTheme="minorHAnsi" w:hAnsiTheme="minorHAnsi"/>
          <w:sz w:val="20"/>
          <w:szCs w:val="20"/>
        </w:rPr>
        <w:t xml:space="preserve">Table </w:t>
      </w:r>
      <w:r w:rsidRPr="005C14D4">
        <w:rPr>
          <w:rFonts w:asciiTheme="minorHAnsi" w:hAnsiTheme="minorHAnsi"/>
          <w:sz w:val="20"/>
          <w:szCs w:val="20"/>
        </w:rPr>
        <w:fldChar w:fldCharType="begin"/>
      </w:r>
      <w:r w:rsidRPr="005C14D4">
        <w:rPr>
          <w:rFonts w:asciiTheme="minorHAnsi" w:hAnsiTheme="minorHAnsi"/>
          <w:sz w:val="20"/>
          <w:szCs w:val="20"/>
        </w:rPr>
        <w:instrText xml:space="preserve"> SEQ Table \* ARABIC </w:instrText>
      </w:r>
      <w:r w:rsidRPr="005C14D4">
        <w:rPr>
          <w:rFonts w:asciiTheme="minorHAnsi" w:hAnsiTheme="minorHAnsi"/>
          <w:sz w:val="20"/>
          <w:szCs w:val="20"/>
        </w:rPr>
        <w:fldChar w:fldCharType="separate"/>
      </w:r>
      <w:r w:rsidR="00607084">
        <w:rPr>
          <w:rFonts w:asciiTheme="minorHAnsi" w:hAnsiTheme="minorHAnsi"/>
          <w:noProof/>
          <w:sz w:val="20"/>
          <w:szCs w:val="20"/>
        </w:rPr>
        <w:t>2</w:t>
      </w:r>
      <w:r w:rsidRPr="005C14D4">
        <w:rPr>
          <w:rFonts w:asciiTheme="minorHAnsi" w:hAnsiTheme="minorHAnsi"/>
          <w:sz w:val="20"/>
          <w:szCs w:val="20"/>
        </w:rPr>
        <w:fldChar w:fldCharType="end"/>
      </w:r>
      <w:bookmarkEnd w:id="68"/>
      <w:r w:rsidRPr="005C14D4">
        <w:rPr>
          <w:rFonts w:asciiTheme="minorHAnsi" w:hAnsiTheme="minorHAnsi"/>
          <w:sz w:val="20"/>
          <w:szCs w:val="20"/>
          <w:lang w:val="en-AU"/>
        </w:rPr>
        <w:t>: Description primary design categories</w:t>
      </w:r>
    </w:p>
    <w:tbl>
      <w:tblPr>
        <w:tblStyle w:val="MJATable1"/>
        <w:tblW w:w="0" w:type="auto"/>
        <w:tblBorders>
          <w:insideH w:val="single" w:sz="4" w:space="0" w:color="7030A0"/>
          <w:insideV w:val="single" w:sz="4" w:space="0" w:color="7030A0"/>
        </w:tblBorders>
        <w:tblLook w:val="04A0" w:firstRow="1" w:lastRow="0" w:firstColumn="1" w:lastColumn="0" w:noHBand="0" w:noVBand="1"/>
      </w:tblPr>
      <w:tblGrid>
        <w:gridCol w:w="1843"/>
        <w:gridCol w:w="7183"/>
      </w:tblGrid>
      <w:tr w:rsidR="00516385" w:rsidRPr="005C14D4" w14:paraId="411A449C" w14:textId="77777777" w:rsidTr="00E46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7030A0"/>
          </w:tcPr>
          <w:p w14:paraId="411A449A"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Design Category</w:t>
            </w:r>
          </w:p>
        </w:tc>
        <w:tc>
          <w:tcPr>
            <w:tcW w:w="7183" w:type="dxa"/>
            <w:shd w:val="clear" w:color="auto" w:fill="7030A0"/>
          </w:tcPr>
          <w:p w14:paraId="411A449B" w14:textId="77777777" w:rsidR="00516385" w:rsidRPr="005C14D4" w:rsidRDefault="00516385" w:rsidP="00BF4263">
            <w:pPr>
              <w:pStyle w:val="MJATableRow"/>
              <w:cnfStyle w:val="100000000000" w:firstRow="1" w:lastRow="0" w:firstColumn="0" w:lastColumn="0" w:oddVBand="0" w:evenVBand="0" w:oddHBand="0" w:evenHBand="0" w:firstRowFirstColumn="0" w:firstRowLastColumn="0" w:lastRowFirstColumn="0" w:lastRowLastColumn="0"/>
              <w:rPr>
                <w:rFonts w:asciiTheme="minorHAnsi" w:hAnsiTheme="minorHAnsi" w:cs="Arial"/>
                <w:szCs w:val="20"/>
              </w:rPr>
            </w:pPr>
            <w:r w:rsidRPr="005C14D4">
              <w:rPr>
                <w:rFonts w:asciiTheme="minorHAnsi" w:hAnsiTheme="minorHAnsi" w:cs="Arial"/>
                <w:szCs w:val="20"/>
              </w:rPr>
              <w:t>Description</w:t>
            </w:r>
          </w:p>
        </w:tc>
      </w:tr>
      <w:tr w:rsidR="00516385" w:rsidRPr="005C14D4" w14:paraId="411A449F"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9D" w14:textId="77777777" w:rsidR="00516385" w:rsidRPr="005C14D4" w:rsidRDefault="00516385" w:rsidP="00E46CA9">
            <w:pPr>
              <w:pStyle w:val="BodyText1"/>
              <w:rPr>
                <w:sz w:val="20"/>
              </w:rPr>
            </w:pPr>
            <w:r w:rsidRPr="005C14D4">
              <w:rPr>
                <w:sz w:val="20"/>
              </w:rPr>
              <w:t xml:space="preserve">Standard </w:t>
            </w:r>
          </w:p>
        </w:tc>
        <w:tc>
          <w:tcPr>
            <w:tcW w:w="7183" w:type="dxa"/>
          </w:tcPr>
          <w:p w14:paraId="411A449E"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Housing without specialised design features but with other important SDA characteristics (e.g. location, privacy, shared supports)</w:t>
            </w:r>
            <w:r w:rsidR="005D4FEF">
              <w:rPr>
                <w:sz w:val="20"/>
              </w:rPr>
              <w:t>.</w:t>
            </w:r>
            <w:r w:rsidRPr="005C14D4">
              <w:rPr>
                <w:sz w:val="20"/>
              </w:rPr>
              <w:t xml:space="preserve">  </w:t>
            </w:r>
          </w:p>
        </w:tc>
      </w:tr>
      <w:tr w:rsidR="00516385" w:rsidRPr="005C14D4" w14:paraId="411A44A2"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0" w14:textId="77777777" w:rsidR="00516385" w:rsidRPr="005C14D4" w:rsidRDefault="00516385" w:rsidP="00E46CA9">
            <w:pPr>
              <w:pStyle w:val="BodyText1"/>
              <w:rPr>
                <w:sz w:val="20"/>
              </w:rPr>
            </w:pPr>
            <w:r w:rsidRPr="005C14D4">
              <w:rPr>
                <w:sz w:val="20"/>
              </w:rPr>
              <w:t xml:space="preserve">Improved </w:t>
            </w:r>
            <w:r w:rsidR="005D4FEF">
              <w:rPr>
                <w:sz w:val="20"/>
              </w:rPr>
              <w:t>l</w:t>
            </w:r>
            <w:r w:rsidR="004D4B94" w:rsidRPr="005C14D4">
              <w:rPr>
                <w:sz w:val="20"/>
              </w:rPr>
              <w:t>ivability</w:t>
            </w:r>
            <w:r w:rsidRPr="005C14D4">
              <w:rPr>
                <w:sz w:val="20"/>
              </w:rPr>
              <w:t xml:space="preserve"> </w:t>
            </w:r>
          </w:p>
        </w:tc>
        <w:tc>
          <w:tcPr>
            <w:tcW w:w="7183" w:type="dxa"/>
          </w:tcPr>
          <w:p w14:paraId="411A44A1"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Housing that has been specially designed to significantly improve the ‘</w:t>
            </w:r>
            <w:r w:rsidR="004D4B94" w:rsidRPr="005C14D4">
              <w:rPr>
                <w:sz w:val="20"/>
              </w:rPr>
              <w:t>livability</w:t>
            </w:r>
            <w:r w:rsidRPr="005C14D4">
              <w:rPr>
                <w:sz w:val="20"/>
              </w:rPr>
              <w:t>’ for participants with non-physical disabilities (e.g. improved wayfinding, clear lines of sight into other rooms for residents and staff, reduced sensory stimulation, room ‘flow’)</w:t>
            </w:r>
            <w:r w:rsidR="005D4FEF">
              <w:rPr>
                <w:sz w:val="20"/>
              </w:rPr>
              <w:t>.</w:t>
            </w:r>
          </w:p>
        </w:tc>
      </w:tr>
      <w:tr w:rsidR="00516385" w:rsidRPr="005C14D4" w14:paraId="411A44A5"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3" w14:textId="77777777" w:rsidR="00516385" w:rsidRPr="005C14D4" w:rsidRDefault="00516385" w:rsidP="00E46CA9">
            <w:pPr>
              <w:pStyle w:val="BodyText1"/>
              <w:rPr>
                <w:sz w:val="20"/>
              </w:rPr>
            </w:pPr>
            <w:r w:rsidRPr="005C14D4">
              <w:rPr>
                <w:sz w:val="20"/>
              </w:rPr>
              <w:t xml:space="preserve">Fully </w:t>
            </w:r>
            <w:r w:rsidR="005D4FEF">
              <w:rPr>
                <w:sz w:val="20"/>
              </w:rPr>
              <w:t>a</w:t>
            </w:r>
            <w:r w:rsidRPr="005C14D4">
              <w:rPr>
                <w:sz w:val="20"/>
              </w:rPr>
              <w:t xml:space="preserve">ccessible </w:t>
            </w:r>
          </w:p>
        </w:tc>
        <w:tc>
          <w:tcPr>
            <w:tcW w:w="7183" w:type="dxa"/>
          </w:tcPr>
          <w:p w14:paraId="411A44A4"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Allows full accessibility for participants with adjustments to improve ‘</w:t>
            </w:r>
            <w:r w:rsidR="004D4B94" w:rsidRPr="005C14D4">
              <w:rPr>
                <w:sz w:val="20"/>
              </w:rPr>
              <w:t>livability</w:t>
            </w:r>
            <w:r w:rsidRPr="005C14D4">
              <w:rPr>
                <w:sz w:val="20"/>
              </w:rPr>
              <w:t>’ (e.g. platinum level design, appropriate height of windows and benches)</w:t>
            </w:r>
            <w:r w:rsidR="00E2350A">
              <w:rPr>
                <w:sz w:val="20"/>
              </w:rPr>
              <w:t xml:space="preserve">. </w:t>
            </w:r>
            <w:r w:rsidRPr="005C14D4">
              <w:rPr>
                <w:sz w:val="20"/>
              </w:rPr>
              <w:t>This design is based on the Platinum standard for accommodation and Australian Standard 1428.1</w:t>
            </w:r>
            <w:r w:rsidR="005D4FEF">
              <w:rPr>
                <w:sz w:val="20"/>
              </w:rPr>
              <w:t>.</w:t>
            </w:r>
          </w:p>
        </w:tc>
      </w:tr>
      <w:tr w:rsidR="00516385" w:rsidRPr="005C14D4" w14:paraId="411A44A8"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6" w14:textId="77777777" w:rsidR="00516385" w:rsidRPr="005C14D4" w:rsidRDefault="00516385" w:rsidP="00E46CA9">
            <w:pPr>
              <w:pStyle w:val="BodyText1"/>
              <w:rPr>
                <w:sz w:val="20"/>
              </w:rPr>
            </w:pPr>
            <w:r w:rsidRPr="005C14D4">
              <w:rPr>
                <w:sz w:val="20"/>
              </w:rPr>
              <w:t xml:space="preserve">Robust </w:t>
            </w:r>
            <w:r w:rsidR="005D4FEF">
              <w:rPr>
                <w:sz w:val="20"/>
              </w:rPr>
              <w:t>c</w:t>
            </w:r>
            <w:r w:rsidRPr="005C14D4">
              <w:rPr>
                <w:sz w:val="20"/>
              </w:rPr>
              <w:t xml:space="preserve">onstruction </w:t>
            </w:r>
          </w:p>
        </w:tc>
        <w:tc>
          <w:tcPr>
            <w:tcW w:w="7183" w:type="dxa"/>
          </w:tcPr>
          <w:p w14:paraId="411A44A7"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 xml:space="preserve">Resilient but inconspicuous materials and features that minimise risk to the participant and the community, improve privacy and reduce maintenance costs (e.g. secure windows, doors and external areas, sound proof walls, unbreakable glass, appropriate strength walls, etc.). The room sizes are based on the </w:t>
            </w:r>
            <w:r w:rsidR="005D4FEF">
              <w:rPr>
                <w:sz w:val="20"/>
              </w:rPr>
              <w:t>p</w:t>
            </w:r>
            <w:r w:rsidRPr="005C14D4">
              <w:rPr>
                <w:sz w:val="20"/>
              </w:rPr>
              <w:t>latinum standard for accommodation and Australian Standard 1428.1</w:t>
            </w:r>
            <w:r w:rsidR="005D4FEF">
              <w:rPr>
                <w:sz w:val="20"/>
              </w:rPr>
              <w:t>.</w:t>
            </w:r>
          </w:p>
        </w:tc>
      </w:tr>
      <w:tr w:rsidR="00516385" w:rsidRPr="005C14D4" w14:paraId="411A44AB" w14:textId="77777777" w:rsidTr="000F045D">
        <w:trPr>
          <w:cantSplit/>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7030A0"/>
            </w:tcBorders>
          </w:tcPr>
          <w:p w14:paraId="411A44A9" w14:textId="77777777" w:rsidR="00516385" w:rsidRPr="005C14D4" w:rsidRDefault="00516385" w:rsidP="00E46CA9">
            <w:pPr>
              <w:pStyle w:val="BodyText1"/>
              <w:rPr>
                <w:sz w:val="20"/>
              </w:rPr>
            </w:pPr>
            <w:r w:rsidRPr="005C14D4">
              <w:rPr>
                <w:sz w:val="20"/>
              </w:rPr>
              <w:t xml:space="preserve">High </w:t>
            </w:r>
            <w:r w:rsidR="005D4FEF">
              <w:rPr>
                <w:sz w:val="20"/>
              </w:rPr>
              <w:t>s</w:t>
            </w:r>
            <w:r w:rsidRPr="005C14D4">
              <w:rPr>
                <w:sz w:val="20"/>
              </w:rPr>
              <w:t xml:space="preserve">upport </w:t>
            </w:r>
            <w:r w:rsidR="005D4FEF">
              <w:rPr>
                <w:sz w:val="20"/>
              </w:rPr>
              <w:t>n</w:t>
            </w:r>
            <w:r w:rsidRPr="005C14D4">
              <w:rPr>
                <w:sz w:val="20"/>
              </w:rPr>
              <w:t xml:space="preserve">eeds </w:t>
            </w:r>
          </w:p>
        </w:tc>
        <w:tc>
          <w:tcPr>
            <w:tcW w:w="7183" w:type="dxa"/>
            <w:tcBorders>
              <w:bottom w:val="single" w:sz="4" w:space="0" w:color="7030A0"/>
            </w:tcBorders>
          </w:tcPr>
          <w:p w14:paraId="411A44AA" w14:textId="77777777" w:rsidR="00516385" w:rsidRPr="005C14D4" w:rsidRDefault="00516385" w:rsidP="00045B7D">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Higher</w:t>
            </w:r>
            <w:r w:rsidR="00045B7D">
              <w:rPr>
                <w:sz w:val="20"/>
              </w:rPr>
              <w:t xml:space="preserve"> (e.g. complex or</w:t>
            </w:r>
            <w:r w:rsidRPr="005C14D4">
              <w:rPr>
                <w:sz w:val="20"/>
              </w:rPr>
              <w:t xml:space="preserve"> medical</w:t>
            </w:r>
            <w:r w:rsidR="00045B7D">
              <w:rPr>
                <w:sz w:val="20"/>
              </w:rPr>
              <w:t>)</w:t>
            </w:r>
            <w:r w:rsidRPr="005C14D4">
              <w:rPr>
                <w:sz w:val="20"/>
              </w:rPr>
              <w:t xml:space="preserve"> support needs</w:t>
            </w:r>
            <w:r w:rsidR="00045B7D">
              <w:rPr>
                <w:sz w:val="20"/>
              </w:rPr>
              <w:t>, likely requiring</w:t>
            </w:r>
            <w:r w:rsidRPr="005C14D4">
              <w:rPr>
                <w:sz w:val="20"/>
              </w:rPr>
              <w:t xml:space="preserve"> wider access and greater allowances for hoists and other equipment.</w:t>
            </w:r>
          </w:p>
        </w:tc>
      </w:tr>
      <w:tr w:rsidR="00516385" w:rsidRPr="005C14D4" w14:paraId="411A44AE" w14:textId="77777777" w:rsidTr="000F045D">
        <w:trPr>
          <w:cantSplit/>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030A0"/>
              <w:bottom w:val="single" w:sz="4" w:space="0" w:color="7030A0"/>
            </w:tcBorders>
          </w:tcPr>
          <w:p w14:paraId="411A44AC" w14:textId="77777777" w:rsidR="00516385" w:rsidRPr="005C14D4" w:rsidRDefault="00516385" w:rsidP="00E46CA9">
            <w:pPr>
              <w:pStyle w:val="BodyText1"/>
              <w:rPr>
                <w:sz w:val="20"/>
              </w:rPr>
            </w:pPr>
            <w:r w:rsidRPr="005C14D4">
              <w:rPr>
                <w:sz w:val="20"/>
              </w:rPr>
              <w:t>Innovation</w:t>
            </w:r>
          </w:p>
        </w:tc>
        <w:tc>
          <w:tcPr>
            <w:tcW w:w="7183" w:type="dxa"/>
            <w:tcBorders>
              <w:top w:val="single" w:sz="4" w:space="0" w:color="7030A0"/>
              <w:bottom w:val="single" w:sz="4" w:space="0" w:color="7030A0"/>
            </w:tcBorders>
          </w:tcPr>
          <w:p w14:paraId="411A44AD" w14:textId="77777777" w:rsidR="00516385" w:rsidRPr="005C14D4" w:rsidRDefault="00516385" w:rsidP="000003D6">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Innovative features, technology or housing designs that improve outcomes and whole-of-package costs for a participant. Considered on a case-by-case basis and included as a premium above other design categories.</w:t>
            </w:r>
          </w:p>
        </w:tc>
      </w:tr>
    </w:tbl>
    <w:p w14:paraId="411A44AF" w14:textId="77777777" w:rsidR="00516385" w:rsidRPr="00E348A4" w:rsidRDefault="00516385" w:rsidP="00B85F8A">
      <w:pPr>
        <w:pStyle w:val="Heading3"/>
      </w:pPr>
      <w:bookmarkStart w:id="69" w:name="_Toc447447078"/>
      <w:bookmarkStart w:id="70" w:name="_Toc447450391"/>
      <w:r w:rsidRPr="00B85F8A">
        <w:t>Building</w:t>
      </w:r>
      <w:r w:rsidRPr="00E348A4">
        <w:t xml:space="preserve"> types</w:t>
      </w:r>
      <w:bookmarkEnd w:id="69"/>
      <w:bookmarkEnd w:id="70"/>
    </w:p>
    <w:p w14:paraId="411A44B0" w14:textId="2BF2B63D" w:rsidR="00E41B55" w:rsidRDefault="005E0B5D" w:rsidP="005D4FEF">
      <w:pPr>
        <w:pStyle w:val="BodyText1"/>
        <w:rPr>
          <w:lang w:val="en-AU"/>
        </w:rPr>
      </w:pPr>
      <w:r>
        <w:rPr>
          <w:lang w:val="en-AU"/>
        </w:rPr>
        <w:t>The</w:t>
      </w:r>
      <w:r w:rsidR="00E41B55" w:rsidRPr="00E2350A">
        <w:rPr>
          <w:lang w:val="en-AU"/>
        </w:rPr>
        <w:t xml:space="preserve"> nature of the accommodation</w:t>
      </w:r>
      <w:r>
        <w:rPr>
          <w:lang w:val="en-AU"/>
        </w:rPr>
        <w:t>, the size,</w:t>
      </w:r>
      <w:r w:rsidR="00E41B55" w:rsidRPr="00E2350A">
        <w:rPr>
          <w:lang w:val="en-AU"/>
        </w:rPr>
        <w:t xml:space="preserve"> and the total number of bedrooms and residents</w:t>
      </w:r>
      <w:r>
        <w:rPr>
          <w:lang w:val="en-AU"/>
        </w:rPr>
        <w:t xml:space="preserve"> has a material impact on build costs</w:t>
      </w:r>
      <w:r w:rsidR="00E41B55" w:rsidRPr="00E2350A">
        <w:rPr>
          <w:lang w:val="en-AU"/>
        </w:rPr>
        <w:t xml:space="preserve">. In developing the pricing matrix the </w:t>
      </w:r>
      <w:r w:rsidR="004D4B94">
        <w:rPr>
          <w:lang w:val="en-AU"/>
        </w:rPr>
        <w:t>Agency</w:t>
      </w:r>
      <w:r w:rsidR="00E41B55" w:rsidRPr="00E2350A">
        <w:rPr>
          <w:lang w:val="en-AU"/>
        </w:rPr>
        <w:t xml:space="preserve"> has used f</w:t>
      </w:r>
      <w:r w:rsidR="00516385" w:rsidRPr="00E2350A">
        <w:rPr>
          <w:lang w:val="en-AU"/>
        </w:rPr>
        <w:t xml:space="preserve">our building types, including variations in the number of bedrooms </w:t>
      </w:r>
      <w:r w:rsidR="00E41B55" w:rsidRPr="00E2350A">
        <w:rPr>
          <w:lang w:val="en-AU"/>
        </w:rPr>
        <w:t xml:space="preserve">as </w:t>
      </w:r>
      <w:r w:rsidR="00516385" w:rsidRPr="00E2350A">
        <w:rPr>
          <w:lang w:val="en-AU"/>
        </w:rPr>
        <w:t xml:space="preserve">set </w:t>
      </w:r>
      <w:r w:rsidR="00E41B55" w:rsidRPr="005E0B5D">
        <w:t>out in</w:t>
      </w:r>
      <w:r>
        <w:t xml:space="preserve"> </w:t>
      </w:r>
      <w:r>
        <w:fldChar w:fldCharType="begin"/>
      </w:r>
      <w:r>
        <w:instrText xml:space="preserve"> REF _Ref447481403 \h </w:instrText>
      </w:r>
      <w:r>
        <w:fldChar w:fldCharType="separate"/>
      </w:r>
      <w:r w:rsidR="00607084">
        <w:t xml:space="preserve">Table </w:t>
      </w:r>
      <w:r w:rsidR="00607084">
        <w:rPr>
          <w:noProof/>
        </w:rPr>
        <w:t>3</w:t>
      </w:r>
      <w:r>
        <w:fldChar w:fldCharType="end"/>
      </w:r>
      <w:r>
        <w:t xml:space="preserve"> below.</w:t>
      </w:r>
    </w:p>
    <w:p w14:paraId="411A44B2" w14:textId="75DE655B" w:rsidR="00516385" w:rsidRDefault="00383658" w:rsidP="005E0B5D">
      <w:pPr>
        <w:pStyle w:val="BodyText1"/>
        <w:rPr>
          <w:lang w:val="en-AU"/>
        </w:rPr>
      </w:pPr>
      <w:r w:rsidRPr="00675E74">
        <w:rPr>
          <w:szCs w:val="24"/>
          <w:lang w:val="en-AU"/>
        </w:rPr>
        <w:lastRenderedPageBreak/>
        <w:t>While the four building types being considered for benchmark pricing do not constitute a comprehensive list of the full range of building structures in which SDA services may be provided (granny flats, for example, are not individually priced as a category), the Agency considers the range appropriat</w:t>
      </w:r>
      <w:r w:rsidRPr="003D2658">
        <w:rPr>
          <w:szCs w:val="24"/>
          <w:lang w:val="en-AU"/>
        </w:rPr>
        <w:t>e to capture the majority of pa</w:t>
      </w:r>
      <w:r w:rsidRPr="00B55A9C">
        <w:rPr>
          <w:lang w:val="en-AU"/>
        </w:rPr>
        <w:t xml:space="preserve">rticipants’ arrangements. </w:t>
      </w:r>
      <w:r w:rsidRPr="00F00F18">
        <w:rPr>
          <w:lang w:val="en-AU"/>
        </w:rPr>
        <w:t xml:space="preserve"> The selection of building types combined with variation in the number of bedrooms and allowance for overnight carer facilities</w:t>
      </w:r>
      <w:r>
        <w:rPr>
          <w:lang w:val="en-AU"/>
        </w:rPr>
        <w:t xml:space="preserve"> </w:t>
      </w:r>
      <w:r w:rsidRPr="00675E74">
        <w:rPr>
          <w:lang w:val="en-AU"/>
        </w:rPr>
        <w:t>balances administrative complexity with a range of variation in accommodation features.</w:t>
      </w:r>
    </w:p>
    <w:p w14:paraId="1D08FD9E" w14:textId="20F926BC" w:rsidR="005E0B5D" w:rsidRPr="005E0B5D" w:rsidRDefault="005E0B5D" w:rsidP="005E0B5D">
      <w:pPr>
        <w:pStyle w:val="Caption"/>
        <w:rPr>
          <w:rFonts w:asciiTheme="minorHAnsi" w:hAnsiTheme="minorHAnsi"/>
          <w:lang w:val="en-AU"/>
        </w:rPr>
      </w:pPr>
      <w:bookmarkStart w:id="71" w:name="_Ref447481403"/>
      <w:r>
        <w:t xml:space="preserve">Table </w:t>
      </w:r>
      <w:r>
        <w:fldChar w:fldCharType="begin"/>
      </w:r>
      <w:r>
        <w:instrText xml:space="preserve"> SEQ Table \* ARABIC </w:instrText>
      </w:r>
      <w:r>
        <w:fldChar w:fldCharType="separate"/>
      </w:r>
      <w:r w:rsidR="00607084">
        <w:rPr>
          <w:noProof/>
        </w:rPr>
        <w:t>3</w:t>
      </w:r>
      <w:r>
        <w:fldChar w:fldCharType="end"/>
      </w:r>
      <w:bookmarkEnd w:id="71"/>
      <w:r>
        <w:t xml:space="preserve"> - </w:t>
      </w:r>
      <w:r w:rsidRPr="005C14D4">
        <w:rPr>
          <w:rFonts w:asciiTheme="minorHAnsi" w:hAnsiTheme="minorHAnsi"/>
          <w:sz w:val="20"/>
          <w:szCs w:val="20"/>
          <w:lang w:val="en-AU"/>
        </w:rPr>
        <w:t xml:space="preserve">Description </w:t>
      </w:r>
      <w:r>
        <w:rPr>
          <w:rFonts w:asciiTheme="minorHAnsi" w:hAnsiTheme="minorHAnsi"/>
          <w:sz w:val="20"/>
          <w:szCs w:val="20"/>
          <w:lang w:val="en-AU"/>
        </w:rPr>
        <w:t xml:space="preserve">of </w:t>
      </w:r>
      <w:r w:rsidRPr="005C14D4">
        <w:rPr>
          <w:rFonts w:asciiTheme="minorHAnsi" w:hAnsiTheme="minorHAnsi"/>
          <w:sz w:val="20"/>
          <w:szCs w:val="20"/>
          <w:lang w:val="en-AU"/>
        </w:rPr>
        <w:t>primary building types</w:t>
      </w:r>
    </w:p>
    <w:tbl>
      <w:tblPr>
        <w:tblStyle w:val="TableGrid"/>
        <w:tblW w:w="9498"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ook w:val="04A0" w:firstRow="1" w:lastRow="0" w:firstColumn="1" w:lastColumn="0" w:noHBand="0" w:noVBand="1"/>
      </w:tblPr>
      <w:tblGrid>
        <w:gridCol w:w="1410"/>
        <w:gridCol w:w="5961"/>
        <w:gridCol w:w="2127"/>
      </w:tblGrid>
      <w:tr w:rsidR="00516385" w:rsidRPr="005C14D4" w14:paraId="411A44B6" w14:textId="77777777" w:rsidTr="00A32F93">
        <w:tc>
          <w:tcPr>
            <w:tcW w:w="1410" w:type="dxa"/>
            <w:shd w:val="clear" w:color="auto" w:fill="7030A0"/>
          </w:tcPr>
          <w:p w14:paraId="411A44B3"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Building type</w:t>
            </w:r>
          </w:p>
        </w:tc>
        <w:tc>
          <w:tcPr>
            <w:tcW w:w="5961" w:type="dxa"/>
            <w:shd w:val="clear" w:color="auto" w:fill="7030A0"/>
          </w:tcPr>
          <w:p w14:paraId="411A44B4"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Description</w:t>
            </w:r>
          </w:p>
        </w:tc>
        <w:tc>
          <w:tcPr>
            <w:tcW w:w="2127" w:type="dxa"/>
            <w:shd w:val="clear" w:color="auto" w:fill="7030A0"/>
          </w:tcPr>
          <w:p w14:paraId="411A44B5"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Number of bedrooms</w:t>
            </w:r>
          </w:p>
        </w:tc>
      </w:tr>
      <w:tr w:rsidR="00516385" w:rsidRPr="005C14D4" w14:paraId="411A44BB" w14:textId="77777777" w:rsidTr="00A32F93">
        <w:trPr>
          <w:trHeight w:val="731"/>
        </w:trPr>
        <w:tc>
          <w:tcPr>
            <w:tcW w:w="1410" w:type="dxa"/>
          </w:tcPr>
          <w:p w14:paraId="411A44B7"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w:t>
            </w:r>
          </w:p>
        </w:tc>
        <w:tc>
          <w:tcPr>
            <w:tcW w:w="5961" w:type="dxa"/>
          </w:tcPr>
          <w:p w14:paraId="411A44B8"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Apartments are self-contained units occupying only part of a larger residential real estate building.</w:t>
            </w:r>
          </w:p>
          <w:p w14:paraId="411A44B9"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Apartments are assumed to be situated in medium to high rise buildings and be predominately located in high-density living suburbs.</w:t>
            </w:r>
          </w:p>
        </w:tc>
        <w:tc>
          <w:tcPr>
            <w:tcW w:w="2127" w:type="dxa"/>
          </w:tcPr>
          <w:p w14:paraId="411A44BA"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1 or 2 bedrooms</w:t>
            </w:r>
          </w:p>
        </w:tc>
      </w:tr>
      <w:tr w:rsidR="00516385" w:rsidRPr="005C14D4" w14:paraId="411A44BF" w14:textId="77777777" w:rsidTr="00A32F93">
        <w:tc>
          <w:tcPr>
            <w:tcW w:w="1410" w:type="dxa"/>
          </w:tcPr>
          <w:p w14:paraId="411A44BC"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Villas, </w:t>
            </w:r>
            <w:r w:rsidR="005D4FEF">
              <w:rPr>
                <w:rFonts w:asciiTheme="minorHAnsi" w:hAnsiTheme="minorHAnsi" w:cs="Arial"/>
                <w:szCs w:val="20"/>
              </w:rPr>
              <w:t>d</w:t>
            </w:r>
            <w:r w:rsidRPr="005C14D4">
              <w:rPr>
                <w:rFonts w:asciiTheme="minorHAnsi" w:hAnsiTheme="minorHAnsi" w:cs="Arial"/>
                <w:szCs w:val="20"/>
              </w:rPr>
              <w:t>uplexes and townhouses</w:t>
            </w:r>
          </w:p>
        </w:tc>
        <w:tc>
          <w:tcPr>
            <w:tcW w:w="5961" w:type="dxa"/>
          </w:tcPr>
          <w:p w14:paraId="411A44BD" w14:textId="77777777" w:rsidR="00516385" w:rsidRPr="005C14D4" w:rsidRDefault="005D4FEF" w:rsidP="00BF4263">
            <w:pPr>
              <w:pStyle w:val="MJATableRow"/>
              <w:rPr>
                <w:rFonts w:asciiTheme="minorHAnsi" w:hAnsiTheme="minorHAnsi" w:cs="Arial"/>
                <w:szCs w:val="20"/>
              </w:rPr>
            </w:pPr>
            <w:r>
              <w:rPr>
                <w:rFonts w:asciiTheme="minorHAnsi" w:hAnsiTheme="minorHAnsi" w:cs="Arial"/>
                <w:szCs w:val="20"/>
              </w:rPr>
              <w:t>Villas, d</w:t>
            </w:r>
            <w:r w:rsidR="00516385" w:rsidRPr="005C14D4">
              <w:rPr>
                <w:rFonts w:asciiTheme="minorHAnsi" w:hAnsiTheme="minorHAnsi" w:cs="Arial"/>
                <w:szCs w:val="20"/>
              </w:rPr>
              <w:t>uplexes and townhouses are small semi-attached properties within a single land title or strata titled area. These residences are generally low-rise (single or double story) and include access to communal shared areas such as garden or courtyard spaces.</w:t>
            </w:r>
          </w:p>
        </w:tc>
        <w:tc>
          <w:tcPr>
            <w:tcW w:w="2127" w:type="dxa"/>
          </w:tcPr>
          <w:p w14:paraId="411A44BE"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1, 2 or 3 bedrooms</w:t>
            </w:r>
          </w:p>
        </w:tc>
      </w:tr>
      <w:tr w:rsidR="00516385" w:rsidRPr="005C14D4" w14:paraId="411A44C3" w14:textId="77777777" w:rsidTr="000F045D">
        <w:tc>
          <w:tcPr>
            <w:tcW w:w="1410" w:type="dxa"/>
            <w:tcBorders>
              <w:bottom w:val="single" w:sz="4" w:space="0" w:color="7030A0"/>
            </w:tcBorders>
          </w:tcPr>
          <w:p w14:paraId="411A44C0"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House</w:t>
            </w:r>
          </w:p>
        </w:tc>
        <w:tc>
          <w:tcPr>
            <w:tcW w:w="5961" w:type="dxa"/>
            <w:tcBorders>
              <w:bottom w:val="single" w:sz="4" w:space="0" w:color="7030A0"/>
            </w:tcBorders>
          </w:tcPr>
          <w:p w14:paraId="411A44C1"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Houses are detached low-rise dwellings with garden or courtyard areas. House are most commonly the only property on the land title and are designed for a single family or a small number of people. </w:t>
            </w:r>
          </w:p>
        </w:tc>
        <w:tc>
          <w:tcPr>
            <w:tcW w:w="2127" w:type="dxa"/>
            <w:tcBorders>
              <w:bottom w:val="single" w:sz="4" w:space="0" w:color="7030A0"/>
            </w:tcBorders>
          </w:tcPr>
          <w:p w14:paraId="411A44C2"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3 bedrooms</w:t>
            </w:r>
          </w:p>
        </w:tc>
      </w:tr>
      <w:tr w:rsidR="00516385" w:rsidRPr="005C14D4" w14:paraId="411A44C8" w14:textId="77777777" w:rsidTr="000F045D">
        <w:trPr>
          <w:trHeight w:val="1693"/>
        </w:trPr>
        <w:tc>
          <w:tcPr>
            <w:tcW w:w="1410" w:type="dxa"/>
            <w:tcBorders>
              <w:bottom w:val="single" w:sz="4" w:space="0" w:color="7030A0"/>
            </w:tcBorders>
          </w:tcPr>
          <w:p w14:paraId="411A44C4"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Group </w:t>
            </w:r>
            <w:r w:rsidR="005D4FEF">
              <w:rPr>
                <w:rFonts w:asciiTheme="minorHAnsi" w:hAnsiTheme="minorHAnsi" w:cs="Arial"/>
                <w:szCs w:val="20"/>
              </w:rPr>
              <w:t>h</w:t>
            </w:r>
            <w:r w:rsidRPr="005C14D4">
              <w:rPr>
                <w:rFonts w:asciiTheme="minorHAnsi" w:hAnsiTheme="minorHAnsi" w:cs="Arial"/>
                <w:szCs w:val="20"/>
              </w:rPr>
              <w:t>omes</w:t>
            </w:r>
          </w:p>
        </w:tc>
        <w:tc>
          <w:tcPr>
            <w:tcW w:w="5961" w:type="dxa"/>
            <w:tcBorders>
              <w:bottom w:val="single" w:sz="4" w:space="0" w:color="7030A0"/>
            </w:tcBorders>
          </w:tcPr>
          <w:p w14:paraId="411A44C5"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Group accommodation is distinguished from other forms of accommodation by the larger number of resident bedrooms within the complex and the existence of shared kitchen, living</w:t>
            </w:r>
            <w:r w:rsidR="00EC7935">
              <w:rPr>
                <w:rFonts w:asciiTheme="minorHAnsi" w:hAnsiTheme="minorHAnsi" w:cs="Arial"/>
                <w:szCs w:val="20"/>
              </w:rPr>
              <w:t xml:space="preserve"> and</w:t>
            </w:r>
            <w:r w:rsidRPr="005C14D4">
              <w:rPr>
                <w:rFonts w:asciiTheme="minorHAnsi" w:hAnsiTheme="minorHAnsi" w:cs="Arial"/>
                <w:szCs w:val="20"/>
              </w:rPr>
              <w:t xml:space="preserve"> communal spaces.</w:t>
            </w:r>
          </w:p>
          <w:p w14:paraId="411A44C6" w14:textId="302EAEE0" w:rsidR="00516385" w:rsidRPr="005C14D4" w:rsidRDefault="00516385" w:rsidP="00A150E4">
            <w:pPr>
              <w:pStyle w:val="MJATableRow"/>
              <w:rPr>
                <w:rFonts w:asciiTheme="minorHAnsi" w:hAnsiTheme="minorHAnsi" w:cs="Arial"/>
                <w:szCs w:val="20"/>
              </w:rPr>
            </w:pPr>
            <w:r w:rsidRPr="005C14D4">
              <w:rPr>
                <w:rFonts w:asciiTheme="minorHAnsi" w:hAnsiTheme="minorHAnsi" w:cs="Arial"/>
                <w:szCs w:val="20"/>
              </w:rPr>
              <w:t xml:space="preserve">Historically, </w:t>
            </w:r>
            <w:r w:rsidR="005E0B5D">
              <w:rPr>
                <w:rFonts w:asciiTheme="minorHAnsi" w:hAnsiTheme="minorHAnsi" w:cs="Arial"/>
                <w:szCs w:val="20"/>
              </w:rPr>
              <w:t xml:space="preserve">larger </w:t>
            </w:r>
            <w:r w:rsidRPr="005C14D4">
              <w:rPr>
                <w:rFonts w:asciiTheme="minorHAnsi" w:hAnsiTheme="minorHAnsi" w:cs="Arial"/>
                <w:szCs w:val="20"/>
              </w:rPr>
              <w:t xml:space="preserve">group accommodation may have been classified as a </w:t>
            </w:r>
            <w:r w:rsidR="005E0B5D">
              <w:rPr>
                <w:rFonts w:asciiTheme="minorHAnsi" w:hAnsiTheme="minorHAnsi" w:cs="Arial"/>
                <w:szCs w:val="20"/>
              </w:rPr>
              <w:t xml:space="preserve">hospital or a </w:t>
            </w:r>
            <w:r w:rsidR="00A150E4">
              <w:rPr>
                <w:rFonts w:asciiTheme="minorHAnsi" w:hAnsiTheme="minorHAnsi" w:cs="Arial"/>
                <w:szCs w:val="20"/>
              </w:rPr>
              <w:t>hostel</w:t>
            </w:r>
            <w:r w:rsidRPr="005C14D4">
              <w:rPr>
                <w:rFonts w:asciiTheme="minorHAnsi" w:hAnsiTheme="minorHAnsi" w:cs="Arial"/>
                <w:szCs w:val="20"/>
              </w:rPr>
              <w:t xml:space="preserve">. </w:t>
            </w:r>
          </w:p>
        </w:tc>
        <w:tc>
          <w:tcPr>
            <w:tcW w:w="2127" w:type="dxa"/>
            <w:tcBorders>
              <w:bottom w:val="single" w:sz="4" w:space="0" w:color="7030A0"/>
            </w:tcBorders>
          </w:tcPr>
          <w:p w14:paraId="411A44C7" w14:textId="6030A842" w:rsidR="00383658" w:rsidRPr="005C14D4" w:rsidRDefault="00516385" w:rsidP="00BF4263">
            <w:pPr>
              <w:pStyle w:val="MJATableRow"/>
              <w:rPr>
                <w:rFonts w:asciiTheme="minorHAnsi" w:hAnsiTheme="minorHAnsi" w:cs="Arial"/>
                <w:szCs w:val="20"/>
              </w:rPr>
            </w:pPr>
            <w:r w:rsidRPr="005C14D4">
              <w:rPr>
                <w:rFonts w:asciiTheme="minorHAnsi" w:hAnsiTheme="minorHAnsi" w:cs="Arial"/>
                <w:szCs w:val="20"/>
              </w:rPr>
              <w:t>4 to 6 bedrooms</w:t>
            </w:r>
          </w:p>
        </w:tc>
      </w:tr>
    </w:tbl>
    <w:p w14:paraId="411A44C9" w14:textId="77777777" w:rsidR="000003D6" w:rsidRPr="00E348A4" w:rsidRDefault="000003D6" w:rsidP="00B85F8A">
      <w:pPr>
        <w:pStyle w:val="Heading3"/>
      </w:pPr>
      <w:bookmarkStart w:id="72" w:name="_Toc447447079"/>
      <w:bookmarkStart w:id="73" w:name="_Toc447450392"/>
      <w:r w:rsidRPr="00E348A4">
        <w:t>Adjusting for Geography</w:t>
      </w:r>
      <w:bookmarkEnd w:id="72"/>
      <w:bookmarkEnd w:id="73"/>
    </w:p>
    <w:p w14:paraId="71791FBC" w14:textId="11E717D8" w:rsidR="00383658" w:rsidRDefault="00383658" w:rsidP="00383658">
      <w:pPr>
        <w:pStyle w:val="BodyText1"/>
        <w:jc w:val="both"/>
        <w:rPr>
          <w:lang w:val="en-AU"/>
        </w:rPr>
      </w:pPr>
      <w:r w:rsidRPr="00E2350A">
        <w:rPr>
          <w:lang w:val="en-AU"/>
        </w:rPr>
        <w:t xml:space="preserve">Location categories </w:t>
      </w:r>
      <w:r>
        <w:rPr>
          <w:lang w:val="en-AU"/>
        </w:rPr>
        <w:t xml:space="preserve">used to allow variation in prices between different geographical regions have been </w:t>
      </w:r>
      <w:r w:rsidRPr="00F00F18">
        <w:rPr>
          <w:lang w:val="en-AU"/>
        </w:rPr>
        <w:t>based on Australian Bureau of Statistics (</w:t>
      </w:r>
      <w:r w:rsidRPr="00E2350A">
        <w:rPr>
          <w:lang w:val="en-AU"/>
        </w:rPr>
        <w:t>ABS</w:t>
      </w:r>
      <w:r w:rsidRPr="00F00F18">
        <w:rPr>
          <w:lang w:val="en-AU"/>
        </w:rPr>
        <w:t>)</w:t>
      </w:r>
      <w:r w:rsidRPr="00E2350A">
        <w:rPr>
          <w:lang w:val="en-AU"/>
        </w:rPr>
        <w:t xml:space="preserve"> statistical divisions. </w:t>
      </w:r>
    </w:p>
    <w:p w14:paraId="4EC36529" w14:textId="698A7110" w:rsidR="00383658" w:rsidRPr="00E348A4" w:rsidRDefault="00383658" w:rsidP="000F045D">
      <w:pPr>
        <w:pStyle w:val="BodyText1"/>
        <w:jc w:val="both"/>
        <w:rPr>
          <w:lang w:val="en-AU"/>
        </w:rPr>
      </w:pPr>
      <w:r>
        <w:rPr>
          <w:lang w:val="en-AU"/>
        </w:rPr>
        <w:t>Locational</w:t>
      </w:r>
      <w:r w:rsidRPr="00E2350A">
        <w:rPr>
          <w:lang w:val="en-AU"/>
        </w:rPr>
        <w:t xml:space="preserve"> factors are calculated with reference to benchmark pricing results, after adjusting for differences in construction cost in each location and differences in median land values for each location</w:t>
      </w:r>
      <w:r w:rsidRPr="00E348A4">
        <w:rPr>
          <w:lang w:val="en-AU"/>
        </w:rPr>
        <w:t>.</w:t>
      </w:r>
    </w:p>
    <w:p w14:paraId="390CA518" w14:textId="77777777" w:rsidR="00383658" w:rsidRPr="00F00F18" w:rsidRDefault="00383658" w:rsidP="00383658">
      <w:pPr>
        <w:pStyle w:val="BodyText1"/>
        <w:jc w:val="both"/>
        <w:rPr>
          <w:lang w:val="en-AU"/>
        </w:rPr>
      </w:pPr>
      <w:r>
        <w:rPr>
          <w:lang w:val="en-AU"/>
        </w:rPr>
        <w:t xml:space="preserve">The Agency’s benchmark prices for particular regions are determined by </w:t>
      </w:r>
      <w:r w:rsidRPr="00B55A9C">
        <w:rPr>
          <w:lang w:val="en-AU"/>
        </w:rPr>
        <w:t>apply</w:t>
      </w:r>
      <w:r>
        <w:rPr>
          <w:lang w:val="en-AU"/>
        </w:rPr>
        <w:t>ing this locational factor to the base cost estimate for the property.</w:t>
      </w:r>
    </w:p>
    <w:p w14:paraId="411A44CC" w14:textId="77777777" w:rsidR="00857150" w:rsidRDefault="00857150" w:rsidP="00857150">
      <w:pPr>
        <w:pStyle w:val="BodyText1"/>
        <w:rPr>
          <w:lang w:val="en-AU"/>
        </w:rPr>
      </w:pPr>
      <w:r w:rsidRPr="002849BC">
        <w:rPr>
          <w:lang w:val="en-AU"/>
        </w:rPr>
        <w:t xml:space="preserve">Land values were obtained </w:t>
      </w:r>
      <w:r>
        <w:rPr>
          <w:lang w:val="en-AU"/>
        </w:rPr>
        <w:t xml:space="preserve">from </w:t>
      </w:r>
      <w:r w:rsidR="005C14D4">
        <w:rPr>
          <w:lang w:val="en-AU"/>
        </w:rPr>
        <w:t>the relevant authority in each S</w:t>
      </w:r>
      <w:r>
        <w:rPr>
          <w:lang w:val="en-AU"/>
        </w:rPr>
        <w:t>tate for a significant sample of existing properties to test the appropriate weightings.</w:t>
      </w:r>
    </w:p>
    <w:p w14:paraId="77C61CA1" w14:textId="5469130A" w:rsidR="007D3201" w:rsidRPr="005E0B5D" w:rsidRDefault="00857150" w:rsidP="005E0B5D">
      <w:pPr>
        <w:pStyle w:val="BodyText1"/>
        <w:rPr>
          <w:lang w:val="en-AU"/>
        </w:rPr>
      </w:pPr>
      <w:r w:rsidRPr="006E6C2A">
        <w:rPr>
          <w:lang w:val="en-AU"/>
        </w:rPr>
        <w:t>Further detail on both design and building categ</w:t>
      </w:r>
      <w:r w:rsidR="006E6C2A" w:rsidRPr="006E6C2A">
        <w:rPr>
          <w:lang w:val="en-AU"/>
        </w:rPr>
        <w:t xml:space="preserve">ories is </w:t>
      </w:r>
      <w:r w:rsidR="006E6C2A" w:rsidRPr="00A02E9F">
        <w:rPr>
          <w:lang w:val="en-AU"/>
        </w:rPr>
        <w:t>provided in Appendix B</w:t>
      </w:r>
      <w:r w:rsidR="00A02E9F" w:rsidRPr="00A02E9F">
        <w:rPr>
          <w:lang w:val="en-AU"/>
        </w:rPr>
        <w:t>.</w:t>
      </w:r>
      <w:r w:rsidR="00F02FC6">
        <w:rPr>
          <w:lang w:val="en-AU"/>
        </w:rPr>
        <w:t xml:space="preserve"> </w:t>
      </w:r>
      <w:r w:rsidR="007D3201">
        <w:rPr>
          <w:lang w:val="en-AU"/>
        </w:rPr>
        <w:t>Further detail on</w:t>
      </w:r>
      <w:r w:rsidR="00EC7935">
        <w:rPr>
          <w:lang w:val="en-AU"/>
        </w:rPr>
        <w:t xml:space="preserve"> location factors is provided in</w:t>
      </w:r>
      <w:r w:rsidR="007D3201">
        <w:rPr>
          <w:lang w:val="en-AU"/>
        </w:rPr>
        <w:t xml:space="preserve"> Appendix C.</w:t>
      </w:r>
      <w:r w:rsidR="005E0B5D">
        <w:rPr>
          <w:lang w:val="en-AU"/>
        </w:rPr>
        <w:t xml:space="preserve"> </w:t>
      </w:r>
      <w:r w:rsidR="005E0B5D">
        <w:rPr>
          <w:lang w:val="en-AU"/>
        </w:rPr>
        <w:br w:type="page"/>
      </w:r>
    </w:p>
    <w:p w14:paraId="411A44CE" w14:textId="77777777" w:rsidR="00321CD3" w:rsidRDefault="009C0770" w:rsidP="00B85F8A">
      <w:pPr>
        <w:pStyle w:val="Heading3"/>
      </w:pPr>
      <w:bookmarkStart w:id="74" w:name="_Toc447447080"/>
      <w:bookmarkStart w:id="75" w:name="_Toc447450393"/>
      <w:r w:rsidRPr="00E348A4">
        <w:lastRenderedPageBreak/>
        <w:t xml:space="preserve">Additional factors </w:t>
      </w:r>
      <w:r w:rsidR="00FF49C5" w:rsidRPr="00E348A4">
        <w:t>impacting</w:t>
      </w:r>
      <w:r w:rsidRPr="00E348A4">
        <w:t xml:space="preserve"> building costs</w:t>
      </w:r>
      <w:bookmarkEnd w:id="74"/>
      <w:bookmarkEnd w:id="75"/>
      <w:r w:rsidRPr="00E348A4">
        <w:t xml:space="preserve"> </w:t>
      </w:r>
    </w:p>
    <w:p w14:paraId="411A44CF" w14:textId="17D4AA58" w:rsidR="00C47989" w:rsidRPr="00CE5764" w:rsidRDefault="00CE5764" w:rsidP="005C14D4">
      <w:pPr>
        <w:pStyle w:val="BodyText1"/>
        <w:rPr>
          <w:lang w:val="en-AU"/>
        </w:rPr>
      </w:pPr>
      <w:r>
        <w:rPr>
          <w:lang w:val="en-AU"/>
        </w:rPr>
        <w:t>Whil</w:t>
      </w:r>
      <w:r w:rsidR="005D4FEF">
        <w:rPr>
          <w:lang w:val="en-AU"/>
        </w:rPr>
        <w:t>e</w:t>
      </w:r>
      <w:r>
        <w:rPr>
          <w:lang w:val="en-AU"/>
        </w:rPr>
        <w:t xml:space="preserve"> the </w:t>
      </w:r>
      <w:r w:rsidR="00B25E9A">
        <w:rPr>
          <w:lang w:val="en-AU"/>
        </w:rPr>
        <w:t xml:space="preserve">housing </w:t>
      </w:r>
      <w:r>
        <w:rPr>
          <w:lang w:val="en-AU"/>
        </w:rPr>
        <w:t xml:space="preserve">design category, building type (including number of </w:t>
      </w:r>
      <w:r w:rsidR="00B25E9A">
        <w:rPr>
          <w:lang w:val="en-AU"/>
        </w:rPr>
        <w:t>bedrooms</w:t>
      </w:r>
      <w:r>
        <w:rPr>
          <w:lang w:val="en-AU"/>
        </w:rPr>
        <w:t xml:space="preserve">) and location </w:t>
      </w:r>
      <w:r w:rsidR="00B25E9A">
        <w:rPr>
          <w:lang w:val="en-AU"/>
        </w:rPr>
        <w:t xml:space="preserve">adjustments </w:t>
      </w:r>
      <w:r>
        <w:rPr>
          <w:lang w:val="en-AU"/>
        </w:rPr>
        <w:t xml:space="preserve">are the major factors </w:t>
      </w:r>
      <w:r w:rsidR="00B25E9A">
        <w:rPr>
          <w:lang w:val="en-AU"/>
        </w:rPr>
        <w:t>driving variation in</w:t>
      </w:r>
      <w:r>
        <w:rPr>
          <w:lang w:val="en-AU"/>
        </w:rPr>
        <w:t xml:space="preserve"> benchmark pricing</w:t>
      </w:r>
      <w:r w:rsidR="00B25E9A">
        <w:rPr>
          <w:lang w:val="en-AU"/>
        </w:rPr>
        <w:t xml:space="preserve"> for different properties</w:t>
      </w:r>
      <w:r w:rsidR="005C14D4">
        <w:rPr>
          <w:lang w:val="en-AU"/>
        </w:rPr>
        <w:t>,</w:t>
      </w:r>
      <w:r w:rsidR="00C47989">
        <w:rPr>
          <w:lang w:val="en-AU"/>
        </w:rPr>
        <w:t xml:space="preserve"> the </w:t>
      </w:r>
      <w:r w:rsidR="005C14D4">
        <w:rPr>
          <w:lang w:val="en-AU"/>
        </w:rPr>
        <w:t>Agency</w:t>
      </w:r>
      <w:r w:rsidR="00C47989">
        <w:rPr>
          <w:lang w:val="en-AU"/>
        </w:rPr>
        <w:t xml:space="preserve"> has </w:t>
      </w:r>
      <w:r w:rsidR="00B25E9A">
        <w:rPr>
          <w:lang w:val="en-AU"/>
        </w:rPr>
        <w:t xml:space="preserve">also </w:t>
      </w:r>
      <w:r w:rsidR="00C47989">
        <w:rPr>
          <w:lang w:val="en-AU"/>
        </w:rPr>
        <w:t>considered a number of factors whic</w:t>
      </w:r>
      <w:r w:rsidR="005C14D4">
        <w:rPr>
          <w:lang w:val="en-AU"/>
        </w:rPr>
        <w:t>h also influence building costs</w:t>
      </w:r>
      <w:r w:rsidR="005E0C90">
        <w:rPr>
          <w:lang w:val="en-AU"/>
        </w:rPr>
        <w:t>, including adjustments for i</w:t>
      </w:r>
      <w:r w:rsidR="00C47989">
        <w:rPr>
          <w:lang w:val="en-AU"/>
        </w:rPr>
        <w:t>tems which may be funded</w:t>
      </w:r>
      <w:r w:rsidR="005E0C90">
        <w:rPr>
          <w:lang w:val="en-AU"/>
        </w:rPr>
        <w:t xml:space="preserve"> or assessed separately on a case</w:t>
      </w:r>
      <w:r w:rsidR="005057AD">
        <w:rPr>
          <w:lang w:val="en-AU"/>
        </w:rPr>
        <w:t>-</w:t>
      </w:r>
      <w:r w:rsidR="005E0C90">
        <w:rPr>
          <w:lang w:val="en-AU"/>
        </w:rPr>
        <w:t>by</w:t>
      </w:r>
      <w:r w:rsidR="005057AD">
        <w:rPr>
          <w:lang w:val="en-AU"/>
        </w:rPr>
        <w:t>-</w:t>
      </w:r>
      <w:r w:rsidR="005E0C90">
        <w:rPr>
          <w:lang w:val="en-AU"/>
        </w:rPr>
        <w:t>case basis</w:t>
      </w:r>
      <w:r w:rsidR="00E2350A">
        <w:rPr>
          <w:lang w:val="en-AU"/>
        </w:rPr>
        <w:t xml:space="preserve">. </w:t>
      </w:r>
      <w:r w:rsidR="005E0C90">
        <w:rPr>
          <w:lang w:val="en-AU"/>
        </w:rPr>
        <w:t>These may include:</w:t>
      </w:r>
    </w:p>
    <w:p w14:paraId="411A44D0" w14:textId="10D8C5D9" w:rsidR="00321CD3" w:rsidRPr="00E348A4" w:rsidRDefault="00D40500" w:rsidP="005E0B5D">
      <w:pPr>
        <w:pStyle w:val="BodyText1"/>
        <w:numPr>
          <w:ilvl w:val="0"/>
          <w:numId w:val="51"/>
        </w:numPr>
        <w:spacing w:after="120"/>
        <w:ind w:left="357" w:hanging="357"/>
        <w:rPr>
          <w:lang w:val="en-AU"/>
        </w:rPr>
      </w:pPr>
      <w:r>
        <w:rPr>
          <w:lang w:val="en-AU"/>
        </w:rPr>
        <w:t>Specialist f</w:t>
      </w:r>
      <w:r w:rsidR="00321CD3" w:rsidRPr="00E348A4">
        <w:rPr>
          <w:lang w:val="en-AU"/>
        </w:rPr>
        <w:t>urnishings</w:t>
      </w:r>
      <w:r w:rsidR="00B25E9A">
        <w:rPr>
          <w:lang w:val="en-AU"/>
        </w:rPr>
        <w:t>;</w:t>
      </w:r>
    </w:p>
    <w:p w14:paraId="411A44D1" w14:textId="672ADD16" w:rsidR="00321CD3" w:rsidRPr="00E348A4" w:rsidRDefault="00321CD3" w:rsidP="005E0B5D">
      <w:pPr>
        <w:pStyle w:val="BodyText1"/>
        <w:numPr>
          <w:ilvl w:val="0"/>
          <w:numId w:val="51"/>
        </w:numPr>
        <w:spacing w:after="120"/>
        <w:ind w:left="357" w:hanging="357"/>
        <w:rPr>
          <w:lang w:val="en-AU"/>
        </w:rPr>
      </w:pPr>
      <w:r w:rsidRPr="00E348A4">
        <w:rPr>
          <w:lang w:val="en-AU"/>
        </w:rPr>
        <w:t>Fire sprinklers</w:t>
      </w:r>
      <w:r w:rsidR="00B25E9A">
        <w:rPr>
          <w:lang w:val="en-AU"/>
        </w:rPr>
        <w:t>;</w:t>
      </w:r>
    </w:p>
    <w:p w14:paraId="411A44D2" w14:textId="72708B3A" w:rsidR="00321CD3" w:rsidRPr="00E348A4" w:rsidRDefault="00321CD3" w:rsidP="005E0B5D">
      <w:pPr>
        <w:pStyle w:val="BodyText1"/>
        <w:numPr>
          <w:ilvl w:val="0"/>
          <w:numId w:val="51"/>
        </w:numPr>
        <w:spacing w:after="120"/>
        <w:ind w:left="357" w:hanging="357"/>
        <w:rPr>
          <w:lang w:val="en-AU"/>
        </w:rPr>
      </w:pPr>
      <w:r w:rsidRPr="00E348A4">
        <w:rPr>
          <w:lang w:val="en-AU"/>
        </w:rPr>
        <w:t>Approved additional maintenance costs for residents with complex behaviours</w:t>
      </w:r>
      <w:r w:rsidR="00C47989">
        <w:rPr>
          <w:lang w:val="en-AU"/>
        </w:rPr>
        <w:t xml:space="preserve"> on a case-by-case basis</w:t>
      </w:r>
      <w:r w:rsidR="00B25E9A">
        <w:rPr>
          <w:lang w:val="en-AU"/>
        </w:rPr>
        <w:t>;</w:t>
      </w:r>
    </w:p>
    <w:p w14:paraId="411A44D3" w14:textId="5497AB70" w:rsidR="00321CD3" w:rsidRPr="00E348A4" w:rsidRDefault="00321CD3" w:rsidP="005E0B5D">
      <w:pPr>
        <w:pStyle w:val="BodyText1"/>
        <w:numPr>
          <w:ilvl w:val="0"/>
          <w:numId w:val="51"/>
        </w:numPr>
        <w:spacing w:after="120"/>
        <w:ind w:left="357" w:hanging="357"/>
        <w:rPr>
          <w:lang w:val="en-AU"/>
        </w:rPr>
      </w:pPr>
      <w:r w:rsidRPr="00E348A4">
        <w:rPr>
          <w:lang w:val="en-AU"/>
        </w:rPr>
        <w:t xml:space="preserve">Approved </w:t>
      </w:r>
      <w:r w:rsidR="005D4FEF">
        <w:rPr>
          <w:lang w:val="en-AU"/>
        </w:rPr>
        <w:t>a</w:t>
      </w:r>
      <w:r w:rsidRPr="00E348A4">
        <w:rPr>
          <w:lang w:val="en-AU"/>
        </w:rPr>
        <w:t xml:space="preserve">ssistive </w:t>
      </w:r>
      <w:r w:rsidR="005D4FEF">
        <w:rPr>
          <w:lang w:val="en-AU"/>
        </w:rPr>
        <w:t>t</w:t>
      </w:r>
      <w:r w:rsidR="00C47989" w:rsidRPr="00E348A4">
        <w:rPr>
          <w:lang w:val="en-AU"/>
        </w:rPr>
        <w:t>echnology</w:t>
      </w:r>
      <w:r w:rsidR="00C47989">
        <w:rPr>
          <w:lang w:val="en-AU"/>
        </w:rPr>
        <w:t xml:space="preserve">, </w:t>
      </w:r>
      <w:r w:rsidR="00B25E9A">
        <w:rPr>
          <w:lang w:val="en-AU"/>
        </w:rPr>
        <w:t>which forms an integral part of the building</w:t>
      </w:r>
      <w:r w:rsidR="00C47989">
        <w:rPr>
          <w:lang w:val="en-AU"/>
        </w:rPr>
        <w:t>, such as environmental controls</w:t>
      </w:r>
      <w:r w:rsidR="00B25E9A">
        <w:rPr>
          <w:lang w:val="en-AU"/>
        </w:rPr>
        <w:t>;</w:t>
      </w:r>
    </w:p>
    <w:p w14:paraId="411A44D4" w14:textId="5619B4A2" w:rsidR="00321CD3" w:rsidRPr="00E348A4" w:rsidRDefault="00B25E9A" w:rsidP="005E0B5D">
      <w:pPr>
        <w:pStyle w:val="BodyText1"/>
        <w:numPr>
          <w:ilvl w:val="0"/>
          <w:numId w:val="51"/>
        </w:numPr>
        <w:spacing w:after="120"/>
        <w:ind w:left="357" w:hanging="357"/>
        <w:rPr>
          <w:lang w:val="en-AU"/>
        </w:rPr>
      </w:pPr>
      <w:r w:rsidRPr="00675E74">
        <w:rPr>
          <w:lang w:val="en-AU"/>
        </w:rPr>
        <w:t>Situations where the participant</w:t>
      </w:r>
      <w:r w:rsidR="00321CD3" w:rsidRPr="00E348A4">
        <w:rPr>
          <w:lang w:val="en-AU"/>
        </w:rPr>
        <w:t xml:space="preserve"> does not receive Commonwealth Rent Assistance for reasons other than income</w:t>
      </w:r>
      <w:r>
        <w:rPr>
          <w:lang w:val="en-AU"/>
        </w:rPr>
        <w:t>;</w:t>
      </w:r>
    </w:p>
    <w:p w14:paraId="411A44D5" w14:textId="5D368C49" w:rsidR="00A32F93" w:rsidRPr="00E348A4" w:rsidRDefault="00B25E9A" w:rsidP="005E0B5D">
      <w:pPr>
        <w:pStyle w:val="BodyText1"/>
        <w:numPr>
          <w:ilvl w:val="0"/>
          <w:numId w:val="51"/>
        </w:numPr>
        <w:spacing w:after="120"/>
        <w:ind w:left="357" w:hanging="357"/>
        <w:rPr>
          <w:lang w:val="en-AU"/>
        </w:rPr>
      </w:pPr>
      <w:r>
        <w:rPr>
          <w:lang w:val="en-AU"/>
        </w:rPr>
        <w:t>Participants who are</w:t>
      </w:r>
      <w:r w:rsidR="00A32F93" w:rsidRPr="00E348A4">
        <w:rPr>
          <w:lang w:val="en-AU"/>
        </w:rPr>
        <w:t xml:space="preserve"> under 21 and </w:t>
      </w:r>
      <w:r>
        <w:rPr>
          <w:lang w:val="en-AU"/>
        </w:rPr>
        <w:t>do</w:t>
      </w:r>
      <w:r w:rsidRPr="00E348A4">
        <w:rPr>
          <w:lang w:val="en-AU"/>
        </w:rPr>
        <w:t xml:space="preserve"> </w:t>
      </w:r>
      <w:r w:rsidR="00A32F93" w:rsidRPr="00E348A4">
        <w:rPr>
          <w:lang w:val="en-AU"/>
        </w:rPr>
        <w:t>not receive the full Disability Support Pension</w:t>
      </w:r>
      <w:r>
        <w:rPr>
          <w:lang w:val="en-AU"/>
        </w:rPr>
        <w:t>;</w:t>
      </w:r>
    </w:p>
    <w:p w14:paraId="411A44D6" w14:textId="77777777" w:rsidR="00C83765" w:rsidRPr="00C47989" w:rsidRDefault="00A32F93" w:rsidP="005E0B5D">
      <w:pPr>
        <w:pStyle w:val="BodyText1"/>
        <w:numPr>
          <w:ilvl w:val="0"/>
          <w:numId w:val="51"/>
        </w:numPr>
        <w:spacing w:after="120"/>
        <w:ind w:left="357" w:hanging="357"/>
        <w:rPr>
          <w:lang w:val="en-AU"/>
        </w:rPr>
      </w:pPr>
      <w:r w:rsidRPr="00E348A4">
        <w:rPr>
          <w:lang w:val="en-AU"/>
        </w:rPr>
        <w:t xml:space="preserve">Approved communal areas </w:t>
      </w:r>
      <w:r w:rsidR="00C47989">
        <w:rPr>
          <w:lang w:val="en-AU"/>
        </w:rPr>
        <w:t xml:space="preserve">that </w:t>
      </w:r>
      <w:r w:rsidRPr="00E348A4">
        <w:rPr>
          <w:lang w:val="en-AU"/>
        </w:rPr>
        <w:t>are provided to support multiple dwellings</w:t>
      </w:r>
      <w:r w:rsidR="005D4FEF">
        <w:rPr>
          <w:lang w:val="en-AU"/>
        </w:rPr>
        <w:t>.</w:t>
      </w:r>
      <w:r w:rsidRPr="00E348A4">
        <w:rPr>
          <w:lang w:val="en-AU"/>
        </w:rPr>
        <w:t xml:space="preserve"> </w:t>
      </w:r>
    </w:p>
    <w:p w14:paraId="411A44D7" w14:textId="77777777" w:rsidR="008817FB" w:rsidRPr="00E348A4" w:rsidRDefault="008817FB" w:rsidP="00B85F8A">
      <w:pPr>
        <w:pStyle w:val="Heading3"/>
      </w:pPr>
      <w:bookmarkStart w:id="76" w:name="_Toc447447081"/>
      <w:bookmarkStart w:id="77" w:name="_Toc447450394"/>
      <w:r w:rsidRPr="00E348A4">
        <w:t xml:space="preserve">Additional </w:t>
      </w:r>
      <w:r w:rsidR="005D4FEF">
        <w:t>p</w:t>
      </w:r>
      <w:r w:rsidRPr="00E348A4">
        <w:t>ricing considerations</w:t>
      </w:r>
      <w:bookmarkEnd w:id="76"/>
      <w:bookmarkEnd w:id="77"/>
    </w:p>
    <w:p w14:paraId="411A44D8" w14:textId="77777777" w:rsidR="00FF49C5" w:rsidRPr="00E2350A" w:rsidRDefault="00C67BD8" w:rsidP="00D40500">
      <w:pPr>
        <w:pStyle w:val="BodyText1"/>
        <w:rPr>
          <w:lang w:val="en-AU"/>
        </w:rPr>
      </w:pPr>
      <w:r w:rsidRPr="00E2350A">
        <w:rPr>
          <w:lang w:val="en-AU"/>
        </w:rPr>
        <w:t>The price modelling has been undertaken in accordance with the</w:t>
      </w:r>
      <w:r w:rsidR="00522A2F" w:rsidRPr="00E2350A">
        <w:rPr>
          <w:lang w:val="en-AU"/>
        </w:rPr>
        <w:t xml:space="preserve"> SDA</w:t>
      </w:r>
      <w:r w:rsidR="006F24FC" w:rsidRPr="00E2350A">
        <w:rPr>
          <w:lang w:val="en-AU"/>
        </w:rPr>
        <w:t xml:space="preserve"> </w:t>
      </w:r>
      <w:r w:rsidRPr="00E2350A">
        <w:rPr>
          <w:lang w:val="en-AU"/>
        </w:rPr>
        <w:t>Framework, but practical considerations have necessitated several nuanced adjustments to the approach.</w:t>
      </w:r>
      <w:r w:rsidR="00C47989" w:rsidRPr="00E2350A">
        <w:rPr>
          <w:lang w:val="en-AU"/>
        </w:rPr>
        <w:t xml:space="preserve"> </w:t>
      </w:r>
      <w:r w:rsidR="005D4FEF">
        <w:rPr>
          <w:lang w:val="en-AU"/>
        </w:rPr>
        <w:t>T</w:t>
      </w:r>
      <w:r w:rsidR="00C47989" w:rsidRPr="00E2350A">
        <w:rPr>
          <w:lang w:val="en-AU"/>
        </w:rPr>
        <w:t xml:space="preserve">hese are described below in further detail. The </w:t>
      </w:r>
      <w:r w:rsidR="004D4B94">
        <w:rPr>
          <w:lang w:val="en-AU"/>
        </w:rPr>
        <w:t>Agency</w:t>
      </w:r>
      <w:r w:rsidR="00C47989" w:rsidRPr="00E2350A">
        <w:rPr>
          <w:lang w:val="en-AU"/>
        </w:rPr>
        <w:t xml:space="preserve"> has made these adjustments in order to facilitate improved operation of the market for SDA housing.</w:t>
      </w:r>
    </w:p>
    <w:p w14:paraId="411A44D9" w14:textId="77777777" w:rsidR="00C67BD8" w:rsidRPr="001E2292" w:rsidRDefault="00C67BD8" w:rsidP="00B85F8A">
      <w:pPr>
        <w:pStyle w:val="Heading4"/>
      </w:pPr>
      <w:bookmarkStart w:id="78" w:name="_Toc446662607"/>
      <w:bookmarkStart w:id="79" w:name="_Toc446666998"/>
      <w:bookmarkStart w:id="80" w:name="_Toc446667058"/>
      <w:bookmarkStart w:id="81" w:name="_Toc447056825"/>
      <w:bookmarkStart w:id="82" w:name="_Toc447198695"/>
      <w:bookmarkStart w:id="83" w:name="_Toc447447082"/>
      <w:bookmarkEnd w:id="78"/>
      <w:bookmarkEnd w:id="79"/>
      <w:bookmarkEnd w:id="80"/>
      <w:r w:rsidRPr="001E2292">
        <w:t>Price smoothing</w:t>
      </w:r>
      <w:bookmarkEnd w:id="81"/>
      <w:bookmarkEnd w:id="82"/>
      <w:bookmarkEnd w:id="83"/>
    </w:p>
    <w:p w14:paraId="411A44DA" w14:textId="77777777" w:rsidR="00C67BD8" w:rsidRPr="00E2350A" w:rsidRDefault="00C67BD8" w:rsidP="00AC76A7">
      <w:pPr>
        <w:pStyle w:val="BodyText1"/>
        <w:rPr>
          <w:lang w:val="en-AU"/>
        </w:rPr>
      </w:pPr>
      <w:r w:rsidRPr="00E2350A">
        <w:rPr>
          <w:lang w:val="en-AU"/>
        </w:rPr>
        <w:t xml:space="preserve">The </w:t>
      </w:r>
      <w:r w:rsidR="004D4B94">
        <w:rPr>
          <w:lang w:val="en-AU"/>
        </w:rPr>
        <w:t>Agency</w:t>
      </w:r>
      <w:r w:rsidRPr="00E2350A">
        <w:rPr>
          <w:lang w:val="en-AU"/>
        </w:rPr>
        <w:t xml:space="preserve"> has applied an approach that is equivalent in present value terms, but smooths the capital costs (in real terms) over the life of the analysis period by using an annualised payment stream. </w:t>
      </w:r>
    </w:p>
    <w:p w14:paraId="411A44DB" w14:textId="463BC055" w:rsidR="00C67BD8" w:rsidRPr="00E2350A" w:rsidRDefault="00C67BD8" w:rsidP="00AC76A7">
      <w:pPr>
        <w:pStyle w:val="BodyText1"/>
        <w:rPr>
          <w:lang w:val="en-AU"/>
        </w:rPr>
      </w:pPr>
      <w:r w:rsidRPr="00E2350A">
        <w:rPr>
          <w:lang w:val="en-AU"/>
        </w:rPr>
        <w:t>The smoothed payment stream provides stability, avoids having to make different payments to each property, makes payments more portable (</w:t>
      </w:r>
      <w:r w:rsidR="005D4FEF">
        <w:rPr>
          <w:lang w:val="en-AU"/>
        </w:rPr>
        <w:t>e</w:t>
      </w:r>
      <w:r w:rsidR="00B25E9A">
        <w:rPr>
          <w:lang w:val="en-AU"/>
        </w:rPr>
        <w:t>.</w:t>
      </w:r>
      <w:r w:rsidR="005D4FEF">
        <w:rPr>
          <w:lang w:val="en-AU"/>
        </w:rPr>
        <w:t>g</w:t>
      </w:r>
      <w:r w:rsidRPr="00E2350A">
        <w:rPr>
          <w:lang w:val="en-AU"/>
        </w:rPr>
        <w:t xml:space="preserve">. independent of the age of any particular dwelling) and will assist providers with budgeting and forecasting. </w:t>
      </w:r>
    </w:p>
    <w:p w14:paraId="411A44DC" w14:textId="77777777" w:rsidR="00C67BD8" w:rsidRPr="00E348A4" w:rsidRDefault="00C67BD8" w:rsidP="00B85F8A">
      <w:pPr>
        <w:pStyle w:val="Heading4"/>
      </w:pPr>
      <w:bookmarkStart w:id="84" w:name="_Toc447056826"/>
      <w:bookmarkStart w:id="85" w:name="_Toc447198696"/>
      <w:bookmarkStart w:id="86" w:name="_Toc447447083"/>
      <w:r w:rsidRPr="00E348A4">
        <w:t>Cost of capital</w:t>
      </w:r>
      <w:bookmarkEnd w:id="84"/>
      <w:bookmarkEnd w:id="85"/>
      <w:bookmarkEnd w:id="86"/>
    </w:p>
    <w:p w14:paraId="092EC651" w14:textId="77D220B1" w:rsidR="00C67BD8" w:rsidRPr="005E0B5D" w:rsidRDefault="00C67BD8" w:rsidP="005E0B5D">
      <w:pPr>
        <w:pStyle w:val="BodyText1"/>
        <w:rPr>
          <w:lang w:val="en-AU"/>
        </w:rPr>
      </w:pPr>
      <w:r w:rsidRPr="00E2350A">
        <w:rPr>
          <w:lang w:val="en-AU"/>
        </w:rPr>
        <w:t>Within the</w:t>
      </w:r>
      <w:r w:rsidR="00522A2F" w:rsidRPr="00E2350A">
        <w:rPr>
          <w:lang w:val="en-AU"/>
        </w:rPr>
        <w:t xml:space="preserve"> Agency</w:t>
      </w:r>
      <w:r w:rsidR="006E6C2A" w:rsidRPr="00E2350A">
        <w:rPr>
          <w:lang w:val="en-AU"/>
        </w:rPr>
        <w:t>’s</w:t>
      </w:r>
      <w:r w:rsidRPr="00E2350A">
        <w:rPr>
          <w:lang w:val="en-AU"/>
        </w:rPr>
        <w:t xml:space="preserve"> pricing approach the opportunity cost of capital is set at a level which provides adequate compensation for all investor types. </w:t>
      </w:r>
      <w:r w:rsidR="00AC76A7" w:rsidRPr="00E2350A">
        <w:rPr>
          <w:lang w:val="en-AU"/>
        </w:rPr>
        <w:t xml:space="preserve">The </w:t>
      </w:r>
      <w:r w:rsidR="00522A2F" w:rsidRPr="00E2350A">
        <w:rPr>
          <w:lang w:val="en-AU"/>
        </w:rPr>
        <w:t>Agency</w:t>
      </w:r>
      <w:r w:rsidR="00AC76A7" w:rsidRPr="00E2350A">
        <w:rPr>
          <w:lang w:val="en-AU"/>
        </w:rPr>
        <w:t xml:space="preserve"> is seeking to ensure that the rate of return is sufficient for both the traditional community housing and specialist disability providers, but also accommodates commercial and other institutional investors who may have the capacity and interest in funding the significant amount of infrastructure the Agency </w:t>
      </w:r>
      <w:r w:rsidR="004D4B94">
        <w:rPr>
          <w:lang w:val="en-AU"/>
        </w:rPr>
        <w:t xml:space="preserve">considers </w:t>
      </w:r>
      <w:r w:rsidR="00AC76A7" w:rsidRPr="00E2350A">
        <w:rPr>
          <w:lang w:val="en-AU"/>
        </w:rPr>
        <w:t>is required.</w:t>
      </w:r>
      <w:r w:rsidR="005E0B5D">
        <w:rPr>
          <w:lang w:val="en-AU"/>
        </w:rPr>
        <w:t xml:space="preserve"> </w:t>
      </w:r>
      <w:r w:rsidR="005E0B5D">
        <w:rPr>
          <w:lang w:val="en-AU"/>
        </w:rPr>
        <w:br w:type="page"/>
      </w:r>
    </w:p>
    <w:p w14:paraId="411A44DE" w14:textId="77777777" w:rsidR="00C67BD8" w:rsidRPr="00E348A4" w:rsidRDefault="00C67BD8" w:rsidP="00B85F8A">
      <w:pPr>
        <w:pStyle w:val="Heading4"/>
      </w:pPr>
      <w:bookmarkStart w:id="87" w:name="_Toc447056827"/>
      <w:bookmarkStart w:id="88" w:name="_Toc447198697"/>
      <w:bookmarkStart w:id="89" w:name="_Toc447447084"/>
      <w:r w:rsidRPr="00E348A4">
        <w:lastRenderedPageBreak/>
        <w:t>Tax</w:t>
      </w:r>
      <w:bookmarkEnd w:id="87"/>
      <w:bookmarkEnd w:id="88"/>
      <w:bookmarkEnd w:id="89"/>
    </w:p>
    <w:p w14:paraId="411A44DF" w14:textId="77777777" w:rsidR="002A6A8B" w:rsidRPr="00E2350A" w:rsidRDefault="00C67BD8" w:rsidP="00AC76A7">
      <w:pPr>
        <w:pStyle w:val="BodyText1"/>
        <w:rPr>
          <w:lang w:val="en-AU"/>
        </w:rPr>
      </w:pPr>
      <w:r w:rsidRPr="00E2350A">
        <w:rPr>
          <w:lang w:val="en-AU"/>
        </w:rPr>
        <w:t xml:space="preserve">The </w:t>
      </w:r>
      <w:r w:rsidR="00522A2F" w:rsidRPr="00E2350A">
        <w:rPr>
          <w:lang w:val="en-AU"/>
        </w:rPr>
        <w:t>Agency</w:t>
      </w:r>
      <w:r w:rsidRPr="00E2350A">
        <w:rPr>
          <w:lang w:val="en-AU"/>
        </w:rPr>
        <w:t xml:space="preserve"> has also incorporated the impact of tax on benchmark prices, recognising that tax rates are different for for-profit businesses, tax exempt organisations and private individuals.</w:t>
      </w:r>
      <w:r w:rsidR="00AC76A7" w:rsidRPr="00E2350A">
        <w:rPr>
          <w:lang w:val="en-AU"/>
        </w:rPr>
        <w:t xml:space="preserve"> </w:t>
      </w:r>
    </w:p>
    <w:p w14:paraId="411A44E0" w14:textId="77777777" w:rsidR="00FF49C5" w:rsidRPr="00E348A4" w:rsidRDefault="002A6A8B" w:rsidP="00B85F8A">
      <w:pPr>
        <w:pStyle w:val="Heading4"/>
      </w:pPr>
      <w:bookmarkStart w:id="90" w:name="_Toc447056828"/>
      <w:bookmarkStart w:id="91" w:name="_Toc447198698"/>
      <w:bookmarkStart w:id="92" w:name="_Toc447447085"/>
      <w:r w:rsidRPr="00E348A4">
        <w:t xml:space="preserve">Vacancy </w:t>
      </w:r>
      <w:r w:rsidR="00652EBC">
        <w:t>rate assumptions</w:t>
      </w:r>
      <w:bookmarkEnd w:id="90"/>
      <w:bookmarkEnd w:id="91"/>
      <w:bookmarkEnd w:id="92"/>
    </w:p>
    <w:p w14:paraId="411A44E1" w14:textId="77777777" w:rsidR="00B47A88" w:rsidRPr="00E2350A" w:rsidRDefault="00B47A88" w:rsidP="00AC76A7">
      <w:pPr>
        <w:pStyle w:val="BodyText1"/>
        <w:rPr>
          <w:lang w:val="en-AU"/>
        </w:rPr>
      </w:pPr>
      <w:r w:rsidRPr="00E2350A">
        <w:rPr>
          <w:lang w:val="en-AU"/>
        </w:rPr>
        <w:t xml:space="preserve">The payment by the </w:t>
      </w:r>
      <w:r w:rsidR="004801F6" w:rsidRPr="00E2350A">
        <w:rPr>
          <w:lang w:val="en-AU"/>
        </w:rPr>
        <w:t>Agency</w:t>
      </w:r>
      <w:r w:rsidRPr="00E2350A">
        <w:rPr>
          <w:lang w:val="en-AU"/>
        </w:rPr>
        <w:t xml:space="preserve"> will be per participant, while the property is occupied. Occupancy and vacancy risk rests with the housing provider, noting that each participant is free to choose whether or not they wish to reside in a property. The rate of return adopted by the </w:t>
      </w:r>
      <w:r w:rsidR="004D4B94">
        <w:rPr>
          <w:lang w:val="en-AU"/>
        </w:rPr>
        <w:t>Agency</w:t>
      </w:r>
      <w:r w:rsidRPr="00E2350A">
        <w:rPr>
          <w:lang w:val="en-AU"/>
        </w:rPr>
        <w:t xml:space="preserve"> will reflect this risk. </w:t>
      </w:r>
    </w:p>
    <w:p w14:paraId="411A44E2" w14:textId="77777777" w:rsidR="00AC76A7" w:rsidRPr="00E2350A" w:rsidRDefault="004801F6" w:rsidP="00AC76A7">
      <w:pPr>
        <w:pStyle w:val="BodyText1"/>
        <w:rPr>
          <w:lang w:val="en-AU"/>
        </w:rPr>
      </w:pPr>
      <w:r w:rsidRPr="00E2350A">
        <w:rPr>
          <w:lang w:val="en-AU"/>
        </w:rPr>
        <w:t>I</w:t>
      </w:r>
      <w:r w:rsidR="00AC76A7" w:rsidRPr="00E2350A">
        <w:rPr>
          <w:lang w:val="en-AU"/>
        </w:rPr>
        <w:t>n calculating benchmark pricing</w:t>
      </w:r>
      <w:r w:rsidRPr="00E2350A">
        <w:rPr>
          <w:lang w:val="en-AU"/>
        </w:rPr>
        <w:t>, the Agency</w:t>
      </w:r>
      <w:r w:rsidR="00AC76A7" w:rsidRPr="00E2350A">
        <w:rPr>
          <w:lang w:val="en-AU"/>
        </w:rPr>
        <w:t xml:space="preserve"> has </w:t>
      </w:r>
      <w:r w:rsidR="00B47A88" w:rsidRPr="00E2350A">
        <w:rPr>
          <w:lang w:val="en-AU"/>
        </w:rPr>
        <w:t>used an estimated</w:t>
      </w:r>
      <w:r w:rsidR="00AC76A7" w:rsidRPr="00E2350A">
        <w:rPr>
          <w:lang w:val="en-AU"/>
        </w:rPr>
        <w:t xml:space="preserve"> vacancy rate</w:t>
      </w:r>
      <w:r w:rsidR="00B47A88" w:rsidRPr="00E2350A">
        <w:rPr>
          <w:lang w:val="en-AU"/>
        </w:rPr>
        <w:t xml:space="preserve"> for each building type. There was significant variation in feedback during consultations regarding an appropriate vacancy rate</w:t>
      </w:r>
      <w:r w:rsidR="001F0704" w:rsidRPr="00E2350A">
        <w:rPr>
          <w:lang w:val="en-AU"/>
        </w:rPr>
        <w:t xml:space="preserve">, and the Agency </w:t>
      </w:r>
      <w:r w:rsidRPr="00E2350A">
        <w:rPr>
          <w:lang w:val="en-AU"/>
        </w:rPr>
        <w:t>is of the view that</w:t>
      </w:r>
      <w:r w:rsidR="00B47A88" w:rsidRPr="00E2350A">
        <w:rPr>
          <w:lang w:val="en-AU"/>
        </w:rPr>
        <w:t xml:space="preserve"> this is related to both geography or uneven demand and the degree of sensitivity to individual resident needs when determining an appropriate resident to fill a vacancy.</w:t>
      </w:r>
    </w:p>
    <w:p w14:paraId="411A44E3" w14:textId="10B0C010" w:rsidR="00B47A88" w:rsidRPr="00E2350A" w:rsidRDefault="00B47A88" w:rsidP="00AC76A7">
      <w:pPr>
        <w:pStyle w:val="BodyText1"/>
        <w:rPr>
          <w:lang w:val="en-AU"/>
        </w:rPr>
      </w:pPr>
      <w:r w:rsidRPr="00E2350A">
        <w:rPr>
          <w:lang w:val="en-AU"/>
        </w:rPr>
        <w:t xml:space="preserve">Given the </w:t>
      </w:r>
      <w:r w:rsidR="00B25E9A">
        <w:rPr>
          <w:lang w:val="en-AU"/>
        </w:rPr>
        <w:t>prevalence of</w:t>
      </w:r>
      <w:r w:rsidR="00B25E9A" w:rsidRPr="00E2350A">
        <w:rPr>
          <w:lang w:val="en-AU"/>
        </w:rPr>
        <w:t xml:space="preserve"> </w:t>
      </w:r>
      <w:r w:rsidRPr="00E2350A">
        <w:rPr>
          <w:lang w:val="en-AU"/>
        </w:rPr>
        <w:t>waiting lists</w:t>
      </w:r>
      <w:r w:rsidR="00B25E9A">
        <w:rPr>
          <w:lang w:val="en-AU"/>
        </w:rPr>
        <w:t xml:space="preserve"> across Australia</w:t>
      </w:r>
      <w:r w:rsidR="006E6C2A" w:rsidRPr="00E2350A">
        <w:rPr>
          <w:lang w:val="en-AU"/>
        </w:rPr>
        <w:t>,</w:t>
      </w:r>
      <w:r w:rsidRPr="00E2350A">
        <w:rPr>
          <w:lang w:val="en-AU"/>
        </w:rPr>
        <w:t xml:space="preserve"> low vacancy rates could be expected</w:t>
      </w:r>
      <w:r w:rsidR="006E6C2A" w:rsidRPr="00E2350A">
        <w:rPr>
          <w:lang w:val="en-AU"/>
        </w:rPr>
        <w:t xml:space="preserve"> in the market</w:t>
      </w:r>
      <w:r w:rsidR="00B25E9A">
        <w:rPr>
          <w:lang w:val="en-AU"/>
        </w:rPr>
        <w:t xml:space="preserve"> generally</w:t>
      </w:r>
      <w:r w:rsidRPr="00E2350A">
        <w:rPr>
          <w:lang w:val="en-AU"/>
        </w:rPr>
        <w:t xml:space="preserve">. The fact </w:t>
      </w:r>
      <w:r w:rsidR="008D3C13" w:rsidRPr="00E2350A">
        <w:rPr>
          <w:lang w:val="en-AU"/>
        </w:rPr>
        <w:t>that this is not always the case indicates high</w:t>
      </w:r>
      <w:r w:rsidRPr="00E2350A">
        <w:rPr>
          <w:lang w:val="en-AU"/>
        </w:rPr>
        <w:t xml:space="preserve"> switching costs</w:t>
      </w:r>
      <w:r w:rsidR="008D3C13" w:rsidRPr="00E2350A">
        <w:rPr>
          <w:lang w:val="en-AU"/>
        </w:rPr>
        <w:t xml:space="preserve"> </w:t>
      </w:r>
      <w:r w:rsidR="006E6C2A" w:rsidRPr="00E2350A">
        <w:rPr>
          <w:lang w:val="en-AU"/>
        </w:rPr>
        <w:t>and imperfect information.</w:t>
      </w:r>
    </w:p>
    <w:p w14:paraId="411A44E4" w14:textId="67C4DCBC" w:rsidR="00B47A88" w:rsidRPr="00E2350A" w:rsidRDefault="00B47A88" w:rsidP="00AC76A7">
      <w:pPr>
        <w:pStyle w:val="BodyText1"/>
        <w:rPr>
          <w:lang w:val="en-AU"/>
        </w:rPr>
      </w:pPr>
      <w:r w:rsidRPr="00E2350A">
        <w:rPr>
          <w:lang w:val="en-AU"/>
        </w:rPr>
        <w:t xml:space="preserve">The </w:t>
      </w:r>
      <w:r w:rsidR="004801F6" w:rsidRPr="00E2350A">
        <w:rPr>
          <w:lang w:val="en-AU"/>
        </w:rPr>
        <w:t>Agency</w:t>
      </w:r>
      <w:r w:rsidRPr="00E2350A">
        <w:rPr>
          <w:lang w:val="en-AU"/>
        </w:rPr>
        <w:t xml:space="preserve"> is aware that funding only when accommod</w:t>
      </w:r>
      <w:r w:rsidR="004801F6" w:rsidRPr="00E2350A">
        <w:rPr>
          <w:lang w:val="en-AU"/>
        </w:rPr>
        <w:t>ation is occupied, and on a per-</w:t>
      </w:r>
      <w:r w:rsidRPr="00E2350A">
        <w:rPr>
          <w:lang w:val="en-AU"/>
        </w:rPr>
        <w:t>participant basis</w:t>
      </w:r>
      <w:r w:rsidR="004801F6" w:rsidRPr="00E2350A">
        <w:rPr>
          <w:lang w:val="en-AU"/>
        </w:rPr>
        <w:t>,</w:t>
      </w:r>
      <w:r w:rsidRPr="00E2350A">
        <w:rPr>
          <w:lang w:val="en-AU"/>
        </w:rPr>
        <w:t xml:space="preserve"> will create greater incentives </w:t>
      </w:r>
      <w:r w:rsidR="00B25E9A">
        <w:rPr>
          <w:lang w:val="en-AU"/>
        </w:rPr>
        <w:t xml:space="preserve">for providers </w:t>
      </w:r>
      <w:r w:rsidRPr="00E2350A">
        <w:rPr>
          <w:lang w:val="en-AU"/>
        </w:rPr>
        <w:t>to fill places</w:t>
      </w:r>
      <w:r w:rsidR="00B25E9A">
        <w:rPr>
          <w:lang w:val="en-AU"/>
        </w:rPr>
        <w:t xml:space="preserve"> as they arise</w:t>
      </w:r>
      <w:r w:rsidRPr="00E2350A">
        <w:rPr>
          <w:lang w:val="en-AU"/>
        </w:rPr>
        <w:t>. In order to facilitate better transitions and avoid inappropriate placements,</w:t>
      </w:r>
      <w:r w:rsidR="002A6A8B" w:rsidRPr="00E2350A">
        <w:rPr>
          <w:lang w:val="en-AU"/>
        </w:rPr>
        <w:t xml:space="preserve"> </w:t>
      </w:r>
      <w:r w:rsidR="00FB47D2" w:rsidRPr="00E2350A">
        <w:rPr>
          <w:lang w:val="en-AU"/>
        </w:rPr>
        <w:t xml:space="preserve">the </w:t>
      </w:r>
      <w:r w:rsidR="004801F6" w:rsidRPr="00E2350A">
        <w:rPr>
          <w:lang w:val="en-AU"/>
        </w:rPr>
        <w:t>Agency</w:t>
      </w:r>
      <w:r w:rsidR="002A6A8B" w:rsidRPr="00E2350A">
        <w:rPr>
          <w:lang w:val="en-AU"/>
        </w:rPr>
        <w:t xml:space="preserve"> </w:t>
      </w:r>
      <w:r w:rsidR="006E6C2A" w:rsidRPr="00E2350A">
        <w:rPr>
          <w:lang w:val="en-AU"/>
        </w:rPr>
        <w:t>may give consideration to</w:t>
      </w:r>
      <w:r w:rsidR="002A6A8B" w:rsidRPr="00E2350A">
        <w:rPr>
          <w:lang w:val="en-AU"/>
        </w:rPr>
        <w:t xml:space="preserve"> continu</w:t>
      </w:r>
      <w:r w:rsidRPr="00E2350A">
        <w:rPr>
          <w:lang w:val="en-AU"/>
        </w:rPr>
        <w:t>ing</w:t>
      </w:r>
      <w:r w:rsidR="002A6A8B" w:rsidRPr="00E2350A">
        <w:rPr>
          <w:lang w:val="en-AU"/>
        </w:rPr>
        <w:t xml:space="preserve"> to </w:t>
      </w:r>
      <w:r w:rsidRPr="00E2350A">
        <w:rPr>
          <w:lang w:val="en-AU"/>
        </w:rPr>
        <w:t>provide SDA payments</w:t>
      </w:r>
      <w:r w:rsidR="002A6A8B" w:rsidRPr="00E2350A">
        <w:rPr>
          <w:lang w:val="en-AU"/>
        </w:rPr>
        <w:t xml:space="preserve"> for </w:t>
      </w:r>
      <w:r w:rsidRPr="00E2350A">
        <w:rPr>
          <w:lang w:val="en-AU"/>
        </w:rPr>
        <w:t xml:space="preserve">a period </w:t>
      </w:r>
      <w:r w:rsidR="002A6A8B" w:rsidRPr="00E2350A">
        <w:rPr>
          <w:lang w:val="en-AU"/>
        </w:rPr>
        <w:t xml:space="preserve">after a vacancy arises. </w:t>
      </w:r>
    </w:p>
    <w:p w14:paraId="411A44E5" w14:textId="4B64E148" w:rsidR="00B47A88" w:rsidRPr="00E2350A" w:rsidRDefault="00B47A88" w:rsidP="00AC76A7">
      <w:pPr>
        <w:pStyle w:val="BodyText1"/>
        <w:rPr>
          <w:lang w:val="en-AU"/>
        </w:rPr>
      </w:pPr>
      <w:r w:rsidRPr="00E2350A">
        <w:rPr>
          <w:lang w:val="en-AU"/>
        </w:rPr>
        <w:t>T</w:t>
      </w:r>
      <w:r w:rsidR="00FB47D2" w:rsidRPr="00E2350A">
        <w:rPr>
          <w:lang w:val="en-AU"/>
        </w:rPr>
        <w:t xml:space="preserve">he </w:t>
      </w:r>
      <w:r w:rsidR="004801F6" w:rsidRPr="00E2350A">
        <w:rPr>
          <w:lang w:val="en-AU"/>
        </w:rPr>
        <w:t xml:space="preserve">Agency </w:t>
      </w:r>
      <w:r w:rsidR="002A6A8B" w:rsidRPr="00E2350A">
        <w:rPr>
          <w:lang w:val="en-AU"/>
        </w:rPr>
        <w:t xml:space="preserve">will further test the impact on the required rate of return of </w:t>
      </w:r>
      <w:r w:rsidR="00FB47D2" w:rsidRPr="00E2350A">
        <w:rPr>
          <w:lang w:val="en-AU"/>
        </w:rPr>
        <w:t xml:space="preserve">the </w:t>
      </w:r>
      <w:r w:rsidR="004D4B94">
        <w:rPr>
          <w:lang w:val="en-AU"/>
        </w:rPr>
        <w:t>Agency</w:t>
      </w:r>
      <w:r w:rsidR="002A6A8B" w:rsidRPr="00E2350A">
        <w:rPr>
          <w:lang w:val="en-AU"/>
        </w:rPr>
        <w:t xml:space="preserve"> taking </w:t>
      </w:r>
      <w:r w:rsidRPr="00E2350A">
        <w:rPr>
          <w:lang w:val="en-AU"/>
        </w:rPr>
        <w:t xml:space="preserve">on </w:t>
      </w:r>
      <w:r w:rsidR="002A6A8B" w:rsidRPr="00E2350A">
        <w:rPr>
          <w:lang w:val="en-AU"/>
        </w:rPr>
        <w:t>different levels of vacancy risk</w:t>
      </w:r>
      <w:r w:rsidR="00B25E9A">
        <w:rPr>
          <w:lang w:val="en-AU"/>
        </w:rPr>
        <w:t>, and</w:t>
      </w:r>
      <w:r w:rsidRPr="00E2350A">
        <w:rPr>
          <w:lang w:val="en-AU"/>
        </w:rPr>
        <w:t xml:space="preserve"> as part of the process of implementation agree working arrangements for vacancy management with </w:t>
      </w:r>
      <w:r w:rsidR="004801F6" w:rsidRPr="00E2350A">
        <w:rPr>
          <w:lang w:val="en-AU"/>
        </w:rPr>
        <w:t>State governments</w:t>
      </w:r>
      <w:r w:rsidRPr="00E2350A">
        <w:rPr>
          <w:lang w:val="en-AU"/>
        </w:rPr>
        <w:t>.</w:t>
      </w:r>
    </w:p>
    <w:p w14:paraId="411A44E6" w14:textId="77777777" w:rsidR="00DC51B1" w:rsidRPr="00E2350A" w:rsidRDefault="00B47A88" w:rsidP="00B47A88">
      <w:pPr>
        <w:pStyle w:val="BodyText1"/>
        <w:rPr>
          <w:lang w:val="en-AU"/>
        </w:rPr>
      </w:pPr>
      <w:r w:rsidRPr="00E2350A">
        <w:rPr>
          <w:lang w:val="en-AU"/>
        </w:rPr>
        <w:t>Vacancy management and rates of vacancies for SDA is an area which the Agency is particularly keen to obtain further feedback.</w:t>
      </w:r>
    </w:p>
    <w:tbl>
      <w:tblPr>
        <w:tblStyle w:val="TableGrid"/>
        <w:tblW w:w="0" w:type="auto"/>
        <w:tblLook w:val="04A0" w:firstRow="1" w:lastRow="0" w:firstColumn="1" w:lastColumn="0" w:noHBand="0" w:noVBand="1"/>
      </w:tblPr>
      <w:tblGrid>
        <w:gridCol w:w="9016"/>
      </w:tblGrid>
      <w:tr w:rsidR="00942776" w:rsidRPr="00942776" w14:paraId="411A44EC" w14:textId="77777777" w:rsidTr="00942776">
        <w:tc>
          <w:tcPr>
            <w:tcW w:w="9016" w:type="dxa"/>
          </w:tcPr>
          <w:p w14:paraId="411A44E7" w14:textId="77777777" w:rsidR="00857150" w:rsidRPr="006E6C2A" w:rsidRDefault="00857150" w:rsidP="00B47A88">
            <w:pPr>
              <w:pStyle w:val="BodyText1"/>
              <w:rPr>
                <w:b/>
              </w:rPr>
            </w:pPr>
            <w:r w:rsidRPr="006E6C2A">
              <w:rPr>
                <w:b/>
              </w:rPr>
              <w:t>Further work – pricing considerations</w:t>
            </w:r>
          </w:p>
          <w:p w14:paraId="411A44E8" w14:textId="77777777" w:rsidR="00942776" w:rsidRPr="006E6C2A" w:rsidRDefault="00942776" w:rsidP="00B47A88">
            <w:pPr>
              <w:pStyle w:val="BodyText1"/>
            </w:pPr>
            <w:r w:rsidRPr="006E6C2A">
              <w:t>Additional work is progressing to finalise arrangements for:</w:t>
            </w:r>
          </w:p>
          <w:p w14:paraId="411A44E9" w14:textId="77777777" w:rsidR="00942776" w:rsidRPr="00903CC1" w:rsidRDefault="005D4FEF" w:rsidP="000B6F7C">
            <w:pPr>
              <w:pStyle w:val="BodyText1"/>
              <w:numPr>
                <w:ilvl w:val="0"/>
                <w:numId w:val="52"/>
              </w:numPr>
              <w:rPr>
                <w:lang w:val="en-AU"/>
              </w:rPr>
            </w:pPr>
            <w:r>
              <w:rPr>
                <w:lang w:val="en-AU"/>
              </w:rPr>
              <w:t>W</w:t>
            </w:r>
            <w:r w:rsidR="00942776" w:rsidRPr="00903CC1">
              <w:rPr>
                <w:lang w:val="en-AU"/>
              </w:rPr>
              <w:t>here appropriate and necess</w:t>
            </w:r>
            <w:r w:rsidR="00E2350A" w:rsidRPr="00903CC1">
              <w:rPr>
                <w:lang w:val="en-AU"/>
              </w:rPr>
              <w:t xml:space="preserve">ary, </w:t>
            </w:r>
            <w:r w:rsidR="00F02FC6">
              <w:rPr>
                <w:lang w:val="en-AU"/>
              </w:rPr>
              <w:t>agree</w:t>
            </w:r>
            <w:r>
              <w:rPr>
                <w:lang w:val="en-AU"/>
              </w:rPr>
              <w:t>d</w:t>
            </w:r>
            <w:r w:rsidR="00F02FC6">
              <w:rPr>
                <w:lang w:val="en-AU"/>
              </w:rPr>
              <w:t xml:space="preserve"> pricing and arrangement</w:t>
            </w:r>
            <w:r>
              <w:rPr>
                <w:lang w:val="en-AU"/>
              </w:rPr>
              <w:t>s</w:t>
            </w:r>
            <w:r w:rsidR="00F02FC6">
              <w:rPr>
                <w:lang w:val="en-AU"/>
              </w:rPr>
              <w:t xml:space="preserve"> for existing accommodation supporting people with SDA requirements that doesn’t “fit” the pricing schedule</w:t>
            </w:r>
          </w:p>
          <w:p w14:paraId="411A44EA" w14:textId="533D175E" w:rsidR="00942776" w:rsidRPr="00903CC1" w:rsidRDefault="005D4FEF" w:rsidP="000B6F7C">
            <w:pPr>
              <w:pStyle w:val="BodyText1"/>
              <w:numPr>
                <w:ilvl w:val="0"/>
                <w:numId w:val="52"/>
              </w:numPr>
              <w:rPr>
                <w:lang w:val="en-AU"/>
              </w:rPr>
            </w:pPr>
            <w:r>
              <w:rPr>
                <w:lang w:val="en-AU"/>
              </w:rPr>
              <w:t>C</w:t>
            </w:r>
            <w:r w:rsidR="00F02FC6">
              <w:rPr>
                <w:lang w:val="en-AU"/>
              </w:rPr>
              <w:t xml:space="preserve">ontinuity of support arrangements for </w:t>
            </w:r>
            <w:r w:rsidR="00942776" w:rsidRPr="00903CC1">
              <w:rPr>
                <w:lang w:val="en-AU"/>
              </w:rPr>
              <w:t>non-participants</w:t>
            </w:r>
            <w:r w:rsidR="00F02FC6">
              <w:rPr>
                <w:lang w:val="en-AU"/>
              </w:rPr>
              <w:t xml:space="preserve">, or those for whom SDA supports are not reasonable and necessary, </w:t>
            </w:r>
            <w:r w:rsidR="00942776" w:rsidRPr="00903CC1">
              <w:rPr>
                <w:lang w:val="en-AU"/>
              </w:rPr>
              <w:t xml:space="preserve">that </w:t>
            </w:r>
            <w:r w:rsidR="00F02FC6">
              <w:rPr>
                <w:lang w:val="en-AU"/>
              </w:rPr>
              <w:t>current</w:t>
            </w:r>
            <w:r w:rsidR="005E0B5D">
              <w:rPr>
                <w:lang w:val="en-AU"/>
              </w:rPr>
              <w:t>ly</w:t>
            </w:r>
            <w:r w:rsidR="00F02FC6">
              <w:rPr>
                <w:lang w:val="en-AU"/>
              </w:rPr>
              <w:t xml:space="preserve"> </w:t>
            </w:r>
            <w:r w:rsidR="00942776" w:rsidRPr="00903CC1">
              <w:rPr>
                <w:lang w:val="en-AU"/>
              </w:rPr>
              <w:t xml:space="preserve">reside in </w:t>
            </w:r>
            <w:r w:rsidR="00F02FC6">
              <w:rPr>
                <w:lang w:val="en-AU"/>
              </w:rPr>
              <w:t xml:space="preserve">registered </w:t>
            </w:r>
            <w:r w:rsidR="00942776" w:rsidRPr="00903CC1">
              <w:rPr>
                <w:lang w:val="en-AU"/>
              </w:rPr>
              <w:t>SDA</w:t>
            </w:r>
            <w:r w:rsidR="00903CC1">
              <w:rPr>
                <w:lang w:val="en-AU"/>
              </w:rPr>
              <w:t>, and</w:t>
            </w:r>
          </w:p>
          <w:p w14:paraId="411A44EB" w14:textId="77777777" w:rsidR="00942776" w:rsidRPr="006E6C2A" w:rsidRDefault="00942776" w:rsidP="000B6F7C">
            <w:pPr>
              <w:pStyle w:val="BodyText1"/>
              <w:numPr>
                <w:ilvl w:val="0"/>
                <w:numId w:val="52"/>
              </w:numPr>
            </w:pPr>
            <w:r w:rsidRPr="00903CC1">
              <w:rPr>
                <w:lang w:val="en-AU"/>
              </w:rPr>
              <w:t>‘</w:t>
            </w:r>
            <w:r w:rsidR="005D4FEF">
              <w:rPr>
                <w:lang w:val="en-AU"/>
              </w:rPr>
              <w:t>P</w:t>
            </w:r>
            <w:r w:rsidRPr="00903CC1">
              <w:rPr>
                <w:lang w:val="en-AU"/>
              </w:rPr>
              <w:t>ass back’ arr</w:t>
            </w:r>
            <w:r w:rsidR="00E2350A" w:rsidRPr="00903CC1">
              <w:rPr>
                <w:lang w:val="en-AU"/>
              </w:rPr>
              <w:t>angements for lease revenue of S</w:t>
            </w:r>
            <w:r w:rsidRPr="00903CC1">
              <w:rPr>
                <w:lang w:val="en-AU"/>
              </w:rPr>
              <w:t>tate government owned land</w:t>
            </w:r>
            <w:r w:rsidR="005D4FEF">
              <w:rPr>
                <w:lang w:val="en-AU"/>
              </w:rPr>
              <w:t>.</w:t>
            </w:r>
          </w:p>
        </w:tc>
      </w:tr>
    </w:tbl>
    <w:p w14:paraId="78511FAD" w14:textId="77777777" w:rsidR="00B25E9A" w:rsidRDefault="00B25E9A" w:rsidP="00B85F8A">
      <w:pPr>
        <w:pStyle w:val="Heading4"/>
      </w:pPr>
      <w:bookmarkStart w:id="93" w:name="_Toc447056829"/>
      <w:bookmarkStart w:id="94" w:name="_Toc447198699"/>
      <w:bookmarkStart w:id="95" w:name="_Toc447447086"/>
      <w:r>
        <w:br w:type="page"/>
      </w:r>
    </w:p>
    <w:p w14:paraId="411A44ED" w14:textId="7F1C3603" w:rsidR="00744C77" w:rsidRPr="00633056" w:rsidRDefault="00744C77" w:rsidP="00B85F8A">
      <w:pPr>
        <w:pStyle w:val="Heading4"/>
      </w:pPr>
      <w:r w:rsidRPr="00633056">
        <w:lastRenderedPageBreak/>
        <w:t>Non-conforming legacy accommodation</w:t>
      </w:r>
      <w:bookmarkEnd w:id="93"/>
      <w:bookmarkEnd w:id="94"/>
      <w:bookmarkEnd w:id="95"/>
    </w:p>
    <w:p w14:paraId="411A44EE" w14:textId="77777777" w:rsidR="00744C77" w:rsidRPr="00E2350A" w:rsidRDefault="00744C77" w:rsidP="008168CD">
      <w:pPr>
        <w:pStyle w:val="BodyText1"/>
        <w:rPr>
          <w:lang w:val="en-AU"/>
        </w:rPr>
      </w:pPr>
      <w:r w:rsidRPr="00E2350A">
        <w:rPr>
          <w:lang w:val="en-AU"/>
        </w:rPr>
        <w:t>The</w:t>
      </w:r>
      <w:r w:rsidR="004801F6" w:rsidRPr="00E2350A">
        <w:rPr>
          <w:lang w:val="en-AU"/>
        </w:rPr>
        <w:t xml:space="preserve"> Agency</w:t>
      </w:r>
      <w:r w:rsidRPr="00E2350A">
        <w:rPr>
          <w:lang w:val="en-AU"/>
        </w:rPr>
        <w:t xml:space="preserve"> has explicitly limited the maximum number of residents in its pricing model to </w:t>
      </w:r>
      <w:r w:rsidR="00EB1802" w:rsidRPr="00E2350A">
        <w:rPr>
          <w:lang w:val="en-AU"/>
        </w:rPr>
        <w:t>five</w:t>
      </w:r>
      <w:r w:rsidR="00F07F08" w:rsidRPr="00E2350A">
        <w:rPr>
          <w:lang w:val="en-AU"/>
        </w:rPr>
        <w:t>.</w:t>
      </w:r>
      <w:r w:rsidRPr="00E2350A">
        <w:rPr>
          <w:lang w:val="en-AU"/>
        </w:rPr>
        <w:t xml:space="preserve"> </w:t>
      </w:r>
      <w:r w:rsidR="00F07F08" w:rsidRPr="00E2350A">
        <w:rPr>
          <w:lang w:val="en-AU"/>
        </w:rPr>
        <w:t>T</w:t>
      </w:r>
      <w:r w:rsidRPr="00E2350A">
        <w:rPr>
          <w:lang w:val="en-AU"/>
        </w:rPr>
        <w:t xml:space="preserve">he </w:t>
      </w:r>
      <w:r w:rsidR="00857150" w:rsidRPr="00E2350A">
        <w:rPr>
          <w:lang w:val="en-AU"/>
        </w:rPr>
        <w:t>A</w:t>
      </w:r>
      <w:r w:rsidRPr="00E2350A">
        <w:rPr>
          <w:lang w:val="en-AU"/>
        </w:rPr>
        <w:t xml:space="preserve">gency </w:t>
      </w:r>
      <w:r w:rsidR="004801F6" w:rsidRPr="00E2350A">
        <w:rPr>
          <w:lang w:val="en-AU"/>
        </w:rPr>
        <w:t>is of the view</w:t>
      </w:r>
      <w:r w:rsidR="00216FE5" w:rsidRPr="00E2350A">
        <w:rPr>
          <w:lang w:val="en-AU"/>
        </w:rPr>
        <w:t xml:space="preserve"> that</w:t>
      </w:r>
      <w:r w:rsidRPr="00E2350A">
        <w:rPr>
          <w:lang w:val="en-AU"/>
        </w:rPr>
        <w:t xml:space="preserve">, in-line with </w:t>
      </w:r>
      <w:r w:rsidR="00F07F08" w:rsidRPr="00E2350A">
        <w:rPr>
          <w:lang w:val="en-AU"/>
        </w:rPr>
        <w:t xml:space="preserve">current </w:t>
      </w:r>
      <w:r w:rsidR="00216FE5" w:rsidRPr="00E2350A">
        <w:rPr>
          <w:lang w:val="en-AU"/>
        </w:rPr>
        <w:t xml:space="preserve">industry practice, </w:t>
      </w:r>
      <w:r w:rsidR="00F07F08" w:rsidRPr="00E2350A">
        <w:rPr>
          <w:lang w:val="en-AU"/>
        </w:rPr>
        <w:t>larger models than this</w:t>
      </w:r>
      <w:r w:rsidRPr="00E2350A">
        <w:rPr>
          <w:lang w:val="en-AU"/>
        </w:rPr>
        <w:t xml:space="preserve"> are not optimal for long-term participant outcomes and limit opportunities for inclusion. The pricing matrix was constructed on the expectation that </w:t>
      </w:r>
      <w:r w:rsidR="00F07F08" w:rsidRPr="00E2350A">
        <w:rPr>
          <w:lang w:val="en-AU"/>
        </w:rPr>
        <w:t xml:space="preserve">exiting </w:t>
      </w:r>
      <w:r w:rsidRPr="00E2350A">
        <w:rPr>
          <w:lang w:val="en-AU"/>
        </w:rPr>
        <w:t>larger mode</w:t>
      </w:r>
      <w:r w:rsidR="00F07F08" w:rsidRPr="00E2350A">
        <w:rPr>
          <w:lang w:val="en-AU"/>
        </w:rPr>
        <w:t>ls will be phased out over time as innovative approaches become more mainstream.</w:t>
      </w:r>
    </w:p>
    <w:p w14:paraId="411A44EF" w14:textId="77777777" w:rsidR="00744C77" w:rsidRPr="00E2350A" w:rsidRDefault="008D3C13" w:rsidP="008168CD">
      <w:pPr>
        <w:pStyle w:val="BodyText1"/>
        <w:rPr>
          <w:lang w:val="en-AU"/>
        </w:rPr>
      </w:pPr>
      <w:r w:rsidRPr="00E2350A">
        <w:rPr>
          <w:lang w:val="en-AU"/>
        </w:rPr>
        <w:t>Nevertheless, t</w:t>
      </w:r>
      <w:r w:rsidR="00F07F08" w:rsidRPr="00E2350A">
        <w:rPr>
          <w:lang w:val="en-AU"/>
        </w:rPr>
        <w:t xml:space="preserve">he Scheme is required to accommodate existing SDA infrastructure. </w:t>
      </w:r>
      <w:r w:rsidR="00744C77" w:rsidRPr="00E2350A">
        <w:rPr>
          <w:lang w:val="en-AU"/>
        </w:rPr>
        <w:t>With respect to legacy properties that do not conform to the design and building categories:</w:t>
      </w:r>
    </w:p>
    <w:p w14:paraId="411A44F0" w14:textId="17F4E904" w:rsidR="00744C77" w:rsidRPr="008168CD" w:rsidRDefault="00744C77" w:rsidP="000B6F7C">
      <w:pPr>
        <w:pStyle w:val="BodyText1"/>
        <w:numPr>
          <w:ilvl w:val="0"/>
          <w:numId w:val="53"/>
        </w:numPr>
        <w:rPr>
          <w:lang w:val="en-AU"/>
        </w:rPr>
      </w:pPr>
      <w:r w:rsidRPr="008168CD">
        <w:rPr>
          <w:lang w:val="en-AU"/>
        </w:rPr>
        <w:t xml:space="preserve">Large </w:t>
      </w:r>
      <w:r w:rsidR="005D4FEF">
        <w:rPr>
          <w:lang w:val="en-AU"/>
        </w:rPr>
        <w:t>r</w:t>
      </w:r>
      <w:r w:rsidRPr="008168CD">
        <w:rPr>
          <w:lang w:val="en-AU"/>
        </w:rPr>
        <w:t xml:space="preserve">esidential </w:t>
      </w:r>
      <w:r w:rsidR="005D4FEF">
        <w:rPr>
          <w:lang w:val="en-AU"/>
        </w:rPr>
        <w:t>c</w:t>
      </w:r>
      <w:r w:rsidRPr="008168CD">
        <w:rPr>
          <w:lang w:val="en-AU"/>
        </w:rPr>
        <w:t>entres and other larger accommodation mode</w:t>
      </w:r>
      <w:r w:rsidR="004801F6">
        <w:rPr>
          <w:lang w:val="en-AU"/>
        </w:rPr>
        <w:t>ls will be considered on a case-</w:t>
      </w:r>
      <w:r w:rsidRPr="008168CD">
        <w:rPr>
          <w:lang w:val="en-AU"/>
        </w:rPr>
        <w:t>by</w:t>
      </w:r>
      <w:r w:rsidR="004801F6">
        <w:rPr>
          <w:lang w:val="en-AU"/>
        </w:rPr>
        <w:t>-</w:t>
      </w:r>
      <w:r w:rsidRPr="008168CD">
        <w:rPr>
          <w:lang w:val="en-AU"/>
        </w:rPr>
        <w:t>case basis</w:t>
      </w:r>
      <w:r w:rsidR="008168CD" w:rsidRPr="008168CD">
        <w:rPr>
          <w:lang w:val="en-AU"/>
        </w:rPr>
        <w:t xml:space="preserve"> and in consul</w:t>
      </w:r>
      <w:r w:rsidR="004801F6">
        <w:rPr>
          <w:lang w:val="en-AU"/>
        </w:rPr>
        <w:t xml:space="preserve">tation with the relevant </w:t>
      </w:r>
      <w:r w:rsidR="00C941CC">
        <w:rPr>
          <w:lang w:val="en-AU"/>
        </w:rPr>
        <w:t xml:space="preserve">state </w:t>
      </w:r>
      <w:r w:rsidR="004801F6">
        <w:rPr>
          <w:lang w:val="en-AU"/>
        </w:rPr>
        <w:t>g</w:t>
      </w:r>
      <w:r w:rsidR="008168CD" w:rsidRPr="008168CD">
        <w:rPr>
          <w:lang w:val="en-AU"/>
        </w:rPr>
        <w:t>overnment</w:t>
      </w:r>
      <w:r w:rsidRPr="008168CD">
        <w:rPr>
          <w:lang w:val="en-AU"/>
        </w:rPr>
        <w:t xml:space="preserve">, potentially with reference to expected actual costs. </w:t>
      </w:r>
      <w:r w:rsidR="00C941CC" w:rsidRPr="00675E74">
        <w:rPr>
          <w:lang w:val="en-AU"/>
        </w:rPr>
        <w:t>The Agency understands that most</w:t>
      </w:r>
      <w:r w:rsidR="00C941CC" w:rsidRPr="008168CD">
        <w:rPr>
          <w:lang w:val="en-AU"/>
        </w:rPr>
        <w:t xml:space="preserve"> </w:t>
      </w:r>
      <w:r w:rsidRPr="008168CD">
        <w:rPr>
          <w:lang w:val="en-AU"/>
        </w:rPr>
        <w:t>of the larger centres are being phased out over the next few years</w:t>
      </w:r>
      <w:r w:rsidR="00A150E4">
        <w:rPr>
          <w:lang w:val="en-AU"/>
        </w:rPr>
        <w:t>.</w:t>
      </w:r>
    </w:p>
    <w:p w14:paraId="411A44F1" w14:textId="299C0689" w:rsidR="00744C77" w:rsidRPr="008168CD" w:rsidRDefault="008168CD" w:rsidP="000B6F7C">
      <w:pPr>
        <w:pStyle w:val="BodyText1"/>
        <w:numPr>
          <w:ilvl w:val="0"/>
          <w:numId w:val="53"/>
        </w:numPr>
        <w:rPr>
          <w:lang w:val="en-AU"/>
        </w:rPr>
      </w:pPr>
      <w:r w:rsidRPr="008168CD">
        <w:rPr>
          <w:lang w:val="en-AU"/>
        </w:rPr>
        <w:t xml:space="preserve">It is expected that </w:t>
      </w:r>
      <w:r w:rsidR="00744C77" w:rsidRPr="008168CD">
        <w:rPr>
          <w:lang w:val="en-AU"/>
        </w:rPr>
        <w:t>SDA</w:t>
      </w:r>
      <w:r w:rsidR="004801F6">
        <w:rPr>
          <w:lang w:val="en-AU"/>
        </w:rPr>
        <w:t>,</w:t>
      </w:r>
      <w:r w:rsidR="00744C77" w:rsidRPr="008168CD">
        <w:rPr>
          <w:lang w:val="en-AU"/>
        </w:rPr>
        <w:t xml:space="preserve"> </w:t>
      </w:r>
      <w:r w:rsidR="004801F6">
        <w:rPr>
          <w:lang w:val="en-AU"/>
        </w:rPr>
        <w:t>which does</w:t>
      </w:r>
      <w:r w:rsidR="00744C77" w:rsidRPr="008168CD">
        <w:rPr>
          <w:lang w:val="en-AU"/>
        </w:rPr>
        <w:t xml:space="preserve"> </w:t>
      </w:r>
      <w:r w:rsidR="00142265">
        <w:rPr>
          <w:lang w:val="en-AU"/>
        </w:rPr>
        <w:t xml:space="preserve">not </w:t>
      </w:r>
      <w:r w:rsidR="00744C77" w:rsidRPr="008168CD">
        <w:rPr>
          <w:lang w:val="en-AU"/>
        </w:rPr>
        <w:t xml:space="preserve">meet the </w:t>
      </w:r>
      <w:r w:rsidRPr="008168CD">
        <w:rPr>
          <w:lang w:val="en-AU"/>
        </w:rPr>
        <w:t>Agency specified</w:t>
      </w:r>
      <w:r w:rsidR="00744C77" w:rsidRPr="008168CD">
        <w:rPr>
          <w:lang w:val="en-AU"/>
        </w:rPr>
        <w:t xml:space="preserve"> design standards would be paid according to the highest design standard with which the property does comply.</w:t>
      </w:r>
    </w:p>
    <w:p w14:paraId="411A44F2" w14:textId="77777777" w:rsidR="00744C77" w:rsidRPr="008168CD" w:rsidRDefault="00744C77" w:rsidP="000B6F7C">
      <w:pPr>
        <w:pStyle w:val="BodyText1"/>
        <w:numPr>
          <w:ilvl w:val="0"/>
          <w:numId w:val="53"/>
        </w:numPr>
        <w:rPr>
          <w:lang w:val="en-AU"/>
        </w:rPr>
      </w:pPr>
      <w:r w:rsidRPr="008168CD">
        <w:rPr>
          <w:lang w:val="en-AU"/>
        </w:rPr>
        <w:t xml:space="preserve">Where an SDA provider is facing genuine financial hardship, </w:t>
      </w:r>
      <w:r w:rsidR="004801F6">
        <w:rPr>
          <w:lang w:val="en-AU"/>
        </w:rPr>
        <w:t>the Agency</w:t>
      </w:r>
      <w:r w:rsidRPr="008168CD">
        <w:rPr>
          <w:lang w:val="en-AU"/>
        </w:rPr>
        <w:t xml:space="preserve"> may provide exceptional circumstance </w:t>
      </w:r>
      <w:r w:rsidR="00302A64">
        <w:rPr>
          <w:lang w:val="en-AU"/>
        </w:rPr>
        <w:t>payments to safeguard residents.</w:t>
      </w:r>
    </w:p>
    <w:p w14:paraId="411A44F3" w14:textId="77777777" w:rsidR="002A6A8B" w:rsidRPr="00E348A4" w:rsidRDefault="00744C77" w:rsidP="00B85F8A">
      <w:pPr>
        <w:pStyle w:val="Heading3"/>
      </w:pPr>
      <w:bookmarkStart w:id="96" w:name="_Toc447447087"/>
      <w:bookmarkStart w:id="97" w:name="_Toc447450395"/>
      <w:r>
        <w:t>Price differential for e</w:t>
      </w:r>
      <w:r w:rsidR="00FF49C5" w:rsidRPr="00E348A4">
        <w:t xml:space="preserve">xisting and </w:t>
      </w:r>
      <w:r>
        <w:t>n</w:t>
      </w:r>
      <w:r w:rsidR="00FF49C5" w:rsidRPr="00E348A4">
        <w:t xml:space="preserve">ew </w:t>
      </w:r>
      <w:r>
        <w:t>h</w:t>
      </w:r>
      <w:r w:rsidR="00FF49C5" w:rsidRPr="00E348A4">
        <w:t>ousing</w:t>
      </w:r>
      <w:bookmarkEnd w:id="96"/>
      <w:bookmarkEnd w:id="97"/>
    </w:p>
    <w:p w14:paraId="411A44F4" w14:textId="77777777" w:rsidR="00305BA3" w:rsidRPr="00E2350A" w:rsidRDefault="00305BA3" w:rsidP="008168CD">
      <w:pPr>
        <w:pStyle w:val="BodyText1"/>
        <w:rPr>
          <w:lang w:val="en-AU"/>
        </w:rPr>
      </w:pPr>
      <w:r w:rsidRPr="00E2350A">
        <w:rPr>
          <w:lang w:val="en-AU"/>
        </w:rPr>
        <w:t>SDA prices are determined by government (in this case</w:t>
      </w:r>
      <w:r w:rsidR="005057AD">
        <w:rPr>
          <w:lang w:val="en-AU"/>
        </w:rPr>
        <w:t xml:space="preserve"> the</w:t>
      </w:r>
      <w:r w:rsidRPr="00E2350A">
        <w:rPr>
          <w:lang w:val="en-AU"/>
        </w:rPr>
        <w:t xml:space="preserve"> </w:t>
      </w:r>
      <w:r w:rsidR="004D4B94">
        <w:rPr>
          <w:lang w:val="en-AU"/>
        </w:rPr>
        <w:t>Agency</w:t>
      </w:r>
      <w:r w:rsidRPr="00E2350A">
        <w:rPr>
          <w:lang w:val="en-AU"/>
        </w:rPr>
        <w:t xml:space="preserve">) </w:t>
      </w:r>
      <w:r w:rsidR="00744C77" w:rsidRPr="00E2350A">
        <w:rPr>
          <w:lang w:val="en-AU"/>
        </w:rPr>
        <w:t xml:space="preserve">and </w:t>
      </w:r>
      <w:r w:rsidRPr="00E2350A">
        <w:rPr>
          <w:lang w:val="en-AU"/>
        </w:rPr>
        <w:t>differ from prices set by government in monopoly industries such as electricity and water for two important reasons:</w:t>
      </w:r>
    </w:p>
    <w:p w14:paraId="411A44F5" w14:textId="77777777" w:rsidR="00305BA3" w:rsidRPr="00903CC1" w:rsidRDefault="00305BA3" w:rsidP="000B6F7C">
      <w:pPr>
        <w:pStyle w:val="BodyText1"/>
        <w:numPr>
          <w:ilvl w:val="0"/>
          <w:numId w:val="54"/>
        </w:numPr>
        <w:rPr>
          <w:lang w:val="en-AU"/>
        </w:rPr>
      </w:pPr>
      <w:r w:rsidRPr="00903CC1">
        <w:rPr>
          <w:lang w:val="en-AU"/>
        </w:rPr>
        <w:t>Unlike monopoly assets, SDA properties have an alternative use and can be either sold or rented to the broader residential market. An important objective of SDA pricing is to encourage property owners to continue to provide SDA to participants for as long as they choose to live at the property. Therefore prices must be at least equal to the next best use of the property</w:t>
      </w:r>
      <w:r w:rsidR="00216FE5" w:rsidRPr="00903CC1">
        <w:rPr>
          <w:lang w:val="en-AU"/>
        </w:rPr>
        <w:t>,</w:t>
      </w:r>
      <w:r w:rsidRPr="00903CC1">
        <w:rPr>
          <w:lang w:val="en-AU"/>
        </w:rPr>
        <w:t xml:space="preserve"> and must include an allowance for the additional maintenance and other costs that may be incurred by a SDA property.</w:t>
      </w:r>
    </w:p>
    <w:p w14:paraId="411A44F6" w14:textId="77777777" w:rsidR="00305BA3" w:rsidRPr="00903CC1" w:rsidRDefault="00305BA3" w:rsidP="000B6F7C">
      <w:pPr>
        <w:pStyle w:val="BodyText1"/>
        <w:numPr>
          <w:ilvl w:val="0"/>
          <w:numId w:val="54"/>
        </w:numPr>
        <w:rPr>
          <w:lang w:val="en-AU"/>
        </w:rPr>
      </w:pPr>
      <w:r w:rsidRPr="00903CC1">
        <w:rPr>
          <w:lang w:val="en-AU"/>
        </w:rPr>
        <w:t xml:space="preserve">Investors in monopoly infrastructure can accept a price that will recover their investment over the full life of the asset because the payment stream is highly certain (prices are revised upward if demand reduces and there are limited alternatives for customers), coupled with the fact that the investor could (in theory at least) sell the asset before the end of its life and would expect a buyer to pay the present value of the remaining payment stream. By contrast, SDA payments are only guaranteed for as long as participants remain in </w:t>
      </w:r>
      <w:r w:rsidR="00216FE5" w:rsidRPr="00903CC1">
        <w:rPr>
          <w:lang w:val="en-AU"/>
        </w:rPr>
        <w:t>the property</w:t>
      </w:r>
      <w:r w:rsidRPr="00903CC1">
        <w:rPr>
          <w:lang w:val="en-AU"/>
        </w:rPr>
        <w:t>. If participants do not choose to reside at the property, the owner could revert the property to the broader residential market, but may not recoup their initial investment as the sale price would dependent on value of the property in the non-SDA market.</w:t>
      </w:r>
    </w:p>
    <w:p w14:paraId="411A44F7" w14:textId="77777777" w:rsidR="00305BA3" w:rsidRPr="00E2350A" w:rsidRDefault="00305BA3" w:rsidP="008168CD">
      <w:pPr>
        <w:pStyle w:val="BodyText1"/>
        <w:rPr>
          <w:lang w:val="en-AU"/>
        </w:rPr>
      </w:pPr>
      <w:r w:rsidRPr="00E2350A">
        <w:rPr>
          <w:lang w:val="en-AU"/>
        </w:rPr>
        <w:t xml:space="preserve">Recognising these differences, </w:t>
      </w:r>
      <w:r w:rsidR="00744C77" w:rsidRPr="00E2350A">
        <w:rPr>
          <w:lang w:val="en-AU"/>
        </w:rPr>
        <w:t xml:space="preserve">the </w:t>
      </w:r>
      <w:r w:rsidR="004D4B94">
        <w:rPr>
          <w:lang w:val="en-AU"/>
        </w:rPr>
        <w:t>Agency</w:t>
      </w:r>
      <w:r w:rsidR="00744C77" w:rsidRPr="00E2350A">
        <w:rPr>
          <w:lang w:val="en-AU"/>
        </w:rPr>
        <w:t xml:space="preserve"> has adopted </w:t>
      </w:r>
      <w:r w:rsidRPr="00E2350A">
        <w:rPr>
          <w:lang w:val="en-AU"/>
        </w:rPr>
        <w:t>a two</w:t>
      </w:r>
      <w:r w:rsidR="00906508">
        <w:rPr>
          <w:lang w:val="en-AU"/>
        </w:rPr>
        <w:t>-</w:t>
      </w:r>
      <w:r w:rsidRPr="00E2350A">
        <w:rPr>
          <w:lang w:val="en-AU"/>
        </w:rPr>
        <w:t>tiered approach to SDA pricing</w:t>
      </w:r>
      <w:r w:rsidR="005057AD">
        <w:rPr>
          <w:lang w:val="en-AU"/>
        </w:rPr>
        <w:t>:</w:t>
      </w:r>
      <w:r w:rsidR="005057AD" w:rsidRPr="00E2350A">
        <w:rPr>
          <w:lang w:val="en-AU"/>
        </w:rPr>
        <w:t xml:space="preserve"> </w:t>
      </w:r>
    </w:p>
    <w:p w14:paraId="538F67CE" w14:textId="77777777" w:rsidR="006E65AA" w:rsidRDefault="006E65AA" w:rsidP="000F045D">
      <w:pPr>
        <w:pStyle w:val="BodyText1"/>
        <w:numPr>
          <w:ilvl w:val="0"/>
          <w:numId w:val="47"/>
        </w:numPr>
        <w:rPr>
          <w:lang w:val="en-AU"/>
        </w:rPr>
      </w:pPr>
      <w:r w:rsidRPr="000F045D">
        <w:rPr>
          <w:b/>
          <w:lang w:val="en-AU"/>
        </w:rPr>
        <w:lastRenderedPageBreak/>
        <w:t xml:space="preserve">Existing Properties </w:t>
      </w:r>
      <w:r w:rsidRPr="006E65AA">
        <w:rPr>
          <w:lang w:val="en-AU"/>
        </w:rPr>
        <w:t xml:space="preserve">- </w:t>
      </w:r>
      <w:r w:rsidR="00305BA3" w:rsidRPr="006E65AA">
        <w:rPr>
          <w:lang w:val="en-AU"/>
        </w:rPr>
        <w:t>F</w:t>
      </w:r>
      <w:r w:rsidR="00305BA3" w:rsidRPr="00903CC1">
        <w:rPr>
          <w:lang w:val="en-AU"/>
        </w:rPr>
        <w:t>or existing properties, the SDA payment provides an incentive for properties to remain</w:t>
      </w:r>
      <w:r w:rsidR="00906508">
        <w:rPr>
          <w:lang w:val="en-AU"/>
        </w:rPr>
        <w:t xml:space="preserve"> as</w:t>
      </w:r>
      <w:r w:rsidR="00305BA3" w:rsidRPr="00903CC1">
        <w:rPr>
          <w:lang w:val="en-AU"/>
        </w:rPr>
        <w:t xml:space="preserve"> SDA for as long as participants choose to remain at the property. This payment must ensure that the property owner would not be financially better off reverting the property to the non-SDA market. </w:t>
      </w:r>
    </w:p>
    <w:p w14:paraId="411A44F8" w14:textId="3F8E3090" w:rsidR="00305BA3" w:rsidRPr="00903CC1" w:rsidRDefault="00305BA3" w:rsidP="000F045D">
      <w:pPr>
        <w:pStyle w:val="BodyText1"/>
        <w:ind w:left="360"/>
        <w:rPr>
          <w:lang w:val="en-AU"/>
        </w:rPr>
      </w:pPr>
      <w:r w:rsidRPr="00903CC1">
        <w:rPr>
          <w:lang w:val="en-AU"/>
        </w:rPr>
        <w:t>Therefore, the price for existing properties is set at a level that ensures the property owner receives income higher than the broader rental market for an equivalent property. This is achieved by providing a net rental yield (income net of expenses divided by the property value) that is higher than the broader market and allowing for the additional maintenance, outgoing and management costs associated with SDA.</w:t>
      </w:r>
    </w:p>
    <w:p w14:paraId="4CE9DF46" w14:textId="77777777" w:rsidR="006E65AA" w:rsidRDefault="006E65AA" w:rsidP="000F045D">
      <w:pPr>
        <w:pStyle w:val="BodyText1"/>
        <w:numPr>
          <w:ilvl w:val="0"/>
          <w:numId w:val="47"/>
        </w:numPr>
        <w:rPr>
          <w:lang w:val="en-AU"/>
        </w:rPr>
      </w:pPr>
      <w:r>
        <w:rPr>
          <w:b/>
          <w:lang w:val="en-AU"/>
        </w:rPr>
        <w:t>New</w:t>
      </w:r>
      <w:r w:rsidRPr="00100907">
        <w:rPr>
          <w:b/>
          <w:lang w:val="en-AU"/>
        </w:rPr>
        <w:t xml:space="preserve"> Properties </w:t>
      </w:r>
      <w:r w:rsidRPr="000F045D">
        <w:rPr>
          <w:lang w:val="en-AU"/>
        </w:rPr>
        <w:t xml:space="preserve">- </w:t>
      </w:r>
      <w:r w:rsidR="00305BA3" w:rsidRPr="006E65AA">
        <w:rPr>
          <w:lang w:val="en-AU"/>
        </w:rPr>
        <w:t>T</w:t>
      </w:r>
      <w:r w:rsidR="00305BA3" w:rsidRPr="00903CC1">
        <w:rPr>
          <w:lang w:val="en-AU"/>
        </w:rPr>
        <w:t>here is significant unmet demand for SDA and it is unlikely that private individuals and not-for-profit organisations will be have the capacity to finance and build the required number of dwellings within a reasonable timeframe without assistance from third party (</w:t>
      </w:r>
      <w:r w:rsidR="00906508">
        <w:rPr>
          <w:lang w:val="en-AU"/>
        </w:rPr>
        <w:t>‘</w:t>
      </w:r>
      <w:r w:rsidR="00305BA3" w:rsidRPr="00903CC1">
        <w:rPr>
          <w:lang w:val="en-AU"/>
        </w:rPr>
        <w:t>institutional</w:t>
      </w:r>
      <w:r w:rsidR="00906508">
        <w:rPr>
          <w:lang w:val="en-AU"/>
        </w:rPr>
        <w:t>’</w:t>
      </w:r>
      <w:r w:rsidR="00305BA3" w:rsidRPr="00903CC1">
        <w:rPr>
          <w:lang w:val="en-AU"/>
        </w:rPr>
        <w:t xml:space="preserve">) investors. </w:t>
      </w:r>
    </w:p>
    <w:p w14:paraId="5AAFF8DB" w14:textId="77777777" w:rsidR="006E65AA" w:rsidRDefault="00305BA3" w:rsidP="000F045D">
      <w:pPr>
        <w:pStyle w:val="BodyText1"/>
        <w:ind w:left="360"/>
        <w:rPr>
          <w:lang w:val="en-AU"/>
        </w:rPr>
      </w:pPr>
      <w:r w:rsidRPr="00903CC1">
        <w:rPr>
          <w:lang w:val="en-AU"/>
        </w:rPr>
        <w:t xml:space="preserve">Institutional investors could potentially include superannuation funds, trusts, high wealth individuals, developers (who may on-sell the properties) or companies with a desire to invest in socially beneficial projects. These investors typically require a higher rate of return than private individuals or not-for-profit organisations. </w:t>
      </w:r>
    </w:p>
    <w:p w14:paraId="411A44F9" w14:textId="2BEABD68" w:rsidR="00305BA3" w:rsidRPr="00903CC1" w:rsidRDefault="00305BA3" w:rsidP="000F045D">
      <w:pPr>
        <w:pStyle w:val="BodyText1"/>
        <w:ind w:left="360"/>
        <w:rPr>
          <w:lang w:val="en-AU"/>
        </w:rPr>
      </w:pPr>
      <w:r w:rsidRPr="00903CC1">
        <w:rPr>
          <w:lang w:val="en-AU"/>
        </w:rPr>
        <w:t xml:space="preserve">Therefore, to attract the broadest possible range of investors, the SDA payments have been set to provide these higher returns, assuming a reasonable level of both debt and equity financing. </w:t>
      </w:r>
    </w:p>
    <w:p w14:paraId="411A44FA" w14:textId="6770FC12" w:rsidR="00744C77" w:rsidRPr="00E2350A" w:rsidRDefault="00744C77" w:rsidP="008168CD">
      <w:pPr>
        <w:pStyle w:val="BodyText1"/>
        <w:rPr>
          <w:lang w:val="en-AU"/>
        </w:rPr>
      </w:pPr>
      <w:r w:rsidRPr="00E2350A">
        <w:rPr>
          <w:lang w:val="en-AU"/>
        </w:rPr>
        <w:t xml:space="preserve">This approach is similar to the existing Commonwealth aged care accommodation supplement, which </w:t>
      </w:r>
      <w:r w:rsidR="006E65AA">
        <w:rPr>
          <w:lang w:val="en-AU"/>
        </w:rPr>
        <w:t xml:space="preserve">also </w:t>
      </w:r>
      <w:r w:rsidRPr="00E2350A">
        <w:rPr>
          <w:lang w:val="en-AU"/>
        </w:rPr>
        <w:t xml:space="preserve">differentiates between </w:t>
      </w:r>
      <w:r w:rsidR="00217054" w:rsidRPr="00E2350A">
        <w:rPr>
          <w:lang w:val="en-AU"/>
        </w:rPr>
        <w:t>new and existing buildings.</w:t>
      </w:r>
      <w:r w:rsidRPr="00E2350A">
        <w:rPr>
          <w:lang w:val="en-AU"/>
        </w:rPr>
        <w:t xml:space="preserve"> </w:t>
      </w:r>
    </w:p>
    <w:p w14:paraId="411A44FB" w14:textId="7A82EE79" w:rsidR="00A93156" w:rsidRDefault="00740F2F" w:rsidP="008168CD">
      <w:pPr>
        <w:pStyle w:val="BodyText1"/>
        <w:rPr>
          <w:lang w:val="en-AU"/>
        </w:rPr>
      </w:pPr>
      <w:r>
        <w:rPr>
          <w:lang w:val="en-AU"/>
        </w:rPr>
        <w:fldChar w:fldCharType="begin"/>
      </w:r>
      <w:r>
        <w:rPr>
          <w:lang w:val="en-AU"/>
        </w:rPr>
        <w:instrText xml:space="preserve"> REF _Ref447481879 \h </w:instrText>
      </w:r>
      <w:r>
        <w:rPr>
          <w:lang w:val="en-AU"/>
        </w:rPr>
      </w:r>
      <w:r>
        <w:rPr>
          <w:lang w:val="en-AU"/>
        </w:rPr>
        <w:fldChar w:fldCharType="separate"/>
      </w:r>
      <w:r w:rsidR="00607084">
        <w:t xml:space="preserve">Figure </w:t>
      </w:r>
      <w:r w:rsidR="00607084">
        <w:rPr>
          <w:noProof/>
        </w:rPr>
        <w:t>2</w:t>
      </w:r>
      <w:r>
        <w:rPr>
          <w:lang w:val="en-AU"/>
        </w:rPr>
        <w:fldChar w:fldCharType="end"/>
      </w:r>
      <w:r>
        <w:rPr>
          <w:lang w:val="en-AU"/>
        </w:rPr>
        <w:t xml:space="preserve"> </w:t>
      </w:r>
      <w:r w:rsidR="00A93156" w:rsidRPr="00E2350A">
        <w:rPr>
          <w:lang w:val="en-AU"/>
        </w:rPr>
        <w:t>shows the number of new builds that are assumed in the modelling</w:t>
      </w:r>
      <w:r w:rsidR="006E65AA">
        <w:rPr>
          <w:lang w:val="en-AU"/>
        </w:rPr>
        <w:t xml:space="preserve"> of SDA cost to the scheme</w:t>
      </w:r>
      <w:r w:rsidR="00A93156" w:rsidRPr="00E2350A">
        <w:rPr>
          <w:lang w:val="en-AU"/>
        </w:rPr>
        <w:t xml:space="preserve">. The number of new builds increases rapidly in the early years of the </w:t>
      </w:r>
      <w:r w:rsidR="00E2350A" w:rsidRPr="00E2350A">
        <w:rPr>
          <w:lang w:val="en-AU"/>
        </w:rPr>
        <w:t>s</w:t>
      </w:r>
      <w:r w:rsidR="00A93156" w:rsidRPr="00E2350A">
        <w:rPr>
          <w:lang w:val="en-AU"/>
        </w:rPr>
        <w:t xml:space="preserve">cheme to meet transitional demand from large residential </w:t>
      </w:r>
      <w:r w:rsidR="00B85F8A" w:rsidRPr="00E2350A">
        <w:rPr>
          <w:lang w:val="en-AU"/>
        </w:rPr>
        <w:t>centres</w:t>
      </w:r>
      <w:r w:rsidR="00A93156" w:rsidRPr="00E2350A">
        <w:rPr>
          <w:lang w:val="en-AU"/>
        </w:rPr>
        <w:t xml:space="preserve"> and aged care facilities, in addition to new housing that will be constructed to cater for unmet demand and people moving out of existing</w:t>
      </w:r>
      <w:r w:rsidR="006E65AA">
        <w:rPr>
          <w:lang w:val="en-AU"/>
        </w:rPr>
        <w:t xml:space="preserve"> housing</w:t>
      </w:r>
      <w:r w:rsidR="00A93156" w:rsidRPr="00E2350A">
        <w:rPr>
          <w:lang w:val="en-AU"/>
        </w:rPr>
        <w:t xml:space="preserve"> stock. </w:t>
      </w:r>
      <w:r w:rsidR="006E65AA">
        <w:rPr>
          <w:lang w:val="en-AU"/>
        </w:rPr>
        <w:t xml:space="preserve"> </w:t>
      </w:r>
      <w:r w:rsidR="00A93156" w:rsidRPr="00E2350A">
        <w:rPr>
          <w:lang w:val="en-AU"/>
        </w:rPr>
        <w:t xml:space="preserve">The </w:t>
      </w:r>
      <w:r w:rsidR="006E65AA">
        <w:rPr>
          <w:lang w:val="en-AU"/>
        </w:rPr>
        <w:t>modelling</w:t>
      </w:r>
      <w:r w:rsidR="006E65AA" w:rsidRPr="00E2350A">
        <w:rPr>
          <w:lang w:val="en-AU"/>
        </w:rPr>
        <w:t xml:space="preserve"> </w:t>
      </w:r>
      <w:r w:rsidR="00A93156" w:rsidRPr="00E2350A">
        <w:rPr>
          <w:lang w:val="en-AU"/>
        </w:rPr>
        <w:t>assume</w:t>
      </w:r>
      <w:r w:rsidR="006E65AA">
        <w:rPr>
          <w:lang w:val="en-AU"/>
        </w:rPr>
        <w:t>s</w:t>
      </w:r>
      <w:r w:rsidR="00A93156" w:rsidRPr="00E2350A">
        <w:rPr>
          <w:lang w:val="en-AU"/>
        </w:rPr>
        <w:t xml:space="preserve"> that </w:t>
      </w:r>
      <w:r w:rsidR="00B76254" w:rsidRPr="00E2350A">
        <w:rPr>
          <w:lang w:val="en-AU"/>
        </w:rPr>
        <w:t xml:space="preserve">the rate of construction will increase to just over </w:t>
      </w:r>
      <w:r w:rsidR="00A93156" w:rsidRPr="00E2350A">
        <w:rPr>
          <w:lang w:val="en-AU"/>
        </w:rPr>
        <w:t xml:space="preserve">900 homes a year </w:t>
      </w:r>
      <w:r w:rsidR="00B76254" w:rsidRPr="00E2350A">
        <w:rPr>
          <w:lang w:val="en-AU"/>
        </w:rPr>
        <w:t>by FY 2018/19</w:t>
      </w:r>
      <w:r w:rsidR="00A93156" w:rsidRPr="00E2350A">
        <w:rPr>
          <w:lang w:val="en-AU"/>
        </w:rPr>
        <w:t xml:space="preserve">, </w:t>
      </w:r>
      <w:r w:rsidR="00B76254" w:rsidRPr="00E2350A">
        <w:rPr>
          <w:lang w:val="en-AU"/>
        </w:rPr>
        <w:t>gradually reducing as the unmet demand begins to fall.</w:t>
      </w:r>
      <w:r w:rsidR="00A93156" w:rsidRPr="00E2350A">
        <w:rPr>
          <w:lang w:val="en-AU"/>
        </w:rPr>
        <w:t xml:space="preserve"> As the market’s capacity has not yet been tested, the precise pace of new building construction cannot yet be predicted with certainty.</w:t>
      </w:r>
    </w:p>
    <w:p w14:paraId="76931958" w14:textId="659AECC8" w:rsidR="00740F2F" w:rsidRPr="00E2350A" w:rsidRDefault="00740F2F" w:rsidP="00740F2F">
      <w:pPr>
        <w:pStyle w:val="Caption"/>
        <w:rPr>
          <w:lang w:val="en-AU"/>
        </w:rPr>
      </w:pPr>
      <w:bookmarkStart w:id="98" w:name="_Ref447481879"/>
      <w:bookmarkStart w:id="99" w:name="_Ref447481869"/>
      <w:r>
        <w:t xml:space="preserve">Figure </w:t>
      </w:r>
      <w:r>
        <w:fldChar w:fldCharType="begin"/>
      </w:r>
      <w:r>
        <w:instrText xml:space="preserve"> SEQ Figure \* ARABIC </w:instrText>
      </w:r>
      <w:r>
        <w:fldChar w:fldCharType="separate"/>
      </w:r>
      <w:r w:rsidR="00607084">
        <w:rPr>
          <w:noProof/>
        </w:rPr>
        <w:t>2</w:t>
      </w:r>
      <w:r>
        <w:fldChar w:fldCharType="end"/>
      </w:r>
      <w:bookmarkEnd w:id="98"/>
      <w:r>
        <w:t xml:space="preserve"> - </w:t>
      </w:r>
      <w:r w:rsidRPr="00F25A9A">
        <w:t>ASSUMED SUPPLY OF SDA (NEW BULDINGS)</w:t>
      </w:r>
      <w:bookmarkEnd w:id="99"/>
    </w:p>
    <w:p w14:paraId="411A44FD" w14:textId="77777777" w:rsidR="00422CE4" w:rsidRDefault="00EB1802" w:rsidP="008168CD">
      <w:pPr>
        <w:pStyle w:val="BodyText1"/>
      </w:pPr>
      <w:r>
        <w:rPr>
          <w:noProof/>
          <w:lang w:val="en-AU" w:eastAsia="en-AU"/>
        </w:rPr>
        <w:drawing>
          <wp:inline distT="0" distB="0" distL="0" distR="0" wp14:anchorId="411A4FA6" wp14:editId="411A4FA7">
            <wp:extent cx="4401820"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1820" cy="1219200"/>
                    </a:xfrm>
                    <a:prstGeom prst="rect">
                      <a:avLst/>
                    </a:prstGeom>
                    <a:noFill/>
                  </pic:spPr>
                </pic:pic>
              </a:graphicData>
            </a:graphic>
          </wp:inline>
        </w:drawing>
      </w:r>
    </w:p>
    <w:p w14:paraId="411A44FE" w14:textId="6E60AD61" w:rsidR="00744C77" w:rsidRPr="00E2350A" w:rsidRDefault="00744C77" w:rsidP="008168CD">
      <w:pPr>
        <w:pStyle w:val="BodyText1"/>
        <w:rPr>
          <w:lang w:val="en-AU"/>
        </w:rPr>
      </w:pPr>
      <w:r w:rsidRPr="00E2350A">
        <w:rPr>
          <w:lang w:val="en-AU"/>
        </w:rPr>
        <w:t xml:space="preserve">In summary, the price for new </w:t>
      </w:r>
      <w:r w:rsidR="00740F2F">
        <w:rPr>
          <w:lang w:val="en-AU"/>
        </w:rPr>
        <w:t>housing</w:t>
      </w:r>
      <w:r w:rsidRPr="00E2350A">
        <w:rPr>
          <w:lang w:val="en-AU"/>
        </w:rPr>
        <w:t xml:space="preserve"> is set to provide an incentive to a broad range of potential investors to respond quickly in constructing new properties to provide for unmet SDA demand. The price for existing </w:t>
      </w:r>
      <w:r w:rsidR="006E65AA">
        <w:rPr>
          <w:lang w:val="en-AU"/>
        </w:rPr>
        <w:t xml:space="preserve">housing </w:t>
      </w:r>
      <w:r w:rsidRPr="00E2350A">
        <w:rPr>
          <w:lang w:val="en-AU"/>
        </w:rPr>
        <w:t xml:space="preserve">stock is lower and provides yields more in line </w:t>
      </w:r>
      <w:r w:rsidRPr="00E2350A">
        <w:rPr>
          <w:lang w:val="en-AU"/>
        </w:rPr>
        <w:lastRenderedPageBreak/>
        <w:t>with the established rental market to ensure owners have a financial incentive to retain participants for as long as they choose.</w:t>
      </w:r>
    </w:p>
    <w:p w14:paraId="411A44FF" w14:textId="77777777" w:rsidR="00305BA3" w:rsidRPr="00E2350A" w:rsidRDefault="00305BA3" w:rsidP="008168CD">
      <w:pPr>
        <w:pStyle w:val="BodyText1"/>
        <w:rPr>
          <w:lang w:val="en-AU"/>
        </w:rPr>
      </w:pPr>
      <w:r w:rsidRPr="00E2350A">
        <w:rPr>
          <w:lang w:val="en-AU"/>
        </w:rPr>
        <w:t xml:space="preserve">The timeframe for the pricing has also been aligned with the expected investment horizon of institutional investors (20 years). To recognise the uncertainty associated with retaining participants for more than 20 years, the pricing model conservatively assumes that at the end of 20 years the property would revert to the general market, providing a lump sum cash flow to the investor equal to the (non-SDA) market value of the property. When combined, the revenue from SDA payments, </w:t>
      </w:r>
      <w:r w:rsidR="00742CB7" w:rsidRPr="00E2350A">
        <w:rPr>
          <w:lang w:val="en-AU"/>
        </w:rPr>
        <w:t>reasonable rent contribution</w:t>
      </w:r>
      <w:r w:rsidRPr="00E2350A">
        <w:rPr>
          <w:lang w:val="en-AU"/>
        </w:rPr>
        <w:t xml:space="preserve">s and the sale value of the property will be sufficient to recover the initial investment, all maintenance, outgoing and management costs, and an </w:t>
      </w:r>
      <w:r w:rsidR="00906508">
        <w:rPr>
          <w:lang w:val="en-AU"/>
        </w:rPr>
        <w:t>‘</w:t>
      </w:r>
      <w:r w:rsidRPr="00E2350A">
        <w:rPr>
          <w:lang w:val="en-AU"/>
        </w:rPr>
        <w:t>institutional</w:t>
      </w:r>
      <w:r w:rsidR="00906508">
        <w:rPr>
          <w:lang w:val="en-AU"/>
        </w:rPr>
        <w:t>’</w:t>
      </w:r>
      <w:r w:rsidRPr="00E2350A">
        <w:rPr>
          <w:lang w:val="en-AU"/>
        </w:rPr>
        <w:t xml:space="preserve"> return on debt and equity.</w:t>
      </w:r>
    </w:p>
    <w:p w14:paraId="411A4500" w14:textId="008F730B" w:rsidR="002A6A8B" w:rsidRPr="00E2350A" w:rsidRDefault="00305BA3" w:rsidP="00404C77">
      <w:pPr>
        <w:pStyle w:val="BodyText1"/>
        <w:rPr>
          <w:lang w:val="en-AU"/>
        </w:rPr>
      </w:pPr>
      <w:r w:rsidRPr="00E2350A">
        <w:rPr>
          <w:lang w:val="en-AU"/>
        </w:rPr>
        <w:t>The new build pricing will only apply for a period of 20 years. At the end of the 20</w:t>
      </w:r>
      <w:r w:rsidR="00906508">
        <w:rPr>
          <w:lang w:val="en-AU"/>
        </w:rPr>
        <w:t>-</w:t>
      </w:r>
      <w:r w:rsidRPr="00E2350A">
        <w:rPr>
          <w:lang w:val="en-AU"/>
        </w:rPr>
        <w:t xml:space="preserve">year period, </w:t>
      </w:r>
      <w:r w:rsidR="006E65AA">
        <w:rPr>
          <w:lang w:val="en-AU"/>
        </w:rPr>
        <w:t xml:space="preserve">and </w:t>
      </w:r>
      <w:r w:rsidRPr="00E2350A">
        <w:rPr>
          <w:lang w:val="en-AU"/>
        </w:rPr>
        <w:t>the property</w:t>
      </w:r>
      <w:r w:rsidR="006E65AA">
        <w:rPr>
          <w:lang w:val="en-AU"/>
        </w:rPr>
        <w:t xml:space="preserve"> remains occupied</w:t>
      </w:r>
      <w:r w:rsidRPr="00E2350A">
        <w:rPr>
          <w:lang w:val="en-AU"/>
        </w:rPr>
        <w:t xml:space="preserve">, the pricing will revert to </w:t>
      </w:r>
      <w:r w:rsidR="00906508">
        <w:rPr>
          <w:lang w:val="en-AU"/>
        </w:rPr>
        <w:t>‘</w:t>
      </w:r>
      <w:r w:rsidRPr="00E2350A">
        <w:rPr>
          <w:lang w:val="en-AU"/>
        </w:rPr>
        <w:t>existing stock</w:t>
      </w:r>
      <w:r w:rsidR="00906508">
        <w:rPr>
          <w:lang w:val="en-AU"/>
        </w:rPr>
        <w:t>’</w:t>
      </w:r>
      <w:r w:rsidRPr="00E2350A">
        <w:rPr>
          <w:lang w:val="en-AU"/>
        </w:rPr>
        <w:t xml:space="preserve"> prices, which will provide a superior return to the general rental market and encourage property owners to</w:t>
      </w:r>
      <w:r w:rsidR="00744C77" w:rsidRPr="00E2350A">
        <w:rPr>
          <w:lang w:val="en-AU"/>
        </w:rPr>
        <w:t xml:space="preserve"> retain the property as SDA.</w:t>
      </w:r>
    </w:p>
    <w:p w14:paraId="411A4501" w14:textId="77777777" w:rsidR="00DC51B1" w:rsidRPr="00E348A4" w:rsidRDefault="00DC51B1" w:rsidP="00B85F8A">
      <w:pPr>
        <w:pStyle w:val="Heading3"/>
      </w:pPr>
      <w:bookmarkStart w:id="100" w:name="_Ref446969785"/>
      <w:bookmarkStart w:id="101" w:name="_Ref446969834"/>
      <w:bookmarkStart w:id="102" w:name="_Toc447447088"/>
      <w:bookmarkStart w:id="103" w:name="_Toc447450396"/>
      <w:r w:rsidRPr="00E348A4">
        <w:t xml:space="preserve">Reasonable </w:t>
      </w:r>
      <w:r w:rsidR="00906508">
        <w:t>r</w:t>
      </w:r>
      <w:r w:rsidRPr="00E348A4">
        <w:t>ent contributions</w:t>
      </w:r>
      <w:bookmarkEnd w:id="100"/>
      <w:bookmarkEnd w:id="101"/>
      <w:bookmarkEnd w:id="102"/>
      <w:bookmarkEnd w:id="103"/>
    </w:p>
    <w:p w14:paraId="411A4502" w14:textId="77777777" w:rsidR="00F904DE" w:rsidRDefault="008D3C13" w:rsidP="00663142">
      <w:pPr>
        <w:pStyle w:val="BodyText1"/>
        <w:rPr>
          <w:lang w:val="en-AU"/>
        </w:rPr>
      </w:pPr>
      <w:r>
        <w:rPr>
          <w:lang w:val="en-AU"/>
        </w:rPr>
        <w:t xml:space="preserve">The </w:t>
      </w:r>
      <w:r w:rsidR="006F24FC">
        <w:rPr>
          <w:lang w:val="en-AU"/>
        </w:rPr>
        <w:t xml:space="preserve">SDA Framework </w:t>
      </w:r>
      <w:r w:rsidR="00F904DE">
        <w:rPr>
          <w:lang w:val="en-AU"/>
        </w:rPr>
        <w:t>set out that</w:t>
      </w:r>
      <w:r w:rsidR="00216FE5">
        <w:rPr>
          <w:lang w:val="en-AU"/>
        </w:rPr>
        <w:t>,</w:t>
      </w:r>
      <w:r w:rsidR="00F904DE">
        <w:rPr>
          <w:lang w:val="en-AU"/>
        </w:rPr>
        <w:t xml:space="preserve"> in formulating a resident contribution as part of the benchmark prices, the </w:t>
      </w:r>
      <w:r w:rsidR="004D4B94">
        <w:rPr>
          <w:lang w:val="en-AU"/>
        </w:rPr>
        <w:t>Agency</w:t>
      </w:r>
      <w:r w:rsidR="00F904DE">
        <w:rPr>
          <w:lang w:val="en-AU"/>
        </w:rPr>
        <w:t xml:space="preserve"> should assume that residents are in receipt of the Disability Support Pension and that </w:t>
      </w:r>
      <w:r w:rsidR="00F904DE" w:rsidRPr="008168CD">
        <w:rPr>
          <w:lang w:val="en-AU"/>
        </w:rPr>
        <w:t xml:space="preserve"> the rent contribution </w:t>
      </w:r>
      <w:r w:rsidR="00F904DE">
        <w:rPr>
          <w:lang w:val="en-AU"/>
        </w:rPr>
        <w:t>should be</w:t>
      </w:r>
      <w:r w:rsidR="00F904DE" w:rsidRPr="008168CD">
        <w:rPr>
          <w:lang w:val="en-AU"/>
        </w:rPr>
        <w:t xml:space="preserve"> 25 per cent of the base rate of the Disability Support Pension (plus any Commonwealth Rent Assistance where relevant)</w:t>
      </w:r>
      <w:r w:rsidR="00E2350A">
        <w:rPr>
          <w:lang w:val="en-AU"/>
        </w:rPr>
        <w:t xml:space="preserve">. </w:t>
      </w:r>
    </w:p>
    <w:p w14:paraId="411A4503" w14:textId="77777777" w:rsidR="00F904DE" w:rsidRDefault="00F904DE" w:rsidP="00F904DE">
      <w:pPr>
        <w:pStyle w:val="BodyText1"/>
        <w:rPr>
          <w:lang w:val="en-AU"/>
        </w:rPr>
      </w:pPr>
      <w:r w:rsidRPr="008168CD">
        <w:rPr>
          <w:lang w:val="en-AU"/>
        </w:rPr>
        <w:t>The SDA Framework recogni</w:t>
      </w:r>
      <w:r>
        <w:rPr>
          <w:lang w:val="en-AU"/>
        </w:rPr>
        <w:t>s</w:t>
      </w:r>
      <w:r w:rsidRPr="008168CD">
        <w:rPr>
          <w:lang w:val="en-AU"/>
        </w:rPr>
        <w:t xml:space="preserve">ed that </w:t>
      </w:r>
      <w:r>
        <w:rPr>
          <w:lang w:val="en-AU"/>
        </w:rPr>
        <w:t xml:space="preserve">setting out a maximum rate for the rent component paid for </w:t>
      </w:r>
      <w:r w:rsidR="005057AD">
        <w:rPr>
          <w:lang w:val="en-AU"/>
        </w:rPr>
        <w:t>SDA</w:t>
      </w:r>
      <w:r w:rsidRPr="008168CD">
        <w:rPr>
          <w:lang w:val="en-AU"/>
        </w:rPr>
        <w:t xml:space="preserve"> will be a major change for a number of providers who currently use the ‘rent and board’ model for determining rents</w:t>
      </w:r>
      <w:r w:rsidR="00E2350A">
        <w:rPr>
          <w:lang w:val="en-AU"/>
        </w:rPr>
        <w:t xml:space="preserve">. </w:t>
      </w:r>
      <w:r w:rsidRPr="008168CD">
        <w:rPr>
          <w:lang w:val="en-AU"/>
        </w:rPr>
        <w:t>However, while this will be a major change for many providers, it will make the price of accommodation for residents more transparent</w:t>
      </w:r>
      <w:r w:rsidR="00E2350A">
        <w:rPr>
          <w:lang w:val="en-AU"/>
        </w:rPr>
        <w:t xml:space="preserve">. </w:t>
      </w:r>
    </w:p>
    <w:p w14:paraId="411A4504" w14:textId="22CE2C26" w:rsidR="00F904DE" w:rsidRDefault="00740F2F" w:rsidP="00F904DE">
      <w:pPr>
        <w:pStyle w:val="BodyText1"/>
        <w:rPr>
          <w:lang w:val="en-AU"/>
        </w:rPr>
      </w:pPr>
      <w:r>
        <w:rPr>
          <w:lang w:val="en-AU"/>
        </w:rPr>
        <w:t>T</w:t>
      </w:r>
      <w:r w:rsidR="00F904DE" w:rsidRPr="00D8765F">
        <w:rPr>
          <w:lang w:val="en-AU"/>
        </w:rPr>
        <w:t>his approach assumes that most participants will be reliant on the Disability Support Pension</w:t>
      </w:r>
      <w:r w:rsidR="00E2350A">
        <w:rPr>
          <w:lang w:val="en-AU"/>
        </w:rPr>
        <w:t xml:space="preserve">. </w:t>
      </w:r>
      <w:r w:rsidR="00F904DE" w:rsidRPr="00D8765F">
        <w:rPr>
          <w:lang w:val="en-AU"/>
        </w:rPr>
        <w:t>While this is true, at least in the medium</w:t>
      </w:r>
      <w:r w:rsidR="00906508">
        <w:rPr>
          <w:lang w:val="en-AU"/>
        </w:rPr>
        <w:t>-</w:t>
      </w:r>
      <w:r w:rsidR="00F904DE" w:rsidRPr="00D8765F">
        <w:rPr>
          <w:lang w:val="en-AU"/>
        </w:rPr>
        <w:t>term, this means that this setting will be kept under review</w:t>
      </w:r>
      <w:r w:rsidR="00F904DE">
        <w:rPr>
          <w:lang w:val="en-AU"/>
        </w:rPr>
        <w:t xml:space="preserve"> and further work on the rent-setting arrangements for participants who are not in receipt of DSP will need to be developed</w:t>
      </w:r>
      <w:r w:rsidR="00F904DE" w:rsidRPr="00D8765F">
        <w:rPr>
          <w:lang w:val="en-AU"/>
        </w:rPr>
        <w:t>.</w:t>
      </w:r>
    </w:p>
    <w:p w14:paraId="411A4505" w14:textId="0BBBE657" w:rsidR="00843173" w:rsidRDefault="00843173" w:rsidP="00663142">
      <w:pPr>
        <w:pStyle w:val="BodyText1"/>
        <w:rPr>
          <w:lang w:val="en-AU"/>
        </w:rPr>
      </w:pPr>
      <w:r w:rsidRPr="00843173">
        <w:rPr>
          <w:lang w:val="en-AU"/>
        </w:rPr>
        <w:t xml:space="preserve">The rent setting model for </w:t>
      </w:r>
      <w:r w:rsidR="005057AD">
        <w:rPr>
          <w:lang w:val="en-AU"/>
        </w:rPr>
        <w:t>SDA</w:t>
      </w:r>
      <w:r w:rsidRPr="00843173">
        <w:rPr>
          <w:lang w:val="en-AU"/>
        </w:rPr>
        <w:t xml:space="preserve"> is structured to provide an affordability safeguard for tenants but also give the flexibility they need to make informed decisions about the type of accommodation they live in, the housing provider and the amount of money they choose to spend on housing</w:t>
      </w:r>
      <w:r w:rsidR="00E2350A">
        <w:rPr>
          <w:lang w:val="en-AU"/>
        </w:rPr>
        <w:t xml:space="preserve">. </w:t>
      </w:r>
      <w:r w:rsidRPr="00843173">
        <w:rPr>
          <w:lang w:val="en-AU"/>
        </w:rPr>
        <w:t xml:space="preserve">In this respect, it is intended that </w:t>
      </w:r>
      <w:r w:rsidR="00740F2F">
        <w:rPr>
          <w:lang w:val="en-AU"/>
        </w:rPr>
        <w:t>people</w:t>
      </w:r>
      <w:r w:rsidRPr="00843173">
        <w:rPr>
          <w:lang w:val="en-AU"/>
        </w:rPr>
        <w:t xml:space="preserve"> with disability have the same ability to make decisions about their housing and their financial situation as other people.</w:t>
      </w:r>
    </w:p>
    <w:p w14:paraId="411A4506" w14:textId="0BF8703D" w:rsidR="00740F2F" w:rsidRDefault="005B33C7" w:rsidP="005B33C7">
      <w:pPr>
        <w:pStyle w:val="BodyText1"/>
        <w:rPr>
          <w:lang w:val="en-AU"/>
        </w:rPr>
      </w:pPr>
      <w:r>
        <w:rPr>
          <w:lang w:val="en-AU"/>
        </w:rPr>
        <w:t>The Agency is considering arrangements for participants who wish to access properties with a market rental value higher than considered reasonable and necessary within the plan. For ex</w:t>
      </w:r>
      <w:r w:rsidRPr="00302A64">
        <w:rPr>
          <w:lang w:val="en-AU"/>
        </w:rPr>
        <w:t>ample, i</w:t>
      </w:r>
      <w:r w:rsidR="00305BA3" w:rsidRPr="00302A64">
        <w:rPr>
          <w:lang w:val="en-AU"/>
        </w:rPr>
        <w:t xml:space="preserve">f the participant would prefer a higher level of accommodation or a location that is not considered reasonable and necessary, then the participant </w:t>
      </w:r>
      <w:r w:rsidRPr="00302A64">
        <w:rPr>
          <w:lang w:val="en-AU"/>
        </w:rPr>
        <w:t xml:space="preserve">could potentially </w:t>
      </w:r>
      <w:r w:rsidR="008168CD" w:rsidRPr="00302A64">
        <w:rPr>
          <w:lang w:val="en-AU"/>
        </w:rPr>
        <w:t xml:space="preserve">choose </w:t>
      </w:r>
      <w:r w:rsidRPr="00302A64">
        <w:rPr>
          <w:lang w:val="en-AU"/>
        </w:rPr>
        <w:t xml:space="preserve">to </w:t>
      </w:r>
      <w:r w:rsidR="006E65AA" w:rsidRPr="00675E74">
        <w:rPr>
          <w:lang w:val="en-AU"/>
        </w:rPr>
        <w:t xml:space="preserve">cover the difference and </w:t>
      </w:r>
      <w:r w:rsidR="006E65AA" w:rsidRPr="00302A64">
        <w:rPr>
          <w:lang w:val="en-AU"/>
        </w:rPr>
        <w:t xml:space="preserve">provide </w:t>
      </w:r>
      <w:r w:rsidR="006E65AA" w:rsidRPr="00675E74">
        <w:rPr>
          <w:lang w:val="en-AU"/>
        </w:rPr>
        <w:t xml:space="preserve">the </w:t>
      </w:r>
      <w:r w:rsidR="006E65AA" w:rsidRPr="00302A64">
        <w:rPr>
          <w:lang w:val="en-AU"/>
        </w:rPr>
        <w:t>top-up funds necessary</w:t>
      </w:r>
      <w:r w:rsidR="006E65AA" w:rsidRPr="00675E74">
        <w:rPr>
          <w:lang w:val="en-AU"/>
        </w:rPr>
        <w:t>.</w:t>
      </w:r>
      <w:r w:rsidR="00305BA3" w:rsidRPr="00302A64">
        <w:rPr>
          <w:lang w:val="en-AU"/>
        </w:rPr>
        <w:t xml:space="preserve"> </w:t>
      </w:r>
    </w:p>
    <w:p w14:paraId="033F86BE" w14:textId="77777777" w:rsidR="00740F2F" w:rsidRDefault="00740F2F">
      <w:pPr>
        <w:spacing w:line="276" w:lineRule="auto"/>
        <w:rPr>
          <w:rFonts w:asciiTheme="minorHAnsi" w:eastAsia="MS Mincho" w:hAnsiTheme="minorHAnsi" w:cs="FSMe-Bold"/>
          <w:spacing w:val="-2"/>
          <w:sz w:val="24"/>
          <w:szCs w:val="20"/>
          <w:lang w:val="en-AU" w:eastAsia="en-US"/>
        </w:rPr>
      </w:pPr>
      <w:r>
        <w:rPr>
          <w:lang w:val="en-AU"/>
        </w:rPr>
        <w:br w:type="page"/>
      </w:r>
    </w:p>
    <w:p w14:paraId="411A4507" w14:textId="77777777" w:rsidR="00E46CA9" w:rsidRDefault="00E46CA9" w:rsidP="00B85F8A">
      <w:pPr>
        <w:pStyle w:val="Heading3"/>
        <w:rPr>
          <w:rFonts w:eastAsiaTheme="minorHAnsi"/>
        </w:rPr>
      </w:pPr>
      <w:bookmarkStart w:id="104" w:name="_Ref446961495"/>
      <w:bookmarkStart w:id="105" w:name="_Toc447447089"/>
      <w:bookmarkStart w:id="106" w:name="_Toc447450397"/>
      <w:r>
        <w:rPr>
          <w:rFonts w:eastAsiaTheme="minorHAnsi"/>
        </w:rPr>
        <w:lastRenderedPageBreak/>
        <w:t>Key pricing assumptions</w:t>
      </w:r>
      <w:bookmarkEnd w:id="104"/>
      <w:bookmarkEnd w:id="105"/>
      <w:bookmarkEnd w:id="106"/>
    </w:p>
    <w:p w14:paraId="411A4509" w14:textId="4B37F934" w:rsidR="00216FE5" w:rsidRPr="00E2350A" w:rsidRDefault="00216FE5" w:rsidP="00404C77">
      <w:pPr>
        <w:pStyle w:val="BodyText1"/>
        <w:rPr>
          <w:lang w:val="en-AU"/>
        </w:rPr>
      </w:pPr>
      <w:r w:rsidRPr="00E2350A">
        <w:rPr>
          <w:lang w:val="en-AU"/>
        </w:rPr>
        <w:t>The Agency</w:t>
      </w:r>
      <w:r w:rsidR="00404C77" w:rsidRPr="00E2350A">
        <w:rPr>
          <w:lang w:val="en-AU"/>
        </w:rPr>
        <w:t xml:space="preserve"> has applied numerous data assumptions when modelling th</w:t>
      </w:r>
      <w:r w:rsidRPr="00E2350A">
        <w:rPr>
          <w:lang w:val="en-AU"/>
        </w:rPr>
        <w:t>e benchmark pricing. Whist the A</w:t>
      </w:r>
      <w:r w:rsidR="00404C77" w:rsidRPr="00E2350A">
        <w:rPr>
          <w:lang w:val="en-AU"/>
        </w:rPr>
        <w:t>gency has reasonable confidence in these assumptions they are like</w:t>
      </w:r>
      <w:r w:rsidR="00302A64" w:rsidRPr="00E2350A">
        <w:rPr>
          <w:lang w:val="en-AU"/>
        </w:rPr>
        <w:t>l</w:t>
      </w:r>
      <w:r w:rsidR="00404C77" w:rsidRPr="00E2350A">
        <w:rPr>
          <w:lang w:val="en-AU"/>
        </w:rPr>
        <w:t xml:space="preserve">y to change over time. </w:t>
      </w:r>
      <w:r w:rsidR="00E46CA9" w:rsidRPr="00E2350A">
        <w:rPr>
          <w:lang w:val="en-AU"/>
        </w:rPr>
        <w:t xml:space="preserve">The key assumptions and inputs that are included in the price modelling and subject to ongoing refinement </w:t>
      </w:r>
      <w:r w:rsidR="00404C77" w:rsidRPr="00E2350A">
        <w:rPr>
          <w:lang w:val="en-AU"/>
        </w:rPr>
        <w:t>(</w:t>
      </w:r>
      <w:r w:rsidR="00E46CA9" w:rsidRPr="00E2350A">
        <w:rPr>
          <w:lang w:val="en-AU"/>
        </w:rPr>
        <w:t xml:space="preserve">in conjunction with working through the </w:t>
      </w:r>
      <w:r w:rsidR="00404C77" w:rsidRPr="00E2350A">
        <w:rPr>
          <w:lang w:val="en-AU"/>
        </w:rPr>
        <w:t xml:space="preserve">decisions that have been outlined in the sections above) are illustrated in </w:t>
      </w:r>
      <w:r w:rsidR="00404C77" w:rsidRPr="00E2350A">
        <w:rPr>
          <w:lang w:val="en-AU"/>
        </w:rPr>
        <w:fldChar w:fldCharType="begin"/>
      </w:r>
      <w:r w:rsidR="00404C77" w:rsidRPr="00E2350A">
        <w:rPr>
          <w:lang w:val="en-AU"/>
        </w:rPr>
        <w:instrText xml:space="preserve"> REF _Ref446970249 \h </w:instrText>
      </w:r>
      <w:r w:rsidR="00E2350A">
        <w:rPr>
          <w:lang w:val="en-AU"/>
        </w:rPr>
        <w:instrText xml:space="preserve"> \* MERGEFORMAT </w:instrText>
      </w:r>
      <w:r w:rsidR="00404C77" w:rsidRPr="00E2350A">
        <w:rPr>
          <w:lang w:val="en-AU"/>
        </w:rPr>
      </w:r>
      <w:r w:rsidR="00404C77" w:rsidRPr="00E2350A">
        <w:rPr>
          <w:lang w:val="en-AU"/>
        </w:rPr>
        <w:fldChar w:fldCharType="separate"/>
      </w:r>
      <w:r w:rsidR="00607084" w:rsidRPr="00607084">
        <w:rPr>
          <w:lang w:val="en-AU"/>
        </w:rPr>
        <w:t>Table 4</w:t>
      </w:r>
      <w:r w:rsidR="00404C77" w:rsidRPr="00E2350A">
        <w:rPr>
          <w:lang w:val="en-AU"/>
        </w:rPr>
        <w:fldChar w:fldCharType="end"/>
      </w:r>
      <w:r w:rsidR="00404C77" w:rsidRPr="00E2350A">
        <w:rPr>
          <w:lang w:val="en-AU"/>
        </w:rPr>
        <w:t>.</w:t>
      </w:r>
    </w:p>
    <w:p w14:paraId="411A450A" w14:textId="77777777" w:rsidR="00E46CA9" w:rsidRPr="00E2350A" w:rsidRDefault="00404C77" w:rsidP="00A93156">
      <w:pPr>
        <w:pStyle w:val="BodyText1"/>
        <w:rPr>
          <w:lang w:val="en-AU"/>
        </w:rPr>
      </w:pPr>
      <w:r w:rsidRPr="00E2350A">
        <w:rPr>
          <w:lang w:val="en-AU"/>
        </w:rPr>
        <w:t>The</w:t>
      </w:r>
      <w:r w:rsidR="00E46CA9" w:rsidRPr="00E2350A">
        <w:rPr>
          <w:lang w:val="en-AU"/>
        </w:rPr>
        <w:t xml:space="preserve"> assumptions that </w:t>
      </w:r>
      <w:r w:rsidRPr="00E2350A">
        <w:rPr>
          <w:lang w:val="en-AU"/>
        </w:rPr>
        <w:t>are most sensitive (</w:t>
      </w:r>
      <w:r w:rsidR="00E46CA9" w:rsidRPr="00E2350A">
        <w:rPr>
          <w:lang w:val="en-AU"/>
        </w:rPr>
        <w:t>have the greatest impact</w:t>
      </w:r>
      <w:r w:rsidRPr="00E2350A">
        <w:rPr>
          <w:lang w:val="en-AU"/>
        </w:rPr>
        <w:t>)</w:t>
      </w:r>
      <w:r w:rsidR="00E46CA9" w:rsidRPr="00E2350A">
        <w:rPr>
          <w:lang w:val="en-AU"/>
        </w:rPr>
        <w:t xml:space="preserve"> </w:t>
      </w:r>
      <w:r w:rsidRPr="00E2350A">
        <w:rPr>
          <w:lang w:val="en-AU"/>
        </w:rPr>
        <w:t>for</w:t>
      </w:r>
      <w:r w:rsidR="00A93156" w:rsidRPr="00E2350A">
        <w:rPr>
          <w:lang w:val="en-AU"/>
        </w:rPr>
        <w:t xml:space="preserve"> the pricing results include:</w:t>
      </w:r>
    </w:p>
    <w:p w14:paraId="411A450B" w14:textId="77777777" w:rsidR="00A93156" w:rsidRPr="00903CC1" w:rsidRDefault="00A93156" w:rsidP="000F045D">
      <w:pPr>
        <w:pStyle w:val="BodyText1"/>
        <w:numPr>
          <w:ilvl w:val="0"/>
          <w:numId w:val="48"/>
        </w:numPr>
        <w:rPr>
          <w:lang w:val="en-AU"/>
        </w:rPr>
      </w:pPr>
      <w:r w:rsidRPr="00903CC1">
        <w:rPr>
          <w:lang w:val="en-AU"/>
        </w:rPr>
        <w:t>The analysis period, which has been based on a 20 year investment horizon based on advice from investors and financial institutions</w:t>
      </w:r>
      <w:r w:rsidR="00906508">
        <w:rPr>
          <w:lang w:val="en-AU"/>
        </w:rPr>
        <w:t>.</w:t>
      </w:r>
    </w:p>
    <w:p w14:paraId="411A450C" w14:textId="77777777" w:rsidR="00A93156" w:rsidRPr="00903CC1" w:rsidRDefault="00A93156" w:rsidP="000F045D">
      <w:pPr>
        <w:pStyle w:val="BodyText1"/>
        <w:numPr>
          <w:ilvl w:val="0"/>
          <w:numId w:val="48"/>
        </w:numPr>
        <w:rPr>
          <w:lang w:val="en-AU"/>
        </w:rPr>
      </w:pPr>
      <w:r w:rsidRPr="00903CC1">
        <w:rPr>
          <w:lang w:val="en-AU"/>
        </w:rPr>
        <w:t>The return on equity expected by investors, which has been based on the Capital Asset Pricing Model (CAPM), in accordance with other regulated industries. CAPM indicates a nominal after tax return on equity of 8.1</w:t>
      </w:r>
      <w:r w:rsidR="00906508">
        <w:rPr>
          <w:lang w:val="en-AU"/>
        </w:rPr>
        <w:t xml:space="preserve"> per cent</w:t>
      </w:r>
      <w:r w:rsidRPr="00903CC1">
        <w:rPr>
          <w:lang w:val="en-AU"/>
        </w:rPr>
        <w:t xml:space="preserve"> (equivalent to 11.6</w:t>
      </w:r>
      <w:r w:rsidR="00906508">
        <w:rPr>
          <w:lang w:val="en-AU"/>
        </w:rPr>
        <w:t xml:space="preserve"> per cent</w:t>
      </w:r>
      <w:r w:rsidRPr="00903CC1">
        <w:rPr>
          <w:lang w:val="en-AU"/>
        </w:rPr>
        <w:t xml:space="preserve"> before tax), based on an equity beta of 0.9, indicating slightly lower systematic risk than the broader equity market</w:t>
      </w:r>
      <w:r w:rsidR="00E2350A" w:rsidRPr="00903CC1">
        <w:rPr>
          <w:lang w:val="en-AU"/>
        </w:rPr>
        <w:t xml:space="preserve">. </w:t>
      </w:r>
      <w:r w:rsidRPr="00903CC1">
        <w:rPr>
          <w:lang w:val="en-AU"/>
        </w:rPr>
        <w:t xml:space="preserve"> </w:t>
      </w:r>
    </w:p>
    <w:p w14:paraId="411A450D" w14:textId="77777777" w:rsidR="00A93156" w:rsidRPr="00903CC1" w:rsidRDefault="00A93156" w:rsidP="000F045D">
      <w:pPr>
        <w:pStyle w:val="BodyText1"/>
        <w:numPr>
          <w:ilvl w:val="0"/>
          <w:numId w:val="48"/>
        </w:numPr>
        <w:rPr>
          <w:lang w:val="en-AU"/>
        </w:rPr>
      </w:pPr>
      <w:r w:rsidRPr="00903CC1">
        <w:rPr>
          <w:lang w:val="en-AU"/>
        </w:rPr>
        <w:t>A gearing ratio of 60</w:t>
      </w:r>
      <w:r w:rsidR="00906508">
        <w:rPr>
          <w:lang w:val="en-AU"/>
        </w:rPr>
        <w:t xml:space="preserve"> per cent</w:t>
      </w:r>
      <w:r w:rsidRPr="00903CC1">
        <w:rPr>
          <w:lang w:val="en-AU"/>
        </w:rPr>
        <w:t>, based on the established benchmark levels of debt in other regulated industries.</w:t>
      </w:r>
    </w:p>
    <w:p w14:paraId="411A450E" w14:textId="77777777" w:rsidR="00A93156" w:rsidRPr="00903CC1" w:rsidRDefault="00A93156" w:rsidP="000F045D">
      <w:pPr>
        <w:pStyle w:val="BodyText1"/>
        <w:numPr>
          <w:ilvl w:val="0"/>
          <w:numId w:val="48"/>
        </w:numPr>
        <w:rPr>
          <w:lang w:val="en-AU"/>
        </w:rPr>
      </w:pPr>
      <w:r w:rsidRPr="00903CC1">
        <w:rPr>
          <w:lang w:val="en-AU"/>
        </w:rPr>
        <w:t>A long term (20 year+) land appreciation rate of 5</w:t>
      </w:r>
      <w:r w:rsidR="00906508">
        <w:rPr>
          <w:lang w:val="en-AU"/>
        </w:rPr>
        <w:t xml:space="preserve"> per cent</w:t>
      </w:r>
      <w:r w:rsidRPr="00903CC1">
        <w:rPr>
          <w:lang w:val="en-AU"/>
        </w:rPr>
        <w:t>, which has been set at the low end of historic ranges to reflect the fact that land and property values are currently considered high based on yield and affordability</w:t>
      </w:r>
      <w:r w:rsidR="00E2350A" w:rsidRPr="00903CC1">
        <w:rPr>
          <w:lang w:val="en-AU"/>
        </w:rPr>
        <w:t xml:space="preserve">. </w:t>
      </w:r>
    </w:p>
    <w:p w14:paraId="411A450F" w14:textId="54F67F78" w:rsidR="00A93156" w:rsidRPr="00903CC1" w:rsidRDefault="00A93156" w:rsidP="000F045D">
      <w:pPr>
        <w:pStyle w:val="BodyText1"/>
        <w:numPr>
          <w:ilvl w:val="0"/>
          <w:numId w:val="48"/>
        </w:numPr>
        <w:rPr>
          <w:lang w:val="en-AU"/>
        </w:rPr>
      </w:pPr>
      <w:r w:rsidRPr="00903CC1">
        <w:rPr>
          <w:lang w:val="en-AU"/>
        </w:rPr>
        <w:t>Maintenance and ongoing costs are based on a review of industry benchmarks and a detailed review of costs incurr</w:t>
      </w:r>
      <w:r w:rsidR="00E2350A" w:rsidRPr="00903CC1">
        <w:rPr>
          <w:lang w:val="en-AU"/>
        </w:rPr>
        <w:t>ed by, or recommended by, S</w:t>
      </w:r>
      <w:r w:rsidRPr="00903CC1">
        <w:rPr>
          <w:lang w:val="en-AU"/>
        </w:rPr>
        <w:t xml:space="preserve">tate government departments. The latter have been applied rather than industry benchmarks because </w:t>
      </w:r>
      <w:r w:rsidR="006E65AA">
        <w:rPr>
          <w:lang w:val="en-AU"/>
        </w:rPr>
        <w:t>the</w:t>
      </w:r>
      <w:r w:rsidR="006E65AA" w:rsidRPr="00903CC1">
        <w:rPr>
          <w:lang w:val="en-AU"/>
        </w:rPr>
        <w:t xml:space="preserve"> </w:t>
      </w:r>
      <w:r w:rsidRPr="00903CC1">
        <w:rPr>
          <w:lang w:val="en-AU"/>
        </w:rPr>
        <w:t xml:space="preserve">data reveals that </w:t>
      </w:r>
      <w:r w:rsidR="00B26E31">
        <w:rPr>
          <w:lang w:val="en-AU"/>
        </w:rPr>
        <w:t xml:space="preserve">SDA </w:t>
      </w:r>
      <w:r w:rsidRPr="00903CC1">
        <w:rPr>
          <w:lang w:val="en-AU"/>
        </w:rPr>
        <w:t>typically has higher maintenance costs and outgoings than the broader market.</w:t>
      </w:r>
    </w:p>
    <w:p w14:paraId="411A4510" w14:textId="77777777" w:rsidR="00E46CA9" w:rsidRDefault="00E46CA9" w:rsidP="00E46CA9">
      <w:pPr>
        <w:spacing w:after="240" w:line="240" w:lineRule="auto"/>
        <w:rPr>
          <w:rFonts w:ascii="Calibri" w:eastAsia="Times New Roman" w:hAnsi="Calibri" w:cs="Times New Roman"/>
          <w:b/>
          <w:bCs/>
          <w:color w:val="000000"/>
          <w:szCs w:val="18"/>
          <w:lang w:eastAsia="en-AU"/>
        </w:rPr>
      </w:pPr>
    </w:p>
    <w:p w14:paraId="411A4511" w14:textId="77777777" w:rsidR="00E46CA9" w:rsidRDefault="00E46CA9" w:rsidP="00E46CA9">
      <w:pPr>
        <w:spacing w:after="240" w:line="240" w:lineRule="auto"/>
        <w:rPr>
          <w:rFonts w:ascii="Calibri" w:eastAsia="Times New Roman" w:hAnsi="Calibri" w:cs="Times New Roman"/>
          <w:b/>
          <w:bCs/>
          <w:color w:val="000000"/>
          <w:szCs w:val="18"/>
          <w:lang w:eastAsia="en-AU"/>
        </w:rPr>
        <w:sectPr w:rsidR="00E46CA9" w:rsidSect="004171D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355" w:gutter="0"/>
          <w:pgNumType w:start="1"/>
          <w:cols w:space="708"/>
          <w:titlePg/>
          <w:docGrid w:linePitch="360"/>
        </w:sectPr>
      </w:pPr>
    </w:p>
    <w:p w14:paraId="411A4512" w14:textId="77777777" w:rsidR="00E46CA9" w:rsidRPr="00216FE5" w:rsidRDefault="001E2292" w:rsidP="0079317E">
      <w:pPr>
        <w:pStyle w:val="Caption"/>
        <w:keepNext/>
        <w:rPr>
          <w:rFonts w:asciiTheme="minorHAnsi" w:hAnsiTheme="minorHAnsi"/>
          <w:sz w:val="20"/>
          <w:szCs w:val="20"/>
        </w:rPr>
      </w:pPr>
      <w:bookmarkStart w:id="107" w:name="_Ref446970249"/>
      <w:r w:rsidRPr="00216FE5">
        <w:rPr>
          <w:rFonts w:asciiTheme="minorHAnsi" w:hAnsiTheme="minorHAnsi"/>
          <w:sz w:val="20"/>
          <w:szCs w:val="20"/>
        </w:rPr>
        <w:lastRenderedPageBreak/>
        <w:t>Table</w:t>
      </w:r>
      <w:r w:rsidR="00404C77" w:rsidRPr="00216FE5">
        <w:rPr>
          <w:rFonts w:asciiTheme="minorHAnsi" w:hAnsiTheme="minorHAnsi"/>
          <w:sz w:val="20"/>
          <w:szCs w:val="20"/>
        </w:rPr>
        <w:t xml:space="preserve"> </w:t>
      </w:r>
      <w:r w:rsidRPr="00216FE5">
        <w:rPr>
          <w:rFonts w:asciiTheme="minorHAnsi" w:hAnsiTheme="minorHAnsi"/>
          <w:sz w:val="20"/>
          <w:szCs w:val="20"/>
        </w:rPr>
        <w:fldChar w:fldCharType="begin"/>
      </w:r>
      <w:r w:rsidRPr="00216FE5">
        <w:rPr>
          <w:rFonts w:asciiTheme="minorHAnsi" w:hAnsiTheme="minorHAnsi"/>
          <w:sz w:val="20"/>
          <w:szCs w:val="20"/>
        </w:rPr>
        <w:instrText xml:space="preserve"> SEQ Table \* ARABIC </w:instrText>
      </w:r>
      <w:r w:rsidRPr="00216FE5">
        <w:rPr>
          <w:rFonts w:asciiTheme="minorHAnsi" w:hAnsiTheme="minorHAnsi"/>
          <w:sz w:val="20"/>
          <w:szCs w:val="20"/>
        </w:rPr>
        <w:fldChar w:fldCharType="separate"/>
      </w:r>
      <w:r w:rsidR="00607084">
        <w:rPr>
          <w:rFonts w:asciiTheme="minorHAnsi" w:hAnsiTheme="minorHAnsi"/>
          <w:noProof/>
          <w:sz w:val="20"/>
          <w:szCs w:val="20"/>
        </w:rPr>
        <w:t>4</w:t>
      </w:r>
      <w:r w:rsidRPr="00216FE5">
        <w:rPr>
          <w:rFonts w:asciiTheme="minorHAnsi" w:hAnsiTheme="minorHAnsi"/>
          <w:sz w:val="20"/>
          <w:szCs w:val="20"/>
        </w:rPr>
        <w:fldChar w:fldCharType="end"/>
      </w:r>
      <w:bookmarkEnd w:id="107"/>
      <w:r w:rsidR="00404C77" w:rsidRPr="00216FE5">
        <w:rPr>
          <w:rFonts w:asciiTheme="minorHAnsi" w:hAnsiTheme="minorHAnsi"/>
          <w:sz w:val="20"/>
          <w:szCs w:val="20"/>
        </w:rPr>
        <w:t xml:space="preserve"> - Key Assumptions for benchmark pricing</w:t>
      </w:r>
    </w:p>
    <w:tbl>
      <w:tblPr>
        <w:tblW w:w="14743" w:type="dxa"/>
        <w:tblInd w:w="-142" w:type="dxa"/>
        <w:tblLayout w:type="fixed"/>
        <w:tblLook w:val="04A0" w:firstRow="1" w:lastRow="0" w:firstColumn="1" w:lastColumn="0" w:noHBand="0" w:noVBand="1"/>
      </w:tblPr>
      <w:tblGrid>
        <w:gridCol w:w="2834"/>
        <w:gridCol w:w="289"/>
        <w:gridCol w:w="1427"/>
        <w:gridCol w:w="10193"/>
      </w:tblGrid>
      <w:tr w:rsidR="00E46CA9" w:rsidRPr="000B233B" w14:paraId="411A4517" w14:textId="77777777" w:rsidTr="0079317E">
        <w:trPr>
          <w:trHeight w:val="240"/>
        </w:trPr>
        <w:tc>
          <w:tcPr>
            <w:tcW w:w="961" w:type="pct"/>
            <w:shd w:val="clear" w:color="auto" w:fill="auto"/>
            <w:noWrap/>
            <w:hideMark/>
          </w:tcPr>
          <w:p w14:paraId="411A4513" w14:textId="77777777" w:rsidR="00E46CA9" w:rsidRPr="0079317E" w:rsidRDefault="00E46CA9" w:rsidP="00E46CA9">
            <w:pPr>
              <w:spacing w:after="0" w:line="240" w:lineRule="auto"/>
              <w:rPr>
                <w:rFonts w:ascii="Times New Roman" w:eastAsia="Times New Roman" w:hAnsi="Times New Roman" w:cs="Times New Roman"/>
                <w:sz w:val="16"/>
                <w:lang w:eastAsia="en-AU"/>
              </w:rPr>
            </w:pPr>
            <w:r w:rsidRPr="0079317E">
              <w:rPr>
                <w:rFonts w:ascii="Calibri" w:eastAsia="Times New Roman" w:hAnsi="Calibri" w:cs="Times New Roman"/>
                <w:b/>
                <w:bCs/>
                <w:color w:val="000000"/>
                <w:sz w:val="16"/>
                <w:szCs w:val="18"/>
                <w:lang w:eastAsia="en-AU"/>
              </w:rPr>
              <w:t>DESCRIPTION</w:t>
            </w:r>
          </w:p>
        </w:tc>
        <w:tc>
          <w:tcPr>
            <w:tcW w:w="98" w:type="pct"/>
            <w:shd w:val="clear" w:color="auto" w:fill="auto"/>
            <w:noWrap/>
            <w:vAlign w:val="bottom"/>
            <w:hideMark/>
          </w:tcPr>
          <w:p w14:paraId="411A4514" w14:textId="77777777" w:rsidR="00E46CA9" w:rsidRPr="0079317E" w:rsidRDefault="00E46CA9" w:rsidP="00E46CA9">
            <w:pPr>
              <w:spacing w:after="0" w:line="240" w:lineRule="auto"/>
              <w:rPr>
                <w:rFonts w:ascii="Times New Roman" w:eastAsia="Times New Roman" w:hAnsi="Times New Roman" w:cs="Times New Roman"/>
                <w:sz w:val="16"/>
                <w:szCs w:val="20"/>
                <w:lang w:eastAsia="en-AU"/>
              </w:rPr>
            </w:pPr>
          </w:p>
        </w:tc>
        <w:tc>
          <w:tcPr>
            <w:tcW w:w="484" w:type="pct"/>
            <w:shd w:val="clear" w:color="auto" w:fill="auto"/>
            <w:noWrap/>
            <w:hideMark/>
          </w:tcPr>
          <w:p w14:paraId="411A4515" w14:textId="77777777" w:rsidR="00E46CA9" w:rsidRPr="0079317E" w:rsidRDefault="00E46CA9" w:rsidP="00E46CA9">
            <w:pPr>
              <w:spacing w:after="0" w:line="240" w:lineRule="auto"/>
              <w:jc w:val="center"/>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RANGE</w:t>
            </w:r>
          </w:p>
        </w:tc>
        <w:tc>
          <w:tcPr>
            <w:tcW w:w="3457" w:type="pct"/>
            <w:shd w:val="clear" w:color="auto" w:fill="auto"/>
            <w:noWrap/>
            <w:vAlign w:val="bottom"/>
            <w:hideMark/>
          </w:tcPr>
          <w:p w14:paraId="411A4516" w14:textId="77777777" w:rsidR="00E46CA9" w:rsidRPr="0079317E" w:rsidRDefault="00E46CA9" w:rsidP="00E46CA9">
            <w:pPr>
              <w:spacing w:after="0" w:line="240" w:lineRule="auto"/>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SOURCE</w:t>
            </w:r>
            <w:r w:rsidR="0079317E">
              <w:rPr>
                <w:rFonts w:ascii="Calibri" w:eastAsia="Times New Roman" w:hAnsi="Calibri" w:cs="Times New Roman"/>
                <w:b/>
                <w:bCs/>
                <w:color w:val="000000"/>
                <w:sz w:val="16"/>
                <w:szCs w:val="18"/>
                <w:lang w:eastAsia="en-AU"/>
              </w:rPr>
              <w:t xml:space="preserve"> OR RATIONALE</w:t>
            </w:r>
          </w:p>
        </w:tc>
      </w:tr>
      <w:tr w:rsidR="00E46CA9" w:rsidRPr="000B233B" w14:paraId="411A451C" w14:textId="77777777" w:rsidTr="0079317E">
        <w:trPr>
          <w:trHeight w:val="240"/>
        </w:trPr>
        <w:tc>
          <w:tcPr>
            <w:tcW w:w="961" w:type="pct"/>
            <w:shd w:val="clear" w:color="000000" w:fill="FFFFFF"/>
            <w:noWrap/>
          </w:tcPr>
          <w:p w14:paraId="411A4518" w14:textId="77777777" w:rsidR="00E46CA9" w:rsidRPr="0079317E" w:rsidRDefault="00E46CA9" w:rsidP="00E46CA9">
            <w:pPr>
              <w:spacing w:after="0" w:line="240" w:lineRule="auto"/>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General</w:t>
            </w:r>
          </w:p>
        </w:tc>
        <w:tc>
          <w:tcPr>
            <w:tcW w:w="98" w:type="pct"/>
            <w:shd w:val="clear" w:color="000000" w:fill="FFFFFF"/>
            <w:noWrap/>
          </w:tcPr>
          <w:p w14:paraId="411A4519" w14:textId="77777777" w:rsidR="00E46CA9" w:rsidRPr="0079317E" w:rsidRDefault="00E46CA9" w:rsidP="00E46CA9">
            <w:pPr>
              <w:spacing w:after="0" w:line="240" w:lineRule="auto"/>
              <w:rPr>
                <w:rFonts w:ascii="Calibri" w:eastAsia="Times New Roman" w:hAnsi="Calibri" w:cs="Times New Roman"/>
                <w:color w:val="000000"/>
                <w:sz w:val="16"/>
                <w:szCs w:val="18"/>
                <w:lang w:eastAsia="en-AU"/>
              </w:rPr>
            </w:pPr>
          </w:p>
        </w:tc>
        <w:tc>
          <w:tcPr>
            <w:tcW w:w="484" w:type="pct"/>
            <w:tcBorders>
              <w:bottom w:val="single" w:sz="4" w:space="0" w:color="7030A0"/>
            </w:tcBorders>
            <w:shd w:val="clear" w:color="000000" w:fill="FFFFFF"/>
            <w:noWrap/>
          </w:tcPr>
          <w:p w14:paraId="411A451A" w14:textId="77777777" w:rsidR="00E46CA9" w:rsidRPr="0079317E" w:rsidRDefault="00E46CA9" w:rsidP="00E46CA9">
            <w:pPr>
              <w:spacing w:after="0" w:line="240" w:lineRule="auto"/>
              <w:jc w:val="center"/>
              <w:rPr>
                <w:rFonts w:ascii="Calibri" w:eastAsia="Times New Roman" w:hAnsi="Calibri" w:cs="Times New Roman"/>
                <w:color w:val="000000"/>
                <w:sz w:val="16"/>
                <w:szCs w:val="18"/>
                <w:lang w:eastAsia="en-AU"/>
              </w:rPr>
            </w:pPr>
          </w:p>
        </w:tc>
        <w:tc>
          <w:tcPr>
            <w:tcW w:w="3457" w:type="pct"/>
            <w:shd w:val="clear" w:color="000000" w:fill="FFFFFF"/>
            <w:noWrap/>
          </w:tcPr>
          <w:p w14:paraId="411A451B" w14:textId="77777777" w:rsidR="00E46CA9" w:rsidRPr="0079317E" w:rsidRDefault="00E46CA9" w:rsidP="00E46CA9">
            <w:pPr>
              <w:spacing w:after="0" w:line="240" w:lineRule="auto"/>
              <w:rPr>
                <w:rFonts w:ascii="Calibri" w:eastAsia="Times New Roman" w:hAnsi="Calibri" w:cs="Times New Roman"/>
                <w:color w:val="000000"/>
                <w:sz w:val="16"/>
                <w:szCs w:val="18"/>
                <w:lang w:eastAsia="en-AU"/>
              </w:rPr>
            </w:pPr>
          </w:p>
        </w:tc>
      </w:tr>
      <w:tr w:rsidR="00E46CA9" w:rsidRPr="000B233B" w14:paraId="411A4520" w14:textId="77777777" w:rsidTr="0079317E">
        <w:trPr>
          <w:trHeight w:val="115"/>
        </w:trPr>
        <w:tc>
          <w:tcPr>
            <w:tcW w:w="1059" w:type="pct"/>
            <w:gridSpan w:val="2"/>
            <w:tcBorders>
              <w:right w:val="single" w:sz="4" w:space="0" w:color="7030A0"/>
            </w:tcBorders>
            <w:shd w:val="clear" w:color="000000" w:fill="FFFFFF"/>
            <w:noWrap/>
            <w:hideMark/>
          </w:tcPr>
          <w:p w14:paraId="411A451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Investment horizon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1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 years</w:t>
            </w:r>
          </w:p>
        </w:tc>
        <w:tc>
          <w:tcPr>
            <w:tcW w:w="3457" w:type="pct"/>
            <w:tcBorders>
              <w:left w:val="single" w:sz="4" w:space="0" w:color="7030A0"/>
            </w:tcBorders>
            <w:shd w:val="clear" w:color="000000" w:fill="FFFFFF"/>
            <w:noWrap/>
            <w:hideMark/>
          </w:tcPr>
          <w:p w14:paraId="411A451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with investors and financiers</w:t>
            </w:r>
          </w:p>
        </w:tc>
      </w:tr>
      <w:tr w:rsidR="00E46CA9" w:rsidRPr="000B233B" w14:paraId="411A4524" w14:textId="77777777" w:rsidTr="0079317E">
        <w:trPr>
          <w:trHeight w:val="240"/>
        </w:trPr>
        <w:tc>
          <w:tcPr>
            <w:tcW w:w="1059" w:type="pct"/>
            <w:gridSpan w:val="2"/>
            <w:shd w:val="clear" w:color="000000" w:fill="FFFFFF"/>
            <w:noWrap/>
            <w:hideMark/>
          </w:tcPr>
          <w:p w14:paraId="411A4521"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Rental contributions from participant</w:t>
            </w:r>
          </w:p>
        </w:tc>
        <w:tc>
          <w:tcPr>
            <w:tcW w:w="484" w:type="pct"/>
            <w:tcBorders>
              <w:bottom w:val="single" w:sz="4" w:space="0" w:color="7030A0"/>
            </w:tcBorders>
            <w:shd w:val="clear" w:color="000000" w:fill="FFFFFF"/>
            <w:noWrap/>
            <w:hideMark/>
          </w:tcPr>
          <w:p w14:paraId="411A452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2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28" w14:textId="77777777" w:rsidTr="0079317E">
        <w:trPr>
          <w:trHeight w:val="240"/>
        </w:trPr>
        <w:tc>
          <w:tcPr>
            <w:tcW w:w="1059" w:type="pct"/>
            <w:gridSpan w:val="2"/>
            <w:tcBorders>
              <w:right w:val="single" w:sz="4" w:space="0" w:color="7030A0"/>
            </w:tcBorders>
            <w:shd w:val="clear" w:color="000000" w:fill="FFFFFF"/>
            <w:noWrap/>
            <w:hideMark/>
          </w:tcPr>
          <w:p w14:paraId="411A4525"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Annual rental contribution/participant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$8,554</w:t>
            </w:r>
          </w:p>
        </w:tc>
        <w:tc>
          <w:tcPr>
            <w:tcW w:w="3457" w:type="pct"/>
            <w:tcBorders>
              <w:left w:val="single" w:sz="4" w:space="0" w:color="7030A0"/>
            </w:tcBorders>
            <w:shd w:val="clear" w:color="000000" w:fill="FFFFFF"/>
            <w:noWrap/>
            <w:hideMark/>
          </w:tcPr>
          <w:p w14:paraId="411A452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25</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Disability Support Pension + Commonwealth Rent Assistance (lower without CRA). Defined by </w:t>
            </w:r>
            <w:r w:rsidR="00906508">
              <w:rPr>
                <w:rFonts w:ascii="Calibri" w:eastAsia="Times New Roman" w:hAnsi="Calibri" w:cs="Times New Roman"/>
                <w:color w:val="000000"/>
                <w:sz w:val="18"/>
                <w:szCs w:val="18"/>
                <w:lang w:eastAsia="en-AU"/>
              </w:rPr>
              <w:t>f</w:t>
            </w:r>
            <w:r w:rsidRPr="0079317E">
              <w:rPr>
                <w:rFonts w:ascii="Calibri" w:eastAsia="Times New Roman" w:hAnsi="Calibri" w:cs="Times New Roman"/>
                <w:color w:val="000000"/>
                <w:sz w:val="18"/>
                <w:szCs w:val="18"/>
                <w:lang w:eastAsia="en-AU"/>
              </w:rPr>
              <w:t>ramework.</w:t>
            </w:r>
          </w:p>
        </w:tc>
      </w:tr>
      <w:tr w:rsidR="00E46CA9" w:rsidRPr="000B233B" w14:paraId="411A452C" w14:textId="77777777" w:rsidTr="0079317E">
        <w:trPr>
          <w:trHeight w:val="240"/>
        </w:trPr>
        <w:tc>
          <w:tcPr>
            <w:tcW w:w="1059" w:type="pct"/>
            <w:gridSpan w:val="2"/>
            <w:tcBorders>
              <w:right w:val="single" w:sz="4" w:space="0" w:color="7030A0"/>
            </w:tcBorders>
            <w:shd w:val="clear" w:color="000000" w:fill="FFFFFF"/>
            <w:noWrap/>
            <w:hideMark/>
          </w:tcPr>
          <w:p w14:paraId="411A452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Growth in rental contribution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CPI</w:t>
            </w:r>
          </w:p>
        </w:tc>
        <w:tc>
          <w:tcPr>
            <w:tcW w:w="3457" w:type="pct"/>
            <w:tcBorders>
              <w:left w:val="single" w:sz="4" w:space="0" w:color="7030A0"/>
            </w:tcBorders>
            <w:shd w:val="clear" w:color="000000" w:fill="FFFFFF"/>
            <w:noWrap/>
            <w:hideMark/>
          </w:tcPr>
          <w:p w14:paraId="411A452B" w14:textId="77777777" w:rsidR="00E46CA9" w:rsidRPr="0079317E" w:rsidRDefault="00906508" w:rsidP="00E46CA9">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w:t>
            </w:r>
            <w:r w:rsidR="00E46CA9" w:rsidRPr="0079317E">
              <w:rPr>
                <w:rFonts w:ascii="Calibri" w:eastAsia="Times New Roman" w:hAnsi="Calibri" w:cs="Times New Roman"/>
                <w:color w:val="000000"/>
                <w:sz w:val="18"/>
                <w:szCs w:val="18"/>
                <w:lang w:eastAsia="en-AU"/>
              </w:rPr>
              <w:t>ssumption.</w:t>
            </w:r>
          </w:p>
        </w:tc>
      </w:tr>
      <w:tr w:rsidR="00E46CA9" w:rsidRPr="000B233B" w14:paraId="411A4530" w14:textId="77777777" w:rsidTr="0079317E">
        <w:trPr>
          <w:trHeight w:val="240"/>
        </w:trPr>
        <w:tc>
          <w:tcPr>
            <w:tcW w:w="1059" w:type="pct"/>
            <w:gridSpan w:val="2"/>
            <w:tcBorders>
              <w:right w:val="single" w:sz="4" w:space="0" w:color="7030A0"/>
            </w:tcBorders>
            <w:shd w:val="clear" w:color="000000" w:fill="FFFFFF"/>
            <w:noWrap/>
            <w:hideMark/>
          </w:tcPr>
          <w:p w14:paraId="411A452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rates – group homes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E" w14:textId="77777777" w:rsidR="00E46CA9" w:rsidRPr="0079317E" w:rsidRDefault="002D5820" w:rsidP="00E46CA9">
            <w:pPr>
              <w:spacing w:after="0" w:line="240" w:lineRule="auto"/>
              <w:jc w:val="center"/>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3%-10</w:t>
            </w:r>
            <w:r w:rsidR="00E46CA9" w:rsidRPr="0079317E">
              <w:rPr>
                <w:rFonts w:ascii="Calibri" w:eastAsia="Times New Roman" w:hAnsi="Calibri" w:cs="Times New Roman"/>
                <w:color w:val="000000"/>
                <w:sz w:val="18"/>
                <w:szCs w:val="18"/>
                <w:lang w:eastAsia="en-AU"/>
              </w:rPr>
              <w:t>%</w:t>
            </w:r>
          </w:p>
        </w:tc>
        <w:tc>
          <w:tcPr>
            <w:tcW w:w="3457" w:type="pct"/>
            <w:tcBorders>
              <w:left w:val="single" w:sz="4" w:space="0" w:color="7030A0"/>
            </w:tcBorders>
            <w:shd w:val="clear" w:color="000000" w:fill="FFFFFF"/>
            <w:noWrap/>
            <w:hideMark/>
          </w:tcPr>
          <w:p w14:paraId="411A452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Historic data indicates 3-7</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Assume higher in group homes when choice available.</w:t>
            </w:r>
          </w:p>
        </w:tc>
      </w:tr>
      <w:tr w:rsidR="00E46CA9" w:rsidRPr="000B233B" w14:paraId="411A4534" w14:textId="77777777" w:rsidTr="0079317E">
        <w:trPr>
          <w:trHeight w:val="225"/>
        </w:trPr>
        <w:tc>
          <w:tcPr>
            <w:tcW w:w="1059" w:type="pct"/>
            <w:gridSpan w:val="2"/>
            <w:tcBorders>
              <w:right w:val="single" w:sz="4" w:space="0" w:color="7030A0"/>
            </w:tcBorders>
            <w:shd w:val="clear" w:color="000000" w:fill="FFFFFF"/>
            <w:noWrap/>
            <w:hideMark/>
          </w:tcPr>
          <w:p w14:paraId="411A453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rates – smaller forms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3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3-7%</w:t>
            </w:r>
          </w:p>
        </w:tc>
        <w:tc>
          <w:tcPr>
            <w:tcW w:w="3457" w:type="pct"/>
            <w:tcBorders>
              <w:left w:val="single" w:sz="4" w:space="0" w:color="7030A0"/>
            </w:tcBorders>
            <w:shd w:val="clear" w:color="000000" w:fill="FFFFFF"/>
            <w:noWrap/>
            <w:hideMark/>
          </w:tcPr>
          <w:p w14:paraId="411A453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Public housing vacancy rates around 3</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Assume slightly higher when the dwelling is not a single occupancy. </w:t>
            </w:r>
          </w:p>
        </w:tc>
      </w:tr>
      <w:tr w:rsidR="00E46CA9" w:rsidRPr="000B233B" w14:paraId="411A4538" w14:textId="77777777" w:rsidTr="0079317E">
        <w:trPr>
          <w:trHeight w:val="240"/>
        </w:trPr>
        <w:tc>
          <w:tcPr>
            <w:tcW w:w="1059" w:type="pct"/>
            <w:gridSpan w:val="2"/>
            <w:shd w:val="clear" w:color="000000" w:fill="FFFFFF"/>
            <w:noWrap/>
            <w:hideMark/>
          </w:tcPr>
          <w:p w14:paraId="411A4535"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General market information</w:t>
            </w:r>
          </w:p>
        </w:tc>
        <w:tc>
          <w:tcPr>
            <w:tcW w:w="484" w:type="pct"/>
            <w:tcBorders>
              <w:bottom w:val="single" w:sz="4" w:space="0" w:color="7030A0"/>
            </w:tcBorders>
            <w:shd w:val="clear" w:color="000000" w:fill="FFFFFF"/>
            <w:noWrap/>
            <w:hideMark/>
          </w:tcPr>
          <w:p w14:paraId="411A453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3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3F" w14:textId="77777777" w:rsidTr="0079317E">
        <w:trPr>
          <w:trHeight w:val="240"/>
        </w:trPr>
        <w:tc>
          <w:tcPr>
            <w:tcW w:w="1059" w:type="pct"/>
            <w:gridSpan w:val="2"/>
            <w:tcBorders>
              <w:right w:val="single" w:sz="4" w:space="0" w:color="7030A0"/>
            </w:tcBorders>
            <w:shd w:val="clear" w:color="000000" w:fill="FFFFFF"/>
            <w:noWrap/>
            <w:hideMark/>
          </w:tcPr>
          <w:p w14:paraId="411A453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Median land values</w:t>
            </w:r>
          </w:p>
          <w:p w14:paraId="411A453A"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3B"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Varies by area </w:t>
            </w:r>
          </w:p>
          <w:p w14:paraId="411A453C"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Base $552/sqm</w:t>
            </w:r>
          </w:p>
        </w:tc>
        <w:tc>
          <w:tcPr>
            <w:tcW w:w="3457" w:type="pct"/>
            <w:tcBorders>
              <w:left w:val="single" w:sz="4" w:space="0" w:color="7030A0"/>
            </w:tcBorders>
            <w:shd w:val="clear" w:color="000000" w:fill="FFFFFF"/>
            <w:noWrap/>
            <w:hideMark/>
          </w:tcPr>
          <w:p w14:paraId="411A453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State land agencies, aggregated to ABS </w:t>
            </w:r>
            <w:r w:rsidR="00906508">
              <w:rPr>
                <w:rFonts w:ascii="Calibri" w:eastAsia="Times New Roman" w:hAnsi="Calibri" w:cs="Times New Roman"/>
                <w:color w:val="000000"/>
                <w:sz w:val="18"/>
                <w:szCs w:val="18"/>
                <w:lang w:eastAsia="en-AU"/>
              </w:rPr>
              <w:t>s</w:t>
            </w:r>
            <w:r w:rsidRPr="0079317E">
              <w:rPr>
                <w:rFonts w:ascii="Calibri" w:eastAsia="Times New Roman" w:hAnsi="Calibri" w:cs="Times New Roman"/>
                <w:color w:val="000000"/>
                <w:sz w:val="18"/>
                <w:szCs w:val="18"/>
                <w:lang w:eastAsia="en-AU"/>
              </w:rPr>
              <w:t xml:space="preserve">tatistical </w:t>
            </w:r>
            <w:r w:rsidR="00906508">
              <w:rPr>
                <w:rFonts w:ascii="Calibri" w:eastAsia="Times New Roman" w:hAnsi="Calibri" w:cs="Times New Roman"/>
                <w:color w:val="000000"/>
                <w:sz w:val="18"/>
                <w:szCs w:val="18"/>
                <w:lang w:eastAsia="en-AU"/>
              </w:rPr>
              <w:t>d</w:t>
            </w:r>
            <w:r w:rsidRPr="0079317E">
              <w:rPr>
                <w:rFonts w:ascii="Calibri" w:eastAsia="Times New Roman" w:hAnsi="Calibri" w:cs="Times New Roman"/>
                <w:color w:val="000000"/>
                <w:sz w:val="18"/>
                <w:szCs w:val="18"/>
                <w:lang w:eastAsia="en-AU"/>
              </w:rPr>
              <w:t xml:space="preserve">ivision. </w:t>
            </w:r>
          </w:p>
          <w:p w14:paraId="411A453E"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Base = median price comb</w:t>
            </w:r>
            <w:r w:rsidR="00A150E4">
              <w:rPr>
                <w:rFonts w:ascii="Calibri" w:eastAsia="Times New Roman" w:hAnsi="Calibri" w:cs="Times New Roman"/>
                <w:color w:val="000000"/>
                <w:sz w:val="18"/>
                <w:szCs w:val="18"/>
                <w:lang w:eastAsia="en-AU"/>
              </w:rPr>
              <w:t>ined capital cities</w:t>
            </w:r>
            <w:r w:rsidR="00906508">
              <w:rPr>
                <w:rFonts w:ascii="Calibri" w:eastAsia="Times New Roman" w:hAnsi="Calibri" w:cs="Times New Roman"/>
                <w:color w:val="000000"/>
                <w:sz w:val="18"/>
                <w:szCs w:val="18"/>
                <w:lang w:eastAsia="en-AU"/>
              </w:rPr>
              <w:t>.</w:t>
            </w:r>
          </w:p>
        </w:tc>
      </w:tr>
      <w:tr w:rsidR="00E46CA9" w:rsidRPr="000B233B" w14:paraId="411A4543" w14:textId="77777777" w:rsidTr="0079317E">
        <w:trPr>
          <w:trHeight w:val="273"/>
        </w:trPr>
        <w:tc>
          <w:tcPr>
            <w:tcW w:w="1059" w:type="pct"/>
            <w:gridSpan w:val="2"/>
            <w:tcBorders>
              <w:right w:val="single" w:sz="4" w:space="0" w:color="7030A0"/>
            </w:tcBorders>
            <w:shd w:val="clear" w:color="000000" w:fill="FFFFFF"/>
            <w:noWrap/>
            <w:hideMark/>
          </w:tcPr>
          <w:p w14:paraId="411A4540"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Long term land appreciation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41"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 p.a.</w:t>
            </w:r>
          </w:p>
        </w:tc>
        <w:tc>
          <w:tcPr>
            <w:tcW w:w="3457" w:type="pct"/>
            <w:tcBorders>
              <w:left w:val="single" w:sz="4" w:space="0" w:color="7030A0"/>
            </w:tcBorders>
            <w:shd w:val="clear" w:color="000000" w:fill="FFFFFF"/>
            <w:hideMark/>
          </w:tcPr>
          <w:p w14:paraId="411A4542" w14:textId="77777777" w:rsidR="00E46CA9" w:rsidRPr="0079317E" w:rsidRDefault="00E2350A" w:rsidP="00906508">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Literature and St</w:t>
            </w:r>
            <w:r w:rsidR="00E46CA9" w:rsidRPr="0079317E">
              <w:rPr>
                <w:rFonts w:ascii="Calibri" w:eastAsia="Times New Roman" w:hAnsi="Calibri" w:cs="Times New Roman"/>
                <w:color w:val="000000"/>
                <w:sz w:val="18"/>
                <w:szCs w:val="18"/>
                <w:lang w:eastAsia="en-AU"/>
              </w:rPr>
              <w:t>ate data indicates long term averages from 5</w:t>
            </w:r>
            <w:r w:rsidR="00906508">
              <w:rPr>
                <w:rFonts w:ascii="Calibri" w:eastAsia="Times New Roman" w:hAnsi="Calibri" w:cs="Times New Roman"/>
                <w:color w:val="000000"/>
                <w:sz w:val="18"/>
                <w:szCs w:val="18"/>
                <w:lang w:eastAsia="en-AU"/>
              </w:rPr>
              <w:t>-10 per cent</w:t>
            </w:r>
            <w:r w:rsidR="00E46CA9" w:rsidRPr="0079317E">
              <w:rPr>
                <w:rFonts w:ascii="Calibri" w:eastAsia="Times New Roman" w:hAnsi="Calibri" w:cs="Times New Roman"/>
                <w:color w:val="000000"/>
                <w:sz w:val="18"/>
                <w:szCs w:val="18"/>
                <w:lang w:eastAsia="en-AU"/>
              </w:rPr>
              <w:t xml:space="preserve"> or more. Assume low end due to high current property values.</w:t>
            </w:r>
          </w:p>
        </w:tc>
      </w:tr>
      <w:tr w:rsidR="00E46CA9" w:rsidRPr="000B233B" w14:paraId="411A4547" w14:textId="77777777" w:rsidTr="0079317E">
        <w:trPr>
          <w:trHeight w:val="148"/>
        </w:trPr>
        <w:tc>
          <w:tcPr>
            <w:tcW w:w="1059" w:type="pct"/>
            <w:gridSpan w:val="2"/>
            <w:tcBorders>
              <w:right w:val="single" w:sz="4" w:space="0" w:color="7030A0"/>
            </w:tcBorders>
            <w:shd w:val="clear" w:color="000000" w:fill="FFFFFF"/>
            <w:noWrap/>
            <w:hideMark/>
          </w:tcPr>
          <w:p w14:paraId="411A454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Increase in building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45"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CPI</w:t>
            </w:r>
          </w:p>
        </w:tc>
        <w:tc>
          <w:tcPr>
            <w:tcW w:w="3457" w:type="pct"/>
            <w:tcBorders>
              <w:left w:val="single" w:sz="4" w:space="0" w:color="7030A0"/>
            </w:tcBorders>
            <w:shd w:val="clear" w:color="000000" w:fill="FFFFFF"/>
            <w:hideMark/>
          </w:tcPr>
          <w:p w14:paraId="411A454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ABS </w:t>
            </w:r>
            <w:r w:rsidR="00906508">
              <w:rPr>
                <w:rFonts w:ascii="Calibri" w:eastAsia="Times New Roman" w:hAnsi="Calibri" w:cs="Times New Roman"/>
                <w:color w:val="000000"/>
                <w:sz w:val="18"/>
                <w:szCs w:val="18"/>
                <w:lang w:eastAsia="en-AU"/>
              </w:rPr>
              <w:t>h</w:t>
            </w:r>
            <w:r w:rsidRPr="0079317E">
              <w:rPr>
                <w:rFonts w:ascii="Calibri" w:eastAsia="Times New Roman" w:hAnsi="Calibri" w:cs="Times New Roman"/>
                <w:color w:val="000000"/>
                <w:sz w:val="18"/>
                <w:szCs w:val="18"/>
                <w:lang w:eastAsia="en-AU"/>
              </w:rPr>
              <w:t xml:space="preserve">ousing </w:t>
            </w:r>
            <w:r w:rsidR="00906508">
              <w:rPr>
                <w:rFonts w:ascii="Calibri" w:eastAsia="Times New Roman" w:hAnsi="Calibri" w:cs="Times New Roman"/>
                <w:color w:val="000000"/>
                <w:sz w:val="18"/>
                <w:szCs w:val="18"/>
                <w:lang w:eastAsia="en-AU"/>
              </w:rPr>
              <w:t>c</w:t>
            </w:r>
            <w:r w:rsidRPr="0079317E">
              <w:rPr>
                <w:rFonts w:ascii="Calibri" w:eastAsia="Times New Roman" w:hAnsi="Calibri" w:cs="Times New Roman"/>
                <w:color w:val="000000"/>
                <w:sz w:val="18"/>
                <w:szCs w:val="18"/>
                <w:lang w:eastAsia="en-AU"/>
              </w:rPr>
              <w:t xml:space="preserve">ost index similar to CPI over long term. </w:t>
            </w:r>
          </w:p>
        </w:tc>
      </w:tr>
      <w:tr w:rsidR="00E46CA9" w:rsidRPr="000B233B" w14:paraId="411A454B" w14:textId="77777777" w:rsidTr="0079317E">
        <w:trPr>
          <w:trHeight w:val="77"/>
        </w:trPr>
        <w:tc>
          <w:tcPr>
            <w:tcW w:w="1059" w:type="pct"/>
            <w:gridSpan w:val="2"/>
            <w:tcBorders>
              <w:right w:val="single" w:sz="4" w:space="0" w:color="7030A0"/>
            </w:tcBorders>
            <w:shd w:val="clear" w:color="000000" w:fill="FFFFFF"/>
            <w:noWrap/>
          </w:tcPr>
          <w:p w14:paraId="411A454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Gross market yield for existing stock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49"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5.5% - 6.5%</w:t>
            </w:r>
          </w:p>
        </w:tc>
        <w:tc>
          <w:tcPr>
            <w:tcW w:w="3457" w:type="pct"/>
            <w:tcBorders>
              <w:left w:val="single" w:sz="4" w:space="0" w:color="7030A0"/>
            </w:tcBorders>
            <w:shd w:val="clear" w:color="000000" w:fill="FFFFFF"/>
            <w:noWrap/>
          </w:tcPr>
          <w:p w14:paraId="411A454A" w14:textId="77777777" w:rsidR="00E46CA9" w:rsidRPr="0079317E" w:rsidRDefault="00E46CA9" w:rsidP="00906508">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Proportion of total property value. Based on RBA estimate of standard yield (4.2</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plus 1</w:t>
            </w:r>
            <w:r w:rsidR="00906508">
              <w:rPr>
                <w:rFonts w:ascii="Calibri" w:eastAsia="Times New Roman" w:hAnsi="Calibri" w:cs="Times New Roman"/>
                <w:color w:val="000000"/>
                <w:sz w:val="18"/>
                <w:szCs w:val="18"/>
                <w:lang w:eastAsia="en-AU"/>
              </w:rPr>
              <w:t>-1.5 per cent</w:t>
            </w:r>
            <w:r w:rsidRPr="0079317E">
              <w:rPr>
                <w:rFonts w:ascii="Calibri" w:eastAsia="Times New Roman" w:hAnsi="Calibri" w:cs="Times New Roman"/>
                <w:color w:val="000000"/>
                <w:sz w:val="18"/>
                <w:szCs w:val="18"/>
                <w:lang w:eastAsia="en-AU"/>
              </w:rPr>
              <w:t xml:space="preserve"> additional c</w:t>
            </w:r>
            <w:r w:rsidR="00E2350A">
              <w:rPr>
                <w:rFonts w:ascii="Calibri" w:eastAsia="Times New Roman" w:hAnsi="Calibri" w:cs="Times New Roman"/>
                <w:color w:val="000000"/>
                <w:sz w:val="18"/>
                <w:szCs w:val="18"/>
                <w:lang w:eastAsia="en-AU"/>
              </w:rPr>
              <w:t>ost for SDA based on review of S</w:t>
            </w:r>
            <w:r w:rsidRPr="0079317E">
              <w:rPr>
                <w:rFonts w:ascii="Calibri" w:eastAsia="Times New Roman" w:hAnsi="Calibri" w:cs="Times New Roman"/>
                <w:color w:val="000000"/>
                <w:sz w:val="18"/>
                <w:szCs w:val="18"/>
                <w:lang w:eastAsia="en-AU"/>
              </w:rPr>
              <w:t>tate data. +1</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for apartments</w:t>
            </w:r>
            <w:r w:rsidR="00E2350A">
              <w:rPr>
                <w:rFonts w:ascii="Calibri" w:eastAsia="Times New Roman" w:hAnsi="Calibri" w:cs="Times New Roman"/>
                <w:color w:val="000000"/>
                <w:sz w:val="18"/>
                <w:szCs w:val="18"/>
                <w:lang w:eastAsia="en-AU"/>
              </w:rPr>
              <w:t xml:space="preserve">. </w:t>
            </w:r>
          </w:p>
        </w:tc>
      </w:tr>
      <w:tr w:rsidR="00E46CA9" w:rsidRPr="000B233B" w14:paraId="411A4550" w14:textId="77777777" w:rsidTr="0079317E">
        <w:trPr>
          <w:trHeight w:val="240"/>
        </w:trPr>
        <w:tc>
          <w:tcPr>
            <w:tcW w:w="961" w:type="pct"/>
            <w:shd w:val="clear" w:color="000000" w:fill="FFFFFF"/>
            <w:noWrap/>
            <w:hideMark/>
          </w:tcPr>
          <w:p w14:paraId="411A454C"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Cost of ownership</w:t>
            </w:r>
          </w:p>
        </w:tc>
        <w:tc>
          <w:tcPr>
            <w:tcW w:w="98" w:type="pct"/>
            <w:shd w:val="clear" w:color="000000" w:fill="FFFFFF"/>
            <w:noWrap/>
            <w:hideMark/>
          </w:tcPr>
          <w:p w14:paraId="411A454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c>
          <w:tcPr>
            <w:tcW w:w="484" w:type="pct"/>
            <w:tcBorders>
              <w:bottom w:val="single" w:sz="4" w:space="0" w:color="7030A0"/>
            </w:tcBorders>
            <w:shd w:val="clear" w:color="000000" w:fill="FFFFFF"/>
            <w:noWrap/>
            <w:hideMark/>
          </w:tcPr>
          <w:p w14:paraId="411A454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4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54" w14:textId="77777777" w:rsidTr="0079317E">
        <w:trPr>
          <w:trHeight w:val="240"/>
        </w:trPr>
        <w:tc>
          <w:tcPr>
            <w:tcW w:w="1059" w:type="pct"/>
            <w:gridSpan w:val="2"/>
            <w:tcBorders>
              <w:right w:val="single" w:sz="4" w:space="0" w:color="7030A0"/>
            </w:tcBorders>
            <w:shd w:val="clear" w:color="000000" w:fill="FFFFFF"/>
            <w:noWrap/>
            <w:hideMark/>
          </w:tcPr>
          <w:p w14:paraId="411A455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Maintenance and outgoings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$15,000-$34,000</w:t>
            </w:r>
          </w:p>
        </w:tc>
        <w:tc>
          <w:tcPr>
            <w:tcW w:w="3457" w:type="pct"/>
            <w:tcBorders>
              <w:left w:val="single" w:sz="4" w:space="0" w:color="7030A0"/>
            </w:tcBorders>
            <w:shd w:val="clear" w:color="000000" w:fill="FFFFFF"/>
            <w:noWrap/>
            <w:hideMark/>
          </w:tcPr>
          <w:p w14:paraId="411A4553" w14:textId="77777777" w:rsidR="00E46CA9" w:rsidRPr="0079317E" w:rsidRDefault="00E46CA9" w:rsidP="00E2350A">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Depends on property type. Based on review of </w:t>
            </w:r>
            <w:r w:rsidR="00E2350A">
              <w:rPr>
                <w:rFonts w:ascii="Calibri" w:eastAsia="Times New Roman" w:hAnsi="Calibri" w:cs="Times New Roman"/>
                <w:color w:val="000000"/>
                <w:sz w:val="18"/>
                <w:szCs w:val="18"/>
                <w:lang w:eastAsia="en-AU"/>
              </w:rPr>
              <w:t>S</w:t>
            </w:r>
            <w:r w:rsidRPr="0079317E">
              <w:rPr>
                <w:rFonts w:ascii="Calibri" w:eastAsia="Times New Roman" w:hAnsi="Calibri" w:cs="Times New Roman"/>
                <w:color w:val="000000"/>
                <w:sz w:val="18"/>
                <w:szCs w:val="18"/>
                <w:lang w:eastAsia="en-AU"/>
              </w:rPr>
              <w:t>tate data. Significantly higher than general (non-SDA) industry benchmarks.</w:t>
            </w:r>
          </w:p>
        </w:tc>
      </w:tr>
      <w:tr w:rsidR="00E46CA9" w:rsidRPr="000B233B" w14:paraId="411A4558" w14:textId="77777777" w:rsidTr="0079317E">
        <w:trPr>
          <w:trHeight w:val="261"/>
        </w:trPr>
        <w:tc>
          <w:tcPr>
            <w:tcW w:w="1059" w:type="pct"/>
            <w:gridSpan w:val="2"/>
            <w:tcBorders>
              <w:right w:val="single" w:sz="4" w:space="0" w:color="7030A0"/>
            </w:tcBorders>
            <w:shd w:val="clear" w:color="000000" w:fill="FFFFFF"/>
            <w:noWrap/>
            <w:hideMark/>
          </w:tcPr>
          <w:p w14:paraId="411A4555"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Property m</w:t>
            </w:r>
            <w:r w:rsidR="0079317E" w:rsidRPr="0079317E">
              <w:rPr>
                <w:rFonts w:ascii="Calibri" w:eastAsia="Times New Roman" w:hAnsi="Calibri" w:cs="Times New Roman"/>
                <w:color w:val="000000"/>
                <w:sz w:val="18"/>
                <w:szCs w:val="18"/>
                <w:lang w:eastAsia="en-AU"/>
              </w:rPr>
              <w:t>anagement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0.4%</w:t>
            </w:r>
          </w:p>
        </w:tc>
        <w:tc>
          <w:tcPr>
            <w:tcW w:w="3457" w:type="pct"/>
            <w:tcBorders>
              <w:left w:val="single" w:sz="4" w:space="0" w:color="7030A0"/>
            </w:tcBorders>
            <w:shd w:val="clear" w:color="000000" w:fill="FFFFFF"/>
            <w:noWrap/>
            <w:hideMark/>
          </w:tcPr>
          <w:p w14:paraId="411A455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Proportion of total property value. From RBA analysis. Equivalent to industry benchmarks of 8-10</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of rental value.</w:t>
            </w:r>
          </w:p>
        </w:tc>
      </w:tr>
      <w:tr w:rsidR="00E46CA9" w:rsidRPr="000B233B" w14:paraId="411A455C" w14:textId="77777777" w:rsidTr="0079317E">
        <w:trPr>
          <w:trHeight w:val="240"/>
        </w:trPr>
        <w:tc>
          <w:tcPr>
            <w:tcW w:w="1059" w:type="pct"/>
            <w:gridSpan w:val="2"/>
            <w:tcBorders>
              <w:right w:val="single" w:sz="4" w:space="0" w:color="7030A0"/>
            </w:tcBorders>
            <w:shd w:val="clear" w:color="000000" w:fill="FFFFFF"/>
            <w:noWrap/>
            <w:hideMark/>
          </w:tcPr>
          <w:p w14:paraId="411A455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management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$4,000</w:t>
            </w:r>
          </w:p>
        </w:tc>
        <w:tc>
          <w:tcPr>
            <w:tcW w:w="3457" w:type="pct"/>
            <w:tcBorders>
              <w:left w:val="single" w:sz="4" w:space="0" w:color="7030A0"/>
            </w:tcBorders>
            <w:shd w:val="clear" w:color="000000" w:fill="FFFFFF"/>
            <w:noWrap/>
            <w:hideMark/>
          </w:tcPr>
          <w:p w14:paraId="411A455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Per vacancy. Equivalent to one FTE plus overheads for one month.</w:t>
            </w:r>
          </w:p>
        </w:tc>
      </w:tr>
      <w:tr w:rsidR="00E46CA9" w:rsidRPr="000B233B" w14:paraId="411A4561" w14:textId="77777777" w:rsidTr="0079317E">
        <w:trPr>
          <w:trHeight w:val="240"/>
        </w:trPr>
        <w:tc>
          <w:tcPr>
            <w:tcW w:w="961" w:type="pct"/>
            <w:shd w:val="clear" w:color="000000" w:fill="FFFFFF"/>
            <w:noWrap/>
            <w:hideMark/>
          </w:tcPr>
          <w:p w14:paraId="411A455D"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 xml:space="preserve">Property </w:t>
            </w:r>
            <w:r w:rsidR="00906508">
              <w:rPr>
                <w:rFonts w:ascii="Calibri" w:eastAsia="Times New Roman" w:hAnsi="Calibri" w:cs="Times New Roman"/>
                <w:b/>
                <w:bCs/>
                <w:color w:val="000000"/>
                <w:sz w:val="18"/>
                <w:szCs w:val="18"/>
                <w:lang w:eastAsia="en-AU"/>
              </w:rPr>
              <w:t>c</w:t>
            </w:r>
            <w:r w:rsidRPr="0079317E">
              <w:rPr>
                <w:rFonts w:ascii="Calibri" w:eastAsia="Times New Roman" w:hAnsi="Calibri" w:cs="Times New Roman"/>
                <w:b/>
                <w:bCs/>
                <w:color w:val="000000"/>
                <w:sz w:val="18"/>
                <w:szCs w:val="18"/>
                <w:lang w:eastAsia="en-AU"/>
              </w:rPr>
              <w:t>osts</w:t>
            </w:r>
          </w:p>
        </w:tc>
        <w:tc>
          <w:tcPr>
            <w:tcW w:w="98" w:type="pct"/>
            <w:shd w:val="clear" w:color="auto" w:fill="auto"/>
            <w:noWrap/>
            <w:hideMark/>
          </w:tcPr>
          <w:p w14:paraId="411A455E"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p>
        </w:tc>
        <w:tc>
          <w:tcPr>
            <w:tcW w:w="484" w:type="pct"/>
            <w:tcBorders>
              <w:bottom w:val="single" w:sz="4" w:space="0" w:color="7030A0"/>
            </w:tcBorders>
            <w:shd w:val="clear" w:color="auto" w:fill="auto"/>
            <w:noWrap/>
            <w:hideMark/>
          </w:tcPr>
          <w:p w14:paraId="411A455F" w14:textId="77777777" w:rsidR="00E46CA9" w:rsidRPr="0079317E" w:rsidRDefault="00E46CA9" w:rsidP="00E46CA9">
            <w:pPr>
              <w:spacing w:after="0" w:line="240" w:lineRule="auto"/>
              <w:jc w:val="center"/>
              <w:rPr>
                <w:rFonts w:ascii="Times New Roman" w:eastAsia="Times New Roman" w:hAnsi="Times New Roman" w:cs="Times New Roman"/>
                <w:sz w:val="18"/>
                <w:szCs w:val="20"/>
                <w:lang w:eastAsia="en-AU"/>
              </w:rPr>
            </w:pPr>
          </w:p>
        </w:tc>
        <w:tc>
          <w:tcPr>
            <w:tcW w:w="3457" w:type="pct"/>
            <w:shd w:val="clear" w:color="auto" w:fill="auto"/>
            <w:noWrap/>
            <w:hideMark/>
          </w:tcPr>
          <w:p w14:paraId="411A4560" w14:textId="77777777" w:rsidR="00E46CA9" w:rsidRPr="0079317E" w:rsidRDefault="00E46CA9" w:rsidP="00E46CA9">
            <w:pPr>
              <w:spacing w:after="0" w:line="240" w:lineRule="auto"/>
              <w:rPr>
                <w:rFonts w:ascii="Times New Roman" w:eastAsia="Times New Roman" w:hAnsi="Times New Roman" w:cs="Times New Roman"/>
                <w:sz w:val="18"/>
                <w:szCs w:val="20"/>
                <w:lang w:eastAsia="en-AU"/>
              </w:rPr>
            </w:pPr>
          </w:p>
        </w:tc>
      </w:tr>
      <w:tr w:rsidR="00E46CA9" w:rsidRPr="000B233B" w14:paraId="411A4565" w14:textId="77777777" w:rsidTr="0079317E">
        <w:trPr>
          <w:trHeight w:val="240"/>
        </w:trPr>
        <w:tc>
          <w:tcPr>
            <w:tcW w:w="1059" w:type="pct"/>
            <w:gridSpan w:val="2"/>
            <w:tcBorders>
              <w:right w:val="single" w:sz="4" w:space="0" w:color="7030A0"/>
            </w:tcBorders>
            <w:shd w:val="clear" w:color="000000" w:fill="FFFFFF"/>
            <w:noWrap/>
            <w:hideMark/>
          </w:tcPr>
          <w:p w14:paraId="411A4562"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Build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63" w14:textId="77777777" w:rsidR="00E46CA9" w:rsidRPr="0079317E" w:rsidRDefault="00E46CA9" w:rsidP="00151244">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$0.4 - $1.</w:t>
            </w:r>
            <w:r w:rsidR="00151244">
              <w:rPr>
                <w:rFonts w:ascii="Calibri" w:eastAsia="Times New Roman" w:hAnsi="Calibri" w:cs="Times New Roman"/>
                <w:color w:val="000000"/>
                <w:sz w:val="18"/>
                <w:szCs w:val="18"/>
                <w:lang w:eastAsia="en-AU"/>
              </w:rPr>
              <w:t>6</w:t>
            </w:r>
            <w:r w:rsidRPr="0079317E">
              <w:rPr>
                <w:rFonts w:ascii="Calibri" w:eastAsia="Times New Roman" w:hAnsi="Calibri" w:cs="Times New Roman"/>
                <w:color w:val="000000"/>
                <w:sz w:val="18"/>
                <w:szCs w:val="18"/>
                <w:lang w:eastAsia="en-AU"/>
              </w:rPr>
              <w:t>m</w:t>
            </w:r>
          </w:p>
        </w:tc>
        <w:tc>
          <w:tcPr>
            <w:tcW w:w="3457" w:type="pct"/>
            <w:tcBorders>
              <w:left w:val="single" w:sz="4" w:space="0" w:color="7030A0"/>
            </w:tcBorders>
            <w:shd w:val="clear" w:color="000000" w:fill="FFFFFF"/>
            <w:noWrap/>
            <w:hideMark/>
          </w:tcPr>
          <w:p w14:paraId="411A456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Varies by build type and design category. Advice from quantity surveyors with architectural design advice. </w:t>
            </w:r>
          </w:p>
        </w:tc>
      </w:tr>
      <w:tr w:rsidR="00E46CA9" w:rsidRPr="000B233B" w14:paraId="411A4569" w14:textId="77777777" w:rsidTr="0079317E">
        <w:trPr>
          <w:trHeight w:val="240"/>
        </w:trPr>
        <w:tc>
          <w:tcPr>
            <w:tcW w:w="1059" w:type="pct"/>
            <w:gridSpan w:val="2"/>
            <w:tcBorders>
              <w:right w:val="single" w:sz="4" w:space="0" w:color="7030A0"/>
            </w:tcBorders>
            <w:shd w:val="clear" w:color="000000" w:fill="FFFFFF"/>
            <w:noWrap/>
            <w:hideMark/>
          </w:tcPr>
          <w:p w14:paraId="411A456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Additional breakout or staff rooms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67"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$30,000-$40,000</w:t>
            </w:r>
          </w:p>
        </w:tc>
        <w:tc>
          <w:tcPr>
            <w:tcW w:w="3457" w:type="pct"/>
            <w:tcBorders>
              <w:left w:val="single" w:sz="4" w:space="0" w:color="7030A0"/>
            </w:tcBorders>
            <w:shd w:val="clear" w:color="000000" w:fill="FFFFFF"/>
            <w:noWrap/>
            <w:hideMark/>
          </w:tcPr>
          <w:p w14:paraId="411A456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As above.</w:t>
            </w:r>
          </w:p>
        </w:tc>
      </w:tr>
      <w:tr w:rsidR="00E46CA9" w:rsidRPr="000B233B" w14:paraId="411A456E" w14:textId="77777777" w:rsidTr="0079317E">
        <w:trPr>
          <w:trHeight w:val="240"/>
        </w:trPr>
        <w:tc>
          <w:tcPr>
            <w:tcW w:w="961" w:type="pct"/>
            <w:shd w:val="clear" w:color="000000" w:fill="FFFFFF"/>
            <w:noWrap/>
          </w:tcPr>
          <w:p w14:paraId="411A456A"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Major refurbishments</w:t>
            </w:r>
          </w:p>
        </w:tc>
        <w:tc>
          <w:tcPr>
            <w:tcW w:w="98" w:type="pct"/>
            <w:tcBorders>
              <w:right w:val="single" w:sz="4" w:space="0" w:color="7030A0"/>
            </w:tcBorders>
            <w:shd w:val="clear" w:color="000000" w:fill="FFFFFF"/>
            <w:noWrap/>
          </w:tcPr>
          <w:p w14:paraId="411A456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6C"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20-25 years</w:t>
            </w:r>
          </w:p>
        </w:tc>
        <w:tc>
          <w:tcPr>
            <w:tcW w:w="3457" w:type="pct"/>
            <w:tcBorders>
              <w:left w:val="single" w:sz="4" w:space="0" w:color="7030A0"/>
            </w:tcBorders>
            <w:shd w:val="clear" w:color="000000" w:fill="FFFFFF"/>
            <w:noWrap/>
          </w:tcPr>
          <w:p w14:paraId="411A456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w:t>
            </w:r>
            <w:r w:rsidR="00906508">
              <w:rPr>
                <w:rFonts w:ascii="Calibri" w:eastAsia="Times New Roman" w:hAnsi="Calibri" w:cs="Times New Roman"/>
                <w:color w:val="000000"/>
                <w:sz w:val="18"/>
                <w:szCs w:val="18"/>
                <w:lang w:eastAsia="en-AU"/>
              </w:rPr>
              <w:t>.</w:t>
            </w:r>
          </w:p>
        </w:tc>
      </w:tr>
      <w:tr w:rsidR="00E46CA9" w:rsidRPr="000B233B" w14:paraId="411A4572" w14:textId="77777777" w:rsidTr="0079317E">
        <w:trPr>
          <w:trHeight w:val="240"/>
        </w:trPr>
        <w:tc>
          <w:tcPr>
            <w:tcW w:w="1059" w:type="pct"/>
            <w:gridSpan w:val="2"/>
            <w:tcBorders>
              <w:right w:val="single" w:sz="4" w:space="0" w:color="7030A0"/>
            </w:tcBorders>
            <w:shd w:val="clear" w:color="000000" w:fill="FFFFFF"/>
            <w:noWrap/>
            <w:hideMark/>
          </w:tcPr>
          <w:p w14:paraId="411A456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Major refurbishments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70" w14:textId="77777777" w:rsidR="00E46CA9" w:rsidRPr="0079317E" w:rsidRDefault="00E46CA9" w:rsidP="00E46CA9">
            <w:pPr>
              <w:spacing w:after="0" w:line="240" w:lineRule="auto"/>
              <w:jc w:val="center"/>
              <w:rPr>
                <w:rFonts w:ascii="Calibri" w:eastAsia="Times New Roman" w:hAnsi="Calibri" w:cs="Times New Roman"/>
                <w:color w:val="FF0000"/>
                <w:sz w:val="18"/>
                <w:szCs w:val="18"/>
                <w:lang w:eastAsia="en-AU"/>
              </w:rPr>
            </w:pPr>
            <w:r w:rsidRPr="0079317E">
              <w:rPr>
                <w:rFonts w:ascii="Calibri" w:eastAsia="Times New Roman" w:hAnsi="Calibri" w:cs="Times New Roman"/>
                <w:color w:val="000000" w:themeColor="text1"/>
                <w:sz w:val="18"/>
                <w:szCs w:val="18"/>
                <w:lang w:eastAsia="en-AU"/>
              </w:rPr>
              <w:t>$40,000-$80,000</w:t>
            </w:r>
          </w:p>
        </w:tc>
        <w:tc>
          <w:tcPr>
            <w:tcW w:w="3457" w:type="pct"/>
            <w:tcBorders>
              <w:left w:val="single" w:sz="4" w:space="0" w:color="7030A0"/>
            </w:tcBorders>
            <w:shd w:val="clear" w:color="000000" w:fill="FFFFFF"/>
            <w:noWrap/>
            <w:hideMark/>
          </w:tcPr>
          <w:p w14:paraId="411A457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w:t>
            </w:r>
            <w:r w:rsidR="00906508">
              <w:rPr>
                <w:rFonts w:ascii="Calibri" w:eastAsia="Times New Roman" w:hAnsi="Calibri" w:cs="Times New Roman"/>
                <w:color w:val="000000"/>
                <w:sz w:val="18"/>
                <w:szCs w:val="18"/>
                <w:lang w:eastAsia="en-AU"/>
              </w:rPr>
              <w:t>.</w:t>
            </w:r>
          </w:p>
        </w:tc>
      </w:tr>
      <w:tr w:rsidR="00E46CA9" w:rsidRPr="000B233B" w14:paraId="411A4577" w14:textId="77777777" w:rsidTr="0079317E">
        <w:trPr>
          <w:trHeight w:val="240"/>
        </w:trPr>
        <w:tc>
          <w:tcPr>
            <w:tcW w:w="961" w:type="pct"/>
            <w:shd w:val="clear" w:color="000000" w:fill="FFFFFF"/>
            <w:noWrap/>
            <w:hideMark/>
          </w:tcPr>
          <w:p w14:paraId="411A457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Asset life of building</w:t>
            </w:r>
          </w:p>
        </w:tc>
        <w:tc>
          <w:tcPr>
            <w:tcW w:w="98" w:type="pct"/>
            <w:tcBorders>
              <w:right w:val="single" w:sz="4" w:space="0" w:color="7030A0"/>
            </w:tcBorders>
            <w:shd w:val="clear" w:color="000000" w:fill="FFFFFF"/>
            <w:noWrap/>
            <w:hideMark/>
          </w:tcPr>
          <w:p w14:paraId="411A457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75"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60 years</w:t>
            </w:r>
          </w:p>
        </w:tc>
        <w:tc>
          <w:tcPr>
            <w:tcW w:w="3457" w:type="pct"/>
            <w:tcBorders>
              <w:left w:val="single" w:sz="4" w:space="0" w:color="7030A0"/>
            </w:tcBorders>
            <w:shd w:val="clear" w:color="000000" w:fill="FFFFFF"/>
            <w:noWrap/>
            <w:hideMark/>
          </w:tcPr>
          <w:p w14:paraId="411A457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 Assumes property is well maintained and regularly refurbished.</w:t>
            </w:r>
          </w:p>
        </w:tc>
      </w:tr>
      <w:tr w:rsidR="00E46CA9" w:rsidRPr="000B233B" w14:paraId="411A457C" w14:textId="77777777" w:rsidTr="0079317E">
        <w:trPr>
          <w:trHeight w:val="240"/>
        </w:trPr>
        <w:tc>
          <w:tcPr>
            <w:tcW w:w="961" w:type="pct"/>
            <w:shd w:val="clear" w:color="000000" w:fill="FFFFFF"/>
            <w:noWrap/>
          </w:tcPr>
          <w:p w14:paraId="411A457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Loss on building costs when sold</w:t>
            </w:r>
          </w:p>
        </w:tc>
        <w:tc>
          <w:tcPr>
            <w:tcW w:w="98" w:type="pct"/>
            <w:tcBorders>
              <w:right w:val="single" w:sz="4" w:space="0" w:color="7030A0"/>
            </w:tcBorders>
            <w:shd w:val="clear" w:color="000000" w:fill="FFFFFF"/>
            <w:noWrap/>
          </w:tcPr>
          <w:p w14:paraId="411A457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7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 - 40%</w:t>
            </w:r>
          </w:p>
        </w:tc>
        <w:tc>
          <w:tcPr>
            <w:tcW w:w="3457" w:type="pct"/>
            <w:tcBorders>
              <w:left w:val="single" w:sz="4" w:space="0" w:color="7030A0"/>
            </w:tcBorders>
            <w:shd w:val="clear" w:color="000000" w:fill="FFFFFF"/>
            <w:noWrap/>
          </w:tcPr>
          <w:p w14:paraId="411A457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46CA9" w:rsidRPr="000B233B" w14:paraId="411A4581" w14:textId="77777777" w:rsidTr="0079317E">
        <w:trPr>
          <w:trHeight w:val="240"/>
        </w:trPr>
        <w:tc>
          <w:tcPr>
            <w:tcW w:w="961" w:type="pct"/>
            <w:shd w:val="clear" w:color="000000" w:fill="FFFFFF"/>
            <w:noWrap/>
          </w:tcPr>
          <w:p w14:paraId="411A457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Fees on sale of property</w:t>
            </w:r>
          </w:p>
        </w:tc>
        <w:tc>
          <w:tcPr>
            <w:tcW w:w="98" w:type="pct"/>
            <w:tcBorders>
              <w:right w:val="single" w:sz="4" w:space="0" w:color="7030A0"/>
            </w:tcBorders>
            <w:shd w:val="clear" w:color="000000" w:fill="FFFFFF"/>
            <w:noWrap/>
          </w:tcPr>
          <w:p w14:paraId="411A457E"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7F"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7.3%</w:t>
            </w:r>
          </w:p>
        </w:tc>
        <w:tc>
          <w:tcPr>
            <w:tcW w:w="3457" w:type="pct"/>
            <w:tcBorders>
              <w:left w:val="single" w:sz="4" w:space="0" w:color="7030A0"/>
            </w:tcBorders>
            <w:shd w:val="clear" w:color="000000" w:fill="FFFFFF"/>
            <w:noWrap/>
          </w:tcPr>
          <w:p w14:paraId="411A4580"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Transaction fees, stamp duty, etc. Industry average estimated by RBA.</w:t>
            </w:r>
          </w:p>
        </w:tc>
      </w:tr>
      <w:tr w:rsidR="00E46CA9" w:rsidRPr="000B233B" w14:paraId="411A4586" w14:textId="77777777" w:rsidTr="0079317E">
        <w:trPr>
          <w:trHeight w:val="240"/>
        </w:trPr>
        <w:tc>
          <w:tcPr>
            <w:tcW w:w="961" w:type="pct"/>
            <w:shd w:val="clear" w:color="000000" w:fill="FFFFFF"/>
            <w:noWrap/>
            <w:hideMark/>
          </w:tcPr>
          <w:p w14:paraId="411A4582"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Financing</w:t>
            </w:r>
          </w:p>
        </w:tc>
        <w:tc>
          <w:tcPr>
            <w:tcW w:w="98" w:type="pct"/>
            <w:shd w:val="clear" w:color="auto" w:fill="auto"/>
            <w:noWrap/>
            <w:hideMark/>
          </w:tcPr>
          <w:p w14:paraId="411A4583"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p>
        </w:tc>
        <w:tc>
          <w:tcPr>
            <w:tcW w:w="484" w:type="pct"/>
            <w:tcBorders>
              <w:bottom w:val="single" w:sz="4" w:space="0" w:color="7030A0"/>
            </w:tcBorders>
            <w:shd w:val="clear" w:color="auto" w:fill="auto"/>
            <w:noWrap/>
            <w:hideMark/>
          </w:tcPr>
          <w:p w14:paraId="411A4584" w14:textId="77777777" w:rsidR="00E46CA9" w:rsidRPr="0079317E" w:rsidRDefault="00E46CA9" w:rsidP="00E46CA9">
            <w:pPr>
              <w:spacing w:after="0" w:line="240" w:lineRule="auto"/>
              <w:jc w:val="center"/>
              <w:rPr>
                <w:rFonts w:ascii="Times New Roman" w:eastAsia="Times New Roman" w:hAnsi="Times New Roman" w:cs="Times New Roman"/>
                <w:sz w:val="18"/>
                <w:szCs w:val="20"/>
                <w:lang w:eastAsia="en-AU"/>
              </w:rPr>
            </w:pPr>
          </w:p>
        </w:tc>
        <w:tc>
          <w:tcPr>
            <w:tcW w:w="3457" w:type="pct"/>
            <w:shd w:val="clear" w:color="auto" w:fill="auto"/>
            <w:noWrap/>
            <w:hideMark/>
          </w:tcPr>
          <w:p w14:paraId="411A4585" w14:textId="77777777" w:rsidR="00E46CA9" w:rsidRPr="0079317E" w:rsidRDefault="00E46CA9" w:rsidP="00E46CA9">
            <w:pPr>
              <w:spacing w:after="0" w:line="240" w:lineRule="auto"/>
              <w:rPr>
                <w:rFonts w:ascii="Times New Roman" w:eastAsia="Times New Roman" w:hAnsi="Times New Roman" w:cs="Times New Roman"/>
                <w:sz w:val="18"/>
                <w:szCs w:val="20"/>
                <w:lang w:eastAsia="en-AU"/>
              </w:rPr>
            </w:pPr>
          </w:p>
        </w:tc>
      </w:tr>
      <w:tr w:rsidR="00E46CA9" w:rsidRPr="000B233B" w14:paraId="411A458B" w14:textId="77777777" w:rsidTr="0079317E">
        <w:trPr>
          <w:trHeight w:val="163"/>
        </w:trPr>
        <w:tc>
          <w:tcPr>
            <w:tcW w:w="961" w:type="pct"/>
            <w:shd w:val="clear" w:color="000000" w:fill="FFFFFF"/>
            <w:noWrap/>
            <w:hideMark/>
          </w:tcPr>
          <w:p w14:paraId="411A458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Debt rate</w:t>
            </w:r>
          </w:p>
        </w:tc>
        <w:tc>
          <w:tcPr>
            <w:tcW w:w="98" w:type="pct"/>
            <w:tcBorders>
              <w:right w:val="single" w:sz="4" w:space="0" w:color="7030A0"/>
            </w:tcBorders>
            <w:shd w:val="clear" w:color="auto" w:fill="auto"/>
            <w:noWrap/>
            <w:hideMark/>
          </w:tcPr>
          <w:p w14:paraId="411A458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89"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5.2%</w:t>
            </w:r>
          </w:p>
        </w:tc>
        <w:tc>
          <w:tcPr>
            <w:tcW w:w="3457" w:type="pct"/>
            <w:tcBorders>
              <w:left w:val="single" w:sz="4" w:space="0" w:color="7030A0"/>
            </w:tcBorders>
            <w:shd w:val="clear" w:color="000000" w:fill="FFFFFF"/>
            <w:noWrap/>
            <w:hideMark/>
          </w:tcPr>
          <w:p w14:paraId="411A458A" w14:textId="77777777" w:rsidR="00E46CA9" w:rsidRPr="0079317E" w:rsidRDefault="00906508" w:rsidP="00E46CA9">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Ten</w:t>
            </w:r>
            <w:r w:rsidR="00E46CA9" w:rsidRPr="0079317E">
              <w:rPr>
                <w:rFonts w:ascii="Calibri" w:eastAsia="Times New Roman" w:hAnsi="Calibri" w:cs="Times New Roman"/>
                <w:color w:val="000000"/>
                <w:sz w:val="18"/>
                <w:szCs w:val="18"/>
                <w:lang w:eastAsia="en-AU"/>
              </w:rPr>
              <w:t xml:space="preserve"> year Commonwealth Bond rate plus 2.5</w:t>
            </w:r>
            <w:r>
              <w:rPr>
                <w:rFonts w:ascii="Calibri" w:eastAsia="Times New Roman" w:hAnsi="Calibri" w:cs="Times New Roman"/>
                <w:color w:val="000000"/>
                <w:sz w:val="18"/>
                <w:szCs w:val="18"/>
                <w:lang w:eastAsia="en-AU"/>
              </w:rPr>
              <w:t xml:space="preserve"> per cent</w:t>
            </w:r>
            <w:r w:rsidR="00E46CA9" w:rsidRPr="0079317E">
              <w:rPr>
                <w:rFonts w:ascii="Calibri" w:eastAsia="Times New Roman" w:hAnsi="Calibri" w:cs="Times New Roman"/>
                <w:color w:val="000000"/>
                <w:sz w:val="18"/>
                <w:szCs w:val="18"/>
                <w:lang w:eastAsia="en-AU"/>
              </w:rPr>
              <w:t xml:space="preserve"> debt margin</w:t>
            </w:r>
            <w:r>
              <w:rPr>
                <w:rFonts w:ascii="Calibri" w:eastAsia="Times New Roman" w:hAnsi="Calibri" w:cs="Times New Roman"/>
                <w:color w:val="000000"/>
                <w:sz w:val="18"/>
                <w:szCs w:val="18"/>
                <w:lang w:eastAsia="en-AU"/>
              </w:rPr>
              <w:t>.</w:t>
            </w:r>
          </w:p>
        </w:tc>
      </w:tr>
      <w:tr w:rsidR="00E46CA9" w:rsidRPr="000B233B" w14:paraId="411A4590" w14:textId="77777777" w:rsidTr="0079317E">
        <w:trPr>
          <w:trHeight w:val="240"/>
        </w:trPr>
        <w:tc>
          <w:tcPr>
            <w:tcW w:w="961" w:type="pct"/>
            <w:shd w:val="clear" w:color="000000" w:fill="FFFFFF"/>
            <w:noWrap/>
            <w:hideMark/>
          </w:tcPr>
          <w:p w14:paraId="411A458C"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Equity rate (nominal after tax)</w:t>
            </w:r>
          </w:p>
        </w:tc>
        <w:tc>
          <w:tcPr>
            <w:tcW w:w="98" w:type="pct"/>
            <w:tcBorders>
              <w:right w:val="single" w:sz="4" w:space="0" w:color="7030A0"/>
            </w:tcBorders>
            <w:shd w:val="clear" w:color="auto" w:fill="auto"/>
            <w:noWrap/>
            <w:hideMark/>
          </w:tcPr>
          <w:p w14:paraId="411A458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8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8.1%</w:t>
            </w:r>
          </w:p>
        </w:tc>
        <w:tc>
          <w:tcPr>
            <w:tcW w:w="3457" w:type="pct"/>
            <w:tcBorders>
              <w:left w:val="single" w:sz="4" w:space="0" w:color="7030A0"/>
            </w:tcBorders>
            <w:shd w:val="clear" w:color="000000" w:fill="FFFFFF"/>
            <w:noWrap/>
            <w:hideMark/>
          </w:tcPr>
          <w:p w14:paraId="411A458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CAPM, based on comparison with aged care and other health care investments</w:t>
            </w:r>
            <w:r w:rsidR="00906508">
              <w:rPr>
                <w:rFonts w:ascii="Calibri" w:eastAsia="Times New Roman" w:hAnsi="Calibri" w:cs="Times New Roman"/>
                <w:color w:val="000000"/>
                <w:sz w:val="18"/>
                <w:szCs w:val="18"/>
                <w:lang w:eastAsia="en-AU"/>
              </w:rPr>
              <w:t>.</w:t>
            </w:r>
          </w:p>
        </w:tc>
      </w:tr>
      <w:tr w:rsidR="00E46CA9" w:rsidRPr="000B233B" w14:paraId="411A4595" w14:textId="77777777" w:rsidTr="0079317E">
        <w:trPr>
          <w:trHeight w:val="77"/>
        </w:trPr>
        <w:tc>
          <w:tcPr>
            <w:tcW w:w="961" w:type="pct"/>
            <w:shd w:val="clear" w:color="000000" w:fill="FFFFFF"/>
            <w:noWrap/>
            <w:hideMark/>
          </w:tcPr>
          <w:p w14:paraId="411A459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Level of debt</w:t>
            </w:r>
          </w:p>
        </w:tc>
        <w:tc>
          <w:tcPr>
            <w:tcW w:w="98" w:type="pct"/>
            <w:tcBorders>
              <w:right w:val="single" w:sz="4" w:space="0" w:color="7030A0"/>
            </w:tcBorders>
            <w:shd w:val="clear" w:color="auto" w:fill="auto"/>
            <w:noWrap/>
            <w:hideMark/>
          </w:tcPr>
          <w:p w14:paraId="411A4592"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93"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60%</w:t>
            </w:r>
          </w:p>
        </w:tc>
        <w:tc>
          <w:tcPr>
            <w:tcW w:w="3457" w:type="pct"/>
            <w:tcBorders>
              <w:left w:val="single" w:sz="4" w:space="0" w:color="7030A0"/>
            </w:tcBorders>
            <w:shd w:val="clear" w:color="000000" w:fill="FFFFFF"/>
            <w:noWrap/>
            <w:hideMark/>
          </w:tcPr>
          <w:p w14:paraId="411A459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Comparison with financing assumptions applied in the aged care sector and other regulated industries</w:t>
            </w:r>
            <w:r w:rsidR="00906508">
              <w:rPr>
                <w:rFonts w:ascii="Calibri" w:eastAsia="Times New Roman" w:hAnsi="Calibri" w:cs="Times New Roman"/>
                <w:color w:val="000000"/>
                <w:sz w:val="18"/>
                <w:szCs w:val="18"/>
                <w:lang w:eastAsia="en-AU"/>
              </w:rPr>
              <w:t>.</w:t>
            </w:r>
          </w:p>
        </w:tc>
      </w:tr>
    </w:tbl>
    <w:p w14:paraId="40B5D1ED" w14:textId="77777777" w:rsidR="00740F2F" w:rsidRDefault="00740F2F" w:rsidP="00740F2F">
      <w:pPr>
        <w:pStyle w:val="Caption"/>
      </w:pPr>
    </w:p>
    <w:p w14:paraId="411A4596" w14:textId="2242AF00" w:rsidR="00FA5F62" w:rsidRPr="00216FE5" w:rsidRDefault="00740F2F" w:rsidP="00740F2F">
      <w:pPr>
        <w:pStyle w:val="Caption"/>
        <w:rPr>
          <w:rFonts w:asciiTheme="minorHAnsi" w:hAnsiTheme="minorHAnsi"/>
          <w:sz w:val="20"/>
          <w:szCs w:val="20"/>
        </w:rPr>
      </w:pPr>
      <w:r>
        <w:lastRenderedPageBreak/>
        <w:t xml:space="preserve">Table </w:t>
      </w:r>
      <w:r>
        <w:fldChar w:fldCharType="begin"/>
      </w:r>
      <w:r>
        <w:instrText xml:space="preserve"> SEQ Table \* ARABIC </w:instrText>
      </w:r>
      <w:r>
        <w:fldChar w:fldCharType="separate"/>
      </w:r>
      <w:r w:rsidR="00607084">
        <w:rPr>
          <w:noProof/>
        </w:rPr>
        <w:t>5</w:t>
      </w:r>
      <w:r>
        <w:fldChar w:fldCharType="end"/>
      </w:r>
      <w:r>
        <w:t xml:space="preserve"> - </w:t>
      </w:r>
      <w:r w:rsidRPr="00216FE5">
        <w:rPr>
          <w:rFonts w:asciiTheme="minorHAnsi" w:hAnsiTheme="minorHAnsi"/>
          <w:sz w:val="20"/>
          <w:szCs w:val="20"/>
        </w:rPr>
        <w:t>Base price per participant for NEW BUILDS, excluding reasonable rent contribution ($ 2016/17)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FA5F62" w:rsidRPr="00FA5F62" w14:paraId="411A45A0" w14:textId="77777777" w:rsidTr="002D5820">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7"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Building type / </w:t>
            </w:r>
            <w:r w:rsidR="00D950AF">
              <w:rPr>
                <w:rFonts w:asciiTheme="minorHAnsi" w:eastAsia="Times New Roman" w:hAnsiTheme="minorHAnsi" w:cs="Times New Roman"/>
                <w:b/>
                <w:color w:val="FFFFFF" w:themeColor="background1"/>
                <w:szCs w:val="22"/>
                <w:lang w:eastAsia="en-AU"/>
              </w:rPr>
              <w:t>d</w:t>
            </w:r>
            <w:r w:rsidRPr="00FA5F62">
              <w:rPr>
                <w:rFonts w:asciiTheme="minorHAnsi" w:eastAsia="Times New Roman" w:hAnsiTheme="minorHAnsi" w:cs="Times New Roman"/>
                <w:b/>
                <w:color w:val="FFFFFF" w:themeColor="background1"/>
                <w:szCs w:val="22"/>
                <w:lang w:eastAsia="en-AU"/>
              </w:rPr>
              <w:t xml:space="preserve">esign </w:t>
            </w:r>
            <w:r w:rsidR="00D950AF">
              <w:rPr>
                <w:rFonts w:asciiTheme="minorHAnsi" w:eastAsia="Times New Roman" w:hAnsiTheme="minorHAnsi" w:cs="Times New Roman"/>
                <w:b/>
                <w:color w:val="FFFFFF" w:themeColor="background1"/>
                <w:szCs w:val="22"/>
                <w:lang w:eastAsia="en-AU"/>
              </w:rPr>
              <w:t>c</w:t>
            </w:r>
            <w:r w:rsidRPr="00FA5F62">
              <w:rPr>
                <w:rFonts w:asciiTheme="minorHAnsi" w:eastAsia="Times New Roman" w:hAnsiTheme="minorHAnsi" w:cs="Times New Roman"/>
                <w:b/>
                <w:color w:val="FFFFFF" w:themeColor="background1"/>
                <w:szCs w:val="22"/>
                <w:lang w:eastAsia="en-AU"/>
              </w:rPr>
              <w:t>ategory</w:t>
            </w:r>
          </w:p>
          <w:p w14:paraId="411A4598"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w:t>
            </w:r>
          </w:p>
          <w:p w14:paraId="411A4599"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w:t>
            </w:r>
          </w:p>
        </w:tc>
        <w:tc>
          <w:tcPr>
            <w:tcW w:w="103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11A459A"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B"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Improved 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C"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Fully accessible</w:t>
            </w:r>
          </w:p>
        </w:tc>
        <w:tc>
          <w:tcPr>
            <w:tcW w:w="281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D"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Robust</w:t>
            </w: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E"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High </w:t>
            </w:r>
            <w:r w:rsidR="00D950AF">
              <w:rPr>
                <w:rFonts w:asciiTheme="minorHAnsi" w:eastAsia="Times New Roman" w:hAnsiTheme="minorHAnsi" w:cs="Times New Roman"/>
                <w:b/>
                <w:color w:val="FFFFFF" w:themeColor="background1"/>
                <w:szCs w:val="22"/>
                <w:lang w:eastAsia="en-AU"/>
              </w:rPr>
              <w:t>s</w:t>
            </w:r>
            <w:r w:rsidRPr="00FA5F62">
              <w:rPr>
                <w:rFonts w:asciiTheme="minorHAnsi" w:eastAsia="Times New Roman" w:hAnsiTheme="minorHAnsi" w:cs="Times New Roman"/>
                <w:b/>
                <w:color w:val="FFFFFF" w:themeColor="background1"/>
                <w:szCs w:val="22"/>
                <w:lang w:eastAsia="en-AU"/>
              </w:rPr>
              <w:t>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59F" w14:textId="77777777" w:rsidR="00FA5F62" w:rsidRPr="00FA5F62" w:rsidRDefault="00910995" w:rsidP="00910995">
            <w:pPr>
              <w:spacing w:after="0" w:line="240" w:lineRule="auto"/>
              <w:jc w:val="center"/>
              <w:rPr>
                <w:rFonts w:asciiTheme="minorHAnsi" w:eastAsia="Times New Roman" w:hAnsiTheme="minorHAnsi" w:cs="Times New Roman"/>
                <w:b/>
                <w:color w:val="FFFFFF" w:themeColor="background1"/>
                <w:szCs w:val="22"/>
                <w:lang w:eastAsia="en-AU"/>
              </w:rPr>
            </w:pPr>
            <w:r>
              <w:rPr>
                <w:rFonts w:asciiTheme="minorHAnsi" w:eastAsia="Times New Roman" w:hAnsiTheme="minorHAnsi" w:cs="Times New Roman"/>
                <w:b/>
                <w:color w:val="FFFFFF" w:themeColor="background1"/>
                <w:szCs w:val="22"/>
                <w:lang w:eastAsia="en-AU"/>
              </w:rPr>
              <w:t>Innovation</w:t>
            </w:r>
          </w:p>
        </w:tc>
      </w:tr>
      <w:tr w:rsidR="00FA5F62" w:rsidRPr="00FA5F62" w14:paraId="411A45AD" w14:textId="77777777" w:rsidTr="002D5820">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bottom"/>
            <w:hideMark/>
          </w:tcPr>
          <w:p w14:paraId="411A45A1" w14:textId="77777777" w:rsidR="00FA5F62" w:rsidRPr="00FA5F62" w:rsidRDefault="00FA5F62" w:rsidP="00FA5F62">
            <w:pPr>
              <w:spacing w:after="0" w:line="240" w:lineRule="auto"/>
              <w:rPr>
                <w:rFonts w:asciiTheme="minorHAnsi" w:eastAsia="Times New Roman" w:hAnsiTheme="minorHAnsi" w:cs="Times New Roman"/>
                <w:color w:val="000000"/>
                <w:szCs w:val="22"/>
                <w:lang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14:paraId="411A45A2" w14:textId="77777777" w:rsidR="00FA5F62" w:rsidRPr="00FA5F62" w:rsidRDefault="00FA5F62" w:rsidP="00FA5F62">
            <w:pPr>
              <w:spacing w:after="0" w:line="240" w:lineRule="auto"/>
              <w:jc w:val="center"/>
              <w:rPr>
                <w:rFonts w:asciiTheme="minorHAnsi" w:eastAsia="Times New Roman" w:hAnsiTheme="minorHAnsi" w:cs="Times New Roman"/>
                <w:color w:val="00000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3"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4"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5"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6"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7"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8"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9"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A"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B"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bottom"/>
            <w:hideMark/>
          </w:tcPr>
          <w:p w14:paraId="411A45AC" w14:textId="77777777" w:rsidR="00FA5F62" w:rsidRPr="00FA5F62" w:rsidRDefault="00FA5F62" w:rsidP="00FA5F62">
            <w:pPr>
              <w:spacing w:after="0" w:line="240" w:lineRule="auto"/>
              <w:rPr>
                <w:rFonts w:asciiTheme="minorHAnsi" w:eastAsia="Times New Roman" w:hAnsiTheme="minorHAnsi" w:cs="Times New Roman"/>
                <w:color w:val="FFFFFF" w:themeColor="background1"/>
                <w:szCs w:val="22"/>
                <w:lang w:eastAsia="en-AU"/>
              </w:rPr>
            </w:pPr>
          </w:p>
        </w:tc>
      </w:tr>
      <w:tr w:rsidR="002D5820" w:rsidRPr="00FA5F62" w14:paraId="411A45BA"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5AE"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1 bedroom, 1 resident</w:t>
            </w:r>
          </w:p>
        </w:tc>
        <w:tc>
          <w:tcPr>
            <w:tcW w:w="1036" w:type="dxa"/>
            <w:tcBorders>
              <w:top w:val="single" w:sz="4" w:space="0" w:color="7030A0"/>
              <w:bottom w:val="single" w:sz="4" w:space="0" w:color="7030A0"/>
            </w:tcBorders>
          </w:tcPr>
          <w:p w14:paraId="411A45A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$36,255</w:t>
            </w:r>
          </w:p>
        </w:tc>
        <w:tc>
          <w:tcPr>
            <w:tcW w:w="940" w:type="dxa"/>
            <w:tcBorders>
              <w:top w:val="single" w:sz="4" w:space="0" w:color="7030A0"/>
              <w:bottom w:val="single" w:sz="4" w:space="0" w:color="7030A0"/>
            </w:tcBorders>
            <w:shd w:val="clear" w:color="auto" w:fill="auto"/>
            <w:noWrap/>
          </w:tcPr>
          <w:p w14:paraId="411A45B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$36,715</w:t>
            </w:r>
          </w:p>
        </w:tc>
        <w:tc>
          <w:tcPr>
            <w:tcW w:w="940" w:type="dxa"/>
            <w:tcBorders>
              <w:top w:val="single" w:sz="4" w:space="0" w:color="7030A0"/>
              <w:bottom w:val="single" w:sz="4" w:space="0" w:color="7030A0"/>
            </w:tcBorders>
            <w:shd w:val="clear" w:color="auto" w:fill="auto"/>
            <w:noWrap/>
          </w:tcPr>
          <w:p w14:paraId="411A45B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$42,835</w:t>
            </w:r>
          </w:p>
        </w:tc>
        <w:tc>
          <w:tcPr>
            <w:tcW w:w="940" w:type="dxa"/>
            <w:tcBorders>
              <w:top w:val="single" w:sz="4" w:space="0" w:color="7030A0"/>
              <w:bottom w:val="single" w:sz="4" w:space="0" w:color="7030A0"/>
            </w:tcBorders>
            <w:shd w:val="clear" w:color="auto" w:fill="auto"/>
            <w:noWrap/>
          </w:tcPr>
          <w:p w14:paraId="411A45B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$46,542</w:t>
            </w:r>
          </w:p>
        </w:tc>
        <w:tc>
          <w:tcPr>
            <w:tcW w:w="940" w:type="dxa"/>
            <w:tcBorders>
              <w:top w:val="single" w:sz="4" w:space="0" w:color="7030A0"/>
              <w:bottom w:val="single" w:sz="4" w:space="0" w:color="7030A0"/>
            </w:tcBorders>
            <w:shd w:val="clear" w:color="auto" w:fill="auto"/>
            <w:noWrap/>
          </w:tcPr>
          <w:p w14:paraId="411A45B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$54,299</w:t>
            </w:r>
          </w:p>
        </w:tc>
        <w:tc>
          <w:tcPr>
            <w:tcW w:w="940" w:type="dxa"/>
            <w:tcBorders>
              <w:top w:val="single" w:sz="4" w:space="0" w:color="7030A0"/>
              <w:bottom w:val="single" w:sz="4" w:space="0" w:color="7030A0"/>
            </w:tcBorders>
            <w:shd w:val="clear" w:color="auto" w:fill="auto"/>
            <w:noWrap/>
          </w:tcPr>
          <w:p w14:paraId="411A45B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B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38" w:type="dxa"/>
            <w:tcBorders>
              <w:top w:val="single" w:sz="4" w:space="0" w:color="7030A0"/>
              <w:bottom w:val="single" w:sz="4" w:space="0" w:color="7030A0"/>
            </w:tcBorders>
            <w:shd w:val="clear" w:color="auto" w:fill="auto"/>
            <w:noWrap/>
          </w:tcPr>
          <w:p w14:paraId="411A45B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B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$70,514</w:t>
            </w:r>
          </w:p>
        </w:tc>
        <w:tc>
          <w:tcPr>
            <w:tcW w:w="950" w:type="dxa"/>
            <w:tcBorders>
              <w:top w:val="single" w:sz="4" w:space="0" w:color="7030A0"/>
              <w:bottom w:val="single" w:sz="4" w:space="0" w:color="7030A0"/>
            </w:tcBorders>
            <w:shd w:val="clear" w:color="auto" w:fill="auto"/>
            <w:noWrap/>
          </w:tcPr>
          <w:p w14:paraId="411A45B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$82,267</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5B9"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 xml:space="preserve">Premium above other prices. Considered case </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by</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case.</w:t>
            </w:r>
          </w:p>
        </w:tc>
      </w:tr>
      <w:tr w:rsidR="002D5820" w:rsidRPr="00FA5F62" w14:paraId="411A45C7"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BB"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2 bedrooms, 1 resident</w:t>
            </w:r>
          </w:p>
        </w:tc>
        <w:tc>
          <w:tcPr>
            <w:tcW w:w="1036" w:type="dxa"/>
            <w:tcBorders>
              <w:top w:val="single" w:sz="4" w:space="0" w:color="7030A0"/>
              <w:bottom w:val="single" w:sz="4" w:space="0" w:color="7030A0"/>
            </w:tcBorders>
          </w:tcPr>
          <w:p w14:paraId="411A45B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$44,774</w:t>
            </w:r>
          </w:p>
        </w:tc>
        <w:tc>
          <w:tcPr>
            <w:tcW w:w="940" w:type="dxa"/>
            <w:tcBorders>
              <w:top w:val="single" w:sz="4" w:space="0" w:color="7030A0"/>
              <w:bottom w:val="single" w:sz="4" w:space="0" w:color="7030A0"/>
            </w:tcBorders>
            <w:shd w:val="clear" w:color="auto" w:fill="auto"/>
            <w:noWrap/>
          </w:tcPr>
          <w:p w14:paraId="411A45B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$45,339</w:t>
            </w:r>
          </w:p>
        </w:tc>
        <w:tc>
          <w:tcPr>
            <w:tcW w:w="940" w:type="dxa"/>
            <w:tcBorders>
              <w:top w:val="single" w:sz="4" w:space="0" w:color="7030A0"/>
              <w:bottom w:val="single" w:sz="4" w:space="0" w:color="7030A0"/>
            </w:tcBorders>
            <w:shd w:val="clear" w:color="auto" w:fill="auto"/>
            <w:noWrap/>
          </w:tcPr>
          <w:p w14:paraId="411A45B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$52,895</w:t>
            </w:r>
          </w:p>
        </w:tc>
        <w:tc>
          <w:tcPr>
            <w:tcW w:w="940" w:type="dxa"/>
            <w:tcBorders>
              <w:top w:val="single" w:sz="4" w:space="0" w:color="7030A0"/>
              <w:bottom w:val="single" w:sz="4" w:space="0" w:color="7030A0"/>
            </w:tcBorders>
            <w:shd w:val="clear" w:color="auto" w:fill="auto"/>
            <w:noWrap/>
          </w:tcPr>
          <w:p w14:paraId="411A45B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$55,271</w:t>
            </w:r>
          </w:p>
        </w:tc>
        <w:tc>
          <w:tcPr>
            <w:tcW w:w="940" w:type="dxa"/>
            <w:tcBorders>
              <w:top w:val="single" w:sz="4" w:space="0" w:color="7030A0"/>
              <w:bottom w:val="single" w:sz="4" w:space="0" w:color="7030A0"/>
            </w:tcBorders>
            <w:shd w:val="clear" w:color="auto" w:fill="auto"/>
            <w:noWrap/>
          </w:tcPr>
          <w:p w14:paraId="411A45C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$64,483</w:t>
            </w:r>
          </w:p>
        </w:tc>
        <w:tc>
          <w:tcPr>
            <w:tcW w:w="940" w:type="dxa"/>
            <w:tcBorders>
              <w:top w:val="single" w:sz="4" w:space="0" w:color="7030A0"/>
              <w:bottom w:val="single" w:sz="4" w:space="0" w:color="7030A0"/>
            </w:tcBorders>
            <w:shd w:val="clear" w:color="auto" w:fill="auto"/>
            <w:noWrap/>
          </w:tcPr>
          <w:p w14:paraId="411A45C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C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38" w:type="dxa"/>
            <w:tcBorders>
              <w:top w:val="single" w:sz="4" w:space="0" w:color="7030A0"/>
              <w:bottom w:val="single" w:sz="4" w:space="0" w:color="7030A0"/>
            </w:tcBorders>
            <w:shd w:val="clear" w:color="auto" w:fill="auto"/>
            <w:noWrap/>
          </w:tcPr>
          <w:p w14:paraId="411A45C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C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$86,859</w:t>
            </w:r>
          </w:p>
        </w:tc>
        <w:tc>
          <w:tcPr>
            <w:tcW w:w="950" w:type="dxa"/>
            <w:tcBorders>
              <w:top w:val="single" w:sz="4" w:space="0" w:color="7030A0"/>
              <w:bottom w:val="single" w:sz="4" w:space="0" w:color="7030A0"/>
            </w:tcBorders>
            <w:shd w:val="clear" w:color="auto" w:fill="auto"/>
            <w:noWrap/>
          </w:tcPr>
          <w:p w14:paraId="411A45C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$101,336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C6"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5D4"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C8"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Villa, 1 bedrooms, 1 resident</w:t>
            </w:r>
          </w:p>
        </w:tc>
        <w:tc>
          <w:tcPr>
            <w:tcW w:w="1036" w:type="dxa"/>
            <w:tcBorders>
              <w:top w:val="single" w:sz="4" w:space="0" w:color="7030A0"/>
              <w:bottom w:val="single" w:sz="4" w:space="0" w:color="7030A0"/>
            </w:tcBorders>
          </w:tcPr>
          <w:p w14:paraId="411A45C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$26,095</w:t>
            </w:r>
          </w:p>
        </w:tc>
        <w:tc>
          <w:tcPr>
            <w:tcW w:w="940" w:type="dxa"/>
            <w:tcBorders>
              <w:top w:val="single" w:sz="4" w:space="0" w:color="7030A0"/>
              <w:bottom w:val="single" w:sz="4" w:space="0" w:color="7030A0"/>
            </w:tcBorders>
            <w:shd w:val="clear" w:color="auto" w:fill="auto"/>
            <w:noWrap/>
          </w:tcPr>
          <w:p w14:paraId="411A45C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$26,421</w:t>
            </w:r>
          </w:p>
        </w:tc>
        <w:tc>
          <w:tcPr>
            <w:tcW w:w="940" w:type="dxa"/>
            <w:tcBorders>
              <w:top w:val="single" w:sz="4" w:space="0" w:color="7030A0"/>
              <w:bottom w:val="single" w:sz="4" w:space="0" w:color="7030A0"/>
            </w:tcBorders>
            <w:shd w:val="clear" w:color="auto" w:fill="auto"/>
            <w:noWrap/>
          </w:tcPr>
          <w:p w14:paraId="411A45C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$28,773</w:t>
            </w:r>
          </w:p>
        </w:tc>
        <w:tc>
          <w:tcPr>
            <w:tcW w:w="940" w:type="dxa"/>
            <w:tcBorders>
              <w:top w:val="single" w:sz="4" w:space="0" w:color="7030A0"/>
              <w:bottom w:val="single" w:sz="4" w:space="0" w:color="7030A0"/>
            </w:tcBorders>
            <w:shd w:val="clear" w:color="auto" w:fill="auto"/>
            <w:noWrap/>
          </w:tcPr>
          <w:p w14:paraId="411A45C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$31,902</w:t>
            </w:r>
          </w:p>
        </w:tc>
        <w:tc>
          <w:tcPr>
            <w:tcW w:w="940" w:type="dxa"/>
            <w:tcBorders>
              <w:top w:val="single" w:sz="4" w:space="0" w:color="7030A0"/>
              <w:bottom w:val="single" w:sz="4" w:space="0" w:color="7030A0"/>
            </w:tcBorders>
            <w:shd w:val="clear" w:color="auto" w:fill="auto"/>
            <w:noWrap/>
          </w:tcPr>
          <w:p w14:paraId="411A45C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$34,852</w:t>
            </w:r>
          </w:p>
        </w:tc>
        <w:tc>
          <w:tcPr>
            <w:tcW w:w="940" w:type="dxa"/>
            <w:tcBorders>
              <w:top w:val="single" w:sz="4" w:space="0" w:color="7030A0"/>
              <w:bottom w:val="single" w:sz="4" w:space="0" w:color="7030A0"/>
            </w:tcBorders>
            <w:shd w:val="clear" w:color="auto" w:fill="auto"/>
            <w:noWrap/>
          </w:tcPr>
          <w:p w14:paraId="411A45C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$38,702</w:t>
            </w:r>
          </w:p>
        </w:tc>
        <w:tc>
          <w:tcPr>
            <w:tcW w:w="940" w:type="dxa"/>
            <w:tcBorders>
              <w:top w:val="single" w:sz="4" w:space="0" w:color="7030A0"/>
              <w:bottom w:val="single" w:sz="4" w:space="0" w:color="7030A0"/>
            </w:tcBorders>
            <w:shd w:val="clear" w:color="auto" w:fill="auto"/>
            <w:noWrap/>
          </w:tcPr>
          <w:p w14:paraId="411A45C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$42,357</w:t>
            </w:r>
          </w:p>
        </w:tc>
        <w:tc>
          <w:tcPr>
            <w:tcW w:w="938" w:type="dxa"/>
            <w:tcBorders>
              <w:top w:val="single" w:sz="4" w:space="0" w:color="7030A0"/>
              <w:bottom w:val="single" w:sz="4" w:space="0" w:color="7030A0"/>
            </w:tcBorders>
            <w:shd w:val="clear" w:color="auto" w:fill="auto"/>
            <w:noWrap/>
          </w:tcPr>
          <w:p w14:paraId="411A45D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D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$48,814</w:t>
            </w:r>
          </w:p>
        </w:tc>
        <w:tc>
          <w:tcPr>
            <w:tcW w:w="950" w:type="dxa"/>
            <w:tcBorders>
              <w:top w:val="single" w:sz="4" w:space="0" w:color="7030A0"/>
              <w:bottom w:val="single" w:sz="4" w:space="0" w:color="7030A0"/>
            </w:tcBorders>
            <w:shd w:val="clear" w:color="auto" w:fill="auto"/>
            <w:noWrap/>
          </w:tcPr>
          <w:p w14:paraId="411A45D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$52,655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D3"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E1"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D5"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2 residents</w:t>
            </w:r>
          </w:p>
        </w:tc>
        <w:tc>
          <w:tcPr>
            <w:tcW w:w="1036" w:type="dxa"/>
            <w:tcBorders>
              <w:top w:val="single" w:sz="4" w:space="0" w:color="7030A0"/>
              <w:bottom w:val="single" w:sz="4" w:space="0" w:color="7030A0"/>
            </w:tcBorders>
          </w:tcPr>
          <w:p w14:paraId="411A45D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$16,923</w:t>
            </w:r>
          </w:p>
        </w:tc>
        <w:tc>
          <w:tcPr>
            <w:tcW w:w="940" w:type="dxa"/>
            <w:tcBorders>
              <w:top w:val="single" w:sz="4" w:space="0" w:color="7030A0"/>
              <w:bottom w:val="single" w:sz="4" w:space="0" w:color="7030A0"/>
            </w:tcBorders>
            <w:shd w:val="clear" w:color="auto" w:fill="auto"/>
            <w:noWrap/>
          </w:tcPr>
          <w:p w14:paraId="411A45D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$17,152</w:t>
            </w:r>
          </w:p>
        </w:tc>
        <w:tc>
          <w:tcPr>
            <w:tcW w:w="940" w:type="dxa"/>
            <w:tcBorders>
              <w:top w:val="single" w:sz="4" w:space="0" w:color="7030A0"/>
              <w:bottom w:val="single" w:sz="4" w:space="0" w:color="7030A0"/>
            </w:tcBorders>
            <w:shd w:val="clear" w:color="auto" w:fill="auto"/>
            <w:noWrap/>
          </w:tcPr>
          <w:p w14:paraId="411A45D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$18,251</w:t>
            </w:r>
          </w:p>
        </w:tc>
        <w:tc>
          <w:tcPr>
            <w:tcW w:w="940" w:type="dxa"/>
            <w:tcBorders>
              <w:top w:val="single" w:sz="4" w:space="0" w:color="7030A0"/>
              <w:bottom w:val="single" w:sz="4" w:space="0" w:color="7030A0"/>
            </w:tcBorders>
            <w:shd w:val="clear" w:color="auto" w:fill="auto"/>
            <w:noWrap/>
          </w:tcPr>
          <w:p w14:paraId="411A45D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$20,613</w:t>
            </w:r>
          </w:p>
        </w:tc>
        <w:tc>
          <w:tcPr>
            <w:tcW w:w="940" w:type="dxa"/>
            <w:tcBorders>
              <w:top w:val="single" w:sz="4" w:space="0" w:color="7030A0"/>
              <w:bottom w:val="single" w:sz="4" w:space="0" w:color="7030A0"/>
            </w:tcBorders>
            <w:shd w:val="clear" w:color="auto" w:fill="auto"/>
            <w:noWrap/>
          </w:tcPr>
          <w:p w14:paraId="411A45D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$22,048</w:t>
            </w:r>
          </w:p>
        </w:tc>
        <w:tc>
          <w:tcPr>
            <w:tcW w:w="940" w:type="dxa"/>
            <w:tcBorders>
              <w:top w:val="single" w:sz="4" w:space="0" w:color="7030A0"/>
              <w:bottom w:val="single" w:sz="4" w:space="0" w:color="7030A0"/>
            </w:tcBorders>
            <w:shd w:val="clear" w:color="auto" w:fill="auto"/>
            <w:noWrap/>
          </w:tcPr>
          <w:p w14:paraId="411A45D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$25,070</w:t>
            </w:r>
          </w:p>
        </w:tc>
        <w:tc>
          <w:tcPr>
            <w:tcW w:w="940" w:type="dxa"/>
            <w:tcBorders>
              <w:top w:val="single" w:sz="4" w:space="0" w:color="7030A0"/>
              <w:bottom w:val="single" w:sz="4" w:space="0" w:color="7030A0"/>
            </w:tcBorders>
            <w:shd w:val="clear" w:color="auto" w:fill="auto"/>
            <w:noWrap/>
          </w:tcPr>
          <w:p w14:paraId="411A45D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$26,832</w:t>
            </w:r>
          </w:p>
        </w:tc>
        <w:tc>
          <w:tcPr>
            <w:tcW w:w="938" w:type="dxa"/>
            <w:tcBorders>
              <w:top w:val="single" w:sz="4" w:space="0" w:color="7030A0"/>
              <w:bottom w:val="single" w:sz="4" w:space="0" w:color="7030A0"/>
            </w:tcBorders>
            <w:shd w:val="clear" w:color="auto" w:fill="auto"/>
            <w:noWrap/>
          </w:tcPr>
          <w:p w14:paraId="411A45D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+$1,577</w:t>
            </w:r>
          </w:p>
        </w:tc>
        <w:tc>
          <w:tcPr>
            <w:tcW w:w="940" w:type="dxa"/>
            <w:tcBorders>
              <w:top w:val="single" w:sz="4" w:space="0" w:color="7030A0"/>
              <w:bottom w:val="single" w:sz="4" w:space="0" w:color="7030A0"/>
            </w:tcBorders>
            <w:shd w:val="clear" w:color="auto" w:fill="auto"/>
            <w:noWrap/>
          </w:tcPr>
          <w:p w14:paraId="411A45D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$31,961</w:t>
            </w:r>
          </w:p>
        </w:tc>
        <w:tc>
          <w:tcPr>
            <w:tcW w:w="950" w:type="dxa"/>
            <w:tcBorders>
              <w:top w:val="single" w:sz="4" w:space="0" w:color="7030A0"/>
              <w:bottom w:val="single" w:sz="4" w:space="0" w:color="7030A0"/>
            </w:tcBorders>
            <w:shd w:val="clear" w:color="auto" w:fill="auto"/>
            <w:noWrap/>
          </w:tcPr>
          <w:p w14:paraId="411A45D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$33,808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E0"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EE"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E2"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3 residents</w:t>
            </w:r>
          </w:p>
        </w:tc>
        <w:tc>
          <w:tcPr>
            <w:tcW w:w="1036" w:type="dxa"/>
            <w:tcBorders>
              <w:top w:val="single" w:sz="4" w:space="0" w:color="7030A0"/>
              <w:bottom w:val="single" w:sz="4" w:space="0" w:color="7030A0"/>
            </w:tcBorders>
          </w:tcPr>
          <w:p w14:paraId="411A45E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$13,288</w:t>
            </w:r>
          </w:p>
        </w:tc>
        <w:tc>
          <w:tcPr>
            <w:tcW w:w="940" w:type="dxa"/>
            <w:tcBorders>
              <w:top w:val="single" w:sz="4" w:space="0" w:color="7030A0"/>
              <w:bottom w:val="single" w:sz="4" w:space="0" w:color="7030A0"/>
            </w:tcBorders>
            <w:shd w:val="clear" w:color="auto" w:fill="auto"/>
            <w:noWrap/>
          </w:tcPr>
          <w:p w14:paraId="411A45E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$13,470</w:t>
            </w:r>
          </w:p>
        </w:tc>
        <w:tc>
          <w:tcPr>
            <w:tcW w:w="940" w:type="dxa"/>
            <w:tcBorders>
              <w:top w:val="single" w:sz="4" w:space="0" w:color="7030A0"/>
              <w:bottom w:val="single" w:sz="4" w:space="0" w:color="7030A0"/>
            </w:tcBorders>
            <w:shd w:val="clear" w:color="auto" w:fill="auto"/>
            <w:noWrap/>
          </w:tcPr>
          <w:p w14:paraId="411A45E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$14,117</w:t>
            </w:r>
          </w:p>
        </w:tc>
        <w:tc>
          <w:tcPr>
            <w:tcW w:w="940" w:type="dxa"/>
            <w:tcBorders>
              <w:top w:val="single" w:sz="4" w:space="0" w:color="7030A0"/>
              <w:bottom w:val="single" w:sz="4" w:space="0" w:color="7030A0"/>
            </w:tcBorders>
            <w:shd w:val="clear" w:color="auto" w:fill="auto"/>
            <w:noWrap/>
          </w:tcPr>
          <w:p w14:paraId="411A45E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$16,393</w:t>
            </w:r>
          </w:p>
        </w:tc>
        <w:tc>
          <w:tcPr>
            <w:tcW w:w="940" w:type="dxa"/>
            <w:tcBorders>
              <w:top w:val="single" w:sz="4" w:space="0" w:color="7030A0"/>
              <w:bottom w:val="single" w:sz="4" w:space="0" w:color="7030A0"/>
            </w:tcBorders>
            <w:shd w:val="clear" w:color="auto" w:fill="auto"/>
            <w:noWrap/>
          </w:tcPr>
          <w:p w14:paraId="411A45E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$17,596</w:t>
            </w:r>
          </w:p>
        </w:tc>
        <w:tc>
          <w:tcPr>
            <w:tcW w:w="940" w:type="dxa"/>
            <w:tcBorders>
              <w:top w:val="single" w:sz="4" w:space="0" w:color="7030A0"/>
              <w:bottom w:val="single" w:sz="4" w:space="0" w:color="7030A0"/>
            </w:tcBorders>
            <w:shd w:val="clear" w:color="auto" w:fill="auto"/>
            <w:noWrap/>
          </w:tcPr>
          <w:p w14:paraId="411A45E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$20,312</w:t>
            </w:r>
          </w:p>
        </w:tc>
        <w:tc>
          <w:tcPr>
            <w:tcW w:w="940" w:type="dxa"/>
            <w:tcBorders>
              <w:top w:val="single" w:sz="4" w:space="0" w:color="7030A0"/>
              <w:bottom w:val="single" w:sz="4" w:space="0" w:color="7030A0"/>
            </w:tcBorders>
            <w:shd w:val="clear" w:color="auto" w:fill="auto"/>
            <w:noWrap/>
          </w:tcPr>
          <w:p w14:paraId="411A45E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$21,501</w:t>
            </w:r>
          </w:p>
        </w:tc>
        <w:tc>
          <w:tcPr>
            <w:tcW w:w="938" w:type="dxa"/>
            <w:tcBorders>
              <w:top w:val="single" w:sz="4" w:space="0" w:color="7030A0"/>
              <w:bottom w:val="single" w:sz="4" w:space="0" w:color="7030A0"/>
            </w:tcBorders>
            <w:shd w:val="clear" w:color="auto" w:fill="auto"/>
            <w:noWrap/>
          </w:tcPr>
          <w:p w14:paraId="411A45E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+$1,081</w:t>
            </w:r>
          </w:p>
        </w:tc>
        <w:tc>
          <w:tcPr>
            <w:tcW w:w="940" w:type="dxa"/>
            <w:tcBorders>
              <w:top w:val="single" w:sz="4" w:space="0" w:color="7030A0"/>
              <w:bottom w:val="single" w:sz="4" w:space="0" w:color="7030A0"/>
            </w:tcBorders>
            <w:shd w:val="clear" w:color="auto" w:fill="auto"/>
            <w:noWrap/>
          </w:tcPr>
          <w:p w14:paraId="411A45E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$27,027</w:t>
            </w:r>
          </w:p>
        </w:tc>
        <w:tc>
          <w:tcPr>
            <w:tcW w:w="950" w:type="dxa"/>
            <w:tcBorders>
              <w:top w:val="single" w:sz="4" w:space="0" w:color="7030A0"/>
              <w:bottom w:val="single" w:sz="4" w:space="0" w:color="7030A0"/>
            </w:tcBorders>
            <w:shd w:val="clear" w:color="auto" w:fill="auto"/>
            <w:noWrap/>
          </w:tcPr>
          <w:p w14:paraId="411A45E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$28,246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ED"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FB"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EF"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3 residents</w:t>
            </w:r>
          </w:p>
        </w:tc>
        <w:tc>
          <w:tcPr>
            <w:tcW w:w="1036" w:type="dxa"/>
            <w:tcBorders>
              <w:top w:val="single" w:sz="4" w:space="0" w:color="7030A0"/>
              <w:bottom w:val="single" w:sz="4" w:space="0" w:color="7030A0"/>
            </w:tcBorders>
          </w:tcPr>
          <w:p w14:paraId="411A45F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$19,699</w:t>
            </w:r>
          </w:p>
        </w:tc>
        <w:tc>
          <w:tcPr>
            <w:tcW w:w="940" w:type="dxa"/>
            <w:tcBorders>
              <w:top w:val="single" w:sz="4" w:space="0" w:color="7030A0"/>
              <w:bottom w:val="single" w:sz="4" w:space="0" w:color="7030A0"/>
            </w:tcBorders>
            <w:shd w:val="clear" w:color="auto" w:fill="auto"/>
            <w:noWrap/>
          </w:tcPr>
          <w:p w14:paraId="411A45F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$19,960</w:t>
            </w:r>
          </w:p>
        </w:tc>
        <w:tc>
          <w:tcPr>
            <w:tcW w:w="940" w:type="dxa"/>
            <w:tcBorders>
              <w:top w:val="single" w:sz="4" w:space="0" w:color="7030A0"/>
              <w:bottom w:val="single" w:sz="4" w:space="0" w:color="7030A0"/>
            </w:tcBorders>
            <w:shd w:val="clear" w:color="auto" w:fill="auto"/>
            <w:noWrap/>
          </w:tcPr>
          <w:p w14:paraId="411A45F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$20,734</w:t>
            </w:r>
          </w:p>
        </w:tc>
        <w:tc>
          <w:tcPr>
            <w:tcW w:w="940" w:type="dxa"/>
            <w:tcBorders>
              <w:top w:val="single" w:sz="4" w:space="0" w:color="7030A0"/>
              <w:bottom w:val="single" w:sz="4" w:space="0" w:color="7030A0"/>
            </w:tcBorders>
            <w:shd w:val="clear" w:color="auto" w:fill="auto"/>
            <w:noWrap/>
          </w:tcPr>
          <w:p w14:paraId="411A45F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$23,842</w:t>
            </w:r>
          </w:p>
        </w:tc>
        <w:tc>
          <w:tcPr>
            <w:tcW w:w="940" w:type="dxa"/>
            <w:tcBorders>
              <w:top w:val="single" w:sz="4" w:space="0" w:color="7030A0"/>
              <w:bottom w:val="single" w:sz="4" w:space="0" w:color="7030A0"/>
            </w:tcBorders>
            <w:shd w:val="clear" w:color="auto" w:fill="auto"/>
            <w:noWrap/>
          </w:tcPr>
          <w:p w14:paraId="411A45F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$25,219</w:t>
            </w:r>
          </w:p>
        </w:tc>
        <w:tc>
          <w:tcPr>
            <w:tcW w:w="940" w:type="dxa"/>
            <w:tcBorders>
              <w:top w:val="single" w:sz="4" w:space="0" w:color="7030A0"/>
              <w:bottom w:val="single" w:sz="4" w:space="0" w:color="7030A0"/>
            </w:tcBorders>
            <w:shd w:val="clear" w:color="auto" w:fill="auto"/>
            <w:noWrap/>
          </w:tcPr>
          <w:p w14:paraId="411A45F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$28,651</w:t>
            </w:r>
          </w:p>
        </w:tc>
        <w:tc>
          <w:tcPr>
            <w:tcW w:w="940" w:type="dxa"/>
            <w:tcBorders>
              <w:top w:val="single" w:sz="4" w:space="0" w:color="7030A0"/>
              <w:bottom w:val="single" w:sz="4" w:space="0" w:color="7030A0"/>
            </w:tcBorders>
            <w:shd w:val="clear" w:color="auto" w:fill="auto"/>
            <w:noWrap/>
          </w:tcPr>
          <w:p w14:paraId="411A45F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$30,009</w:t>
            </w:r>
          </w:p>
        </w:tc>
        <w:tc>
          <w:tcPr>
            <w:tcW w:w="938" w:type="dxa"/>
            <w:tcBorders>
              <w:top w:val="single" w:sz="4" w:space="0" w:color="7030A0"/>
              <w:bottom w:val="single" w:sz="4" w:space="0" w:color="7030A0"/>
            </w:tcBorders>
            <w:shd w:val="clear" w:color="auto" w:fill="auto"/>
            <w:noWrap/>
          </w:tcPr>
          <w:p w14:paraId="411A45F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+$1,229</w:t>
            </w:r>
          </w:p>
        </w:tc>
        <w:tc>
          <w:tcPr>
            <w:tcW w:w="940" w:type="dxa"/>
            <w:tcBorders>
              <w:top w:val="single" w:sz="4" w:space="0" w:color="7030A0"/>
              <w:bottom w:val="single" w:sz="4" w:space="0" w:color="7030A0"/>
            </w:tcBorders>
            <w:shd w:val="clear" w:color="auto" w:fill="auto"/>
            <w:noWrap/>
          </w:tcPr>
          <w:p w14:paraId="411A45F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$39,752</w:t>
            </w:r>
          </w:p>
        </w:tc>
        <w:tc>
          <w:tcPr>
            <w:tcW w:w="950" w:type="dxa"/>
            <w:tcBorders>
              <w:top w:val="single" w:sz="4" w:space="0" w:color="7030A0"/>
              <w:bottom w:val="single" w:sz="4" w:space="0" w:color="7030A0"/>
            </w:tcBorders>
            <w:shd w:val="clear" w:color="auto" w:fill="auto"/>
            <w:noWrap/>
          </w:tcPr>
          <w:p w14:paraId="411A45F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$41,310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FA"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608"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FC"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4 residents</w:t>
            </w:r>
          </w:p>
        </w:tc>
        <w:tc>
          <w:tcPr>
            <w:tcW w:w="1036" w:type="dxa"/>
            <w:tcBorders>
              <w:top w:val="single" w:sz="4" w:space="0" w:color="7030A0"/>
              <w:bottom w:val="single" w:sz="4" w:space="0" w:color="7030A0"/>
            </w:tcBorders>
          </w:tcPr>
          <w:p w14:paraId="411A45F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$16,825</w:t>
            </w:r>
          </w:p>
        </w:tc>
        <w:tc>
          <w:tcPr>
            <w:tcW w:w="940" w:type="dxa"/>
            <w:tcBorders>
              <w:top w:val="single" w:sz="4" w:space="0" w:color="7030A0"/>
              <w:bottom w:val="single" w:sz="4" w:space="0" w:color="7030A0"/>
            </w:tcBorders>
            <w:shd w:val="clear" w:color="auto" w:fill="auto"/>
            <w:noWrap/>
          </w:tcPr>
          <w:p w14:paraId="411A45F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$17,044</w:t>
            </w:r>
          </w:p>
        </w:tc>
        <w:tc>
          <w:tcPr>
            <w:tcW w:w="940" w:type="dxa"/>
            <w:tcBorders>
              <w:top w:val="single" w:sz="4" w:space="0" w:color="7030A0"/>
              <w:bottom w:val="single" w:sz="4" w:space="0" w:color="7030A0"/>
            </w:tcBorders>
            <w:shd w:val="clear" w:color="auto" w:fill="auto"/>
            <w:noWrap/>
          </w:tcPr>
          <w:p w14:paraId="411A45F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$17,674</w:t>
            </w:r>
          </w:p>
        </w:tc>
        <w:tc>
          <w:tcPr>
            <w:tcW w:w="940" w:type="dxa"/>
            <w:tcBorders>
              <w:top w:val="single" w:sz="4" w:space="0" w:color="7030A0"/>
              <w:bottom w:val="single" w:sz="4" w:space="0" w:color="7030A0"/>
            </w:tcBorders>
            <w:shd w:val="clear" w:color="auto" w:fill="auto"/>
            <w:noWrap/>
          </w:tcPr>
          <w:p w14:paraId="411A460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$19,911</w:t>
            </w:r>
          </w:p>
        </w:tc>
        <w:tc>
          <w:tcPr>
            <w:tcW w:w="940" w:type="dxa"/>
            <w:tcBorders>
              <w:top w:val="single" w:sz="4" w:space="0" w:color="7030A0"/>
              <w:bottom w:val="single" w:sz="4" w:space="0" w:color="7030A0"/>
            </w:tcBorders>
            <w:shd w:val="clear" w:color="auto" w:fill="auto"/>
            <w:noWrap/>
          </w:tcPr>
          <w:p w14:paraId="411A460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$20,736</w:t>
            </w:r>
          </w:p>
        </w:tc>
        <w:tc>
          <w:tcPr>
            <w:tcW w:w="940" w:type="dxa"/>
            <w:tcBorders>
              <w:top w:val="single" w:sz="4" w:space="0" w:color="7030A0"/>
              <w:bottom w:val="single" w:sz="4" w:space="0" w:color="7030A0"/>
            </w:tcBorders>
            <w:shd w:val="clear" w:color="auto" w:fill="auto"/>
            <w:noWrap/>
          </w:tcPr>
          <w:p w14:paraId="411A460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$24,094</w:t>
            </w:r>
          </w:p>
        </w:tc>
        <w:tc>
          <w:tcPr>
            <w:tcW w:w="940" w:type="dxa"/>
            <w:tcBorders>
              <w:top w:val="single" w:sz="4" w:space="0" w:color="7030A0"/>
              <w:bottom w:val="single" w:sz="4" w:space="0" w:color="7030A0"/>
            </w:tcBorders>
            <w:shd w:val="clear" w:color="auto" w:fill="auto"/>
            <w:noWrap/>
          </w:tcPr>
          <w:p w14:paraId="411A460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$25,084</w:t>
            </w:r>
          </w:p>
        </w:tc>
        <w:tc>
          <w:tcPr>
            <w:tcW w:w="938" w:type="dxa"/>
            <w:tcBorders>
              <w:top w:val="single" w:sz="4" w:space="0" w:color="7030A0"/>
              <w:bottom w:val="single" w:sz="4" w:space="0" w:color="7030A0"/>
            </w:tcBorders>
            <w:shd w:val="clear" w:color="auto" w:fill="auto"/>
            <w:noWrap/>
          </w:tcPr>
          <w:p w14:paraId="411A460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+$887</w:t>
            </w:r>
          </w:p>
        </w:tc>
        <w:tc>
          <w:tcPr>
            <w:tcW w:w="940" w:type="dxa"/>
            <w:tcBorders>
              <w:top w:val="single" w:sz="4" w:space="0" w:color="7030A0"/>
              <w:bottom w:val="single" w:sz="4" w:space="0" w:color="7030A0"/>
            </w:tcBorders>
            <w:shd w:val="clear" w:color="auto" w:fill="auto"/>
            <w:noWrap/>
          </w:tcPr>
          <w:p w14:paraId="411A460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$32,979</w:t>
            </w:r>
          </w:p>
        </w:tc>
        <w:tc>
          <w:tcPr>
            <w:tcW w:w="950" w:type="dxa"/>
            <w:tcBorders>
              <w:top w:val="single" w:sz="4" w:space="0" w:color="7030A0"/>
              <w:bottom w:val="single" w:sz="4" w:space="0" w:color="7030A0"/>
            </w:tcBorders>
            <w:shd w:val="clear" w:color="auto" w:fill="auto"/>
            <w:noWrap/>
          </w:tcPr>
          <w:p w14:paraId="411A460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$34,108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07"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615"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09"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Group Accomm, 5 residents</w:t>
            </w:r>
          </w:p>
        </w:tc>
        <w:tc>
          <w:tcPr>
            <w:tcW w:w="1036" w:type="dxa"/>
            <w:tcBorders>
              <w:top w:val="single" w:sz="4" w:space="0" w:color="7030A0"/>
              <w:bottom w:val="single" w:sz="4" w:space="0" w:color="7030A0"/>
            </w:tcBorders>
          </w:tcPr>
          <w:p w14:paraId="411A460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$14,510</w:t>
            </w:r>
          </w:p>
        </w:tc>
        <w:tc>
          <w:tcPr>
            <w:tcW w:w="940" w:type="dxa"/>
            <w:tcBorders>
              <w:top w:val="single" w:sz="4" w:space="0" w:color="7030A0"/>
              <w:bottom w:val="single" w:sz="4" w:space="0" w:color="7030A0"/>
            </w:tcBorders>
            <w:shd w:val="clear" w:color="auto" w:fill="auto"/>
            <w:noWrap/>
          </w:tcPr>
          <w:p w14:paraId="411A460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$14,744</w:t>
            </w:r>
          </w:p>
        </w:tc>
        <w:tc>
          <w:tcPr>
            <w:tcW w:w="940" w:type="dxa"/>
            <w:tcBorders>
              <w:top w:val="single" w:sz="4" w:space="0" w:color="7030A0"/>
              <w:bottom w:val="single" w:sz="4" w:space="0" w:color="7030A0"/>
            </w:tcBorders>
            <w:shd w:val="clear" w:color="auto" w:fill="auto"/>
            <w:noWrap/>
          </w:tcPr>
          <w:p w14:paraId="411A460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$15,262</w:t>
            </w:r>
          </w:p>
        </w:tc>
        <w:tc>
          <w:tcPr>
            <w:tcW w:w="940" w:type="dxa"/>
            <w:tcBorders>
              <w:top w:val="single" w:sz="4" w:space="0" w:color="7030A0"/>
              <w:bottom w:val="single" w:sz="4" w:space="0" w:color="7030A0"/>
            </w:tcBorders>
            <w:shd w:val="clear" w:color="auto" w:fill="auto"/>
            <w:noWrap/>
          </w:tcPr>
          <w:p w14:paraId="411A460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$17,483</w:t>
            </w:r>
          </w:p>
        </w:tc>
        <w:tc>
          <w:tcPr>
            <w:tcW w:w="940" w:type="dxa"/>
            <w:tcBorders>
              <w:top w:val="single" w:sz="4" w:space="0" w:color="7030A0"/>
              <w:bottom w:val="single" w:sz="4" w:space="0" w:color="7030A0"/>
            </w:tcBorders>
            <w:shd w:val="clear" w:color="auto" w:fill="auto"/>
            <w:noWrap/>
          </w:tcPr>
          <w:p w14:paraId="411A460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$18,135</w:t>
            </w:r>
          </w:p>
        </w:tc>
        <w:tc>
          <w:tcPr>
            <w:tcW w:w="940" w:type="dxa"/>
            <w:tcBorders>
              <w:top w:val="single" w:sz="4" w:space="0" w:color="7030A0"/>
              <w:bottom w:val="single" w:sz="4" w:space="0" w:color="7030A0"/>
            </w:tcBorders>
            <w:shd w:val="clear" w:color="auto" w:fill="auto"/>
            <w:noWrap/>
          </w:tcPr>
          <w:p w14:paraId="411A460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$21,199</w:t>
            </w:r>
          </w:p>
        </w:tc>
        <w:tc>
          <w:tcPr>
            <w:tcW w:w="940" w:type="dxa"/>
            <w:tcBorders>
              <w:top w:val="single" w:sz="4" w:space="0" w:color="7030A0"/>
              <w:bottom w:val="single" w:sz="4" w:space="0" w:color="7030A0"/>
            </w:tcBorders>
            <w:shd w:val="clear" w:color="auto" w:fill="auto"/>
            <w:noWrap/>
          </w:tcPr>
          <w:p w14:paraId="411A461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$21,983</w:t>
            </w:r>
          </w:p>
        </w:tc>
        <w:tc>
          <w:tcPr>
            <w:tcW w:w="938" w:type="dxa"/>
            <w:tcBorders>
              <w:top w:val="single" w:sz="4" w:space="0" w:color="7030A0"/>
              <w:bottom w:val="single" w:sz="4" w:space="0" w:color="7030A0"/>
            </w:tcBorders>
            <w:shd w:val="clear" w:color="auto" w:fill="auto"/>
            <w:noWrap/>
          </w:tcPr>
          <w:p w14:paraId="411A461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+$699</w:t>
            </w:r>
          </w:p>
        </w:tc>
        <w:tc>
          <w:tcPr>
            <w:tcW w:w="940" w:type="dxa"/>
            <w:tcBorders>
              <w:top w:val="single" w:sz="4" w:space="0" w:color="7030A0"/>
              <w:bottom w:val="single" w:sz="4" w:space="0" w:color="7030A0"/>
            </w:tcBorders>
            <w:shd w:val="clear" w:color="auto" w:fill="auto"/>
            <w:noWrap/>
          </w:tcPr>
          <w:p w14:paraId="411A461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$29,376</w:t>
            </w:r>
          </w:p>
        </w:tc>
        <w:tc>
          <w:tcPr>
            <w:tcW w:w="950" w:type="dxa"/>
            <w:tcBorders>
              <w:top w:val="single" w:sz="4" w:space="0" w:color="7030A0"/>
              <w:bottom w:val="single" w:sz="4" w:space="0" w:color="7030A0"/>
            </w:tcBorders>
            <w:shd w:val="clear" w:color="auto" w:fill="auto"/>
            <w:noWrap/>
          </w:tcPr>
          <w:p w14:paraId="411A461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$30,267</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14"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bl>
    <w:p w14:paraId="411A4616" w14:textId="77777777" w:rsidR="00FA5F62" w:rsidRDefault="00FA5F62" w:rsidP="00FA5F62">
      <w:pPr>
        <w:spacing w:after="0"/>
        <w:rPr>
          <w:sz w:val="14"/>
        </w:rPr>
      </w:pPr>
    </w:p>
    <w:p w14:paraId="411A4617" w14:textId="77777777" w:rsidR="00FA5F62" w:rsidRPr="00FA5F62" w:rsidRDefault="00FA5F62" w:rsidP="00FA5F62">
      <w:pPr>
        <w:spacing w:after="0"/>
        <w:rPr>
          <w:sz w:val="18"/>
        </w:rPr>
      </w:pPr>
      <w:r w:rsidRPr="00FA5F62">
        <w:rPr>
          <w:sz w:val="18"/>
        </w:rPr>
        <w:t>OOA</w:t>
      </w:r>
      <w:r w:rsidRPr="00FA5F62">
        <w:rPr>
          <w:sz w:val="18"/>
        </w:rPr>
        <w:tab/>
      </w:r>
      <w:r w:rsidRPr="00FA5F62">
        <w:rPr>
          <w:sz w:val="18"/>
        </w:rPr>
        <w:tab/>
        <w:t xml:space="preserve">On-site </w:t>
      </w:r>
      <w:r w:rsidR="00D950AF">
        <w:rPr>
          <w:sz w:val="18"/>
        </w:rPr>
        <w:t>o</w:t>
      </w:r>
      <w:r w:rsidRPr="00FA5F62">
        <w:rPr>
          <w:sz w:val="18"/>
        </w:rPr>
        <w:t xml:space="preserve">vernight </w:t>
      </w:r>
      <w:r w:rsidR="00D950AF">
        <w:rPr>
          <w:sz w:val="18"/>
        </w:rPr>
        <w:t>a</w:t>
      </w:r>
      <w:r w:rsidRPr="00FA5F62">
        <w:rPr>
          <w:sz w:val="18"/>
        </w:rPr>
        <w:t>ssistance</w:t>
      </w:r>
    </w:p>
    <w:p w14:paraId="411A4618" w14:textId="77777777" w:rsidR="00FA5F62" w:rsidRDefault="00FA5F62" w:rsidP="00FA5F62">
      <w:pPr>
        <w:spacing w:after="0"/>
        <w:rPr>
          <w:sz w:val="18"/>
        </w:rPr>
      </w:pPr>
      <w:r w:rsidRPr="00FA5F62">
        <w:rPr>
          <w:sz w:val="18"/>
        </w:rPr>
        <w:t>+1 Room</w:t>
      </w:r>
      <w:r w:rsidRPr="00FA5F62">
        <w:rPr>
          <w:sz w:val="18"/>
        </w:rPr>
        <w:tab/>
        <w:t>Additional breakout room</w:t>
      </w:r>
    </w:p>
    <w:p w14:paraId="411A4619" w14:textId="77777777" w:rsidR="00843173" w:rsidRPr="00843173" w:rsidRDefault="00843173" w:rsidP="00A93156">
      <w:pPr>
        <w:spacing w:before="120" w:after="120"/>
        <w:rPr>
          <w:rFonts w:asciiTheme="minorHAnsi" w:eastAsiaTheme="minorHAnsi" w:hAnsiTheme="minorHAnsi"/>
          <w:b/>
          <w:sz w:val="18"/>
          <w:szCs w:val="18"/>
          <w:lang w:val="en-AU" w:eastAsia="en-US"/>
        </w:rPr>
      </w:pPr>
      <w:r w:rsidRPr="00843173">
        <w:rPr>
          <w:b/>
          <w:sz w:val="18"/>
          <w:szCs w:val="18"/>
        </w:rPr>
        <w:t>Location</w:t>
      </w:r>
    </w:p>
    <w:p w14:paraId="411A461A" w14:textId="77777777" w:rsidR="00843173" w:rsidRPr="00843173" w:rsidRDefault="00843173" w:rsidP="00843173">
      <w:pPr>
        <w:spacing w:after="120"/>
        <w:rPr>
          <w:sz w:val="18"/>
          <w:szCs w:val="18"/>
        </w:rPr>
      </w:pPr>
      <w:r w:rsidRPr="00843173">
        <w:rPr>
          <w:sz w:val="18"/>
          <w:szCs w:val="18"/>
        </w:rPr>
        <w:t xml:space="preserve">* All prices must be multiplied by the </w:t>
      </w:r>
      <w:r w:rsidR="00D950AF">
        <w:rPr>
          <w:sz w:val="18"/>
          <w:szCs w:val="18"/>
        </w:rPr>
        <w:t>l</w:t>
      </w:r>
      <w:r w:rsidRPr="00843173">
        <w:rPr>
          <w:sz w:val="18"/>
          <w:szCs w:val="18"/>
        </w:rPr>
        <w:t xml:space="preserve">ocation </w:t>
      </w:r>
      <w:r w:rsidR="00D950AF">
        <w:rPr>
          <w:sz w:val="18"/>
          <w:szCs w:val="18"/>
        </w:rPr>
        <w:t>f</w:t>
      </w:r>
      <w:r w:rsidRPr="00843173">
        <w:rPr>
          <w:sz w:val="18"/>
          <w:szCs w:val="18"/>
        </w:rPr>
        <w:t>actor relevant to the property’s location</w:t>
      </w:r>
      <w:r w:rsidR="007D3201">
        <w:rPr>
          <w:sz w:val="18"/>
          <w:szCs w:val="18"/>
        </w:rPr>
        <w:t xml:space="preserve"> –see Appendix C for location factors.</w:t>
      </w:r>
      <w:r w:rsidR="00E2350A">
        <w:rPr>
          <w:sz w:val="18"/>
          <w:szCs w:val="18"/>
        </w:rPr>
        <w:t xml:space="preserve"> </w:t>
      </w:r>
    </w:p>
    <w:p w14:paraId="411A461B" w14:textId="77777777" w:rsidR="00843173" w:rsidRPr="00843173" w:rsidRDefault="00843173" w:rsidP="00843173">
      <w:pPr>
        <w:spacing w:before="240" w:after="120"/>
        <w:rPr>
          <w:b/>
          <w:sz w:val="18"/>
          <w:szCs w:val="18"/>
        </w:rPr>
      </w:pPr>
      <w:r w:rsidRPr="00843173">
        <w:rPr>
          <w:b/>
          <w:sz w:val="18"/>
          <w:szCs w:val="18"/>
        </w:rPr>
        <w:t>Additional allowan</w:t>
      </w:r>
      <w:r w:rsidR="008D3C13">
        <w:rPr>
          <w:b/>
          <w:sz w:val="18"/>
          <w:szCs w:val="18"/>
        </w:rPr>
        <w:t>ces may</w:t>
      </w:r>
      <w:r w:rsidRPr="00843173">
        <w:rPr>
          <w:b/>
          <w:sz w:val="18"/>
          <w:szCs w:val="18"/>
        </w:rPr>
        <w:t xml:space="preserve"> also be provided for:</w:t>
      </w:r>
    </w:p>
    <w:p w14:paraId="411A461C" w14:textId="77777777" w:rsidR="00843173" w:rsidRPr="00843173" w:rsidRDefault="00843173" w:rsidP="00843173">
      <w:pPr>
        <w:spacing w:after="0"/>
        <w:ind w:left="142"/>
        <w:rPr>
          <w:sz w:val="18"/>
          <w:szCs w:val="18"/>
        </w:rPr>
      </w:pPr>
      <w:r w:rsidRPr="00843173">
        <w:rPr>
          <w:sz w:val="18"/>
          <w:szCs w:val="18"/>
        </w:rPr>
        <w:t xml:space="preserve">Fire </w:t>
      </w:r>
      <w:r w:rsidR="00D950AF">
        <w:rPr>
          <w:sz w:val="18"/>
          <w:szCs w:val="18"/>
        </w:rPr>
        <w:t>s</w:t>
      </w:r>
      <w:r w:rsidRPr="00843173">
        <w:rPr>
          <w:sz w:val="18"/>
          <w:szCs w:val="18"/>
        </w:rPr>
        <w:t>prinklers</w:t>
      </w:r>
    </w:p>
    <w:p w14:paraId="411A461D" w14:textId="77777777" w:rsidR="00843173" w:rsidRPr="00843173" w:rsidRDefault="00843173" w:rsidP="00843173">
      <w:pPr>
        <w:spacing w:after="0"/>
        <w:ind w:left="142"/>
        <w:rPr>
          <w:sz w:val="18"/>
          <w:szCs w:val="18"/>
        </w:rPr>
      </w:pPr>
      <w:r w:rsidRPr="00843173">
        <w:rPr>
          <w:sz w:val="18"/>
          <w:szCs w:val="18"/>
        </w:rPr>
        <w:t xml:space="preserve">Approved </w:t>
      </w:r>
      <w:r w:rsidR="00D950AF">
        <w:rPr>
          <w:sz w:val="18"/>
          <w:szCs w:val="18"/>
        </w:rPr>
        <w:t>a</w:t>
      </w:r>
      <w:r w:rsidRPr="00843173">
        <w:rPr>
          <w:sz w:val="18"/>
          <w:szCs w:val="18"/>
        </w:rPr>
        <w:t xml:space="preserve">ssistive </w:t>
      </w:r>
      <w:r w:rsidR="00D950AF">
        <w:rPr>
          <w:sz w:val="18"/>
          <w:szCs w:val="18"/>
        </w:rPr>
        <w:t>t</w:t>
      </w:r>
      <w:r w:rsidRPr="00843173">
        <w:rPr>
          <w:sz w:val="18"/>
          <w:szCs w:val="18"/>
        </w:rPr>
        <w:t>echnology</w:t>
      </w:r>
    </w:p>
    <w:p w14:paraId="411A461E" w14:textId="77777777" w:rsidR="00843173" w:rsidRPr="00843173" w:rsidRDefault="008D3C13" w:rsidP="00843173">
      <w:pPr>
        <w:spacing w:after="0"/>
        <w:ind w:left="142"/>
        <w:rPr>
          <w:sz w:val="18"/>
          <w:szCs w:val="18"/>
        </w:rPr>
      </w:pPr>
      <w:r>
        <w:rPr>
          <w:sz w:val="18"/>
          <w:szCs w:val="18"/>
        </w:rPr>
        <w:t>Specialist f</w:t>
      </w:r>
      <w:r w:rsidR="00843173" w:rsidRPr="00843173">
        <w:rPr>
          <w:sz w:val="18"/>
          <w:szCs w:val="18"/>
        </w:rPr>
        <w:t>urnishings</w:t>
      </w:r>
    </w:p>
    <w:p w14:paraId="411A461F" w14:textId="77777777" w:rsidR="00843173" w:rsidRPr="00843173" w:rsidRDefault="00843173" w:rsidP="00843173">
      <w:pPr>
        <w:spacing w:after="0"/>
        <w:ind w:left="142"/>
        <w:rPr>
          <w:sz w:val="18"/>
          <w:szCs w:val="18"/>
        </w:rPr>
      </w:pPr>
      <w:r w:rsidRPr="00843173">
        <w:rPr>
          <w:sz w:val="18"/>
          <w:szCs w:val="18"/>
        </w:rPr>
        <w:t>Communal areas for multiple dwellings</w:t>
      </w:r>
    </w:p>
    <w:p w14:paraId="411A4620" w14:textId="77777777" w:rsidR="00843173" w:rsidRPr="00843173" w:rsidRDefault="00843173" w:rsidP="00843173">
      <w:pPr>
        <w:spacing w:after="0"/>
        <w:ind w:left="142"/>
        <w:rPr>
          <w:sz w:val="18"/>
          <w:szCs w:val="18"/>
        </w:rPr>
      </w:pPr>
      <w:r w:rsidRPr="00843173">
        <w:rPr>
          <w:sz w:val="18"/>
          <w:szCs w:val="18"/>
        </w:rPr>
        <w:t>The participant does not receive Commonwealth Rent Assistance for reasons other than income</w:t>
      </w:r>
    </w:p>
    <w:p w14:paraId="411A4621" w14:textId="77777777" w:rsidR="00843173" w:rsidRPr="00843173" w:rsidRDefault="00843173" w:rsidP="00843173">
      <w:pPr>
        <w:spacing w:after="0"/>
        <w:ind w:left="142"/>
        <w:rPr>
          <w:sz w:val="18"/>
          <w:szCs w:val="18"/>
        </w:rPr>
      </w:pPr>
      <w:r w:rsidRPr="00843173">
        <w:rPr>
          <w:sz w:val="18"/>
          <w:szCs w:val="18"/>
        </w:rPr>
        <w:t>The participant is under 21 and receives a reduced Disability Support Pension</w:t>
      </w:r>
    </w:p>
    <w:p w14:paraId="411A4622" w14:textId="34271FCF" w:rsidR="00A02E9F" w:rsidRDefault="00843173" w:rsidP="00A93156">
      <w:pPr>
        <w:spacing w:after="0"/>
        <w:ind w:firstLine="142"/>
        <w:rPr>
          <w:sz w:val="18"/>
          <w:szCs w:val="18"/>
        </w:rPr>
      </w:pPr>
      <w:r w:rsidRPr="00843173">
        <w:rPr>
          <w:sz w:val="18"/>
          <w:szCs w:val="18"/>
        </w:rPr>
        <w:t xml:space="preserve">Atypical maintenance costs associated with complex </w:t>
      </w:r>
      <w:r w:rsidR="00A93156" w:rsidRPr="00843173">
        <w:rPr>
          <w:sz w:val="18"/>
          <w:szCs w:val="18"/>
        </w:rPr>
        <w:t>behavio</w:t>
      </w:r>
      <w:r w:rsidR="00697BEB">
        <w:rPr>
          <w:sz w:val="18"/>
          <w:szCs w:val="18"/>
        </w:rPr>
        <w:t>u</w:t>
      </w:r>
      <w:r w:rsidR="00A93156" w:rsidRPr="00843173">
        <w:rPr>
          <w:sz w:val="18"/>
          <w:szCs w:val="18"/>
        </w:rPr>
        <w:t>rs</w:t>
      </w:r>
      <w:r w:rsidR="00D950AF">
        <w:rPr>
          <w:sz w:val="18"/>
          <w:szCs w:val="18"/>
        </w:rPr>
        <w:t>.</w:t>
      </w:r>
    </w:p>
    <w:p w14:paraId="411A4623" w14:textId="77777777" w:rsidR="00843173" w:rsidRPr="00A02E9F" w:rsidRDefault="00A02E9F" w:rsidP="00A02E9F">
      <w:pPr>
        <w:tabs>
          <w:tab w:val="left" w:pos="3543"/>
        </w:tabs>
        <w:rPr>
          <w:sz w:val="18"/>
          <w:szCs w:val="18"/>
        </w:rPr>
      </w:pPr>
      <w:r>
        <w:rPr>
          <w:sz w:val="18"/>
          <w:szCs w:val="18"/>
        </w:rPr>
        <w:tab/>
      </w:r>
    </w:p>
    <w:p w14:paraId="1E18B900" w14:textId="77777777" w:rsidR="00740F2F" w:rsidRDefault="00740F2F" w:rsidP="00740F2F">
      <w:pPr>
        <w:pStyle w:val="Caption"/>
      </w:pPr>
    </w:p>
    <w:p w14:paraId="411A4624" w14:textId="52949C17" w:rsidR="00FA5F62" w:rsidRPr="00216FE5" w:rsidRDefault="00740F2F" w:rsidP="00740F2F">
      <w:pPr>
        <w:pStyle w:val="Caption"/>
        <w:rPr>
          <w:rFonts w:asciiTheme="minorHAnsi" w:hAnsiTheme="minorHAnsi"/>
          <w:sz w:val="20"/>
          <w:szCs w:val="20"/>
        </w:rPr>
      </w:pPr>
      <w:r>
        <w:lastRenderedPageBreak/>
        <w:t xml:space="preserve">Table </w:t>
      </w:r>
      <w:r>
        <w:fldChar w:fldCharType="begin"/>
      </w:r>
      <w:r>
        <w:instrText xml:space="preserve"> SEQ Table \* ARABIC </w:instrText>
      </w:r>
      <w:r>
        <w:fldChar w:fldCharType="separate"/>
      </w:r>
      <w:r w:rsidR="00607084">
        <w:rPr>
          <w:noProof/>
        </w:rPr>
        <w:t>6</w:t>
      </w:r>
      <w:r>
        <w:fldChar w:fldCharType="end"/>
      </w:r>
      <w:r>
        <w:t xml:space="preserve"> - </w:t>
      </w:r>
      <w:r w:rsidRPr="005F4B9F">
        <w:t>Base price per participant for EXISTING STOCK, excluding reasonable rent contribution ($ 2016/17)</w:t>
      </w:r>
    </w:p>
    <w:tbl>
      <w:tblPr>
        <w:tblW w:w="13745" w:type="dxa"/>
        <w:tblBorders>
          <w:insideH w:val="single" w:sz="4" w:space="0" w:color="7030A0"/>
          <w:insideV w:val="single" w:sz="4" w:space="0" w:color="7030A0"/>
        </w:tblBorders>
        <w:tblLook w:val="04A0" w:firstRow="1" w:lastRow="0" w:firstColumn="1" w:lastColumn="0" w:noHBand="0" w:noVBand="1"/>
      </w:tblPr>
      <w:tblGrid>
        <w:gridCol w:w="3143"/>
        <w:gridCol w:w="1046"/>
        <w:gridCol w:w="940"/>
        <w:gridCol w:w="940"/>
        <w:gridCol w:w="940"/>
        <w:gridCol w:w="940"/>
        <w:gridCol w:w="940"/>
        <w:gridCol w:w="940"/>
        <w:gridCol w:w="807"/>
        <w:gridCol w:w="940"/>
        <w:gridCol w:w="940"/>
        <w:gridCol w:w="1229"/>
      </w:tblGrid>
      <w:tr w:rsidR="00FA5F62" w:rsidRPr="00FA5F62" w14:paraId="411A462E" w14:textId="77777777" w:rsidTr="00345DC0">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5"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Building type / </w:t>
            </w:r>
            <w:r w:rsidR="00D950AF">
              <w:rPr>
                <w:rFonts w:asciiTheme="minorHAnsi" w:eastAsia="Times New Roman" w:hAnsiTheme="minorHAnsi" w:cs="Times New Roman"/>
                <w:b/>
                <w:color w:val="FFFFFF" w:themeColor="background1"/>
                <w:szCs w:val="22"/>
                <w:lang w:eastAsia="en-AU"/>
              </w:rPr>
              <w:t>d</w:t>
            </w:r>
            <w:r w:rsidRPr="00FA5F62">
              <w:rPr>
                <w:rFonts w:asciiTheme="minorHAnsi" w:eastAsia="Times New Roman" w:hAnsiTheme="minorHAnsi" w:cs="Times New Roman"/>
                <w:b/>
                <w:color w:val="FFFFFF" w:themeColor="background1"/>
                <w:szCs w:val="22"/>
                <w:lang w:eastAsia="en-AU"/>
              </w:rPr>
              <w:t xml:space="preserve">esign </w:t>
            </w:r>
            <w:r w:rsidR="00D950AF">
              <w:rPr>
                <w:rFonts w:asciiTheme="minorHAnsi" w:eastAsia="Times New Roman" w:hAnsiTheme="minorHAnsi" w:cs="Times New Roman"/>
                <w:b/>
                <w:color w:val="FFFFFF" w:themeColor="background1"/>
                <w:szCs w:val="22"/>
                <w:lang w:eastAsia="en-AU"/>
              </w:rPr>
              <w:t>c</w:t>
            </w:r>
            <w:r w:rsidRPr="00FA5F62">
              <w:rPr>
                <w:rFonts w:asciiTheme="minorHAnsi" w:eastAsia="Times New Roman" w:hAnsiTheme="minorHAnsi" w:cs="Times New Roman"/>
                <w:b/>
                <w:color w:val="FFFFFF" w:themeColor="background1"/>
                <w:szCs w:val="22"/>
                <w:lang w:eastAsia="en-AU"/>
              </w:rPr>
              <w:t>ategory</w:t>
            </w:r>
          </w:p>
          <w:p w14:paraId="411A4626"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p>
          <w:p w14:paraId="411A4627"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p>
        </w:tc>
        <w:tc>
          <w:tcPr>
            <w:tcW w:w="104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14:paraId="411A4628"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9"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Improved </w:t>
            </w:r>
            <w:r w:rsidR="00910995" w:rsidRPr="00FA5F62">
              <w:rPr>
                <w:rFonts w:asciiTheme="minorHAnsi" w:eastAsia="Times New Roman" w:hAnsiTheme="minorHAnsi" w:cs="Times New Roman"/>
                <w:b/>
                <w:color w:val="FFFFFF" w:themeColor="background1"/>
                <w:szCs w:val="22"/>
                <w:lang w:eastAsia="en-AU"/>
              </w:rPr>
              <w:t>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A"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Fully accessible</w:t>
            </w:r>
          </w:p>
        </w:tc>
        <w:tc>
          <w:tcPr>
            <w:tcW w:w="26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B"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Robust</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C"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High </w:t>
            </w:r>
            <w:r w:rsidR="00D950AF">
              <w:rPr>
                <w:rFonts w:asciiTheme="minorHAnsi" w:eastAsia="Times New Roman" w:hAnsiTheme="minorHAnsi" w:cs="Times New Roman"/>
                <w:b/>
                <w:color w:val="FFFFFF" w:themeColor="background1"/>
                <w:szCs w:val="22"/>
                <w:lang w:eastAsia="en-AU"/>
              </w:rPr>
              <w:t>s</w:t>
            </w:r>
            <w:r w:rsidRPr="00FA5F62">
              <w:rPr>
                <w:rFonts w:asciiTheme="minorHAnsi" w:eastAsia="Times New Roman" w:hAnsiTheme="minorHAnsi" w:cs="Times New Roman"/>
                <w:b/>
                <w:color w:val="FFFFFF" w:themeColor="background1"/>
                <w:szCs w:val="22"/>
                <w:lang w:eastAsia="en-AU"/>
              </w:rPr>
              <w:t>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D" w14:textId="77777777" w:rsidR="00FA5F62" w:rsidRPr="00FA5F62" w:rsidRDefault="00910995" w:rsidP="00910995">
            <w:pPr>
              <w:spacing w:after="0" w:line="240" w:lineRule="auto"/>
              <w:jc w:val="center"/>
              <w:rPr>
                <w:rFonts w:asciiTheme="minorHAnsi" w:eastAsia="Times New Roman" w:hAnsiTheme="minorHAnsi" w:cs="Times New Roman"/>
                <w:b/>
                <w:color w:val="FFFFFF" w:themeColor="background1"/>
                <w:szCs w:val="22"/>
                <w:lang w:eastAsia="en-AU"/>
              </w:rPr>
            </w:pPr>
            <w:r>
              <w:rPr>
                <w:rFonts w:asciiTheme="minorHAnsi" w:eastAsia="Times New Roman" w:hAnsiTheme="minorHAnsi" w:cs="Times New Roman"/>
                <w:b/>
                <w:color w:val="FFFFFF" w:themeColor="background1"/>
                <w:szCs w:val="22"/>
                <w:lang w:eastAsia="en-AU"/>
              </w:rPr>
              <w:t>Innovation</w:t>
            </w:r>
          </w:p>
        </w:tc>
      </w:tr>
      <w:tr w:rsidR="00FA5F62" w:rsidRPr="00FA5F62" w14:paraId="411A463B" w14:textId="77777777" w:rsidTr="00345DC0">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center"/>
            <w:hideMark/>
          </w:tcPr>
          <w:p w14:paraId="411A462F" w14:textId="77777777" w:rsidR="00FA5F62" w:rsidRPr="00FA5F62" w:rsidRDefault="00FA5F62" w:rsidP="00910995">
            <w:pPr>
              <w:spacing w:after="0" w:line="240" w:lineRule="auto"/>
              <w:rPr>
                <w:rFonts w:asciiTheme="minorHAnsi" w:eastAsia="Times New Roman" w:hAnsiTheme="minorHAnsi" w:cs="Times New Roman"/>
                <w:color w:val="000000"/>
                <w:szCs w:val="22"/>
                <w:lang w:eastAsia="en-AU"/>
              </w:rPr>
            </w:pPr>
          </w:p>
        </w:tc>
        <w:tc>
          <w:tcPr>
            <w:tcW w:w="104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14:paraId="411A4630" w14:textId="77777777" w:rsidR="00FA5F62" w:rsidRPr="00FA5F62" w:rsidRDefault="00FA5F62" w:rsidP="00910995">
            <w:pPr>
              <w:spacing w:after="0" w:line="240" w:lineRule="auto"/>
              <w:jc w:val="center"/>
              <w:rPr>
                <w:rFonts w:asciiTheme="minorHAnsi" w:eastAsia="Times New Roman" w:hAnsiTheme="minorHAnsi" w:cs="Times New Roman"/>
                <w:color w:val="00000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1"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2"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3"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4"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5"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6"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80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7"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8"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9"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A" w14:textId="77777777" w:rsidR="00FA5F62" w:rsidRPr="00FA5F62" w:rsidRDefault="00FA5F62" w:rsidP="00910995">
            <w:pPr>
              <w:spacing w:after="0" w:line="240" w:lineRule="auto"/>
              <w:jc w:val="center"/>
              <w:rPr>
                <w:rFonts w:asciiTheme="minorHAnsi" w:eastAsia="Times New Roman" w:hAnsiTheme="minorHAnsi" w:cs="Times New Roman"/>
                <w:color w:val="FFFFFF" w:themeColor="background1"/>
                <w:szCs w:val="22"/>
                <w:lang w:eastAsia="en-AU"/>
              </w:rPr>
            </w:pPr>
          </w:p>
        </w:tc>
      </w:tr>
      <w:tr w:rsidR="002D5820" w:rsidRPr="00FA5F62" w14:paraId="411A4648"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63C"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1 bedroom, 1 resident</w:t>
            </w:r>
          </w:p>
        </w:tc>
        <w:tc>
          <w:tcPr>
            <w:tcW w:w="1046" w:type="dxa"/>
            <w:tcBorders>
              <w:top w:val="single" w:sz="4" w:space="0" w:color="7030A0"/>
              <w:bottom w:val="single" w:sz="4" w:space="0" w:color="7030A0"/>
            </w:tcBorders>
          </w:tcPr>
          <w:p w14:paraId="411A463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$19,597</w:t>
            </w:r>
          </w:p>
        </w:tc>
        <w:tc>
          <w:tcPr>
            <w:tcW w:w="940" w:type="dxa"/>
            <w:tcBorders>
              <w:top w:val="single" w:sz="4" w:space="0" w:color="7030A0"/>
              <w:bottom w:val="single" w:sz="4" w:space="0" w:color="7030A0"/>
            </w:tcBorders>
            <w:shd w:val="clear" w:color="auto" w:fill="auto"/>
            <w:noWrap/>
          </w:tcPr>
          <w:p w14:paraId="411A463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$20,035</w:t>
            </w:r>
          </w:p>
        </w:tc>
        <w:tc>
          <w:tcPr>
            <w:tcW w:w="940" w:type="dxa"/>
            <w:tcBorders>
              <w:top w:val="single" w:sz="4" w:space="0" w:color="7030A0"/>
              <w:bottom w:val="single" w:sz="4" w:space="0" w:color="7030A0"/>
            </w:tcBorders>
            <w:shd w:val="clear" w:color="auto" w:fill="auto"/>
            <w:noWrap/>
          </w:tcPr>
          <w:p w14:paraId="411A463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$23,374</w:t>
            </w:r>
          </w:p>
        </w:tc>
        <w:tc>
          <w:tcPr>
            <w:tcW w:w="940" w:type="dxa"/>
            <w:tcBorders>
              <w:top w:val="single" w:sz="4" w:space="0" w:color="7030A0"/>
              <w:bottom w:val="single" w:sz="4" w:space="0" w:color="7030A0"/>
            </w:tcBorders>
            <w:shd w:val="clear" w:color="auto" w:fill="auto"/>
            <w:noWrap/>
          </w:tcPr>
          <w:p w14:paraId="411A464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$29,398</w:t>
            </w:r>
          </w:p>
        </w:tc>
        <w:tc>
          <w:tcPr>
            <w:tcW w:w="940" w:type="dxa"/>
            <w:tcBorders>
              <w:top w:val="single" w:sz="4" w:space="0" w:color="7030A0"/>
              <w:bottom w:val="single" w:sz="4" w:space="0" w:color="7030A0"/>
            </w:tcBorders>
            <w:shd w:val="clear" w:color="auto" w:fill="auto"/>
            <w:noWrap/>
          </w:tcPr>
          <w:p w14:paraId="411A464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$34,298</w:t>
            </w:r>
          </w:p>
        </w:tc>
        <w:tc>
          <w:tcPr>
            <w:tcW w:w="940" w:type="dxa"/>
            <w:tcBorders>
              <w:top w:val="single" w:sz="4" w:space="0" w:color="7030A0"/>
              <w:bottom w:val="single" w:sz="4" w:space="0" w:color="7030A0"/>
            </w:tcBorders>
            <w:shd w:val="clear" w:color="auto" w:fill="auto"/>
            <w:noWrap/>
          </w:tcPr>
          <w:p w14:paraId="411A464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4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807" w:type="dxa"/>
            <w:tcBorders>
              <w:top w:val="single" w:sz="4" w:space="0" w:color="7030A0"/>
              <w:bottom w:val="single" w:sz="4" w:space="0" w:color="7030A0"/>
            </w:tcBorders>
            <w:shd w:val="clear" w:color="auto" w:fill="auto"/>
            <w:noWrap/>
          </w:tcPr>
          <w:p w14:paraId="411A464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4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$47,233</w:t>
            </w:r>
          </w:p>
        </w:tc>
        <w:tc>
          <w:tcPr>
            <w:tcW w:w="940" w:type="dxa"/>
            <w:tcBorders>
              <w:top w:val="single" w:sz="4" w:space="0" w:color="7030A0"/>
              <w:bottom w:val="single" w:sz="4" w:space="0" w:color="7030A0"/>
            </w:tcBorders>
            <w:shd w:val="clear" w:color="auto" w:fill="auto"/>
            <w:noWrap/>
          </w:tcPr>
          <w:p w14:paraId="411A464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$55,105</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647"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Premium above other prices. Considered case</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by</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case.</w:t>
            </w:r>
          </w:p>
        </w:tc>
      </w:tr>
      <w:tr w:rsidR="002D5820" w:rsidRPr="00FA5F62" w14:paraId="411A4655"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49"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2 bedrooms, 1 resident</w:t>
            </w:r>
          </w:p>
        </w:tc>
        <w:tc>
          <w:tcPr>
            <w:tcW w:w="1046" w:type="dxa"/>
            <w:tcBorders>
              <w:top w:val="single" w:sz="4" w:space="0" w:color="7030A0"/>
              <w:bottom w:val="single" w:sz="4" w:space="0" w:color="7030A0"/>
            </w:tcBorders>
          </w:tcPr>
          <w:p w14:paraId="411A464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$26,706</w:t>
            </w:r>
          </w:p>
        </w:tc>
        <w:tc>
          <w:tcPr>
            <w:tcW w:w="940" w:type="dxa"/>
            <w:tcBorders>
              <w:top w:val="single" w:sz="4" w:space="0" w:color="7030A0"/>
              <w:bottom w:val="single" w:sz="4" w:space="0" w:color="7030A0"/>
            </w:tcBorders>
            <w:shd w:val="clear" w:color="auto" w:fill="auto"/>
            <w:noWrap/>
          </w:tcPr>
          <w:p w14:paraId="411A464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$27,244</w:t>
            </w:r>
          </w:p>
        </w:tc>
        <w:tc>
          <w:tcPr>
            <w:tcW w:w="940" w:type="dxa"/>
            <w:tcBorders>
              <w:top w:val="single" w:sz="4" w:space="0" w:color="7030A0"/>
              <w:bottom w:val="single" w:sz="4" w:space="0" w:color="7030A0"/>
            </w:tcBorders>
            <w:shd w:val="clear" w:color="auto" w:fill="auto"/>
            <w:noWrap/>
          </w:tcPr>
          <w:p w14:paraId="411A464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$31,785</w:t>
            </w:r>
          </w:p>
        </w:tc>
        <w:tc>
          <w:tcPr>
            <w:tcW w:w="940" w:type="dxa"/>
            <w:tcBorders>
              <w:top w:val="single" w:sz="4" w:space="0" w:color="7030A0"/>
              <w:bottom w:val="single" w:sz="4" w:space="0" w:color="7030A0"/>
            </w:tcBorders>
            <w:shd w:val="clear" w:color="auto" w:fill="auto"/>
            <w:noWrap/>
          </w:tcPr>
          <w:p w14:paraId="411A464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$36,707</w:t>
            </w:r>
          </w:p>
        </w:tc>
        <w:tc>
          <w:tcPr>
            <w:tcW w:w="940" w:type="dxa"/>
            <w:tcBorders>
              <w:top w:val="single" w:sz="4" w:space="0" w:color="7030A0"/>
              <w:bottom w:val="single" w:sz="4" w:space="0" w:color="7030A0"/>
            </w:tcBorders>
            <w:shd w:val="clear" w:color="auto" w:fill="auto"/>
            <w:noWrap/>
          </w:tcPr>
          <w:p w14:paraId="411A464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$42,825</w:t>
            </w:r>
          </w:p>
        </w:tc>
        <w:tc>
          <w:tcPr>
            <w:tcW w:w="940" w:type="dxa"/>
            <w:tcBorders>
              <w:top w:val="single" w:sz="4" w:space="0" w:color="7030A0"/>
              <w:bottom w:val="single" w:sz="4" w:space="0" w:color="7030A0"/>
            </w:tcBorders>
            <w:shd w:val="clear" w:color="auto" w:fill="auto"/>
            <w:noWrap/>
          </w:tcPr>
          <w:p w14:paraId="411A464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807" w:type="dxa"/>
            <w:tcBorders>
              <w:top w:val="single" w:sz="4" w:space="0" w:color="7030A0"/>
              <w:bottom w:val="single" w:sz="4" w:space="0" w:color="7030A0"/>
            </w:tcBorders>
            <w:shd w:val="clear" w:color="auto" w:fill="auto"/>
            <w:noWrap/>
          </w:tcPr>
          <w:p w14:paraId="411A465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$60,209</w:t>
            </w:r>
          </w:p>
        </w:tc>
        <w:tc>
          <w:tcPr>
            <w:tcW w:w="940" w:type="dxa"/>
            <w:tcBorders>
              <w:top w:val="single" w:sz="4" w:space="0" w:color="7030A0"/>
              <w:bottom w:val="single" w:sz="4" w:space="0" w:color="7030A0"/>
            </w:tcBorders>
            <w:shd w:val="clear" w:color="auto" w:fill="auto"/>
            <w:noWrap/>
          </w:tcPr>
          <w:p w14:paraId="411A465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$70,243</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54"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62"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56"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Villa, 1 bedrooms, 1 resident</w:t>
            </w:r>
          </w:p>
        </w:tc>
        <w:tc>
          <w:tcPr>
            <w:tcW w:w="1046" w:type="dxa"/>
            <w:tcBorders>
              <w:top w:val="single" w:sz="4" w:space="0" w:color="7030A0"/>
              <w:bottom w:val="single" w:sz="4" w:space="0" w:color="7030A0"/>
            </w:tcBorders>
          </w:tcPr>
          <w:p w14:paraId="411A465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$11,515</w:t>
            </w:r>
          </w:p>
        </w:tc>
        <w:tc>
          <w:tcPr>
            <w:tcW w:w="940" w:type="dxa"/>
            <w:tcBorders>
              <w:top w:val="single" w:sz="4" w:space="0" w:color="7030A0"/>
              <w:bottom w:val="single" w:sz="4" w:space="0" w:color="7030A0"/>
            </w:tcBorders>
            <w:shd w:val="clear" w:color="auto" w:fill="auto"/>
            <w:noWrap/>
          </w:tcPr>
          <w:p w14:paraId="411A465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$11,760</w:t>
            </w:r>
          </w:p>
        </w:tc>
        <w:tc>
          <w:tcPr>
            <w:tcW w:w="940" w:type="dxa"/>
            <w:tcBorders>
              <w:top w:val="single" w:sz="4" w:space="0" w:color="7030A0"/>
              <w:bottom w:val="single" w:sz="4" w:space="0" w:color="7030A0"/>
            </w:tcBorders>
            <w:shd w:val="clear" w:color="auto" w:fill="auto"/>
            <w:noWrap/>
          </w:tcPr>
          <w:p w14:paraId="411A465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$13,532</w:t>
            </w:r>
          </w:p>
        </w:tc>
        <w:tc>
          <w:tcPr>
            <w:tcW w:w="940" w:type="dxa"/>
            <w:tcBorders>
              <w:top w:val="single" w:sz="4" w:space="0" w:color="7030A0"/>
              <w:bottom w:val="single" w:sz="4" w:space="0" w:color="7030A0"/>
            </w:tcBorders>
            <w:shd w:val="clear" w:color="auto" w:fill="auto"/>
            <w:noWrap/>
          </w:tcPr>
          <w:p w14:paraId="411A465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$15,889</w:t>
            </w:r>
          </w:p>
        </w:tc>
        <w:tc>
          <w:tcPr>
            <w:tcW w:w="940" w:type="dxa"/>
            <w:tcBorders>
              <w:top w:val="single" w:sz="4" w:space="0" w:color="7030A0"/>
              <w:bottom w:val="single" w:sz="4" w:space="0" w:color="7030A0"/>
            </w:tcBorders>
            <w:shd w:val="clear" w:color="auto" w:fill="auto"/>
            <w:noWrap/>
          </w:tcPr>
          <w:p w14:paraId="411A465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$17,747</w:t>
            </w:r>
          </w:p>
        </w:tc>
        <w:tc>
          <w:tcPr>
            <w:tcW w:w="940" w:type="dxa"/>
            <w:tcBorders>
              <w:top w:val="single" w:sz="4" w:space="0" w:color="7030A0"/>
              <w:bottom w:val="single" w:sz="4" w:space="0" w:color="7030A0"/>
            </w:tcBorders>
            <w:shd w:val="clear" w:color="auto" w:fill="auto"/>
            <w:noWrap/>
          </w:tcPr>
          <w:p w14:paraId="411A465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$20,170</w:t>
            </w:r>
          </w:p>
        </w:tc>
        <w:tc>
          <w:tcPr>
            <w:tcW w:w="940" w:type="dxa"/>
            <w:tcBorders>
              <w:top w:val="single" w:sz="4" w:space="0" w:color="7030A0"/>
              <w:bottom w:val="single" w:sz="4" w:space="0" w:color="7030A0"/>
            </w:tcBorders>
            <w:shd w:val="clear" w:color="auto" w:fill="auto"/>
            <w:noWrap/>
          </w:tcPr>
          <w:p w14:paraId="411A465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$22,471</w:t>
            </w:r>
          </w:p>
        </w:tc>
        <w:tc>
          <w:tcPr>
            <w:tcW w:w="807" w:type="dxa"/>
            <w:tcBorders>
              <w:top w:val="single" w:sz="4" w:space="0" w:color="7030A0"/>
              <w:bottom w:val="single" w:sz="4" w:space="0" w:color="7030A0"/>
            </w:tcBorders>
            <w:shd w:val="clear" w:color="auto" w:fill="auto"/>
            <w:noWrap/>
          </w:tcPr>
          <w:p w14:paraId="411A465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$26,536</w:t>
            </w:r>
          </w:p>
        </w:tc>
        <w:tc>
          <w:tcPr>
            <w:tcW w:w="940" w:type="dxa"/>
            <w:tcBorders>
              <w:top w:val="single" w:sz="4" w:space="0" w:color="7030A0"/>
              <w:bottom w:val="single" w:sz="4" w:space="0" w:color="7030A0"/>
            </w:tcBorders>
            <w:shd w:val="clear" w:color="auto" w:fill="auto"/>
            <w:noWrap/>
          </w:tcPr>
          <w:p w14:paraId="411A466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$28,954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61"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6F"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63"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2 residents</w:t>
            </w:r>
          </w:p>
        </w:tc>
        <w:tc>
          <w:tcPr>
            <w:tcW w:w="1046" w:type="dxa"/>
            <w:tcBorders>
              <w:top w:val="single" w:sz="4" w:space="0" w:color="7030A0"/>
              <w:bottom w:val="single" w:sz="4" w:space="0" w:color="7030A0"/>
            </w:tcBorders>
          </w:tcPr>
          <w:p w14:paraId="411A466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$6,161</w:t>
            </w:r>
          </w:p>
        </w:tc>
        <w:tc>
          <w:tcPr>
            <w:tcW w:w="940" w:type="dxa"/>
            <w:tcBorders>
              <w:top w:val="single" w:sz="4" w:space="0" w:color="7030A0"/>
              <w:bottom w:val="single" w:sz="4" w:space="0" w:color="7030A0"/>
            </w:tcBorders>
            <w:shd w:val="clear" w:color="auto" w:fill="auto"/>
            <w:noWrap/>
          </w:tcPr>
          <w:p w14:paraId="411A466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$6,340</w:t>
            </w:r>
          </w:p>
        </w:tc>
        <w:tc>
          <w:tcPr>
            <w:tcW w:w="940" w:type="dxa"/>
            <w:tcBorders>
              <w:top w:val="single" w:sz="4" w:space="0" w:color="7030A0"/>
              <w:bottom w:val="single" w:sz="4" w:space="0" w:color="7030A0"/>
            </w:tcBorders>
            <w:shd w:val="clear" w:color="auto" w:fill="auto"/>
            <w:noWrap/>
          </w:tcPr>
          <w:p w14:paraId="411A466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$7,196</w:t>
            </w:r>
          </w:p>
        </w:tc>
        <w:tc>
          <w:tcPr>
            <w:tcW w:w="940" w:type="dxa"/>
            <w:tcBorders>
              <w:top w:val="single" w:sz="4" w:space="0" w:color="7030A0"/>
              <w:bottom w:val="single" w:sz="4" w:space="0" w:color="7030A0"/>
            </w:tcBorders>
            <w:shd w:val="clear" w:color="auto" w:fill="auto"/>
            <w:noWrap/>
          </w:tcPr>
          <w:p w14:paraId="411A466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$9,035</w:t>
            </w:r>
          </w:p>
        </w:tc>
        <w:tc>
          <w:tcPr>
            <w:tcW w:w="940" w:type="dxa"/>
            <w:tcBorders>
              <w:top w:val="single" w:sz="4" w:space="0" w:color="7030A0"/>
              <w:bottom w:val="single" w:sz="4" w:space="0" w:color="7030A0"/>
            </w:tcBorders>
            <w:shd w:val="clear" w:color="auto" w:fill="auto"/>
            <w:noWrap/>
          </w:tcPr>
          <w:p w14:paraId="411A466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$9,939</w:t>
            </w:r>
          </w:p>
        </w:tc>
        <w:tc>
          <w:tcPr>
            <w:tcW w:w="940" w:type="dxa"/>
            <w:tcBorders>
              <w:top w:val="single" w:sz="4" w:space="0" w:color="7030A0"/>
              <w:bottom w:val="single" w:sz="4" w:space="0" w:color="7030A0"/>
            </w:tcBorders>
            <w:shd w:val="clear" w:color="auto" w:fill="auto"/>
            <w:noWrap/>
          </w:tcPr>
          <w:p w14:paraId="411A466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$11,841</w:t>
            </w:r>
          </w:p>
        </w:tc>
        <w:tc>
          <w:tcPr>
            <w:tcW w:w="940" w:type="dxa"/>
            <w:tcBorders>
              <w:top w:val="single" w:sz="4" w:space="0" w:color="7030A0"/>
              <w:bottom w:val="single" w:sz="4" w:space="0" w:color="7030A0"/>
            </w:tcBorders>
            <w:shd w:val="clear" w:color="auto" w:fill="auto"/>
            <w:noWrap/>
          </w:tcPr>
          <w:p w14:paraId="411A466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$12,950</w:t>
            </w:r>
          </w:p>
        </w:tc>
        <w:tc>
          <w:tcPr>
            <w:tcW w:w="807" w:type="dxa"/>
            <w:tcBorders>
              <w:top w:val="single" w:sz="4" w:space="0" w:color="7030A0"/>
              <w:bottom w:val="single" w:sz="4" w:space="0" w:color="7030A0"/>
            </w:tcBorders>
            <w:shd w:val="clear" w:color="auto" w:fill="auto"/>
            <w:noWrap/>
          </w:tcPr>
          <w:p w14:paraId="411A466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+$993</w:t>
            </w:r>
          </w:p>
        </w:tc>
        <w:tc>
          <w:tcPr>
            <w:tcW w:w="940" w:type="dxa"/>
            <w:tcBorders>
              <w:top w:val="single" w:sz="4" w:space="0" w:color="7030A0"/>
              <w:bottom w:val="single" w:sz="4" w:space="0" w:color="7030A0"/>
            </w:tcBorders>
            <w:shd w:val="clear" w:color="auto" w:fill="auto"/>
            <w:noWrap/>
          </w:tcPr>
          <w:p w14:paraId="411A466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$16,179</w:t>
            </w:r>
          </w:p>
        </w:tc>
        <w:tc>
          <w:tcPr>
            <w:tcW w:w="940" w:type="dxa"/>
            <w:tcBorders>
              <w:top w:val="single" w:sz="4" w:space="0" w:color="7030A0"/>
              <w:bottom w:val="single" w:sz="4" w:space="0" w:color="7030A0"/>
            </w:tcBorders>
            <w:shd w:val="clear" w:color="auto" w:fill="auto"/>
            <w:noWrap/>
          </w:tcPr>
          <w:p w14:paraId="411A466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$17,342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6E"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7C"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70"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3 residents</w:t>
            </w:r>
          </w:p>
        </w:tc>
        <w:tc>
          <w:tcPr>
            <w:tcW w:w="1046" w:type="dxa"/>
            <w:tcBorders>
              <w:top w:val="single" w:sz="4" w:space="0" w:color="7030A0"/>
              <w:bottom w:val="single" w:sz="4" w:space="0" w:color="7030A0"/>
            </w:tcBorders>
          </w:tcPr>
          <w:p w14:paraId="411A467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$5,011</w:t>
            </w:r>
          </w:p>
        </w:tc>
        <w:tc>
          <w:tcPr>
            <w:tcW w:w="940" w:type="dxa"/>
            <w:tcBorders>
              <w:top w:val="single" w:sz="4" w:space="0" w:color="7030A0"/>
              <w:bottom w:val="single" w:sz="4" w:space="0" w:color="7030A0"/>
            </w:tcBorders>
            <w:shd w:val="clear" w:color="auto" w:fill="auto"/>
            <w:noWrap/>
          </w:tcPr>
          <w:p w14:paraId="411A467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$5,153</w:t>
            </w:r>
          </w:p>
        </w:tc>
        <w:tc>
          <w:tcPr>
            <w:tcW w:w="940" w:type="dxa"/>
            <w:tcBorders>
              <w:top w:val="single" w:sz="4" w:space="0" w:color="7030A0"/>
              <w:bottom w:val="single" w:sz="4" w:space="0" w:color="7030A0"/>
            </w:tcBorders>
            <w:shd w:val="clear" w:color="auto" w:fill="auto"/>
            <w:noWrap/>
          </w:tcPr>
          <w:p w14:paraId="411A467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$5,657</w:t>
            </w:r>
          </w:p>
        </w:tc>
        <w:tc>
          <w:tcPr>
            <w:tcW w:w="940" w:type="dxa"/>
            <w:tcBorders>
              <w:top w:val="single" w:sz="4" w:space="0" w:color="7030A0"/>
              <w:bottom w:val="single" w:sz="4" w:space="0" w:color="7030A0"/>
            </w:tcBorders>
            <w:shd w:val="clear" w:color="auto" w:fill="auto"/>
            <w:noWrap/>
          </w:tcPr>
          <w:p w14:paraId="411A467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$7,430</w:t>
            </w:r>
          </w:p>
        </w:tc>
        <w:tc>
          <w:tcPr>
            <w:tcW w:w="940" w:type="dxa"/>
            <w:tcBorders>
              <w:top w:val="single" w:sz="4" w:space="0" w:color="7030A0"/>
              <w:bottom w:val="single" w:sz="4" w:space="0" w:color="7030A0"/>
            </w:tcBorders>
            <w:shd w:val="clear" w:color="auto" w:fill="auto"/>
            <w:noWrap/>
          </w:tcPr>
          <w:p w14:paraId="411A467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$8,187</w:t>
            </w:r>
          </w:p>
        </w:tc>
        <w:tc>
          <w:tcPr>
            <w:tcW w:w="940" w:type="dxa"/>
            <w:tcBorders>
              <w:top w:val="single" w:sz="4" w:space="0" w:color="7030A0"/>
              <w:bottom w:val="single" w:sz="4" w:space="0" w:color="7030A0"/>
            </w:tcBorders>
            <w:shd w:val="clear" w:color="auto" w:fill="auto"/>
            <w:noWrap/>
          </w:tcPr>
          <w:p w14:paraId="411A467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$9,897</w:t>
            </w:r>
          </w:p>
        </w:tc>
        <w:tc>
          <w:tcPr>
            <w:tcW w:w="940" w:type="dxa"/>
            <w:tcBorders>
              <w:top w:val="single" w:sz="4" w:space="0" w:color="7030A0"/>
              <w:bottom w:val="single" w:sz="4" w:space="0" w:color="7030A0"/>
            </w:tcBorders>
            <w:shd w:val="clear" w:color="auto" w:fill="auto"/>
            <w:noWrap/>
          </w:tcPr>
          <w:p w14:paraId="411A467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$10,645</w:t>
            </w:r>
          </w:p>
        </w:tc>
        <w:tc>
          <w:tcPr>
            <w:tcW w:w="807" w:type="dxa"/>
            <w:tcBorders>
              <w:top w:val="single" w:sz="4" w:space="0" w:color="7030A0"/>
              <w:bottom w:val="single" w:sz="4" w:space="0" w:color="7030A0"/>
            </w:tcBorders>
            <w:shd w:val="clear" w:color="auto" w:fill="auto"/>
            <w:noWrap/>
          </w:tcPr>
          <w:p w14:paraId="411A467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+$681</w:t>
            </w:r>
          </w:p>
        </w:tc>
        <w:tc>
          <w:tcPr>
            <w:tcW w:w="940" w:type="dxa"/>
            <w:tcBorders>
              <w:top w:val="single" w:sz="4" w:space="0" w:color="7030A0"/>
              <w:bottom w:val="single" w:sz="4" w:space="0" w:color="7030A0"/>
            </w:tcBorders>
            <w:shd w:val="clear" w:color="auto" w:fill="auto"/>
            <w:noWrap/>
          </w:tcPr>
          <w:p w14:paraId="411A467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$14,124</w:t>
            </w:r>
          </w:p>
        </w:tc>
        <w:tc>
          <w:tcPr>
            <w:tcW w:w="940" w:type="dxa"/>
            <w:tcBorders>
              <w:top w:val="single" w:sz="4" w:space="0" w:color="7030A0"/>
              <w:bottom w:val="single" w:sz="4" w:space="0" w:color="7030A0"/>
            </w:tcBorders>
            <w:shd w:val="clear" w:color="auto" w:fill="auto"/>
            <w:noWrap/>
          </w:tcPr>
          <w:p w14:paraId="411A467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$14,892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7B"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89"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7D"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3 residents</w:t>
            </w:r>
          </w:p>
        </w:tc>
        <w:tc>
          <w:tcPr>
            <w:tcW w:w="1046" w:type="dxa"/>
            <w:tcBorders>
              <w:top w:val="single" w:sz="4" w:space="0" w:color="7030A0"/>
              <w:bottom w:val="single" w:sz="4" w:space="0" w:color="7030A0"/>
            </w:tcBorders>
          </w:tcPr>
          <w:p w14:paraId="411A467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$7,430</w:t>
            </w:r>
          </w:p>
        </w:tc>
        <w:tc>
          <w:tcPr>
            <w:tcW w:w="940" w:type="dxa"/>
            <w:tcBorders>
              <w:top w:val="single" w:sz="4" w:space="0" w:color="7030A0"/>
              <w:bottom w:val="single" w:sz="4" w:space="0" w:color="7030A0"/>
            </w:tcBorders>
            <w:shd w:val="clear" w:color="auto" w:fill="auto"/>
            <w:noWrap/>
          </w:tcPr>
          <w:p w14:paraId="411A467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$7,633</w:t>
            </w:r>
          </w:p>
        </w:tc>
        <w:tc>
          <w:tcPr>
            <w:tcW w:w="940" w:type="dxa"/>
            <w:tcBorders>
              <w:top w:val="single" w:sz="4" w:space="0" w:color="7030A0"/>
              <w:bottom w:val="single" w:sz="4" w:space="0" w:color="7030A0"/>
            </w:tcBorders>
            <w:shd w:val="clear" w:color="auto" w:fill="auto"/>
            <w:noWrap/>
          </w:tcPr>
          <w:p w14:paraId="411A468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$8,236</w:t>
            </w:r>
          </w:p>
        </w:tc>
        <w:tc>
          <w:tcPr>
            <w:tcW w:w="940" w:type="dxa"/>
            <w:tcBorders>
              <w:top w:val="single" w:sz="4" w:space="0" w:color="7030A0"/>
              <w:bottom w:val="single" w:sz="4" w:space="0" w:color="7030A0"/>
            </w:tcBorders>
            <w:shd w:val="clear" w:color="auto" w:fill="auto"/>
            <w:noWrap/>
          </w:tcPr>
          <w:p w14:paraId="411A468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$10,656</w:t>
            </w:r>
          </w:p>
        </w:tc>
        <w:tc>
          <w:tcPr>
            <w:tcW w:w="940" w:type="dxa"/>
            <w:tcBorders>
              <w:top w:val="single" w:sz="4" w:space="0" w:color="7030A0"/>
              <w:bottom w:val="single" w:sz="4" w:space="0" w:color="7030A0"/>
            </w:tcBorders>
            <w:shd w:val="clear" w:color="auto" w:fill="auto"/>
            <w:noWrap/>
          </w:tcPr>
          <w:p w14:paraId="411A468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$11,523</w:t>
            </w:r>
          </w:p>
        </w:tc>
        <w:tc>
          <w:tcPr>
            <w:tcW w:w="940" w:type="dxa"/>
            <w:tcBorders>
              <w:top w:val="single" w:sz="4" w:space="0" w:color="7030A0"/>
              <w:bottom w:val="single" w:sz="4" w:space="0" w:color="7030A0"/>
            </w:tcBorders>
            <w:shd w:val="clear" w:color="auto" w:fill="auto"/>
            <w:noWrap/>
          </w:tcPr>
          <w:p w14:paraId="411A468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$13,683</w:t>
            </w:r>
          </w:p>
        </w:tc>
        <w:tc>
          <w:tcPr>
            <w:tcW w:w="940" w:type="dxa"/>
            <w:tcBorders>
              <w:top w:val="single" w:sz="4" w:space="0" w:color="7030A0"/>
              <w:bottom w:val="single" w:sz="4" w:space="0" w:color="7030A0"/>
            </w:tcBorders>
            <w:shd w:val="clear" w:color="auto" w:fill="auto"/>
            <w:noWrap/>
          </w:tcPr>
          <w:p w14:paraId="411A468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$14,538</w:t>
            </w:r>
          </w:p>
        </w:tc>
        <w:tc>
          <w:tcPr>
            <w:tcW w:w="807" w:type="dxa"/>
            <w:tcBorders>
              <w:top w:val="single" w:sz="4" w:space="0" w:color="7030A0"/>
              <w:bottom w:val="single" w:sz="4" w:space="0" w:color="7030A0"/>
            </w:tcBorders>
            <w:shd w:val="clear" w:color="auto" w:fill="auto"/>
            <w:noWrap/>
          </w:tcPr>
          <w:p w14:paraId="411A468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+$774</w:t>
            </w:r>
          </w:p>
        </w:tc>
        <w:tc>
          <w:tcPr>
            <w:tcW w:w="940" w:type="dxa"/>
            <w:tcBorders>
              <w:top w:val="single" w:sz="4" w:space="0" w:color="7030A0"/>
              <w:bottom w:val="single" w:sz="4" w:space="0" w:color="7030A0"/>
            </w:tcBorders>
            <w:shd w:val="clear" w:color="auto" w:fill="auto"/>
            <w:noWrap/>
          </w:tcPr>
          <w:p w14:paraId="411A468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$20,672</w:t>
            </w:r>
          </w:p>
        </w:tc>
        <w:tc>
          <w:tcPr>
            <w:tcW w:w="940" w:type="dxa"/>
            <w:tcBorders>
              <w:top w:val="single" w:sz="4" w:space="0" w:color="7030A0"/>
              <w:bottom w:val="single" w:sz="4" w:space="0" w:color="7030A0"/>
            </w:tcBorders>
            <w:shd w:val="clear" w:color="auto" w:fill="auto"/>
            <w:noWrap/>
          </w:tcPr>
          <w:p w14:paraId="411A468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$21,653</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88"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96"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8A"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4 residents</w:t>
            </w:r>
          </w:p>
        </w:tc>
        <w:tc>
          <w:tcPr>
            <w:tcW w:w="1046" w:type="dxa"/>
            <w:tcBorders>
              <w:top w:val="single" w:sz="4" w:space="0" w:color="7030A0"/>
              <w:bottom w:val="single" w:sz="4" w:space="0" w:color="7030A0"/>
            </w:tcBorders>
          </w:tcPr>
          <w:p w14:paraId="411A468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$6,719</w:t>
            </w:r>
          </w:p>
        </w:tc>
        <w:tc>
          <w:tcPr>
            <w:tcW w:w="940" w:type="dxa"/>
            <w:tcBorders>
              <w:top w:val="single" w:sz="4" w:space="0" w:color="7030A0"/>
              <w:bottom w:val="single" w:sz="4" w:space="0" w:color="7030A0"/>
            </w:tcBorders>
            <w:shd w:val="clear" w:color="auto" w:fill="auto"/>
            <w:noWrap/>
          </w:tcPr>
          <w:p w14:paraId="411A468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$6,889</w:t>
            </w:r>
          </w:p>
        </w:tc>
        <w:tc>
          <w:tcPr>
            <w:tcW w:w="940" w:type="dxa"/>
            <w:tcBorders>
              <w:top w:val="single" w:sz="4" w:space="0" w:color="7030A0"/>
              <w:bottom w:val="single" w:sz="4" w:space="0" w:color="7030A0"/>
            </w:tcBorders>
            <w:shd w:val="clear" w:color="auto" w:fill="auto"/>
            <w:noWrap/>
          </w:tcPr>
          <w:p w14:paraId="411A468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$7,380</w:t>
            </w:r>
          </w:p>
        </w:tc>
        <w:tc>
          <w:tcPr>
            <w:tcW w:w="940" w:type="dxa"/>
            <w:tcBorders>
              <w:top w:val="single" w:sz="4" w:space="0" w:color="7030A0"/>
              <w:bottom w:val="single" w:sz="4" w:space="0" w:color="7030A0"/>
            </w:tcBorders>
            <w:shd w:val="clear" w:color="auto" w:fill="auto"/>
            <w:noWrap/>
          </w:tcPr>
          <w:p w14:paraId="411A468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$9,122</w:t>
            </w:r>
          </w:p>
        </w:tc>
        <w:tc>
          <w:tcPr>
            <w:tcW w:w="940" w:type="dxa"/>
            <w:tcBorders>
              <w:top w:val="single" w:sz="4" w:space="0" w:color="7030A0"/>
              <w:bottom w:val="single" w:sz="4" w:space="0" w:color="7030A0"/>
            </w:tcBorders>
            <w:shd w:val="clear" w:color="auto" w:fill="auto"/>
            <w:noWrap/>
          </w:tcPr>
          <w:p w14:paraId="411A468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$9,642</w:t>
            </w:r>
          </w:p>
        </w:tc>
        <w:tc>
          <w:tcPr>
            <w:tcW w:w="940" w:type="dxa"/>
            <w:tcBorders>
              <w:top w:val="single" w:sz="4" w:space="0" w:color="7030A0"/>
              <w:bottom w:val="single" w:sz="4" w:space="0" w:color="7030A0"/>
            </w:tcBorders>
            <w:shd w:val="clear" w:color="auto" w:fill="auto"/>
            <w:noWrap/>
          </w:tcPr>
          <w:p w14:paraId="411A469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$11,755</w:t>
            </w:r>
          </w:p>
        </w:tc>
        <w:tc>
          <w:tcPr>
            <w:tcW w:w="940" w:type="dxa"/>
            <w:tcBorders>
              <w:top w:val="single" w:sz="4" w:space="0" w:color="7030A0"/>
              <w:bottom w:val="single" w:sz="4" w:space="0" w:color="7030A0"/>
            </w:tcBorders>
            <w:shd w:val="clear" w:color="auto" w:fill="auto"/>
            <w:noWrap/>
          </w:tcPr>
          <w:p w14:paraId="411A469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$12,379</w:t>
            </w:r>
          </w:p>
        </w:tc>
        <w:tc>
          <w:tcPr>
            <w:tcW w:w="807" w:type="dxa"/>
            <w:tcBorders>
              <w:top w:val="single" w:sz="4" w:space="0" w:color="7030A0"/>
              <w:bottom w:val="single" w:sz="4" w:space="0" w:color="7030A0"/>
            </w:tcBorders>
            <w:shd w:val="clear" w:color="auto" w:fill="auto"/>
            <w:noWrap/>
          </w:tcPr>
          <w:p w14:paraId="411A469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+$559</w:t>
            </w:r>
          </w:p>
        </w:tc>
        <w:tc>
          <w:tcPr>
            <w:tcW w:w="940" w:type="dxa"/>
            <w:tcBorders>
              <w:top w:val="single" w:sz="4" w:space="0" w:color="7030A0"/>
              <w:bottom w:val="single" w:sz="4" w:space="0" w:color="7030A0"/>
            </w:tcBorders>
            <w:shd w:val="clear" w:color="auto" w:fill="auto"/>
            <w:noWrap/>
          </w:tcPr>
          <w:p w14:paraId="411A469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$17,349</w:t>
            </w:r>
          </w:p>
        </w:tc>
        <w:tc>
          <w:tcPr>
            <w:tcW w:w="940" w:type="dxa"/>
            <w:tcBorders>
              <w:top w:val="single" w:sz="4" w:space="0" w:color="7030A0"/>
              <w:bottom w:val="single" w:sz="4" w:space="0" w:color="7030A0"/>
            </w:tcBorders>
            <w:shd w:val="clear" w:color="auto" w:fill="auto"/>
            <w:noWrap/>
          </w:tcPr>
          <w:p w14:paraId="411A469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$18,060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95"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A3"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97"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Group Accomm, 5 residents</w:t>
            </w:r>
          </w:p>
        </w:tc>
        <w:tc>
          <w:tcPr>
            <w:tcW w:w="1046" w:type="dxa"/>
            <w:tcBorders>
              <w:top w:val="single" w:sz="4" w:space="0" w:color="7030A0"/>
              <w:bottom w:val="single" w:sz="4" w:space="0" w:color="7030A0"/>
            </w:tcBorders>
          </w:tcPr>
          <w:p w14:paraId="411A469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$5,473</w:t>
            </w:r>
          </w:p>
        </w:tc>
        <w:tc>
          <w:tcPr>
            <w:tcW w:w="940" w:type="dxa"/>
            <w:tcBorders>
              <w:top w:val="single" w:sz="4" w:space="0" w:color="7030A0"/>
              <w:bottom w:val="single" w:sz="4" w:space="0" w:color="7030A0"/>
            </w:tcBorders>
            <w:shd w:val="clear" w:color="auto" w:fill="auto"/>
            <w:noWrap/>
          </w:tcPr>
          <w:p w14:paraId="411A469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$5,649</w:t>
            </w:r>
          </w:p>
        </w:tc>
        <w:tc>
          <w:tcPr>
            <w:tcW w:w="940" w:type="dxa"/>
            <w:tcBorders>
              <w:top w:val="single" w:sz="4" w:space="0" w:color="7030A0"/>
              <w:bottom w:val="single" w:sz="4" w:space="0" w:color="7030A0"/>
            </w:tcBorders>
            <w:shd w:val="clear" w:color="auto" w:fill="auto"/>
            <w:noWrap/>
          </w:tcPr>
          <w:p w14:paraId="411A469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$6,039</w:t>
            </w:r>
          </w:p>
        </w:tc>
        <w:tc>
          <w:tcPr>
            <w:tcW w:w="940" w:type="dxa"/>
            <w:tcBorders>
              <w:top w:val="single" w:sz="4" w:space="0" w:color="7030A0"/>
              <w:bottom w:val="single" w:sz="4" w:space="0" w:color="7030A0"/>
            </w:tcBorders>
            <w:shd w:val="clear" w:color="auto" w:fill="auto"/>
            <w:noWrap/>
          </w:tcPr>
          <w:p w14:paraId="411A469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$7,712</w:t>
            </w:r>
          </w:p>
        </w:tc>
        <w:tc>
          <w:tcPr>
            <w:tcW w:w="940" w:type="dxa"/>
            <w:tcBorders>
              <w:top w:val="single" w:sz="4" w:space="0" w:color="7030A0"/>
              <w:bottom w:val="single" w:sz="4" w:space="0" w:color="7030A0"/>
            </w:tcBorders>
            <w:shd w:val="clear" w:color="auto" w:fill="auto"/>
            <w:noWrap/>
          </w:tcPr>
          <w:p w14:paraId="411A469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$8,123</w:t>
            </w:r>
          </w:p>
        </w:tc>
        <w:tc>
          <w:tcPr>
            <w:tcW w:w="940" w:type="dxa"/>
            <w:tcBorders>
              <w:top w:val="single" w:sz="4" w:space="0" w:color="7030A0"/>
              <w:bottom w:val="single" w:sz="4" w:space="0" w:color="7030A0"/>
            </w:tcBorders>
            <w:shd w:val="clear" w:color="auto" w:fill="auto"/>
            <w:noWrap/>
          </w:tcPr>
          <w:p w14:paraId="411A469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$10,052</w:t>
            </w:r>
          </w:p>
        </w:tc>
        <w:tc>
          <w:tcPr>
            <w:tcW w:w="940" w:type="dxa"/>
            <w:tcBorders>
              <w:top w:val="single" w:sz="4" w:space="0" w:color="7030A0"/>
              <w:bottom w:val="single" w:sz="4" w:space="0" w:color="7030A0"/>
            </w:tcBorders>
            <w:shd w:val="clear" w:color="auto" w:fill="auto"/>
            <w:noWrap/>
          </w:tcPr>
          <w:p w14:paraId="411A469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$10,545</w:t>
            </w:r>
          </w:p>
        </w:tc>
        <w:tc>
          <w:tcPr>
            <w:tcW w:w="807" w:type="dxa"/>
            <w:tcBorders>
              <w:top w:val="single" w:sz="4" w:space="0" w:color="7030A0"/>
              <w:bottom w:val="single" w:sz="4" w:space="0" w:color="7030A0"/>
            </w:tcBorders>
            <w:shd w:val="clear" w:color="auto" w:fill="auto"/>
            <w:noWrap/>
          </w:tcPr>
          <w:p w14:paraId="411A469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+$440</w:t>
            </w:r>
          </w:p>
        </w:tc>
        <w:tc>
          <w:tcPr>
            <w:tcW w:w="940" w:type="dxa"/>
            <w:tcBorders>
              <w:top w:val="single" w:sz="4" w:space="0" w:color="7030A0"/>
              <w:bottom w:val="single" w:sz="4" w:space="0" w:color="7030A0"/>
            </w:tcBorders>
            <w:shd w:val="clear" w:color="auto" w:fill="auto"/>
            <w:noWrap/>
          </w:tcPr>
          <w:p w14:paraId="411A46A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$15,199</w:t>
            </w:r>
          </w:p>
        </w:tc>
        <w:tc>
          <w:tcPr>
            <w:tcW w:w="940" w:type="dxa"/>
            <w:tcBorders>
              <w:top w:val="single" w:sz="4" w:space="0" w:color="7030A0"/>
              <w:bottom w:val="single" w:sz="4" w:space="0" w:color="7030A0"/>
            </w:tcBorders>
            <w:shd w:val="clear" w:color="auto" w:fill="auto"/>
            <w:noWrap/>
          </w:tcPr>
          <w:p w14:paraId="411A46A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$15,761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A2"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bl>
    <w:p w14:paraId="411A46A4" w14:textId="77777777" w:rsidR="00FA5F62" w:rsidRPr="00910995" w:rsidRDefault="0023093E" w:rsidP="00FA5F62">
      <w:pPr>
        <w:spacing w:after="0"/>
        <w:rPr>
          <w:sz w:val="18"/>
        </w:rPr>
      </w:pPr>
      <w:r>
        <w:rPr>
          <w:sz w:val="18"/>
        </w:rPr>
        <w:br/>
      </w:r>
      <w:r w:rsidR="00FA5F62" w:rsidRPr="00910995">
        <w:rPr>
          <w:sz w:val="18"/>
        </w:rPr>
        <w:t>OOA</w:t>
      </w:r>
      <w:r w:rsidR="00FA5F62" w:rsidRPr="00910995">
        <w:rPr>
          <w:sz w:val="18"/>
        </w:rPr>
        <w:tab/>
      </w:r>
      <w:r w:rsidR="00FA5F62" w:rsidRPr="00910995">
        <w:rPr>
          <w:sz w:val="18"/>
        </w:rPr>
        <w:tab/>
        <w:t xml:space="preserve">On-site </w:t>
      </w:r>
      <w:r w:rsidR="00D950AF">
        <w:rPr>
          <w:sz w:val="18"/>
        </w:rPr>
        <w:t>o</w:t>
      </w:r>
      <w:r w:rsidR="00FA5F62" w:rsidRPr="00910995">
        <w:rPr>
          <w:sz w:val="18"/>
        </w:rPr>
        <w:t xml:space="preserve">vernight </w:t>
      </w:r>
      <w:r w:rsidR="00D950AF">
        <w:rPr>
          <w:sz w:val="18"/>
        </w:rPr>
        <w:t>a</w:t>
      </w:r>
      <w:r w:rsidR="00FA5F62" w:rsidRPr="00910995">
        <w:rPr>
          <w:sz w:val="18"/>
        </w:rPr>
        <w:t>ssistance</w:t>
      </w:r>
    </w:p>
    <w:p w14:paraId="411A46A5" w14:textId="77777777" w:rsidR="00FA5F62" w:rsidRPr="00910995" w:rsidRDefault="00910995" w:rsidP="00FA5F62">
      <w:pPr>
        <w:spacing w:after="0"/>
        <w:rPr>
          <w:sz w:val="18"/>
        </w:rPr>
      </w:pPr>
      <w:r>
        <w:rPr>
          <w:sz w:val="18"/>
        </w:rPr>
        <w:t>+1 Room</w:t>
      </w:r>
      <w:r>
        <w:rPr>
          <w:sz w:val="18"/>
        </w:rPr>
        <w:tab/>
      </w:r>
      <w:r w:rsidR="00FA5F62" w:rsidRPr="00910995">
        <w:rPr>
          <w:sz w:val="18"/>
        </w:rPr>
        <w:t>Additional breakout room</w:t>
      </w:r>
    </w:p>
    <w:p w14:paraId="411A46A6" w14:textId="77777777" w:rsidR="00A93156" w:rsidRPr="00843173" w:rsidRDefault="00A93156" w:rsidP="00A93156">
      <w:pPr>
        <w:spacing w:before="120" w:after="120"/>
        <w:rPr>
          <w:rFonts w:asciiTheme="minorHAnsi" w:eastAsiaTheme="minorHAnsi" w:hAnsiTheme="minorHAnsi"/>
          <w:b/>
          <w:sz w:val="18"/>
          <w:szCs w:val="18"/>
          <w:lang w:val="en-AU" w:eastAsia="en-US"/>
        </w:rPr>
      </w:pPr>
      <w:r w:rsidRPr="00843173">
        <w:rPr>
          <w:b/>
          <w:sz w:val="18"/>
          <w:szCs w:val="18"/>
        </w:rPr>
        <w:t>Location</w:t>
      </w:r>
    </w:p>
    <w:p w14:paraId="411A46A7" w14:textId="77777777" w:rsidR="00A93156" w:rsidRPr="00843173" w:rsidRDefault="00A93156" w:rsidP="00A93156">
      <w:pPr>
        <w:spacing w:after="120"/>
        <w:rPr>
          <w:sz w:val="18"/>
          <w:szCs w:val="18"/>
        </w:rPr>
      </w:pPr>
      <w:r w:rsidRPr="00843173">
        <w:rPr>
          <w:sz w:val="18"/>
          <w:szCs w:val="18"/>
        </w:rPr>
        <w:t xml:space="preserve">* All prices must be multiplied by the </w:t>
      </w:r>
      <w:r w:rsidR="00D950AF">
        <w:rPr>
          <w:sz w:val="18"/>
          <w:szCs w:val="18"/>
        </w:rPr>
        <w:t>l</w:t>
      </w:r>
      <w:r w:rsidRPr="00843173">
        <w:rPr>
          <w:sz w:val="18"/>
          <w:szCs w:val="18"/>
        </w:rPr>
        <w:t xml:space="preserve">ocation </w:t>
      </w:r>
      <w:r w:rsidR="00D950AF">
        <w:rPr>
          <w:sz w:val="18"/>
          <w:szCs w:val="18"/>
        </w:rPr>
        <w:t>f</w:t>
      </w:r>
      <w:r w:rsidRPr="00843173">
        <w:rPr>
          <w:sz w:val="18"/>
          <w:szCs w:val="18"/>
        </w:rPr>
        <w:t>actor relevant to the property’s location</w:t>
      </w:r>
      <w:r w:rsidR="00D950AF">
        <w:rPr>
          <w:sz w:val="18"/>
          <w:szCs w:val="18"/>
        </w:rPr>
        <w:t xml:space="preserve"> </w:t>
      </w:r>
      <w:r w:rsidR="007D3201">
        <w:rPr>
          <w:sz w:val="18"/>
          <w:szCs w:val="18"/>
        </w:rPr>
        <w:t xml:space="preserve">- see </w:t>
      </w:r>
      <w:r w:rsidR="00A150E4">
        <w:rPr>
          <w:sz w:val="18"/>
          <w:szCs w:val="18"/>
        </w:rPr>
        <w:t>Appendix C for location factors</w:t>
      </w:r>
      <w:r w:rsidR="00E2350A">
        <w:rPr>
          <w:sz w:val="18"/>
          <w:szCs w:val="18"/>
        </w:rPr>
        <w:t xml:space="preserve">. </w:t>
      </w:r>
    </w:p>
    <w:p w14:paraId="411A46A8" w14:textId="77777777" w:rsidR="00A93156" w:rsidRPr="00843173" w:rsidRDefault="00A93156" w:rsidP="00A93156">
      <w:pPr>
        <w:spacing w:before="240" w:after="120"/>
        <w:rPr>
          <w:b/>
          <w:sz w:val="18"/>
          <w:szCs w:val="18"/>
        </w:rPr>
      </w:pPr>
      <w:r w:rsidRPr="00843173">
        <w:rPr>
          <w:b/>
          <w:sz w:val="18"/>
          <w:szCs w:val="18"/>
        </w:rPr>
        <w:t xml:space="preserve">Additional allowances </w:t>
      </w:r>
      <w:r w:rsidR="008D3C13">
        <w:rPr>
          <w:b/>
          <w:sz w:val="18"/>
          <w:szCs w:val="18"/>
        </w:rPr>
        <w:t xml:space="preserve">may </w:t>
      </w:r>
      <w:r w:rsidRPr="00843173">
        <w:rPr>
          <w:b/>
          <w:sz w:val="18"/>
          <w:szCs w:val="18"/>
        </w:rPr>
        <w:t>also be provided for:</w:t>
      </w:r>
    </w:p>
    <w:p w14:paraId="411A46A9" w14:textId="77777777" w:rsidR="00A93156" w:rsidRPr="00843173" w:rsidRDefault="00A93156" w:rsidP="00A93156">
      <w:pPr>
        <w:spacing w:after="0"/>
        <w:ind w:left="142"/>
        <w:rPr>
          <w:sz w:val="18"/>
          <w:szCs w:val="18"/>
        </w:rPr>
      </w:pPr>
      <w:r w:rsidRPr="00843173">
        <w:rPr>
          <w:sz w:val="18"/>
          <w:szCs w:val="18"/>
        </w:rPr>
        <w:t xml:space="preserve">Fire </w:t>
      </w:r>
      <w:r w:rsidR="00D950AF">
        <w:rPr>
          <w:sz w:val="18"/>
          <w:szCs w:val="18"/>
        </w:rPr>
        <w:t>s</w:t>
      </w:r>
      <w:r w:rsidRPr="00843173">
        <w:rPr>
          <w:sz w:val="18"/>
          <w:szCs w:val="18"/>
        </w:rPr>
        <w:t>prinklers</w:t>
      </w:r>
    </w:p>
    <w:p w14:paraId="411A46AA" w14:textId="77777777" w:rsidR="00A93156" w:rsidRPr="00843173" w:rsidRDefault="00A93156" w:rsidP="00A93156">
      <w:pPr>
        <w:spacing w:after="0"/>
        <w:ind w:left="142"/>
        <w:rPr>
          <w:sz w:val="18"/>
          <w:szCs w:val="18"/>
        </w:rPr>
      </w:pPr>
      <w:r w:rsidRPr="00843173">
        <w:rPr>
          <w:sz w:val="18"/>
          <w:szCs w:val="18"/>
        </w:rPr>
        <w:t xml:space="preserve">Approved </w:t>
      </w:r>
      <w:r w:rsidR="00D950AF">
        <w:rPr>
          <w:sz w:val="18"/>
          <w:szCs w:val="18"/>
        </w:rPr>
        <w:t>a</w:t>
      </w:r>
      <w:r w:rsidRPr="00843173">
        <w:rPr>
          <w:sz w:val="18"/>
          <w:szCs w:val="18"/>
        </w:rPr>
        <w:t xml:space="preserve">ssistive </w:t>
      </w:r>
      <w:r w:rsidR="00D950AF">
        <w:rPr>
          <w:sz w:val="18"/>
          <w:szCs w:val="18"/>
        </w:rPr>
        <w:t>t</w:t>
      </w:r>
      <w:r w:rsidRPr="00843173">
        <w:rPr>
          <w:sz w:val="18"/>
          <w:szCs w:val="18"/>
        </w:rPr>
        <w:t>echnology</w:t>
      </w:r>
    </w:p>
    <w:p w14:paraId="411A46AB" w14:textId="77777777" w:rsidR="008D3C13" w:rsidRPr="00843173" w:rsidRDefault="008D3C13" w:rsidP="008D3C13">
      <w:pPr>
        <w:spacing w:after="0"/>
        <w:ind w:left="142"/>
        <w:rPr>
          <w:sz w:val="18"/>
          <w:szCs w:val="18"/>
        </w:rPr>
      </w:pPr>
      <w:r>
        <w:rPr>
          <w:sz w:val="18"/>
          <w:szCs w:val="18"/>
        </w:rPr>
        <w:t>Specialist f</w:t>
      </w:r>
      <w:r w:rsidRPr="00843173">
        <w:rPr>
          <w:sz w:val="18"/>
          <w:szCs w:val="18"/>
        </w:rPr>
        <w:t>urnishings</w:t>
      </w:r>
    </w:p>
    <w:p w14:paraId="411A46AC" w14:textId="77777777" w:rsidR="00A93156" w:rsidRPr="00843173" w:rsidRDefault="00A93156" w:rsidP="00A93156">
      <w:pPr>
        <w:spacing w:after="0"/>
        <w:ind w:left="142"/>
        <w:rPr>
          <w:sz w:val="18"/>
          <w:szCs w:val="18"/>
        </w:rPr>
      </w:pPr>
      <w:r w:rsidRPr="00843173">
        <w:rPr>
          <w:sz w:val="18"/>
          <w:szCs w:val="18"/>
        </w:rPr>
        <w:t>Communal areas for multiple dwellings</w:t>
      </w:r>
    </w:p>
    <w:p w14:paraId="411A46AD" w14:textId="77777777" w:rsidR="00A93156" w:rsidRPr="00843173" w:rsidRDefault="00A93156" w:rsidP="00A93156">
      <w:pPr>
        <w:spacing w:after="0"/>
        <w:ind w:left="142"/>
        <w:rPr>
          <w:sz w:val="18"/>
          <w:szCs w:val="18"/>
        </w:rPr>
      </w:pPr>
      <w:r w:rsidRPr="00843173">
        <w:rPr>
          <w:sz w:val="18"/>
          <w:szCs w:val="18"/>
        </w:rPr>
        <w:t>The participant does not receive Commonwealth Rent Assistance for reasons other than income</w:t>
      </w:r>
    </w:p>
    <w:p w14:paraId="411A46AE" w14:textId="77777777" w:rsidR="00A93156" w:rsidRPr="00843173" w:rsidRDefault="00A93156" w:rsidP="00A93156">
      <w:pPr>
        <w:spacing w:after="0"/>
        <w:ind w:left="142"/>
        <w:rPr>
          <w:sz w:val="18"/>
          <w:szCs w:val="18"/>
        </w:rPr>
      </w:pPr>
      <w:r w:rsidRPr="00843173">
        <w:rPr>
          <w:sz w:val="18"/>
          <w:szCs w:val="18"/>
        </w:rPr>
        <w:t>The participant is under 21 and receives a reduced Disability Support Pension</w:t>
      </w:r>
    </w:p>
    <w:p w14:paraId="411A46AF" w14:textId="5BFC15C0" w:rsidR="00A3092B" w:rsidRDefault="00A93156" w:rsidP="00A93156">
      <w:pPr>
        <w:ind w:firstLine="142"/>
        <w:rPr>
          <w:sz w:val="18"/>
          <w:szCs w:val="18"/>
        </w:rPr>
      </w:pPr>
      <w:r w:rsidRPr="00843173">
        <w:rPr>
          <w:sz w:val="18"/>
          <w:szCs w:val="18"/>
        </w:rPr>
        <w:t>Atypical maintenance costs associated with complex behavio</w:t>
      </w:r>
      <w:r w:rsidR="00697BEB">
        <w:rPr>
          <w:sz w:val="18"/>
          <w:szCs w:val="18"/>
        </w:rPr>
        <w:t>u</w:t>
      </w:r>
      <w:r w:rsidRPr="00843173">
        <w:rPr>
          <w:sz w:val="18"/>
          <w:szCs w:val="18"/>
        </w:rPr>
        <w:t>rs</w:t>
      </w:r>
      <w:r w:rsidR="00D950AF">
        <w:rPr>
          <w:sz w:val="18"/>
          <w:szCs w:val="18"/>
        </w:rPr>
        <w:t>.</w:t>
      </w:r>
    </w:p>
    <w:p w14:paraId="1F7DA226" w14:textId="77777777" w:rsidR="00AE1F91" w:rsidRDefault="00AE1F91" w:rsidP="00A511A0">
      <w:pPr>
        <w:pStyle w:val="BodyText1"/>
        <w:rPr>
          <w:lang w:val="en-AU"/>
        </w:rPr>
      </w:pPr>
    </w:p>
    <w:p w14:paraId="411A46B0" w14:textId="36C0DA26" w:rsidR="00A3092B" w:rsidRPr="00E2350A" w:rsidRDefault="00AE1F91" w:rsidP="00A511A0">
      <w:pPr>
        <w:pStyle w:val="BodyText1"/>
        <w:rPr>
          <w:lang w:val="en-AU"/>
        </w:rPr>
      </w:pPr>
      <w:r>
        <w:rPr>
          <w:lang w:val="en-AU"/>
        </w:rPr>
        <w:lastRenderedPageBreak/>
        <w:fldChar w:fldCharType="begin"/>
      </w:r>
      <w:r>
        <w:rPr>
          <w:lang w:val="en-AU"/>
        </w:rPr>
        <w:instrText xml:space="preserve"> REF _Ref447482502 \h </w:instrText>
      </w:r>
      <w:r>
        <w:rPr>
          <w:lang w:val="en-AU"/>
        </w:rPr>
      </w:r>
      <w:r>
        <w:rPr>
          <w:lang w:val="en-AU"/>
        </w:rPr>
        <w:fldChar w:fldCharType="separate"/>
      </w:r>
      <w:r w:rsidR="00607084">
        <w:t xml:space="preserve">Table </w:t>
      </w:r>
      <w:r w:rsidR="00607084">
        <w:rPr>
          <w:noProof/>
        </w:rPr>
        <w:t>7</w:t>
      </w:r>
      <w:r>
        <w:rPr>
          <w:lang w:val="en-AU"/>
        </w:rPr>
        <w:fldChar w:fldCharType="end"/>
      </w:r>
      <w:r w:rsidR="00A3092B" w:rsidRPr="00E2350A">
        <w:rPr>
          <w:lang w:val="en-AU"/>
        </w:rPr>
        <w:t xml:space="preserve"> </w:t>
      </w:r>
      <w:r w:rsidR="00697BEB">
        <w:rPr>
          <w:lang w:val="en-AU"/>
        </w:rPr>
        <w:t xml:space="preserve">(below) </w:t>
      </w:r>
      <w:r w:rsidR="00A3092B" w:rsidRPr="00E2350A">
        <w:rPr>
          <w:lang w:val="en-AU"/>
        </w:rPr>
        <w:t>indicates the typical annual income for a housing provider, including both the benchmark price and reasonable rent contributions from participants</w:t>
      </w:r>
      <w:r w:rsidR="00125936" w:rsidRPr="00E2350A">
        <w:rPr>
          <w:lang w:val="en-AU"/>
        </w:rPr>
        <w:t>. The income is based on a median location, no allowances and average vacancies.</w:t>
      </w:r>
    </w:p>
    <w:p w14:paraId="411A46B1" w14:textId="752A010B" w:rsidR="00FA5F62" w:rsidRPr="004D74B9" w:rsidRDefault="00740F2F" w:rsidP="00740F2F">
      <w:pPr>
        <w:pStyle w:val="Caption"/>
        <w:rPr>
          <w:rFonts w:asciiTheme="minorHAnsi" w:hAnsiTheme="minorHAnsi"/>
          <w:sz w:val="20"/>
          <w:szCs w:val="20"/>
        </w:rPr>
      </w:pPr>
      <w:bookmarkStart w:id="108" w:name="_Ref447482502"/>
      <w:r>
        <w:t xml:space="preserve">Table </w:t>
      </w:r>
      <w:r>
        <w:fldChar w:fldCharType="begin"/>
      </w:r>
      <w:r>
        <w:instrText xml:space="preserve"> SEQ Table \* ARABIC </w:instrText>
      </w:r>
      <w:r>
        <w:fldChar w:fldCharType="separate"/>
      </w:r>
      <w:r w:rsidR="00607084">
        <w:rPr>
          <w:noProof/>
        </w:rPr>
        <w:t>7</w:t>
      </w:r>
      <w:r>
        <w:fldChar w:fldCharType="end"/>
      </w:r>
      <w:bookmarkEnd w:id="108"/>
      <w:r>
        <w:t xml:space="preserve"> - </w:t>
      </w:r>
      <w:r w:rsidRPr="004533F5">
        <w:t>Typical annual income per property (median location, no allowances, average vacancies) including reasonable rent contribution ($ 2016/17)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941"/>
        <w:gridCol w:w="940"/>
        <w:gridCol w:w="940"/>
        <w:gridCol w:w="940"/>
        <w:gridCol w:w="940"/>
        <w:gridCol w:w="940"/>
        <w:gridCol w:w="940"/>
        <w:gridCol w:w="938"/>
        <w:gridCol w:w="1005"/>
        <w:gridCol w:w="980"/>
        <w:gridCol w:w="1229"/>
      </w:tblGrid>
      <w:tr w:rsidR="004D74B9" w:rsidRPr="00FA5F62" w14:paraId="411A46BB" w14:textId="77777777" w:rsidTr="00E06063">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2"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Building type / Design Category</w:t>
            </w:r>
          </w:p>
          <w:p w14:paraId="411A46B3"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 </w:t>
            </w:r>
          </w:p>
          <w:p w14:paraId="411A46B4"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 </w:t>
            </w:r>
          </w:p>
        </w:tc>
        <w:tc>
          <w:tcPr>
            <w:tcW w:w="94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11A46B5"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6"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Improved 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7"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Fully accessible</w:t>
            </w:r>
          </w:p>
        </w:tc>
        <w:tc>
          <w:tcPr>
            <w:tcW w:w="281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8"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Robust</w:t>
            </w:r>
          </w:p>
        </w:tc>
        <w:tc>
          <w:tcPr>
            <w:tcW w:w="19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9"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High Support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BA"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Innovation</w:t>
            </w:r>
          </w:p>
        </w:tc>
      </w:tr>
      <w:tr w:rsidR="004D74B9" w:rsidRPr="00FA5F62" w14:paraId="411A46C8" w14:textId="77777777" w:rsidTr="00E06063">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bottom"/>
            <w:hideMark/>
          </w:tcPr>
          <w:p w14:paraId="411A46B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c>
          <w:tcPr>
            <w:tcW w:w="941"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14:paraId="411A46BD"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BE"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BF"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0"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1"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2"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3"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4"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+1 Room</w:t>
            </w:r>
          </w:p>
        </w:tc>
        <w:tc>
          <w:tcPr>
            <w:tcW w:w="100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5"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8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6"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bottom"/>
            <w:hideMark/>
          </w:tcPr>
          <w:p w14:paraId="411A46C7" w14:textId="77777777" w:rsidR="004D74B9" w:rsidRPr="009B1439" w:rsidRDefault="004D74B9" w:rsidP="00E06063">
            <w:pPr>
              <w:spacing w:after="0" w:line="240" w:lineRule="auto"/>
              <w:rPr>
                <w:rFonts w:asciiTheme="minorHAnsi" w:eastAsia="Times New Roman" w:hAnsiTheme="minorHAnsi" w:cs="Times New Roman"/>
                <w:color w:val="FFFFFF" w:themeColor="background1"/>
                <w:sz w:val="20"/>
                <w:szCs w:val="22"/>
                <w:lang w:eastAsia="en-AU"/>
              </w:rPr>
            </w:pPr>
          </w:p>
        </w:tc>
      </w:tr>
      <w:tr w:rsidR="004D74B9" w:rsidRPr="00FA5F62" w14:paraId="411A46CA" w14:textId="77777777" w:rsidTr="00E06063">
        <w:trPr>
          <w:trHeight w:val="334"/>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14:paraId="411A46C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b/>
                <w:color w:val="000000"/>
                <w:sz w:val="20"/>
                <w:szCs w:val="22"/>
                <w:lang w:eastAsia="en-AU"/>
              </w:rPr>
              <w:t>NEW BUILDS</w:t>
            </w:r>
          </w:p>
        </w:tc>
      </w:tr>
      <w:tr w:rsidR="004D74B9" w:rsidRPr="00FA5F62" w14:paraId="411A46D7"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6CB"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1 bedroom, 1 resident</w:t>
            </w:r>
          </w:p>
        </w:tc>
        <w:tc>
          <w:tcPr>
            <w:tcW w:w="941" w:type="dxa"/>
            <w:tcBorders>
              <w:top w:val="single" w:sz="4" w:space="0" w:color="7030A0"/>
              <w:bottom w:val="single" w:sz="4" w:space="0" w:color="7030A0"/>
            </w:tcBorders>
          </w:tcPr>
          <w:p w14:paraId="411A46C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$43,465 </w:t>
            </w:r>
          </w:p>
        </w:tc>
        <w:tc>
          <w:tcPr>
            <w:tcW w:w="940" w:type="dxa"/>
            <w:tcBorders>
              <w:top w:val="single" w:sz="4" w:space="0" w:color="7030A0"/>
              <w:bottom w:val="single" w:sz="4" w:space="0" w:color="7030A0"/>
            </w:tcBorders>
            <w:shd w:val="clear" w:color="auto" w:fill="auto"/>
            <w:noWrap/>
          </w:tcPr>
          <w:p w14:paraId="411A46C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$43,911 </w:t>
            </w:r>
          </w:p>
        </w:tc>
        <w:tc>
          <w:tcPr>
            <w:tcW w:w="940" w:type="dxa"/>
            <w:tcBorders>
              <w:top w:val="single" w:sz="4" w:space="0" w:color="7030A0"/>
              <w:bottom w:val="single" w:sz="4" w:space="0" w:color="7030A0"/>
            </w:tcBorders>
            <w:shd w:val="clear" w:color="auto" w:fill="auto"/>
            <w:noWrap/>
          </w:tcPr>
          <w:p w14:paraId="411A46C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$49,847 </w:t>
            </w:r>
          </w:p>
        </w:tc>
        <w:tc>
          <w:tcPr>
            <w:tcW w:w="940" w:type="dxa"/>
            <w:tcBorders>
              <w:top w:val="single" w:sz="4" w:space="0" w:color="7030A0"/>
              <w:bottom w:val="single" w:sz="4" w:space="0" w:color="7030A0"/>
            </w:tcBorders>
            <w:shd w:val="clear" w:color="auto" w:fill="auto"/>
            <w:noWrap/>
          </w:tcPr>
          <w:p w14:paraId="411A46C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$53,443 </w:t>
            </w:r>
          </w:p>
        </w:tc>
        <w:tc>
          <w:tcPr>
            <w:tcW w:w="940" w:type="dxa"/>
            <w:tcBorders>
              <w:top w:val="single" w:sz="4" w:space="0" w:color="7030A0"/>
              <w:bottom w:val="single" w:sz="4" w:space="0" w:color="7030A0"/>
            </w:tcBorders>
            <w:shd w:val="clear" w:color="auto" w:fill="auto"/>
            <w:noWrap/>
          </w:tcPr>
          <w:p w14:paraId="411A46D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$60,968 </w:t>
            </w:r>
          </w:p>
        </w:tc>
        <w:tc>
          <w:tcPr>
            <w:tcW w:w="940" w:type="dxa"/>
            <w:tcBorders>
              <w:top w:val="single" w:sz="4" w:space="0" w:color="7030A0"/>
              <w:bottom w:val="single" w:sz="4" w:space="0" w:color="7030A0"/>
            </w:tcBorders>
            <w:shd w:val="clear" w:color="auto" w:fill="auto"/>
            <w:noWrap/>
          </w:tcPr>
          <w:p w14:paraId="411A46D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6D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6D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D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$76,696 </w:t>
            </w:r>
          </w:p>
        </w:tc>
        <w:tc>
          <w:tcPr>
            <w:tcW w:w="980" w:type="dxa"/>
            <w:tcBorders>
              <w:top w:val="single" w:sz="4" w:space="0" w:color="7030A0"/>
              <w:bottom w:val="single" w:sz="4" w:space="0" w:color="7030A0"/>
            </w:tcBorders>
            <w:shd w:val="clear" w:color="auto" w:fill="auto"/>
            <w:noWrap/>
          </w:tcPr>
          <w:p w14:paraId="411A46D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$88,096 </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6D6"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Premium above other prices. Considered case by case.</w:t>
            </w:r>
          </w:p>
        </w:tc>
      </w:tr>
      <w:tr w:rsidR="004D74B9" w:rsidRPr="00FA5F62" w14:paraId="411A46E4"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D8"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2 bedrooms, 1 resident</w:t>
            </w:r>
          </w:p>
        </w:tc>
        <w:tc>
          <w:tcPr>
            <w:tcW w:w="941" w:type="dxa"/>
            <w:tcBorders>
              <w:top w:val="single" w:sz="4" w:space="0" w:color="7030A0"/>
              <w:bottom w:val="single" w:sz="4" w:space="0" w:color="7030A0"/>
            </w:tcBorders>
          </w:tcPr>
          <w:p w14:paraId="411A46D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$51,728 </w:t>
            </w:r>
          </w:p>
        </w:tc>
        <w:tc>
          <w:tcPr>
            <w:tcW w:w="940" w:type="dxa"/>
            <w:tcBorders>
              <w:top w:val="single" w:sz="4" w:space="0" w:color="7030A0"/>
              <w:bottom w:val="single" w:sz="4" w:space="0" w:color="7030A0"/>
            </w:tcBorders>
            <w:shd w:val="clear" w:color="auto" w:fill="auto"/>
            <w:noWrap/>
          </w:tcPr>
          <w:p w14:paraId="411A46D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$52,276 </w:t>
            </w:r>
          </w:p>
        </w:tc>
        <w:tc>
          <w:tcPr>
            <w:tcW w:w="940" w:type="dxa"/>
            <w:tcBorders>
              <w:top w:val="single" w:sz="4" w:space="0" w:color="7030A0"/>
              <w:bottom w:val="single" w:sz="4" w:space="0" w:color="7030A0"/>
            </w:tcBorders>
            <w:shd w:val="clear" w:color="auto" w:fill="auto"/>
            <w:noWrap/>
          </w:tcPr>
          <w:p w14:paraId="411A46D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$59,606 </w:t>
            </w:r>
          </w:p>
        </w:tc>
        <w:tc>
          <w:tcPr>
            <w:tcW w:w="940" w:type="dxa"/>
            <w:tcBorders>
              <w:top w:val="single" w:sz="4" w:space="0" w:color="7030A0"/>
              <w:bottom w:val="single" w:sz="4" w:space="0" w:color="7030A0"/>
            </w:tcBorders>
            <w:shd w:val="clear" w:color="auto" w:fill="auto"/>
            <w:noWrap/>
          </w:tcPr>
          <w:p w14:paraId="411A46D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$61,910 </w:t>
            </w:r>
          </w:p>
        </w:tc>
        <w:tc>
          <w:tcPr>
            <w:tcW w:w="940" w:type="dxa"/>
            <w:tcBorders>
              <w:top w:val="single" w:sz="4" w:space="0" w:color="7030A0"/>
              <w:bottom w:val="single" w:sz="4" w:space="0" w:color="7030A0"/>
            </w:tcBorders>
            <w:shd w:val="clear" w:color="auto" w:fill="auto"/>
            <w:noWrap/>
          </w:tcPr>
          <w:p w14:paraId="411A46D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$70,846 </w:t>
            </w:r>
          </w:p>
        </w:tc>
        <w:tc>
          <w:tcPr>
            <w:tcW w:w="940" w:type="dxa"/>
            <w:tcBorders>
              <w:top w:val="single" w:sz="4" w:space="0" w:color="7030A0"/>
              <w:bottom w:val="single" w:sz="4" w:space="0" w:color="7030A0"/>
            </w:tcBorders>
            <w:shd w:val="clear" w:color="auto" w:fill="auto"/>
            <w:noWrap/>
          </w:tcPr>
          <w:p w14:paraId="411A46D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6D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6E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E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$92,551 </w:t>
            </w:r>
          </w:p>
        </w:tc>
        <w:tc>
          <w:tcPr>
            <w:tcW w:w="980" w:type="dxa"/>
            <w:tcBorders>
              <w:top w:val="single" w:sz="4" w:space="0" w:color="7030A0"/>
              <w:bottom w:val="single" w:sz="4" w:space="0" w:color="7030A0"/>
            </w:tcBorders>
            <w:shd w:val="clear" w:color="auto" w:fill="auto"/>
            <w:noWrap/>
          </w:tcPr>
          <w:p w14:paraId="411A46E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$106,593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E3"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6F1"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E5"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Villa, 1 bedrooms, 1 resident</w:t>
            </w:r>
          </w:p>
        </w:tc>
        <w:tc>
          <w:tcPr>
            <w:tcW w:w="941" w:type="dxa"/>
            <w:tcBorders>
              <w:top w:val="single" w:sz="4" w:space="0" w:color="7030A0"/>
              <w:bottom w:val="single" w:sz="4" w:space="0" w:color="7030A0"/>
            </w:tcBorders>
          </w:tcPr>
          <w:p w14:paraId="411A46E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$33,610 </w:t>
            </w:r>
          </w:p>
        </w:tc>
        <w:tc>
          <w:tcPr>
            <w:tcW w:w="940" w:type="dxa"/>
            <w:tcBorders>
              <w:top w:val="single" w:sz="4" w:space="0" w:color="7030A0"/>
              <w:bottom w:val="single" w:sz="4" w:space="0" w:color="7030A0"/>
            </w:tcBorders>
            <w:shd w:val="clear" w:color="auto" w:fill="auto"/>
            <w:noWrap/>
          </w:tcPr>
          <w:p w14:paraId="411A46E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$33,926 </w:t>
            </w:r>
          </w:p>
        </w:tc>
        <w:tc>
          <w:tcPr>
            <w:tcW w:w="940" w:type="dxa"/>
            <w:tcBorders>
              <w:top w:val="single" w:sz="4" w:space="0" w:color="7030A0"/>
              <w:bottom w:val="single" w:sz="4" w:space="0" w:color="7030A0"/>
            </w:tcBorders>
            <w:shd w:val="clear" w:color="auto" w:fill="auto"/>
            <w:noWrap/>
          </w:tcPr>
          <w:p w14:paraId="411A46E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$36,207 </w:t>
            </w:r>
          </w:p>
        </w:tc>
        <w:tc>
          <w:tcPr>
            <w:tcW w:w="940" w:type="dxa"/>
            <w:tcBorders>
              <w:top w:val="single" w:sz="4" w:space="0" w:color="7030A0"/>
              <w:bottom w:val="single" w:sz="4" w:space="0" w:color="7030A0"/>
            </w:tcBorders>
            <w:shd w:val="clear" w:color="auto" w:fill="auto"/>
            <w:noWrap/>
          </w:tcPr>
          <w:p w14:paraId="411A46E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$39,242 </w:t>
            </w:r>
          </w:p>
        </w:tc>
        <w:tc>
          <w:tcPr>
            <w:tcW w:w="940" w:type="dxa"/>
            <w:tcBorders>
              <w:top w:val="single" w:sz="4" w:space="0" w:color="7030A0"/>
              <w:bottom w:val="single" w:sz="4" w:space="0" w:color="7030A0"/>
            </w:tcBorders>
            <w:shd w:val="clear" w:color="auto" w:fill="auto"/>
            <w:noWrap/>
          </w:tcPr>
          <w:p w14:paraId="411A46E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$42,104 </w:t>
            </w:r>
          </w:p>
        </w:tc>
        <w:tc>
          <w:tcPr>
            <w:tcW w:w="940" w:type="dxa"/>
            <w:tcBorders>
              <w:top w:val="single" w:sz="4" w:space="0" w:color="7030A0"/>
              <w:bottom w:val="single" w:sz="4" w:space="0" w:color="7030A0"/>
            </w:tcBorders>
            <w:shd w:val="clear" w:color="auto" w:fill="auto"/>
            <w:noWrap/>
          </w:tcPr>
          <w:p w14:paraId="411A46E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$45,838 </w:t>
            </w:r>
          </w:p>
        </w:tc>
        <w:tc>
          <w:tcPr>
            <w:tcW w:w="940" w:type="dxa"/>
            <w:tcBorders>
              <w:top w:val="single" w:sz="4" w:space="0" w:color="7030A0"/>
              <w:bottom w:val="single" w:sz="4" w:space="0" w:color="7030A0"/>
            </w:tcBorders>
            <w:shd w:val="clear" w:color="auto" w:fill="auto"/>
            <w:noWrap/>
          </w:tcPr>
          <w:p w14:paraId="411A46E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$49,384 </w:t>
            </w:r>
          </w:p>
        </w:tc>
        <w:tc>
          <w:tcPr>
            <w:tcW w:w="938" w:type="dxa"/>
            <w:tcBorders>
              <w:top w:val="single" w:sz="4" w:space="0" w:color="7030A0"/>
              <w:bottom w:val="single" w:sz="4" w:space="0" w:color="7030A0"/>
            </w:tcBorders>
            <w:shd w:val="clear" w:color="auto" w:fill="auto"/>
            <w:noWrap/>
          </w:tcPr>
          <w:p w14:paraId="411A46E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E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$55,647 </w:t>
            </w:r>
          </w:p>
        </w:tc>
        <w:tc>
          <w:tcPr>
            <w:tcW w:w="980" w:type="dxa"/>
            <w:tcBorders>
              <w:top w:val="single" w:sz="4" w:space="0" w:color="7030A0"/>
              <w:bottom w:val="single" w:sz="4" w:space="0" w:color="7030A0"/>
            </w:tcBorders>
            <w:shd w:val="clear" w:color="auto" w:fill="auto"/>
            <w:noWrap/>
          </w:tcPr>
          <w:p w14:paraId="411A46E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$59,372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F0"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6FE"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F2"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2 residents</w:t>
            </w:r>
          </w:p>
        </w:tc>
        <w:tc>
          <w:tcPr>
            <w:tcW w:w="941" w:type="dxa"/>
            <w:tcBorders>
              <w:top w:val="single" w:sz="4" w:space="0" w:color="7030A0"/>
              <w:bottom w:val="single" w:sz="4" w:space="0" w:color="7030A0"/>
            </w:tcBorders>
          </w:tcPr>
          <w:p w14:paraId="411A46F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$48,406 </w:t>
            </w:r>
          </w:p>
        </w:tc>
        <w:tc>
          <w:tcPr>
            <w:tcW w:w="940" w:type="dxa"/>
            <w:tcBorders>
              <w:top w:val="single" w:sz="4" w:space="0" w:color="7030A0"/>
              <w:bottom w:val="single" w:sz="4" w:space="0" w:color="7030A0"/>
            </w:tcBorders>
            <w:shd w:val="clear" w:color="auto" w:fill="auto"/>
            <w:noWrap/>
          </w:tcPr>
          <w:p w14:paraId="411A46F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$48,842 </w:t>
            </w:r>
          </w:p>
        </w:tc>
        <w:tc>
          <w:tcPr>
            <w:tcW w:w="940" w:type="dxa"/>
            <w:tcBorders>
              <w:top w:val="single" w:sz="4" w:space="0" w:color="7030A0"/>
              <w:bottom w:val="single" w:sz="4" w:space="0" w:color="7030A0"/>
            </w:tcBorders>
            <w:shd w:val="clear" w:color="auto" w:fill="auto"/>
            <w:noWrap/>
          </w:tcPr>
          <w:p w14:paraId="411A46F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$50,930 </w:t>
            </w:r>
          </w:p>
        </w:tc>
        <w:tc>
          <w:tcPr>
            <w:tcW w:w="940" w:type="dxa"/>
            <w:tcBorders>
              <w:top w:val="single" w:sz="4" w:space="0" w:color="7030A0"/>
              <w:bottom w:val="single" w:sz="4" w:space="0" w:color="7030A0"/>
            </w:tcBorders>
            <w:shd w:val="clear" w:color="auto" w:fill="auto"/>
            <w:noWrap/>
          </w:tcPr>
          <w:p w14:paraId="411A46F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$55,417 </w:t>
            </w:r>
          </w:p>
        </w:tc>
        <w:tc>
          <w:tcPr>
            <w:tcW w:w="940" w:type="dxa"/>
            <w:tcBorders>
              <w:top w:val="single" w:sz="4" w:space="0" w:color="7030A0"/>
              <w:bottom w:val="single" w:sz="4" w:space="0" w:color="7030A0"/>
            </w:tcBorders>
            <w:shd w:val="clear" w:color="auto" w:fill="auto"/>
            <w:noWrap/>
          </w:tcPr>
          <w:p w14:paraId="411A46F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$58,144 </w:t>
            </w:r>
          </w:p>
        </w:tc>
        <w:tc>
          <w:tcPr>
            <w:tcW w:w="940" w:type="dxa"/>
            <w:tcBorders>
              <w:top w:val="single" w:sz="4" w:space="0" w:color="7030A0"/>
              <w:bottom w:val="single" w:sz="4" w:space="0" w:color="7030A0"/>
            </w:tcBorders>
            <w:shd w:val="clear" w:color="auto" w:fill="auto"/>
            <w:noWrap/>
          </w:tcPr>
          <w:p w14:paraId="411A46F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$63,885 </w:t>
            </w:r>
          </w:p>
        </w:tc>
        <w:tc>
          <w:tcPr>
            <w:tcW w:w="940" w:type="dxa"/>
            <w:tcBorders>
              <w:top w:val="single" w:sz="4" w:space="0" w:color="7030A0"/>
              <w:bottom w:val="single" w:sz="4" w:space="0" w:color="7030A0"/>
            </w:tcBorders>
            <w:shd w:val="clear" w:color="auto" w:fill="auto"/>
            <w:noWrap/>
          </w:tcPr>
          <w:p w14:paraId="411A46F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$67,233 </w:t>
            </w:r>
          </w:p>
        </w:tc>
        <w:tc>
          <w:tcPr>
            <w:tcW w:w="938" w:type="dxa"/>
            <w:tcBorders>
              <w:top w:val="single" w:sz="4" w:space="0" w:color="7030A0"/>
              <w:bottom w:val="single" w:sz="4" w:space="0" w:color="7030A0"/>
            </w:tcBorders>
            <w:shd w:val="clear" w:color="auto" w:fill="auto"/>
            <w:noWrap/>
          </w:tcPr>
          <w:p w14:paraId="411A46F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+$2,997 </w:t>
            </w:r>
          </w:p>
        </w:tc>
        <w:tc>
          <w:tcPr>
            <w:tcW w:w="1005" w:type="dxa"/>
            <w:tcBorders>
              <w:top w:val="single" w:sz="4" w:space="0" w:color="7030A0"/>
              <w:bottom w:val="single" w:sz="4" w:space="0" w:color="7030A0"/>
            </w:tcBorders>
            <w:shd w:val="clear" w:color="auto" w:fill="auto"/>
            <w:noWrap/>
          </w:tcPr>
          <w:p w14:paraId="411A46F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$76,978 </w:t>
            </w:r>
          </w:p>
        </w:tc>
        <w:tc>
          <w:tcPr>
            <w:tcW w:w="980" w:type="dxa"/>
            <w:tcBorders>
              <w:top w:val="single" w:sz="4" w:space="0" w:color="7030A0"/>
              <w:bottom w:val="single" w:sz="4" w:space="0" w:color="7030A0"/>
            </w:tcBorders>
            <w:shd w:val="clear" w:color="auto" w:fill="auto"/>
            <w:noWrap/>
          </w:tcPr>
          <w:p w14:paraId="411A46F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$80,488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FD"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0B"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FF"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3 residents</w:t>
            </w:r>
          </w:p>
        </w:tc>
        <w:tc>
          <w:tcPr>
            <w:tcW w:w="941" w:type="dxa"/>
            <w:tcBorders>
              <w:top w:val="single" w:sz="4" w:space="0" w:color="7030A0"/>
              <w:bottom w:val="single" w:sz="4" w:space="0" w:color="7030A0"/>
            </w:tcBorders>
          </w:tcPr>
          <w:p w14:paraId="411A470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$60,939 </w:t>
            </w:r>
          </w:p>
        </w:tc>
        <w:tc>
          <w:tcPr>
            <w:tcW w:w="940" w:type="dxa"/>
            <w:tcBorders>
              <w:top w:val="single" w:sz="4" w:space="0" w:color="7030A0"/>
              <w:bottom w:val="single" w:sz="4" w:space="0" w:color="7030A0"/>
            </w:tcBorders>
            <w:shd w:val="clear" w:color="auto" w:fill="auto"/>
            <w:noWrap/>
          </w:tcPr>
          <w:p w14:paraId="411A470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$61,448 </w:t>
            </w:r>
          </w:p>
        </w:tc>
        <w:tc>
          <w:tcPr>
            <w:tcW w:w="940" w:type="dxa"/>
            <w:tcBorders>
              <w:top w:val="single" w:sz="4" w:space="0" w:color="7030A0"/>
              <w:bottom w:val="single" w:sz="4" w:space="0" w:color="7030A0"/>
            </w:tcBorders>
            <w:shd w:val="clear" w:color="auto" w:fill="auto"/>
            <w:noWrap/>
          </w:tcPr>
          <w:p w14:paraId="411A470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$63,252 </w:t>
            </w:r>
          </w:p>
        </w:tc>
        <w:tc>
          <w:tcPr>
            <w:tcW w:w="940" w:type="dxa"/>
            <w:tcBorders>
              <w:top w:val="single" w:sz="4" w:space="0" w:color="7030A0"/>
              <w:bottom w:val="single" w:sz="4" w:space="0" w:color="7030A0"/>
            </w:tcBorders>
            <w:shd w:val="clear" w:color="auto" w:fill="auto"/>
            <w:noWrap/>
          </w:tcPr>
          <w:p w14:paraId="411A470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$69,601 </w:t>
            </w:r>
          </w:p>
        </w:tc>
        <w:tc>
          <w:tcPr>
            <w:tcW w:w="940" w:type="dxa"/>
            <w:tcBorders>
              <w:top w:val="single" w:sz="4" w:space="0" w:color="7030A0"/>
              <w:bottom w:val="single" w:sz="4" w:space="0" w:color="7030A0"/>
            </w:tcBorders>
            <w:shd w:val="clear" w:color="auto" w:fill="auto"/>
            <w:noWrap/>
          </w:tcPr>
          <w:p w14:paraId="411A470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$72,958 </w:t>
            </w:r>
          </w:p>
        </w:tc>
        <w:tc>
          <w:tcPr>
            <w:tcW w:w="940" w:type="dxa"/>
            <w:tcBorders>
              <w:top w:val="single" w:sz="4" w:space="0" w:color="7030A0"/>
              <w:bottom w:val="single" w:sz="4" w:space="0" w:color="7030A0"/>
            </w:tcBorders>
            <w:shd w:val="clear" w:color="auto" w:fill="auto"/>
            <w:noWrap/>
          </w:tcPr>
          <w:p w14:paraId="411A470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$80,535 </w:t>
            </w:r>
          </w:p>
        </w:tc>
        <w:tc>
          <w:tcPr>
            <w:tcW w:w="940" w:type="dxa"/>
            <w:tcBorders>
              <w:top w:val="single" w:sz="4" w:space="0" w:color="7030A0"/>
              <w:bottom w:val="single" w:sz="4" w:space="0" w:color="7030A0"/>
            </w:tcBorders>
            <w:shd w:val="clear" w:color="auto" w:fill="auto"/>
            <w:noWrap/>
          </w:tcPr>
          <w:p w14:paraId="411A470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$83,853 </w:t>
            </w:r>
          </w:p>
        </w:tc>
        <w:tc>
          <w:tcPr>
            <w:tcW w:w="938" w:type="dxa"/>
            <w:tcBorders>
              <w:top w:val="single" w:sz="4" w:space="0" w:color="7030A0"/>
              <w:bottom w:val="single" w:sz="4" w:space="0" w:color="7030A0"/>
            </w:tcBorders>
            <w:shd w:val="clear" w:color="auto" w:fill="auto"/>
            <w:noWrap/>
          </w:tcPr>
          <w:p w14:paraId="411A470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+$3,017 </w:t>
            </w:r>
          </w:p>
        </w:tc>
        <w:tc>
          <w:tcPr>
            <w:tcW w:w="1005" w:type="dxa"/>
            <w:tcBorders>
              <w:top w:val="single" w:sz="4" w:space="0" w:color="7030A0"/>
              <w:bottom w:val="single" w:sz="4" w:space="0" w:color="7030A0"/>
            </w:tcBorders>
            <w:shd w:val="clear" w:color="auto" w:fill="auto"/>
            <w:noWrap/>
          </w:tcPr>
          <w:p w14:paraId="411A470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$99,270 </w:t>
            </w:r>
          </w:p>
        </w:tc>
        <w:tc>
          <w:tcPr>
            <w:tcW w:w="980" w:type="dxa"/>
            <w:tcBorders>
              <w:top w:val="single" w:sz="4" w:space="0" w:color="7030A0"/>
              <w:bottom w:val="single" w:sz="4" w:space="0" w:color="7030A0"/>
            </w:tcBorders>
            <w:shd w:val="clear" w:color="auto" w:fill="auto"/>
            <w:noWrap/>
          </w:tcPr>
          <w:p w14:paraId="411A470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$102,672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0A"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18"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0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3 residents</w:t>
            </w:r>
          </w:p>
        </w:tc>
        <w:tc>
          <w:tcPr>
            <w:tcW w:w="941" w:type="dxa"/>
            <w:tcBorders>
              <w:top w:val="single" w:sz="4" w:space="0" w:color="7030A0"/>
              <w:bottom w:val="single" w:sz="4" w:space="0" w:color="7030A0"/>
            </w:tcBorders>
          </w:tcPr>
          <w:p w14:paraId="411A470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$78,826 </w:t>
            </w:r>
          </w:p>
        </w:tc>
        <w:tc>
          <w:tcPr>
            <w:tcW w:w="940" w:type="dxa"/>
            <w:tcBorders>
              <w:top w:val="single" w:sz="4" w:space="0" w:color="7030A0"/>
              <w:bottom w:val="single" w:sz="4" w:space="0" w:color="7030A0"/>
            </w:tcBorders>
            <w:shd w:val="clear" w:color="auto" w:fill="auto"/>
            <w:noWrap/>
          </w:tcPr>
          <w:p w14:paraId="411A470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$79,554 </w:t>
            </w:r>
          </w:p>
        </w:tc>
        <w:tc>
          <w:tcPr>
            <w:tcW w:w="940" w:type="dxa"/>
            <w:tcBorders>
              <w:top w:val="single" w:sz="4" w:space="0" w:color="7030A0"/>
              <w:bottom w:val="single" w:sz="4" w:space="0" w:color="7030A0"/>
            </w:tcBorders>
            <w:shd w:val="clear" w:color="auto" w:fill="auto"/>
            <w:noWrap/>
          </w:tcPr>
          <w:p w14:paraId="411A470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$81,714 </w:t>
            </w:r>
          </w:p>
        </w:tc>
        <w:tc>
          <w:tcPr>
            <w:tcW w:w="940" w:type="dxa"/>
            <w:tcBorders>
              <w:top w:val="single" w:sz="4" w:space="0" w:color="7030A0"/>
              <w:bottom w:val="single" w:sz="4" w:space="0" w:color="7030A0"/>
            </w:tcBorders>
            <w:shd w:val="clear" w:color="auto" w:fill="auto"/>
            <w:noWrap/>
          </w:tcPr>
          <w:p w14:paraId="411A471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$90,384 </w:t>
            </w:r>
          </w:p>
        </w:tc>
        <w:tc>
          <w:tcPr>
            <w:tcW w:w="940" w:type="dxa"/>
            <w:tcBorders>
              <w:top w:val="single" w:sz="4" w:space="0" w:color="7030A0"/>
              <w:bottom w:val="single" w:sz="4" w:space="0" w:color="7030A0"/>
            </w:tcBorders>
            <w:shd w:val="clear" w:color="auto" w:fill="auto"/>
            <w:noWrap/>
          </w:tcPr>
          <w:p w14:paraId="411A471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$94,226 </w:t>
            </w:r>
          </w:p>
        </w:tc>
        <w:tc>
          <w:tcPr>
            <w:tcW w:w="940" w:type="dxa"/>
            <w:tcBorders>
              <w:top w:val="single" w:sz="4" w:space="0" w:color="7030A0"/>
              <w:bottom w:val="single" w:sz="4" w:space="0" w:color="7030A0"/>
            </w:tcBorders>
            <w:shd w:val="clear" w:color="auto" w:fill="auto"/>
            <w:noWrap/>
          </w:tcPr>
          <w:p w14:paraId="411A471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$103,801 </w:t>
            </w:r>
          </w:p>
        </w:tc>
        <w:tc>
          <w:tcPr>
            <w:tcW w:w="940" w:type="dxa"/>
            <w:tcBorders>
              <w:top w:val="single" w:sz="4" w:space="0" w:color="7030A0"/>
              <w:bottom w:val="single" w:sz="4" w:space="0" w:color="7030A0"/>
            </w:tcBorders>
            <w:shd w:val="clear" w:color="auto" w:fill="auto"/>
            <w:noWrap/>
          </w:tcPr>
          <w:p w14:paraId="411A471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$107,589 </w:t>
            </w:r>
          </w:p>
        </w:tc>
        <w:tc>
          <w:tcPr>
            <w:tcW w:w="938" w:type="dxa"/>
            <w:tcBorders>
              <w:top w:val="single" w:sz="4" w:space="0" w:color="7030A0"/>
              <w:bottom w:val="single" w:sz="4" w:space="0" w:color="7030A0"/>
            </w:tcBorders>
            <w:shd w:val="clear" w:color="auto" w:fill="auto"/>
            <w:noWrap/>
          </w:tcPr>
          <w:p w14:paraId="411A471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+$3,429 </w:t>
            </w:r>
          </w:p>
        </w:tc>
        <w:tc>
          <w:tcPr>
            <w:tcW w:w="1005" w:type="dxa"/>
            <w:tcBorders>
              <w:top w:val="single" w:sz="4" w:space="0" w:color="7030A0"/>
              <w:bottom w:val="single" w:sz="4" w:space="0" w:color="7030A0"/>
            </w:tcBorders>
            <w:shd w:val="clear" w:color="auto" w:fill="auto"/>
            <w:noWrap/>
          </w:tcPr>
          <w:p w14:paraId="411A471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$134,775 </w:t>
            </w:r>
          </w:p>
        </w:tc>
        <w:tc>
          <w:tcPr>
            <w:tcW w:w="980" w:type="dxa"/>
            <w:tcBorders>
              <w:top w:val="single" w:sz="4" w:space="0" w:color="7030A0"/>
              <w:bottom w:val="single" w:sz="4" w:space="0" w:color="7030A0"/>
            </w:tcBorders>
            <w:shd w:val="clear" w:color="auto" w:fill="auto"/>
            <w:noWrap/>
          </w:tcPr>
          <w:p w14:paraId="411A471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$139,121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17"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25"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1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4 residents</w:t>
            </w:r>
          </w:p>
        </w:tc>
        <w:tc>
          <w:tcPr>
            <w:tcW w:w="941" w:type="dxa"/>
            <w:tcBorders>
              <w:top w:val="single" w:sz="4" w:space="0" w:color="7030A0"/>
              <w:bottom w:val="single" w:sz="4" w:space="0" w:color="7030A0"/>
            </w:tcBorders>
          </w:tcPr>
          <w:p w14:paraId="411A471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$92,888 </w:t>
            </w:r>
          </w:p>
        </w:tc>
        <w:tc>
          <w:tcPr>
            <w:tcW w:w="940" w:type="dxa"/>
            <w:tcBorders>
              <w:top w:val="single" w:sz="4" w:space="0" w:color="7030A0"/>
              <w:bottom w:val="single" w:sz="4" w:space="0" w:color="7030A0"/>
            </w:tcBorders>
            <w:shd w:val="clear" w:color="auto" w:fill="auto"/>
            <w:noWrap/>
          </w:tcPr>
          <w:p w14:paraId="411A471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$93,688 </w:t>
            </w:r>
          </w:p>
        </w:tc>
        <w:tc>
          <w:tcPr>
            <w:tcW w:w="940" w:type="dxa"/>
            <w:tcBorders>
              <w:top w:val="single" w:sz="4" w:space="0" w:color="7030A0"/>
              <w:bottom w:val="single" w:sz="4" w:space="0" w:color="7030A0"/>
            </w:tcBorders>
            <w:shd w:val="clear" w:color="auto" w:fill="auto"/>
            <w:noWrap/>
          </w:tcPr>
          <w:p w14:paraId="411A471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$95,993 </w:t>
            </w:r>
          </w:p>
        </w:tc>
        <w:tc>
          <w:tcPr>
            <w:tcW w:w="940" w:type="dxa"/>
            <w:tcBorders>
              <w:top w:val="single" w:sz="4" w:space="0" w:color="7030A0"/>
              <w:bottom w:val="single" w:sz="4" w:space="0" w:color="7030A0"/>
            </w:tcBorders>
            <w:shd w:val="clear" w:color="auto" w:fill="auto"/>
            <w:noWrap/>
          </w:tcPr>
          <w:p w14:paraId="411A471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$104,183 </w:t>
            </w:r>
          </w:p>
        </w:tc>
        <w:tc>
          <w:tcPr>
            <w:tcW w:w="940" w:type="dxa"/>
            <w:tcBorders>
              <w:top w:val="single" w:sz="4" w:space="0" w:color="7030A0"/>
              <w:bottom w:val="single" w:sz="4" w:space="0" w:color="7030A0"/>
            </w:tcBorders>
            <w:shd w:val="clear" w:color="auto" w:fill="auto"/>
            <w:noWrap/>
          </w:tcPr>
          <w:p w14:paraId="411A471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$107,202 </w:t>
            </w:r>
          </w:p>
        </w:tc>
        <w:tc>
          <w:tcPr>
            <w:tcW w:w="940" w:type="dxa"/>
            <w:tcBorders>
              <w:top w:val="single" w:sz="4" w:space="0" w:color="7030A0"/>
              <w:bottom w:val="single" w:sz="4" w:space="0" w:color="7030A0"/>
            </w:tcBorders>
            <w:shd w:val="clear" w:color="auto" w:fill="auto"/>
            <w:noWrap/>
          </w:tcPr>
          <w:p w14:paraId="411A471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$119,490 </w:t>
            </w:r>
          </w:p>
        </w:tc>
        <w:tc>
          <w:tcPr>
            <w:tcW w:w="940" w:type="dxa"/>
            <w:tcBorders>
              <w:top w:val="single" w:sz="4" w:space="0" w:color="7030A0"/>
              <w:bottom w:val="single" w:sz="4" w:space="0" w:color="7030A0"/>
            </w:tcBorders>
            <w:shd w:val="clear" w:color="auto" w:fill="auto"/>
            <w:noWrap/>
          </w:tcPr>
          <w:p w14:paraId="411A472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$123,117 </w:t>
            </w:r>
          </w:p>
        </w:tc>
        <w:tc>
          <w:tcPr>
            <w:tcW w:w="938" w:type="dxa"/>
            <w:tcBorders>
              <w:top w:val="single" w:sz="4" w:space="0" w:color="7030A0"/>
              <w:bottom w:val="single" w:sz="4" w:space="0" w:color="7030A0"/>
            </w:tcBorders>
            <w:shd w:val="clear" w:color="auto" w:fill="auto"/>
            <w:noWrap/>
          </w:tcPr>
          <w:p w14:paraId="411A472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+$3,248 </w:t>
            </w:r>
          </w:p>
        </w:tc>
        <w:tc>
          <w:tcPr>
            <w:tcW w:w="1005" w:type="dxa"/>
            <w:tcBorders>
              <w:top w:val="single" w:sz="4" w:space="0" w:color="7030A0"/>
              <w:bottom w:val="single" w:sz="4" w:space="0" w:color="7030A0"/>
            </w:tcBorders>
            <w:shd w:val="clear" w:color="auto" w:fill="auto"/>
            <w:noWrap/>
          </w:tcPr>
          <w:p w14:paraId="411A472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$152,012 </w:t>
            </w:r>
          </w:p>
        </w:tc>
        <w:tc>
          <w:tcPr>
            <w:tcW w:w="980" w:type="dxa"/>
            <w:tcBorders>
              <w:top w:val="single" w:sz="4" w:space="0" w:color="7030A0"/>
              <w:bottom w:val="single" w:sz="4" w:space="0" w:color="7030A0"/>
            </w:tcBorders>
            <w:shd w:val="clear" w:color="auto" w:fill="auto"/>
            <w:noWrap/>
          </w:tcPr>
          <w:p w14:paraId="411A472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$156,142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24"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32"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26"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Group Accomm, 5 residents</w:t>
            </w:r>
          </w:p>
        </w:tc>
        <w:tc>
          <w:tcPr>
            <w:tcW w:w="941" w:type="dxa"/>
            <w:tcBorders>
              <w:top w:val="single" w:sz="4" w:space="0" w:color="7030A0"/>
              <w:bottom w:val="single" w:sz="4" w:space="0" w:color="7030A0"/>
            </w:tcBorders>
          </w:tcPr>
          <w:p w14:paraId="411A472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$103,789 </w:t>
            </w:r>
          </w:p>
        </w:tc>
        <w:tc>
          <w:tcPr>
            <w:tcW w:w="940" w:type="dxa"/>
            <w:tcBorders>
              <w:top w:val="single" w:sz="4" w:space="0" w:color="7030A0"/>
              <w:bottom w:val="single" w:sz="4" w:space="0" w:color="7030A0"/>
            </w:tcBorders>
            <w:shd w:val="clear" w:color="auto" w:fill="auto"/>
            <w:noWrap/>
          </w:tcPr>
          <w:p w14:paraId="411A472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$104,842 </w:t>
            </w:r>
          </w:p>
        </w:tc>
        <w:tc>
          <w:tcPr>
            <w:tcW w:w="940" w:type="dxa"/>
            <w:tcBorders>
              <w:top w:val="single" w:sz="4" w:space="0" w:color="7030A0"/>
              <w:bottom w:val="single" w:sz="4" w:space="0" w:color="7030A0"/>
            </w:tcBorders>
            <w:shd w:val="clear" w:color="auto" w:fill="auto"/>
            <w:noWrap/>
          </w:tcPr>
          <w:p w14:paraId="411A472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$107,170 </w:t>
            </w:r>
          </w:p>
        </w:tc>
        <w:tc>
          <w:tcPr>
            <w:tcW w:w="940" w:type="dxa"/>
            <w:tcBorders>
              <w:top w:val="single" w:sz="4" w:space="0" w:color="7030A0"/>
              <w:bottom w:val="single" w:sz="4" w:space="0" w:color="7030A0"/>
            </w:tcBorders>
            <w:shd w:val="clear" w:color="auto" w:fill="auto"/>
            <w:noWrap/>
          </w:tcPr>
          <w:p w14:paraId="411A472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$117,167 </w:t>
            </w:r>
          </w:p>
        </w:tc>
        <w:tc>
          <w:tcPr>
            <w:tcW w:w="940" w:type="dxa"/>
            <w:tcBorders>
              <w:top w:val="single" w:sz="4" w:space="0" w:color="7030A0"/>
              <w:bottom w:val="single" w:sz="4" w:space="0" w:color="7030A0"/>
            </w:tcBorders>
            <w:shd w:val="clear" w:color="auto" w:fill="auto"/>
            <w:noWrap/>
          </w:tcPr>
          <w:p w14:paraId="411A472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$120,099 </w:t>
            </w:r>
          </w:p>
        </w:tc>
        <w:tc>
          <w:tcPr>
            <w:tcW w:w="940" w:type="dxa"/>
            <w:tcBorders>
              <w:top w:val="single" w:sz="4" w:space="0" w:color="7030A0"/>
              <w:bottom w:val="single" w:sz="4" w:space="0" w:color="7030A0"/>
            </w:tcBorders>
            <w:shd w:val="clear" w:color="auto" w:fill="auto"/>
            <w:noWrap/>
          </w:tcPr>
          <w:p w14:paraId="411A472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$133,887 </w:t>
            </w:r>
          </w:p>
        </w:tc>
        <w:tc>
          <w:tcPr>
            <w:tcW w:w="940" w:type="dxa"/>
            <w:tcBorders>
              <w:top w:val="single" w:sz="4" w:space="0" w:color="7030A0"/>
              <w:bottom w:val="single" w:sz="4" w:space="0" w:color="7030A0"/>
            </w:tcBorders>
            <w:shd w:val="clear" w:color="auto" w:fill="auto"/>
            <w:noWrap/>
          </w:tcPr>
          <w:p w14:paraId="411A472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$137,414 </w:t>
            </w:r>
          </w:p>
        </w:tc>
        <w:tc>
          <w:tcPr>
            <w:tcW w:w="938" w:type="dxa"/>
            <w:tcBorders>
              <w:top w:val="single" w:sz="4" w:space="0" w:color="7030A0"/>
              <w:bottom w:val="single" w:sz="4" w:space="0" w:color="7030A0"/>
            </w:tcBorders>
            <w:shd w:val="clear" w:color="auto" w:fill="auto"/>
            <w:noWrap/>
          </w:tcPr>
          <w:p w14:paraId="411A472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+$3,148 </w:t>
            </w:r>
          </w:p>
        </w:tc>
        <w:tc>
          <w:tcPr>
            <w:tcW w:w="1005" w:type="dxa"/>
            <w:tcBorders>
              <w:top w:val="single" w:sz="4" w:space="0" w:color="7030A0"/>
              <w:bottom w:val="single" w:sz="4" w:space="0" w:color="7030A0"/>
            </w:tcBorders>
            <w:shd w:val="clear" w:color="auto" w:fill="auto"/>
            <w:noWrap/>
          </w:tcPr>
          <w:p w14:paraId="411A472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$170,683 </w:t>
            </w:r>
          </w:p>
        </w:tc>
        <w:tc>
          <w:tcPr>
            <w:tcW w:w="980" w:type="dxa"/>
            <w:tcBorders>
              <w:top w:val="single" w:sz="4" w:space="0" w:color="7030A0"/>
              <w:bottom w:val="single" w:sz="4" w:space="0" w:color="7030A0"/>
            </w:tcBorders>
            <w:shd w:val="clear" w:color="auto" w:fill="auto"/>
            <w:noWrap/>
          </w:tcPr>
          <w:p w14:paraId="411A473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$174,696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31"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34" w14:textId="77777777" w:rsidTr="00E06063">
        <w:trPr>
          <w:trHeight w:val="334"/>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14:paraId="411A4733" w14:textId="77777777" w:rsidR="004D74B9" w:rsidRPr="009B1439" w:rsidRDefault="004D74B9" w:rsidP="00E06063">
            <w:pPr>
              <w:spacing w:after="0" w:line="240" w:lineRule="auto"/>
              <w:rPr>
                <w:rFonts w:asciiTheme="minorHAnsi" w:eastAsia="Times New Roman" w:hAnsiTheme="minorHAnsi" w:cs="Times New Roman"/>
                <w:sz w:val="20"/>
                <w:szCs w:val="22"/>
                <w:lang w:eastAsia="en-AU"/>
              </w:rPr>
            </w:pPr>
            <w:r w:rsidRPr="009B1439">
              <w:rPr>
                <w:rFonts w:asciiTheme="minorHAnsi" w:eastAsia="Times New Roman" w:hAnsiTheme="minorHAnsi" w:cs="Times New Roman"/>
                <w:b/>
                <w:sz w:val="20"/>
                <w:szCs w:val="22"/>
                <w:lang w:eastAsia="en-AU"/>
              </w:rPr>
              <w:t>EXISTING STOCK</w:t>
            </w:r>
          </w:p>
        </w:tc>
      </w:tr>
      <w:tr w:rsidR="004D74B9" w:rsidRPr="00FA5F62" w14:paraId="411A4741"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735"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1 bedroom, 1 resident</w:t>
            </w:r>
          </w:p>
        </w:tc>
        <w:tc>
          <w:tcPr>
            <w:tcW w:w="941" w:type="dxa"/>
            <w:tcBorders>
              <w:top w:val="single" w:sz="4" w:space="0" w:color="7030A0"/>
              <w:bottom w:val="single" w:sz="4" w:space="0" w:color="7030A0"/>
            </w:tcBorders>
          </w:tcPr>
          <w:p w14:paraId="411A473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$27,306 </w:t>
            </w:r>
          </w:p>
        </w:tc>
        <w:tc>
          <w:tcPr>
            <w:tcW w:w="940" w:type="dxa"/>
            <w:tcBorders>
              <w:top w:val="single" w:sz="4" w:space="0" w:color="7030A0"/>
              <w:bottom w:val="single" w:sz="4" w:space="0" w:color="7030A0"/>
            </w:tcBorders>
            <w:shd w:val="clear" w:color="auto" w:fill="auto"/>
            <w:noWrap/>
          </w:tcPr>
          <w:p w14:paraId="411A473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$27,732 </w:t>
            </w:r>
          </w:p>
        </w:tc>
        <w:tc>
          <w:tcPr>
            <w:tcW w:w="940" w:type="dxa"/>
            <w:tcBorders>
              <w:top w:val="single" w:sz="4" w:space="0" w:color="7030A0"/>
              <w:bottom w:val="single" w:sz="4" w:space="0" w:color="7030A0"/>
            </w:tcBorders>
            <w:shd w:val="clear" w:color="auto" w:fill="auto"/>
            <w:noWrap/>
          </w:tcPr>
          <w:p w14:paraId="411A473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$30,971 </w:t>
            </w:r>
          </w:p>
        </w:tc>
        <w:tc>
          <w:tcPr>
            <w:tcW w:w="940" w:type="dxa"/>
            <w:tcBorders>
              <w:top w:val="single" w:sz="4" w:space="0" w:color="7030A0"/>
              <w:bottom w:val="single" w:sz="4" w:space="0" w:color="7030A0"/>
            </w:tcBorders>
            <w:shd w:val="clear" w:color="auto" w:fill="auto"/>
            <w:noWrap/>
          </w:tcPr>
          <w:p w14:paraId="411A473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$36,813 </w:t>
            </w:r>
          </w:p>
        </w:tc>
        <w:tc>
          <w:tcPr>
            <w:tcW w:w="940" w:type="dxa"/>
            <w:tcBorders>
              <w:top w:val="single" w:sz="4" w:space="0" w:color="7030A0"/>
              <w:bottom w:val="single" w:sz="4" w:space="0" w:color="7030A0"/>
            </w:tcBorders>
            <w:shd w:val="clear" w:color="auto" w:fill="auto"/>
            <w:noWrap/>
          </w:tcPr>
          <w:p w14:paraId="411A473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$41,566 </w:t>
            </w:r>
          </w:p>
        </w:tc>
        <w:tc>
          <w:tcPr>
            <w:tcW w:w="940" w:type="dxa"/>
            <w:tcBorders>
              <w:top w:val="single" w:sz="4" w:space="0" w:color="7030A0"/>
              <w:bottom w:val="single" w:sz="4" w:space="0" w:color="7030A0"/>
            </w:tcBorders>
            <w:shd w:val="clear" w:color="auto" w:fill="auto"/>
            <w:noWrap/>
          </w:tcPr>
          <w:p w14:paraId="411A473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73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73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3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$54,113 </w:t>
            </w:r>
          </w:p>
        </w:tc>
        <w:tc>
          <w:tcPr>
            <w:tcW w:w="980" w:type="dxa"/>
            <w:tcBorders>
              <w:top w:val="single" w:sz="4" w:space="0" w:color="7030A0"/>
              <w:bottom w:val="single" w:sz="4" w:space="0" w:color="7030A0"/>
            </w:tcBorders>
            <w:shd w:val="clear" w:color="auto" w:fill="auto"/>
            <w:noWrap/>
          </w:tcPr>
          <w:p w14:paraId="411A473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$61,749 </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740"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Premium above other prices. Considered case by case.</w:t>
            </w:r>
          </w:p>
        </w:tc>
      </w:tr>
      <w:tr w:rsidR="004D74B9" w:rsidRPr="00FA5F62" w14:paraId="411A474E"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42"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2 bedrooms, 1 resident</w:t>
            </w:r>
          </w:p>
        </w:tc>
        <w:tc>
          <w:tcPr>
            <w:tcW w:w="941" w:type="dxa"/>
            <w:tcBorders>
              <w:top w:val="single" w:sz="4" w:space="0" w:color="7030A0"/>
              <w:bottom w:val="single" w:sz="4" w:space="0" w:color="7030A0"/>
            </w:tcBorders>
          </w:tcPr>
          <w:p w14:paraId="411A474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$34,202 </w:t>
            </w:r>
          </w:p>
        </w:tc>
        <w:tc>
          <w:tcPr>
            <w:tcW w:w="940" w:type="dxa"/>
            <w:tcBorders>
              <w:top w:val="single" w:sz="4" w:space="0" w:color="7030A0"/>
              <w:bottom w:val="single" w:sz="4" w:space="0" w:color="7030A0"/>
            </w:tcBorders>
            <w:shd w:val="clear" w:color="auto" w:fill="auto"/>
            <w:noWrap/>
          </w:tcPr>
          <w:p w14:paraId="411A474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$34,724 </w:t>
            </w:r>
          </w:p>
        </w:tc>
        <w:tc>
          <w:tcPr>
            <w:tcW w:w="940" w:type="dxa"/>
            <w:tcBorders>
              <w:top w:val="single" w:sz="4" w:space="0" w:color="7030A0"/>
              <w:bottom w:val="single" w:sz="4" w:space="0" w:color="7030A0"/>
            </w:tcBorders>
            <w:shd w:val="clear" w:color="auto" w:fill="auto"/>
            <w:noWrap/>
          </w:tcPr>
          <w:p w14:paraId="411A474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$39,129 </w:t>
            </w:r>
          </w:p>
        </w:tc>
        <w:tc>
          <w:tcPr>
            <w:tcW w:w="940" w:type="dxa"/>
            <w:tcBorders>
              <w:top w:val="single" w:sz="4" w:space="0" w:color="7030A0"/>
              <w:bottom w:val="single" w:sz="4" w:space="0" w:color="7030A0"/>
            </w:tcBorders>
            <w:shd w:val="clear" w:color="auto" w:fill="auto"/>
            <w:noWrap/>
          </w:tcPr>
          <w:p w14:paraId="411A474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$43,903 </w:t>
            </w:r>
          </w:p>
        </w:tc>
        <w:tc>
          <w:tcPr>
            <w:tcW w:w="940" w:type="dxa"/>
            <w:tcBorders>
              <w:top w:val="single" w:sz="4" w:space="0" w:color="7030A0"/>
              <w:bottom w:val="single" w:sz="4" w:space="0" w:color="7030A0"/>
            </w:tcBorders>
            <w:shd w:val="clear" w:color="auto" w:fill="auto"/>
            <w:noWrap/>
          </w:tcPr>
          <w:p w14:paraId="411A474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$49,838 </w:t>
            </w:r>
          </w:p>
        </w:tc>
        <w:tc>
          <w:tcPr>
            <w:tcW w:w="940" w:type="dxa"/>
            <w:tcBorders>
              <w:top w:val="single" w:sz="4" w:space="0" w:color="7030A0"/>
              <w:bottom w:val="single" w:sz="4" w:space="0" w:color="7030A0"/>
            </w:tcBorders>
            <w:shd w:val="clear" w:color="auto" w:fill="auto"/>
            <w:noWrap/>
          </w:tcPr>
          <w:p w14:paraId="411A474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74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74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4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$66,700 </w:t>
            </w:r>
          </w:p>
        </w:tc>
        <w:tc>
          <w:tcPr>
            <w:tcW w:w="980" w:type="dxa"/>
            <w:tcBorders>
              <w:top w:val="single" w:sz="4" w:space="0" w:color="7030A0"/>
              <w:bottom w:val="single" w:sz="4" w:space="0" w:color="7030A0"/>
            </w:tcBorders>
            <w:shd w:val="clear" w:color="auto" w:fill="auto"/>
            <w:noWrap/>
          </w:tcPr>
          <w:p w14:paraId="411A474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$76,434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4D"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5B"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4F"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Villa, 1 bedrooms, 1 resident</w:t>
            </w:r>
          </w:p>
        </w:tc>
        <w:tc>
          <w:tcPr>
            <w:tcW w:w="941" w:type="dxa"/>
            <w:tcBorders>
              <w:top w:val="single" w:sz="4" w:space="0" w:color="7030A0"/>
              <w:bottom w:val="single" w:sz="4" w:space="0" w:color="7030A0"/>
            </w:tcBorders>
          </w:tcPr>
          <w:p w14:paraId="411A475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$19,467 </w:t>
            </w:r>
          </w:p>
        </w:tc>
        <w:tc>
          <w:tcPr>
            <w:tcW w:w="940" w:type="dxa"/>
            <w:tcBorders>
              <w:top w:val="single" w:sz="4" w:space="0" w:color="7030A0"/>
              <w:bottom w:val="single" w:sz="4" w:space="0" w:color="7030A0"/>
            </w:tcBorders>
            <w:shd w:val="clear" w:color="auto" w:fill="auto"/>
            <w:noWrap/>
          </w:tcPr>
          <w:p w14:paraId="411A475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$19,705 </w:t>
            </w:r>
          </w:p>
        </w:tc>
        <w:tc>
          <w:tcPr>
            <w:tcW w:w="940" w:type="dxa"/>
            <w:tcBorders>
              <w:top w:val="single" w:sz="4" w:space="0" w:color="7030A0"/>
              <w:bottom w:val="single" w:sz="4" w:space="0" w:color="7030A0"/>
            </w:tcBorders>
            <w:shd w:val="clear" w:color="auto" w:fill="auto"/>
            <w:noWrap/>
          </w:tcPr>
          <w:p w14:paraId="411A475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$21,424 </w:t>
            </w:r>
          </w:p>
        </w:tc>
        <w:tc>
          <w:tcPr>
            <w:tcW w:w="940" w:type="dxa"/>
            <w:tcBorders>
              <w:top w:val="single" w:sz="4" w:space="0" w:color="7030A0"/>
              <w:bottom w:val="single" w:sz="4" w:space="0" w:color="7030A0"/>
            </w:tcBorders>
            <w:shd w:val="clear" w:color="auto" w:fill="auto"/>
            <w:noWrap/>
          </w:tcPr>
          <w:p w14:paraId="411A475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$23,710 </w:t>
            </w:r>
          </w:p>
        </w:tc>
        <w:tc>
          <w:tcPr>
            <w:tcW w:w="940" w:type="dxa"/>
            <w:tcBorders>
              <w:top w:val="single" w:sz="4" w:space="0" w:color="7030A0"/>
              <w:bottom w:val="single" w:sz="4" w:space="0" w:color="7030A0"/>
            </w:tcBorders>
            <w:shd w:val="clear" w:color="auto" w:fill="auto"/>
            <w:noWrap/>
          </w:tcPr>
          <w:p w14:paraId="411A475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$25,512 </w:t>
            </w:r>
          </w:p>
        </w:tc>
        <w:tc>
          <w:tcPr>
            <w:tcW w:w="940" w:type="dxa"/>
            <w:tcBorders>
              <w:top w:val="single" w:sz="4" w:space="0" w:color="7030A0"/>
              <w:bottom w:val="single" w:sz="4" w:space="0" w:color="7030A0"/>
            </w:tcBorders>
            <w:shd w:val="clear" w:color="auto" w:fill="auto"/>
            <w:noWrap/>
          </w:tcPr>
          <w:p w14:paraId="411A475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$27,863 </w:t>
            </w:r>
          </w:p>
        </w:tc>
        <w:tc>
          <w:tcPr>
            <w:tcW w:w="940" w:type="dxa"/>
            <w:tcBorders>
              <w:top w:val="single" w:sz="4" w:space="0" w:color="7030A0"/>
              <w:bottom w:val="single" w:sz="4" w:space="0" w:color="7030A0"/>
            </w:tcBorders>
            <w:shd w:val="clear" w:color="auto" w:fill="auto"/>
            <w:noWrap/>
          </w:tcPr>
          <w:p w14:paraId="411A475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$30,095 </w:t>
            </w:r>
          </w:p>
        </w:tc>
        <w:tc>
          <w:tcPr>
            <w:tcW w:w="938" w:type="dxa"/>
            <w:tcBorders>
              <w:top w:val="single" w:sz="4" w:space="0" w:color="7030A0"/>
              <w:bottom w:val="single" w:sz="4" w:space="0" w:color="7030A0"/>
            </w:tcBorders>
            <w:shd w:val="clear" w:color="auto" w:fill="auto"/>
            <w:noWrap/>
          </w:tcPr>
          <w:p w14:paraId="411A475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5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$34,037 </w:t>
            </w:r>
          </w:p>
        </w:tc>
        <w:tc>
          <w:tcPr>
            <w:tcW w:w="980" w:type="dxa"/>
            <w:tcBorders>
              <w:top w:val="single" w:sz="4" w:space="0" w:color="7030A0"/>
              <w:bottom w:val="single" w:sz="4" w:space="0" w:color="7030A0"/>
            </w:tcBorders>
            <w:shd w:val="clear" w:color="auto" w:fill="auto"/>
            <w:noWrap/>
          </w:tcPr>
          <w:p w14:paraId="411A475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$36,383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5A"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68"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5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2 residents</w:t>
            </w:r>
          </w:p>
        </w:tc>
        <w:tc>
          <w:tcPr>
            <w:tcW w:w="941" w:type="dxa"/>
            <w:tcBorders>
              <w:top w:val="single" w:sz="4" w:space="0" w:color="7030A0"/>
              <w:bottom w:val="single" w:sz="4" w:space="0" w:color="7030A0"/>
            </w:tcBorders>
          </w:tcPr>
          <w:p w14:paraId="411A475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$27,959 </w:t>
            </w:r>
          </w:p>
        </w:tc>
        <w:tc>
          <w:tcPr>
            <w:tcW w:w="940" w:type="dxa"/>
            <w:tcBorders>
              <w:top w:val="single" w:sz="4" w:space="0" w:color="7030A0"/>
              <w:bottom w:val="single" w:sz="4" w:space="0" w:color="7030A0"/>
            </w:tcBorders>
            <w:shd w:val="clear" w:color="auto" w:fill="auto"/>
            <w:noWrap/>
          </w:tcPr>
          <w:p w14:paraId="411A475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$28,299 </w:t>
            </w:r>
          </w:p>
        </w:tc>
        <w:tc>
          <w:tcPr>
            <w:tcW w:w="940" w:type="dxa"/>
            <w:tcBorders>
              <w:top w:val="single" w:sz="4" w:space="0" w:color="7030A0"/>
              <w:bottom w:val="single" w:sz="4" w:space="0" w:color="7030A0"/>
            </w:tcBorders>
            <w:shd w:val="clear" w:color="auto" w:fill="auto"/>
            <w:noWrap/>
          </w:tcPr>
          <w:p w14:paraId="411A475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$29,924 </w:t>
            </w:r>
          </w:p>
        </w:tc>
        <w:tc>
          <w:tcPr>
            <w:tcW w:w="940" w:type="dxa"/>
            <w:tcBorders>
              <w:top w:val="single" w:sz="4" w:space="0" w:color="7030A0"/>
              <w:bottom w:val="single" w:sz="4" w:space="0" w:color="7030A0"/>
            </w:tcBorders>
            <w:shd w:val="clear" w:color="auto" w:fill="auto"/>
            <w:noWrap/>
          </w:tcPr>
          <w:p w14:paraId="411A476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$33,420 </w:t>
            </w:r>
          </w:p>
        </w:tc>
        <w:tc>
          <w:tcPr>
            <w:tcW w:w="940" w:type="dxa"/>
            <w:tcBorders>
              <w:top w:val="single" w:sz="4" w:space="0" w:color="7030A0"/>
              <w:bottom w:val="single" w:sz="4" w:space="0" w:color="7030A0"/>
            </w:tcBorders>
            <w:shd w:val="clear" w:color="auto" w:fill="auto"/>
            <w:noWrap/>
          </w:tcPr>
          <w:p w14:paraId="411A476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$35,136 </w:t>
            </w:r>
          </w:p>
        </w:tc>
        <w:tc>
          <w:tcPr>
            <w:tcW w:w="940" w:type="dxa"/>
            <w:tcBorders>
              <w:top w:val="single" w:sz="4" w:space="0" w:color="7030A0"/>
              <w:bottom w:val="single" w:sz="4" w:space="0" w:color="7030A0"/>
            </w:tcBorders>
            <w:shd w:val="clear" w:color="auto" w:fill="auto"/>
            <w:noWrap/>
          </w:tcPr>
          <w:p w14:paraId="411A476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$38,750 </w:t>
            </w:r>
          </w:p>
        </w:tc>
        <w:tc>
          <w:tcPr>
            <w:tcW w:w="940" w:type="dxa"/>
            <w:tcBorders>
              <w:top w:val="single" w:sz="4" w:space="0" w:color="7030A0"/>
              <w:bottom w:val="single" w:sz="4" w:space="0" w:color="7030A0"/>
            </w:tcBorders>
            <w:shd w:val="clear" w:color="auto" w:fill="auto"/>
            <w:noWrap/>
          </w:tcPr>
          <w:p w14:paraId="411A476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$40,858 </w:t>
            </w:r>
          </w:p>
        </w:tc>
        <w:tc>
          <w:tcPr>
            <w:tcW w:w="938" w:type="dxa"/>
            <w:tcBorders>
              <w:top w:val="single" w:sz="4" w:space="0" w:color="7030A0"/>
              <w:bottom w:val="single" w:sz="4" w:space="0" w:color="7030A0"/>
            </w:tcBorders>
            <w:shd w:val="clear" w:color="auto" w:fill="auto"/>
            <w:noWrap/>
          </w:tcPr>
          <w:p w14:paraId="411A476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+$1,886 </w:t>
            </w:r>
          </w:p>
        </w:tc>
        <w:tc>
          <w:tcPr>
            <w:tcW w:w="1005" w:type="dxa"/>
            <w:tcBorders>
              <w:top w:val="single" w:sz="4" w:space="0" w:color="7030A0"/>
              <w:bottom w:val="single" w:sz="4" w:space="0" w:color="7030A0"/>
            </w:tcBorders>
            <w:shd w:val="clear" w:color="auto" w:fill="auto"/>
            <w:noWrap/>
          </w:tcPr>
          <w:p w14:paraId="411A476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$46,993 </w:t>
            </w:r>
          </w:p>
        </w:tc>
        <w:tc>
          <w:tcPr>
            <w:tcW w:w="980" w:type="dxa"/>
            <w:tcBorders>
              <w:top w:val="single" w:sz="4" w:space="0" w:color="7030A0"/>
              <w:bottom w:val="single" w:sz="4" w:space="0" w:color="7030A0"/>
            </w:tcBorders>
            <w:shd w:val="clear" w:color="auto" w:fill="auto"/>
            <w:noWrap/>
          </w:tcPr>
          <w:p w14:paraId="411A476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$49,202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67"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75"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6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3 residents</w:t>
            </w:r>
          </w:p>
        </w:tc>
        <w:tc>
          <w:tcPr>
            <w:tcW w:w="941" w:type="dxa"/>
            <w:tcBorders>
              <w:top w:val="single" w:sz="4" w:space="0" w:color="7030A0"/>
              <w:bottom w:val="single" w:sz="4" w:space="0" w:color="7030A0"/>
            </w:tcBorders>
          </w:tcPr>
          <w:p w14:paraId="411A476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$37,847 </w:t>
            </w:r>
          </w:p>
        </w:tc>
        <w:tc>
          <w:tcPr>
            <w:tcW w:w="940" w:type="dxa"/>
            <w:tcBorders>
              <w:top w:val="single" w:sz="4" w:space="0" w:color="7030A0"/>
              <w:bottom w:val="single" w:sz="4" w:space="0" w:color="7030A0"/>
            </w:tcBorders>
            <w:shd w:val="clear" w:color="auto" w:fill="auto"/>
            <w:noWrap/>
          </w:tcPr>
          <w:p w14:paraId="411A476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$38,244 </w:t>
            </w:r>
          </w:p>
        </w:tc>
        <w:tc>
          <w:tcPr>
            <w:tcW w:w="940" w:type="dxa"/>
            <w:tcBorders>
              <w:top w:val="single" w:sz="4" w:space="0" w:color="7030A0"/>
              <w:bottom w:val="single" w:sz="4" w:space="0" w:color="7030A0"/>
            </w:tcBorders>
            <w:shd w:val="clear" w:color="auto" w:fill="auto"/>
            <w:noWrap/>
          </w:tcPr>
          <w:p w14:paraId="411A476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$39,649 </w:t>
            </w:r>
          </w:p>
        </w:tc>
        <w:tc>
          <w:tcPr>
            <w:tcW w:w="940" w:type="dxa"/>
            <w:tcBorders>
              <w:top w:val="single" w:sz="4" w:space="0" w:color="7030A0"/>
              <w:bottom w:val="single" w:sz="4" w:space="0" w:color="7030A0"/>
            </w:tcBorders>
            <w:shd w:val="clear" w:color="auto" w:fill="auto"/>
            <w:noWrap/>
          </w:tcPr>
          <w:p w14:paraId="411A476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$44,594 </w:t>
            </w:r>
          </w:p>
        </w:tc>
        <w:tc>
          <w:tcPr>
            <w:tcW w:w="940" w:type="dxa"/>
            <w:tcBorders>
              <w:top w:val="single" w:sz="4" w:space="0" w:color="7030A0"/>
              <w:bottom w:val="single" w:sz="4" w:space="0" w:color="7030A0"/>
            </w:tcBorders>
            <w:shd w:val="clear" w:color="auto" w:fill="auto"/>
            <w:noWrap/>
          </w:tcPr>
          <w:p w14:paraId="411A476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$46,707 </w:t>
            </w:r>
          </w:p>
        </w:tc>
        <w:tc>
          <w:tcPr>
            <w:tcW w:w="940" w:type="dxa"/>
            <w:tcBorders>
              <w:top w:val="single" w:sz="4" w:space="0" w:color="7030A0"/>
              <w:bottom w:val="single" w:sz="4" w:space="0" w:color="7030A0"/>
            </w:tcBorders>
            <w:shd w:val="clear" w:color="auto" w:fill="auto"/>
            <w:noWrap/>
          </w:tcPr>
          <w:p w14:paraId="411A476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$51,477 </w:t>
            </w:r>
          </w:p>
        </w:tc>
        <w:tc>
          <w:tcPr>
            <w:tcW w:w="940" w:type="dxa"/>
            <w:tcBorders>
              <w:top w:val="single" w:sz="4" w:space="0" w:color="7030A0"/>
              <w:bottom w:val="single" w:sz="4" w:space="0" w:color="7030A0"/>
            </w:tcBorders>
            <w:shd w:val="clear" w:color="auto" w:fill="auto"/>
            <w:noWrap/>
          </w:tcPr>
          <w:p w14:paraId="411A477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$53,566 </w:t>
            </w:r>
          </w:p>
        </w:tc>
        <w:tc>
          <w:tcPr>
            <w:tcW w:w="938" w:type="dxa"/>
            <w:tcBorders>
              <w:top w:val="single" w:sz="4" w:space="0" w:color="7030A0"/>
              <w:bottom w:val="single" w:sz="4" w:space="0" w:color="7030A0"/>
            </w:tcBorders>
            <w:shd w:val="clear" w:color="auto" w:fill="auto"/>
            <w:noWrap/>
          </w:tcPr>
          <w:p w14:paraId="411A477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+$1,899 </w:t>
            </w:r>
          </w:p>
        </w:tc>
        <w:tc>
          <w:tcPr>
            <w:tcW w:w="1005" w:type="dxa"/>
            <w:tcBorders>
              <w:top w:val="single" w:sz="4" w:space="0" w:color="7030A0"/>
              <w:bottom w:val="single" w:sz="4" w:space="0" w:color="7030A0"/>
            </w:tcBorders>
            <w:shd w:val="clear" w:color="auto" w:fill="auto"/>
            <w:noWrap/>
          </w:tcPr>
          <w:p w14:paraId="411A477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$63,272 </w:t>
            </w:r>
          </w:p>
        </w:tc>
        <w:tc>
          <w:tcPr>
            <w:tcW w:w="980" w:type="dxa"/>
            <w:tcBorders>
              <w:top w:val="single" w:sz="4" w:space="0" w:color="7030A0"/>
              <w:bottom w:val="single" w:sz="4" w:space="0" w:color="7030A0"/>
            </w:tcBorders>
            <w:shd w:val="clear" w:color="auto" w:fill="auto"/>
            <w:noWrap/>
          </w:tcPr>
          <w:p w14:paraId="411A477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$65,413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74"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82"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76"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3 residents</w:t>
            </w:r>
          </w:p>
        </w:tc>
        <w:tc>
          <w:tcPr>
            <w:tcW w:w="941" w:type="dxa"/>
            <w:tcBorders>
              <w:top w:val="single" w:sz="4" w:space="0" w:color="7030A0"/>
              <w:bottom w:val="single" w:sz="4" w:space="0" w:color="7030A0"/>
            </w:tcBorders>
          </w:tcPr>
          <w:p w14:paraId="411A477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$44,594 </w:t>
            </w:r>
          </w:p>
        </w:tc>
        <w:tc>
          <w:tcPr>
            <w:tcW w:w="940" w:type="dxa"/>
            <w:tcBorders>
              <w:top w:val="single" w:sz="4" w:space="0" w:color="7030A0"/>
              <w:bottom w:val="single" w:sz="4" w:space="0" w:color="7030A0"/>
            </w:tcBorders>
            <w:shd w:val="clear" w:color="auto" w:fill="auto"/>
            <w:noWrap/>
          </w:tcPr>
          <w:p w14:paraId="411A477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$45,161 </w:t>
            </w:r>
          </w:p>
        </w:tc>
        <w:tc>
          <w:tcPr>
            <w:tcW w:w="940" w:type="dxa"/>
            <w:tcBorders>
              <w:top w:val="single" w:sz="4" w:space="0" w:color="7030A0"/>
              <w:bottom w:val="single" w:sz="4" w:space="0" w:color="7030A0"/>
            </w:tcBorders>
            <w:shd w:val="clear" w:color="auto" w:fill="auto"/>
            <w:noWrap/>
          </w:tcPr>
          <w:p w14:paraId="411A477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$46,843 </w:t>
            </w:r>
          </w:p>
        </w:tc>
        <w:tc>
          <w:tcPr>
            <w:tcW w:w="940" w:type="dxa"/>
            <w:tcBorders>
              <w:top w:val="single" w:sz="4" w:space="0" w:color="7030A0"/>
              <w:bottom w:val="single" w:sz="4" w:space="0" w:color="7030A0"/>
            </w:tcBorders>
            <w:shd w:val="clear" w:color="auto" w:fill="auto"/>
            <w:noWrap/>
          </w:tcPr>
          <w:p w14:paraId="411A477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$53,596 </w:t>
            </w:r>
          </w:p>
        </w:tc>
        <w:tc>
          <w:tcPr>
            <w:tcW w:w="940" w:type="dxa"/>
            <w:tcBorders>
              <w:top w:val="single" w:sz="4" w:space="0" w:color="7030A0"/>
              <w:bottom w:val="single" w:sz="4" w:space="0" w:color="7030A0"/>
            </w:tcBorders>
            <w:shd w:val="clear" w:color="auto" w:fill="auto"/>
            <w:noWrap/>
          </w:tcPr>
          <w:p w14:paraId="411A477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$56,015 </w:t>
            </w:r>
          </w:p>
        </w:tc>
        <w:tc>
          <w:tcPr>
            <w:tcW w:w="940" w:type="dxa"/>
            <w:tcBorders>
              <w:top w:val="single" w:sz="4" w:space="0" w:color="7030A0"/>
              <w:bottom w:val="single" w:sz="4" w:space="0" w:color="7030A0"/>
            </w:tcBorders>
            <w:shd w:val="clear" w:color="auto" w:fill="auto"/>
            <w:noWrap/>
          </w:tcPr>
          <w:p w14:paraId="411A477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$62,042 </w:t>
            </w:r>
          </w:p>
        </w:tc>
        <w:tc>
          <w:tcPr>
            <w:tcW w:w="940" w:type="dxa"/>
            <w:tcBorders>
              <w:top w:val="single" w:sz="4" w:space="0" w:color="7030A0"/>
              <w:bottom w:val="single" w:sz="4" w:space="0" w:color="7030A0"/>
            </w:tcBorders>
            <w:shd w:val="clear" w:color="auto" w:fill="auto"/>
            <w:noWrap/>
          </w:tcPr>
          <w:p w14:paraId="411A477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$64,427 </w:t>
            </w:r>
          </w:p>
        </w:tc>
        <w:tc>
          <w:tcPr>
            <w:tcW w:w="938" w:type="dxa"/>
            <w:tcBorders>
              <w:top w:val="single" w:sz="4" w:space="0" w:color="7030A0"/>
              <w:bottom w:val="single" w:sz="4" w:space="0" w:color="7030A0"/>
            </w:tcBorders>
            <w:shd w:val="clear" w:color="auto" w:fill="auto"/>
            <w:noWrap/>
          </w:tcPr>
          <w:p w14:paraId="411A477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+$2,158 </w:t>
            </w:r>
          </w:p>
        </w:tc>
        <w:tc>
          <w:tcPr>
            <w:tcW w:w="1005" w:type="dxa"/>
            <w:tcBorders>
              <w:top w:val="single" w:sz="4" w:space="0" w:color="7030A0"/>
              <w:bottom w:val="single" w:sz="4" w:space="0" w:color="7030A0"/>
            </w:tcBorders>
            <w:shd w:val="clear" w:color="auto" w:fill="auto"/>
            <w:noWrap/>
          </w:tcPr>
          <w:p w14:paraId="411A477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$81,541 </w:t>
            </w:r>
          </w:p>
        </w:tc>
        <w:tc>
          <w:tcPr>
            <w:tcW w:w="980" w:type="dxa"/>
            <w:tcBorders>
              <w:top w:val="single" w:sz="4" w:space="0" w:color="7030A0"/>
              <w:bottom w:val="single" w:sz="4" w:space="0" w:color="7030A0"/>
            </w:tcBorders>
            <w:shd w:val="clear" w:color="auto" w:fill="auto"/>
            <w:noWrap/>
          </w:tcPr>
          <w:p w14:paraId="411A478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$84,278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81"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8F"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83"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4 residents</w:t>
            </w:r>
          </w:p>
        </w:tc>
        <w:tc>
          <w:tcPr>
            <w:tcW w:w="941" w:type="dxa"/>
            <w:tcBorders>
              <w:top w:val="single" w:sz="4" w:space="0" w:color="7030A0"/>
              <w:bottom w:val="single" w:sz="4" w:space="0" w:color="7030A0"/>
            </w:tcBorders>
          </w:tcPr>
          <w:p w14:paraId="411A478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$55,898 </w:t>
            </w:r>
          </w:p>
        </w:tc>
        <w:tc>
          <w:tcPr>
            <w:tcW w:w="940" w:type="dxa"/>
            <w:tcBorders>
              <w:top w:val="single" w:sz="4" w:space="0" w:color="7030A0"/>
              <w:bottom w:val="single" w:sz="4" w:space="0" w:color="7030A0"/>
            </w:tcBorders>
            <w:shd w:val="clear" w:color="auto" w:fill="auto"/>
            <w:noWrap/>
          </w:tcPr>
          <w:p w14:paraId="411A478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$56,521 </w:t>
            </w:r>
          </w:p>
        </w:tc>
        <w:tc>
          <w:tcPr>
            <w:tcW w:w="940" w:type="dxa"/>
            <w:tcBorders>
              <w:top w:val="single" w:sz="4" w:space="0" w:color="7030A0"/>
              <w:bottom w:val="single" w:sz="4" w:space="0" w:color="7030A0"/>
            </w:tcBorders>
            <w:shd w:val="clear" w:color="auto" w:fill="auto"/>
            <w:noWrap/>
          </w:tcPr>
          <w:p w14:paraId="411A478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$58,317 </w:t>
            </w:r>
          </w:p>
        </w:tc>
        <w:tc>
          <w:tcPr>
            <w:tcW w:w="940" w:type="dxa"/>
            <w:tcBorders>
              <w:top w:val="single" w:sz="4" w:space="0" w:color="7030A0"/>
              <w:bottom w:val="single" w:sz="4" w:space="0" w:color="7030A0"/>
            </w:tcBorders>
            <w:shd w:val="clear" w:color="auto" w:fill="auto"/>
            <w:noWrap/>
          </w:tcPr>
          <w:p w14:paraId="411A478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$64,696 </w:t>
            </w:r>
          </w:p>
        </w:tc>
        <w:tc>
          <w:tcPr>
            <w:tcW w:w="940" w:type="dxa"/>
            <w:tcBorders>
              <w:top w:val="single" w:sz="4" w:space="0" w:color="7030A0"/>
              <w:bottom w:val="single" w:sz="4" w:space="0" w:color="7030A0"/>
            </w:tcBorders>
            <w:shd w:val="clear" w:color="auto" w:fill="auto"/>
            <w:noWrap/>
          </w:tcPr>
          <w:p w14:paraId="411A478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$66,596 </w:t>
            </w:r>
          </w:p>
        </w:tc>
        <w:tc>
          <w:tcPr>
            <w:tcW w:w="940" w:type="dxa"/>
            <w:tcBorders>
              <w:top w:val="single" w:sz="4" w:space="0" w:color="7030A0"/>
              <w:bottom w:val="single" w:sz="4" w:space="0" w:color="7030A0"/>
            </w:tcBorders>
            <w:shd w:val="clear" w:color="auto" w:fill="auto"/>
            <w:noWrap/>
          </w:tcPr>
          <w:p w14:paraId="411A478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$74,332 </w:t>
            </w:r>
          </w:p>
        </w:tc>
        <w:tc>
          <w:tcPr>
            <w:tcW w:w="940" w:type="dxa"/>
            <w:tcBorders>
              <w:top w:val="single" w:sz="4" w:space="0" w:color="7030A0"/>
              <w:bottom w:val="single" w:sz="4" w:space="0" w:color="7030A0"/>
            </w:tcBorders>
            <w:shd w:val="clear" w:color="auto" w:fill="auto"/>
            <w:noWrap/>
          </w:tcPr>
          <w:p w14:paraId="411A478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$76,615 </w:t>
            </w:r>
          </w:p>
        </w:tc>
        <w:tc>
          <w:tcPr>
            <w:tcW w:w="938" w:type="dxa"/>
            <w:tcBorders>
              <w:top w:val="single" w:sz="4" w:space="0" w:color="7030A0"/>
              <w:bottom w:val="single" w:sz="4" w:space="0" w:color="7030A0"/>
            </w:tcBorders>
            <w:shd w:val="clear" w:color="auto" w:fill="auto"/>
            <w:noWrap/>
          </w:tcPr>
          <w:p w14:paraId="411A478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+$2,045 </w:t>
            </w:r>
          </w:p>
        </w:tc>
        <w:tc>
          <w:tcPr>
            <w:tcW w:w="1005" w:type="dxa"/>
            <w:tcBorders>
              <w:top w:val="single" w:sz="4" w:space="0" w:color="7030A0"/>
              <w:bottom w:val="single" w:sz="4" w:space="0" w:color="7030A0"/>
            </w:tcBorders>
            <w:shd w:val="clear" w:color="auto" w:fill="auto"/>
            <w:noWrap/>
          </w:tcPr>
          <w:p w14:paraId="411A478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$94,805 </w:t>
            </w:r>
          </w:p>
        </w:tc>
        <w:tc>
          <w:tcPr>
            <w:tcW w:w="980" w:type="dxa"/>
            <w:tcBorders>
              <w:top w:val="single" w:sz="4" w:space="0" w:color="7030A0"/>
              <w:bottom w:val="single" w:sz="4" w:space="0" w:color="7030A0"/>
            </w:tcBorders>
            <w:shd w:val="clear" w:color="auto" w:fill="auto"/>
            <w:noWrap/>
          </w:tcPr>
          <w:p w14:paraId="411A478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$97,405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8E"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9C"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90"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Group Accomm, 5 residents</w:t>
            </w:r>
          </w:p>
        </w:tc>
        <w:tc>
          <w:tcPr>
            <w:tcW w:w="941" w:type="dxa"/>
            <w:tcBorders>
              <w:top w:val="single" w:sz="4" w:space="0" w:color="7030A0"/>
              <w:bottom w:val="single" w:sz="4" w:space="0" w:color="7030A0"/>
            </w:tcBorders>
          </w:tcPr>
          <w:p w14:paraId="411A479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$63,121 </w:t>
            </w:r>
          </w:p>
        </w:tc>
        <w:tc>
          <w:tcPr>
            <w:tcW w:w="940" w:type="dxa"/>
            <w:tcBorders>
              <w:top w:val="single" w:sz="4" w:space="0" w:color="7030A0"/>
              <w:bottom w:val="single" w:sz="4" w:space="0" w:color="7030A0"/>
            </w:tcBorders>
            <w:shd w:val="clear" w:color="auto" w:fill="auto"/>
            <w:noWrap/>
          </w:tcPr>
          <w:p w14:paraId="411A479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$63,914 </w:t>
            </w:r>
          </w:p>
        </w:tc>
        <w:tc>
          <w:tcPr>
            <w:tcW w:w="940" w:type="dxa"/>
            <w:tcBorders>
              <w:top w:val="single" w:sz="4" w:space="0" w:color="7030A0"/>
              <w:bottom w:val="single" w:sz="4" w:space="0" w:color="7030A0"/>
            </w:tcBorders>
            <w:shd w:val="clear" w:color="auto" w:fill="auto"/>
            <w:noWrap/>
          </w:tcPr>
          <w:p w14:paraId="411A479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$65,668 </w:t>
            </w:r>
          </w:p>
        </w:tc>
        <w:tc>
          <w:tcPr>
            <w:tcW w:w="940" w:type="dxa"/>
            <w:tcBorders>
              <w:top w:val="single" w:sz="4" w:space="0" w:color="7030A0"/>
              <w:bottom w:val="single" w:sz="4" w:space="0" w:color="7030A0"/>
            </w:tcBorders>
            <w:shd w:val="clear" w:color="auto" w:fill="auto"/>
            <w:noWrap/>
          </w:tcPr>
          <w:p w14:paraId="411A479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$73,199 </w:t>
            </w:r>
          </w:p>
        </w:tc>
        <w:tc>
          <w:tcPr>
            <w:tcW w:w="940" w:type="dxa"/>
            <w:tcBorders>
              <w:top w:val="single" w:sz="4" w:space="0" w:color="7030A0"/>
              <w:bottom w:val="single" w:sz="4" w:space="0" w:color="7030A0"/>
            </w:tcBorders>
            <w:shd w:val="clear" w:color="auto" w:fill="auto"/>
            <w:noWrap/>
          </w:tcPr>
          <w:p w14:paraId="411A479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$75,045 </w:t>
            </w:r>
          </w:p>
        </w:tc>
        <w:tc>
          <w:tcPr>
            <w:tcW w:w="940" w:type="dxa"/>
            <w:tcBorders>
              <w:top w:val="single" w:sz="4" w:space="0" w:color="7030A0"/>
              <w:bottom w:val="single" w:sz="4" w:space="0" w:color="7030A0"/>
            </w:tcBorders>
            <w:shd w:val="clear" w:color="auto" w:fill="auto"/>
            <w:noWrap/>
          </w:tcPr>
          <w:p w14:paraId="411A479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$83,725 </w:t>
            </w:r>
          </w:p>
        </w:tc>
        <w:tc>
          <w:tcPr>
            <w:tcW w:w="940" w:type="dxa"/>
            <w:tcBorders>
              <w:top w:val="single" w:sz="4" w:space="0" w:color="7030A0"/>
              <w:bottom w:val="single" w:sz="4" w:space="0" w:color="7030A0"/>
            </w:tcBorders>
            <w:shd w:val="clear" w:color="auto" w:fill="auto"/>
            <w:noWrap/>
          </w:tcPr>
          <w:p w14:paraId="411A479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$85,945 </w:t>
            </w:r>
          </w:p>
        </w:tc>
        <w:tc>
          <w:tcPr>
            <w:tcW w:w="938" w:type="dxa"/>
            <w:tcBorders>
              <w:top w:val="single" w:sz="4" w:space="0" w:color="7030A0"/>
              <w:bottom w:val="single" w:sz="4" w:space="0" w:color="7030A0"/>
            </w:tcBorders>
            <w:shd w:val="clear" w:color="auto" w:fill="auto"/>
            <w:noWrap/>
          </w:tcPr>
          <w:p w14:paraId="411A479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+$1,982 </w:t>
            </w:r>
          </w:p>
        </w:tc>
        <w:tc>
          <w:tcPr>
            <w:tcW w:w="1005" w:type="dxa"/>
            <w:tcBorders>
              <w:top w:val="single" w:sz="4" w:space="0" w:color="7030A0"/>
              <w:bottom w:val="single" w:sz="4" w:space="0" w:color="7030A0"/>
            </w:tcBorders>
            <w:shd w:val="clear" w:color="auto" w:fill="auto"/>
            <w:noWrap/>
          </w:tcPr>
          <w:p w14:paraId="411A479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$106,889 </w:t>
            </w:r>
          </w:p>
        </w:tc>
        <w:tc>
          <w:tcPr>
            <w:tcW w:w="980" w:type="dxa"/>
            <w:tcBorders>
              <w:top w:val="single" w:sz="4" w:space="0" w:color="7030A0"/>
              <w:bottom w:val="single" w:sz="4" w:space="0" w:color="7030A0"/>
            </w:tcBorders>
            <w:shd w:val="clear" w:color="auto" w:fill="auto"/>
            <w:noWrap/>
          </w:tcPr>
          <w:p w14:paraId="411A479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$109,416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9B"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bl>
    <w:p w14:paraId="411A479D" w14:textId="77777777" w:rsidR="004D74B9" w:rsidRDefault="004D74B9" w:rsidP="00FF49C5">
      <w:pPr>
        <w:pStyle w:val="BodyText1"/>
        <w:rPr>
          <w:lang w:val="en-AU"/>
        </w:rPr>
        <w:sectPr w:rsidR="004D74B9" w:rsidSect="0079317E">
          <w:headerReference w:type="even" r:id="rId19"/>
          <w:headerReference w:type="default" r:id="rId20"/>
          <w:footerReference w:type="default" r:id="rId21"/>
          <w:headerReference w:type="first" r:id="rId22"/>
          <w:footerReference w:type="first" r:id="rId23"/>
          <w:pgSz w:w="16838" w:h="11906" w:orient="landscape"/>
          <w:pgMar w:top="1440" w:right="1440" w:bottom="1134" w:left="1440" w:header="708" w:footer="0" w:gutter="0"/>
          <w:cols w:space="708"/>
          <w:titlePg/>
          <w:docGrid w:linePitch="360"/>
        </w:sectPr>
      </w:pPr>
    </w:p>
    <w:p w14:paraId="411A479E" w14:textId="77777777" w:rsidR="00FF49C5" w:rsidRPr="00E348A4" w:rsidRDefault="004802A3" w:rsidP="001D02E2">
      <w:pPr>
        <w:pStyle w:val="Heading2"/>
      </w:pPr>
      <w:bookmarkStart w:id="109" w:name="_Toc447447090"/>
      <w:bookmarkStart w:id="110" w:name="_Toc447450398"/>
      <w:r w:rsidRPr="00E348A4">
        <w:lastRenderedPageBreak/>
        <w:t>Demand</w:t>
      </w:r>
      <w:r w:rsidR="00FE2781" w:rsidRPr="00E348A4">
        <w:t xml:space="preserve"> and </w:t>
      </w:r>
      <w:r w:rsidR="00D950AF">
        <w:t>a</w:t>
      </w:r>
      <w:r w:rsidR="00C77A0B">
        <w:t>ssessment</w:t>
      </w:r>
      <w:bookmarkEnd w:id="109"/>
      <w:bookmarkEnd w:id="110"/>
    </w:p>
    <w:p w14:paraId="411A479F" w14:textId="060C549F" w:rsidR="00321CD3" w:rsidRPr="00E348A4" w:rsidRDefault="004802A3" w:rsidP="00843173">
      <w:pPr>
        <w:pStyle w:val="BodyText1"/>
        <w:rPr>
          <w:lang w:val="en-AU"/>
        </w:rPr>
      </w:pPr>
      <w:r w:rsidRPr="00E348A4">
        <w:rPr>
          <w:lang w:val="en-AU"/>
        </w:rPr>
        <w:t xml:space="preserve">The </w:t>
      </w:r>
      <w:r w:rsidR="004D4B94">
        <w:rPr>
          <w:lang w:val="en-AU"/>
        </w:rPr>
        <w:t>Agency</w:t>
      </w:r>
      <w:r w:rsidRPr="00E348A4">
        <w:rPr>
          <w:lang w:val="en-AU"/>
        </w:rPr>
        <w:t xml:space="preserve"> </w:t>
      </w:r>
      <w:r w:rsidR="002A6A8B" w:rsidRPr="00E348A4">
        <w:rPr>
          <w:lang w:val="en-AU"/>
        </w:rPr>
        <w:t>has</w:t>
      </w:r>
      <w:r w:rsidRPr="00E348A4">
        <w:rPr>
          <w:lang w:val="en-AU"/>
        </w:rPr>
        <w:t xml:space="preserve"> been working with jurisdictions to incorporate supply and demand </w:t>
      </w:r>
      <w:r w:rsidR="006869A6">
        <w:rPr>
          <w:lang w:val="en-AU"/>
        </w:rPr>
        <w:t>data into the formulation, and s</w:t>
      </w:r>
      <w:r w:rsidRPr="00E348A4">
        <w:rPr>
          <w:lang w:val="en-AU"/>
        </w:rPr>
        <w:t>cheme costing, of the benchmark pricing.</w:t>
      </w:r>
      <w:r w:rsidR="002A6A8B" w:rsidRPr="00E348A4">
        <w:rPr>
          <w:lang w:val="en-AU"/>
        </w:rPr>
        <w:t xml:space="preserve"> </w:t>
      </w:r>
      <w:r w:rsidRPr="00E348A4">
        <w:rPr>
          <w:lang w:val="en-AU"/>
        </w:rPr>
        <w:t xml:space="preserve">Whilst there is confidence in the pricing of the design categories, an estimation of full scheme liability can only be assessed based on </w:t>
      </w:r>
      <w:r w:rsidR="00F904DE">
        <w:rPr>
          <w:lang w:val="en-AU"/>
        </w:rPr>
        <w:t xml:space="preserve">more </w:t>
      </w:r>
      <w:r w:rsidR="0009260C">
        <w:rPr>
          <w:lang w:val="en-AU"/>
        </w:rPr>
        <w:t>developed</w:t>
      </w:r>
      <w:r w:rsidRPr="00E348A4">
        <w:rPr>
          <w:lang w:val="en-AU"/>
        </w:rPr>
        <w:t xml:space="preserve"> demand data for participant needs. </w:t>
      </w:r>
      <w:r w:rsidR="00321CD3" w:rsidRPr="00E348A4">
        <w:rPr>
          <w:lang w:val="en-AU"/>
        </w:rPr>
        <w:t xml:space="preserve">Over time the </w:t>
      </w:r>
      <w:r w:rsidR="006869A6">
        <w:rPr>
          <w:lang w:val="en-AU"/>
        </w:rPr>
        <w:t>Agency</w:t>
      </w:r>
      <w:r w:rsidR="00321CD3" w:rsidRPr="00E348A4">
        <w:rPr>
          <w:lang w:val="en-AU"/>
        </w:rPr>
        <w:t xml:space="preserve"> will build an understanding of demand by geographical location and participant requirements with intention of making data available via Market Position Statements</w:t>
      </w:r>
      <w:r w:rsidR="00697BEB">
        <w:rPr>
          <w:lang w:val="en-AU"/>
        </w:rPr>
        <w:t xml:space="preserve"> available on the NDIS website</w:t>
      </w:r>
      <w:r w:rsidR="00321CD3" w:rsidRPr="00E348A4">
        <w:rPr>
          <w:lang w:val="en-AU"/>
        </w:rPr>
        <w:t>.</w:t>
      </w:r>
    </w:p>
    <w:p w14:paraId="411A47A0" w14:textId="77777777" w:rsidR="00321CD3" w:rsidRPr="00E2350A" w:rsidRDefault="004802A3" w:rsidP="00843173">
      <w:pPr>
        <w:pStyle w:val="BodyText1"/>
        <w:rPr>
          <w:lang w:val="en-AU"/>
        </w:rPr>
      </w:pPr>
      <w:r w:rsidRPr="00E2350A">
        <w:rPr>
          <w:lang w:val="en-AU"/>
        </w:rPr>
        <w:t xml:space="preserve">Given data limitations that are only likely to be resolved as participants enter the Scheme, this necessarily incorporates some risk. An early assessment of full scheme liability is being undertaken by the </w:t>
      </w:r>
      <w:r w:rsidR="006869A6" w:rsidRPr="00E2350A">
        <w:rPr>
          <w:lang w:val="en-AU"/>
        </w:rPr>
        <w:t>Scheme</w:t>
      </w:r>
      <w:r w:rsidRPr="00E2350A">
        <w:rPr>
          <w:lang w:val="en-AU"/>
        </w:rPr>
        <w:t xml:space="preserve"> Actuary, to test and provide advice on scheme cost sensitivity to demand outcomes.</w:t>
      </w:r>
    </w:p>
    <w:p w14:paraId="411A47A1" w14:textId="77777777" w:rsidR="004802A3" w:rsidRPr="00E348A4" w:rsidRDefault="004802A3" w:rsidP="00B85F8A">
      <w:pPr>
        <w:pStyle w:val="Heading3"/>
      </w:pPr>
      <w:r w:rsidRPr="00E348A4">
        <w:t xml:space="preserve"> </w:t>
      </w:r>
      <w:bookmarkStart w:id="111" w:name="_Toc447056834"/>
      <w:bookmarkStart w:id="112" w:name="_Toc447447091"/>
      <w:bookmarkStart w:id="113" w:name="_Toc447450399"/>
      <w:r w:rsidR="00C77A0B">
        <w:t>Assessment</w:t>
      </w:r>
      <w:r w:rsidR="00C77A0B" w:rsidRPr="00E348A4">
        <w:t xml:space="preserve"> </w:t>
      </w:r>
      <w:r w:rsidRPr="00E348A4">
        <w:t>criteria and considerations</w:t>
      </w:r>
      <w:bookmarkEnd w:id="111"/>
      <w:bookmarkEnd w:id="112"/>
      <w:bookmarkEnd w:id="113"/>
      <w:r w:rsidRPr="00E348A4">
        <w:t xml:space="preserve"> </w:t>
      </w:r>
    </w:p>
    <w:p w14:paraId="411A47A2" w14:textId="77777777" w:rsidR="002E6A60" w:rsidRPr="00E2350A" w:rsidRDefault="002E6A60" w:rsidP="002E6A60">
      <w:pPr>
        <w:pStyle w:val="BodyText1"/>
        <w:rPr>
          <w:lang w:val="en-AU"/>
        </w:rPr>
      </w:pPr>
      <w:r w:rsidRPr="00E2350A">
        <w:rPr>
          <w:lang w:val="en-AU"/>
        </w:rPr>
        <w:t>SDA</w:t>
      </w:r>
      <w:r w:rsidR="006869A6" w:rsidRPr="00E2350A">
        <w:rPr>
          <w:lang w:val="en-AU"/>
        </w:rPr>
        <w:t xml:space="preserve"> funding</w:t>
      </w:r>
      <w:r w:rsidRPr="00E2350A">
        <w:rPr>
          <w:lang w:val="en-AU"/>
        </w:rPr>
        <w:t xml:space="preserve"> will only be available to participants who meet the criteria for SDA to be a reasonable and necessary support as part of their package</w:t>
      </w:r>
      <w:r w:rsidR="00E2350A" w:rsidRPr="00E2350A">
        <w:rPr>
          <w:lang w:val="en-AU"/>
        </w:rPr>
        <w:t xml:space="preserve">. </w:t>
      </w:r>
      <w:r w:rsidRPr="00E2350A">
        <w:rPr>
          <w:lang w:val="en-AU"/>
        </w:rPr>
        <w:t xml:space="preserve">For example, participants with a mix of factors such as significant functional impairment, complex needs (arising from comorbidity of disability), with a high need for support services </w:t>
      </w:r>
      <w:r w:rsidR="00F904DE" w:rsidRPr="00E2350A">
        <w:rPr>
          <w:lang w:val="en-AU"/>
        </w:rPr>
        <w:t>integrated with their housing supports</w:t>
      </w:r>
      <w:r w:rsidRPr="00E2350A">
        <w:rPr>
          <w:lang w:val="en-AU"/>
        </w:rPr>
        <w:t xml:space="preserve">. The </w:t>
      </w:r>
      <w:r w:rsidR="006869A6" w:rsidRPr="00E2350A">
        <w:rPr>
          <w:lang w:val="en-AU"/>
        </w:rPr>
        <w:t>Agency</w:t>
      </w:r>
      <w:r w:rsidRPr="00E2350A">
        <w:rPr>
          <w:lang w:val="en-AU"/>
        </w:rPr>
        <w:t xml:space="preserve"> is developing and testing criteria that will be applied to determine when SDA is a reasonable and necessary support for a particu</w:t>
      </w:r>
      <w:r w:rsidR="00F904DE" w:rsidRPr="00E2350A">
        <w:rPr>
          <w:lang w:val="en-AU"/>
        </w:rPr>
        <w:t>lar participant.</w:t>
      </w:r>
    </w:p>
    <w:p w14:paraId="411A47A3" w14:textId="77777777" w:rsidR="002E6A60" w:rsidRPr="00E2350A" w:rsidRDefault="002E6A60" w:rsidP="006869A6">
      <w:pPr>
        <w:pStyle w:val="BodyText1"/>
        <w:rPr>
          <w:lang w:val="en-AU"/>
        </w:rPr>
      </w:pPr>
      <w:r w:rsidRPr="00E2350A">
        <w:rPr>
          <w:lang w:val="en-AU"/>
        </w:rPr>
        <w:t xml:space="preserve">For self-managing participants, funding for </w:t>
      </w:r>
      <w:r w:rsidR="00B26E31">
        <w:rPr>
          <w:lang w:val="en-AU"/>
        </w:rPr>
        <w:t>SDA</w:t>
      </w:r>
      <w:r w:rsidRPr="00E2350A">
        <w:rPr>
          <w:lang w:val="en-AU"/>
        </w:rPr>
        <w:t xml:space="preserve"> will only be provided where the Agency approves the residential dwelling for this purpose.</w:t>
      </w:r>
    </w:p>
    <w:p w14:paraId="411A47A4" w14:textId="77777777" w:rsidR="002E6A60" w:rsidRPr="00953082" w:rsidRDefault="002E6A60" w:rsidP="00B85F8A">
      <w:pPr>
        <w:pStyle w:val="Heading4"/>
      </w:pPr>
      <w:bookmarkStart w:id="114" w:name="_Toc447056835"/>
      <w:bookmarkStart w:id="115" w:name="_Toc447198705"/>
      <w:bookmarkStart w:id="116" w:name="_Toc447447092"/>
      <w:r w:rsidRPr="00953082">
        <w:t>Transition and continuity arrangements</w:t>
      </w:r>
      <w:bookmarkEnd w:id="114"/>
      <w:bookmarkEnd w:id="115"/>
      <w:bookmarkEnd w:id="116"/>
      <w:r w:rsidRPr="00953082">
        <w:t xml:space="preserve"> </w:t>
      </w:r>
    </w:p>
    <w:p w14:paraId="411A47A5" w14:textId="77777777" w:rsidR="002E6A60" w:rsidRDefault="002E6A60" w:rsidP="002E6A60">
      <w:pPr>
        <w:pStyle w:val="BodyText1"/>
        <w:rPr>
          <w:lang w:val="en-AU"/>
        </w:rPr>
      </w:pPr>
      <w:r>
        <w:rPr>
          <w:lang w:val="en-AU"/>
        </w:rPr>
        <w:t xml:space="preserve">During the transition period </w:t>
      </w:r>
      <w:r w:rsidRPr="00953082">
        <w:rPr>
          <w:lang w:val="en-AU"/>
        </w:rPr>
        <w:t xml:space="preserve">participants currently residing in SDA, including </w:t>
      </w:r>
      <w:r w:rsidR="00D950AF">
        <w:rPr>
          <w:lang w:val="en-AU"/>
        </w:rPr>
        <w:t>r</w:t>
      </w:r>
      <w:r w:rsidRPr="00953082">
        <w:rPr>
          <w:lang w:val="en-AU"/>
        </w:rPr>
        <w:t xml:space="preserve">esidential </w:t>
      </w:r>
      <w:r w:rsidR="00D950AF">
        <w:rPr>
          <w:lang w:val="en-AU"/>
        </w:rPr>
        <w:t>a</w:t>
      </w:r>
      <w:r w:rsidRPr="00953082">
        <w:rPr>
          <w:lang w:val="en-AU"/>
        </w:rPr>
        <w:t xml:space="preserve">ged </w:t>
      </w:r>
      <w:r w:rsidR="00D950AF">
        <w:rPr>
          <w:lang w:val="en-AU"/>
        </w:rPr>
        <w:t>c</w:t>
      </w:r>
      <w:r w:rsidRPr="00953082">
        <w:rPr>
          <w:lang w:val="en-AU"/>
        </w:rPr>
        <w:t xml:space="preserve">are, will </w:t>
      </w:r>
      <w:r>
        <w:rPr>
          <w:lang w:val="en-AU"/>
        </w:rPr>
        <w:t xml:space="preserve">almost always </w:t>
      </w:r>
      <w:r w:rsidRPr="00953082">
        <w:rPr>
          <w:lang w:val="en-AU"/>
        </w:rPr>
        <w:t xml:space="preserve">be considered to have </w:t>
      </w:r>
      <w:r>
        <w:rPr>
          <w:lang w:val="en-AU"/>
        </w:rPr>
        <w:t>demonstrated a</w:t>
      </w:r>
      <w:r w:rsidRPr="00953082">
        <w:rPr>
          <w:lang w:val="en-AU"/>
        </w:rPr>
        <w:t xml:space="preserve"> need for SDA which will be reflected in the</w:t>
      </w:r>
      <w:r>
        <w:rPr>
          <w:lang w:val="en-AU"/>
        </w:rPr>
        <w:t>ir</w:t>
      </w:r>
      <w:r w:rsidRPr="00953082">
        <w:rPr>
          <w:lang w:val="en-AU"/>
        </w:rPr>
        <w:t xml:space="preserve"> first</w:t>
      </w:r>
      <w:r>
        <w:rPr>
          <w:lang w:val="en-AU"/>
        </w:rPr>
        <w:t xml:space="preserve"> NDIS</w:t>
      </w:r>
      <w:r w:rsidRPr="00953082">
        <w:rPr>
          <w:lang w:val="en-AU"/>
        </w:rPr>
        <w:t xml:space="preserve"> plan. This will </w:t>
      </w:r>
      <w:r>
        <w:rPr>
          <w:lang w:val="en-AU"/>
        </w:rPr>
        <w:t xml:space="preserve">provide a high level of </w:t>
      </w:r>
      <w:r w:rsidRPr="00953082">
        <w:rPr>
          <w:lang w:val="en-AU"/>
        </w:rPr>
        <w:t xml:space="preserve">continuity of supports and accommodation arrangements. </w:t>
      </w:r>
    </w:p>
    <w:p w14:paraId="411A47A6" w14:textId="0F84F7FD" w:rsidR="00302A64" w:rsidRPr="00953082" w:rsidRDefault="00302A64" w:rsidP="002E6A60">
      <w:pPr>
        <w:pStyle w:val="BodyText1"/>
        <w:rPr>
          <w:lang w:val="en-AU"/>
        </w:rPr>
      </w:pPr>
      <w:r>
        <w:rPr>
          <w:lang w:val="en-AU"/>
        </w:rPr>
        <w:t xml:space="preserve">Despite </w:t>
      </w:r>
      <w:r w:rsidR="00C77A0B">
        <w:rPr>
          <w:lang w:val="en-AU"/>
        </w:rPr>
        <w:t xml:space="preserve">assessment </w:t>
      </w:r>
      <w:r w:rsidR="006869A6">
        <w:rPr>
          <w:lang w:val="en-AU"/>
        </w:rPr>
        <w:t xml:space="preserve">criteria and demand forecasts, </w:t>
      </w:r>
      <w:r>
        <w:rPr>
          <w:lang w:val="en-AU"/>
        </w:rPr>
        <w:t>participant on-boardi</w:t>
      </w:r>
      <w:r w:rsidR="006869A6">
        <w:rPr>
          <w:lang w:val="en-AU"/>
        </w:rPr>
        <w:t>ng in the initial years of the S</w:t>
      </w:r>
      <w:r>
        <w:rPr>
          <w:lang w:val="en-AU"/>
        </w:rPr>
        <w:t xml:space="preserve">cheme will primarily be driven by phasing as agreed in the </w:t>
      </w:r>
      <w:r w:rsidR="00AE1F91">
        <w:rPr>
          <w:lang w:val="en-AU"/>
        </w:rPr>
        <w:t xml:space="preserve">NDIS </w:t>
      </w:r>
      <w:r>
        <w:rPr>
          <w:lang w:val="en-AU"/>
        </w:rPr>
        <w:t xml:space="preserve">bilateral agreements with </w:t>
      </w:r>
      <w:r w:rsidR="00697BEB">
        <w:rPr>
          <w:lang w:val="en-AU"/>
        </w:rPr>
        <w:t xml:space="preserve">state </w:t>
      </w:r>
      <w:r w:rsidR="006869A6">
        <w:rPr>
          <w:lang w:val="en-AU"/>
        </w:rPr>
        <w:t>governments.</w:t>
      </w:r>
    </w:p>
    <w:p w14:paraId="411A47A7" w14:textId="77777777" w:rsidR="002E6A60" w:rsidRDefault="002E6A60" w:rsidP="002E6A60">
      <w:pPr>
        <w:pStyle w:val="BodyText1"/>
        <w:rPr>
          <w:lang w:val="en-AU"/>
        </w:rPr>
      </w:pPr>
      <w:r>
        <w:rPr>
          <w:lang w:val="en-AU"/>
        </w:rPr>
        <w:t>In subsequent plans</w:t>
      </w:r>
      <w:r w:rsidR="006869A6">
        <w:rPr>
          <w:lang w:val="en-AU"/>
        </w:rPr>
        <w:t>,</w:t>
      </w:r>
      <w:r>
        <w:rPr>
          <w:lang w:val="en-AU"/>
        </w:rPr>
        <w:t xml:space="preserve"> the SDA arrangements may change as the participant’s circumstances change</w:t>
      </w:r>
      <w:r w:rsidR="00E2350A">
        <w:rPr>
          <w:lang w:val="en-AU"/>
        </w:rPr>
        <w:t xml:space="preserve">. </w:t>
      </w:r>
      <w:r>
        <w:rPr>
          <w:lang w:val="en-AU"/>
        </w:rPr>
        <w:t xml:space="preserve">For example, when there is a change in the participant’s goals and aspirations or the available options for SDA. </w:t>
      </w:r>
    </w:p>
    <w:p w14:paraId="411A47A8" w14:textId="77777777" w:rsidR="005F4CC4" w:rsidRDefault="002E6A60" w:rsidP="006869A6">
      <w:pPr>
        <w:pStyle w:val="BodyText1"/>
        <w:rPr>
          <w:lang w:val="en-AU"/>
        </w:rPr>
      </w:pPr>
      <w:r w:rsidRPr="00BE3667">
        <w:rPr>
          <w:lang w:val="en-AU"/>
        </w:rPr>
        <w:t xml:space="preserve">Continuity arrangements will also be agreed with jurisdictions where existing SDA residents </w:t>
      </w:r>
      <w:r w:rsidR="00C77A0B">
        <w:rPr>
          <w:lang w:val="en-AU"/>
        </w:rPr>
        <w:t>do not meet the access requirements</w:t>
      </w:r>
      <w:r w:rsidRPr="00BE3667">
        <w:rPr>
          <w:lang w:val="en-AU"/>
        </w:rPr>
        <w:t xml:space="preserve"> for the NDIS. In most cases this will be where the person is older than 65</w:t>
      </w:r>
      <w:r w:rsidR="00302A64">
        <w:rPr>
          <w:lang w:val="en-AU"/>
        </w:rPr>
        <w:t>.</w:t>
      </w:r>
    </w:p>
    <w:p w14:paraId="411A47A9" w14:textId="77777777" w:rsidR="005F4CC4" w:rsidRDefault="005F4CC4" w:rsidP="005F5686">
      <w:pPr>
        <w:spacing w:before="120" w:after="0"/>
        <w:rPr>
          <w:noProof/>
          <w:lang w:eastAsia="en-AU"/>
        </w:rPr>
      </w:pPr>
    </w:p>
    <w:p w14:paraId="411A47AA" w14:textId="77777777" w:rsidR="006869A6" w:rsidRDefault="006869A6" w:rsidP="005F4CC4">
      <w:pPr>
        <w:pStyle w:val="Caption"/>
      </w:pPr>
    </w:p>
    <w:p w14:paraId="411A47AB" w14:textId="77777777" w:rsidR="006869A6" w:rsidRDefault="006869A6" w:rsidP="005F4CC4">
      <w:pPr>
        <w:pStyle w:val="Caption"/>
      </w:pPr>
    </w:p>
    <w:p w14:paraId="411A47AC" w14:textId="54341C23" w:rsidR="005F4CC4" w:rsidRDefault="00AE1F91" w:rsidP="00AE1F91">
      <w:pPr>
        <w:pStyle w:val="Caption"/>
        <w:rPr>
          <w:rFonts w:asciiTheme="minorHAnsi" w:hAnsiTheme="minorHAnsi"/>
          <w:sz w:val="20"/>
          <w:szCs w:val="20"/>
        </w:rPr>
      </w:pPr>
      <w:r>
        <w:t xml:space="preserve">Figure </w:t>
      </w:r>
      <w:r>
        <w:fldChar w:fldCharType="begin"/>
      </w:r>
      <w:r>
        <w:instrText xml:space="preserve"> SEQ Figure \* ARABIC </w:instrText>
      </w:r>
      <w:r>
        <w:fldChar w:fldCharType="separate"/>
      </w:r>
      <w:r w:rsidR="00607084">
        <w:rPr>
          <w:noProof/>
        </w:rPr>
        <w:t>3</w:t>
      </w:r>
      <w:r>
        <w:fldChar w:fldCharType="end"/>
      </w:r>
      <w:r>
        <w:t xml:space="preserve"> - </w:t>
      </w:r>
      <w:r w:rsidRPr="002962F7">
        <w:t>SDA assessment process</w:t>
      </w:r>
    </w:p>
    <w:p w14:paraId="411A47AD" w14:textId="06F2196B" w:rsidR="00E11669" w:rsidRPr="00E11669" w:rsidRDefault="00E11669" w:rsidP="00E11669">
      <w:r>
        <w:t xml:space="preserve">Note: </w:t>
      </w:r>
      <w:r w:rsidR="00D950AF">
        <w:t>T</w:t>
      </w:r>
      <w:r>
        <w:t xml:space="preserve">his may change as the </w:t>
      </w:r>
      <w:r w:rsidR="00697BEB">
        <w:t xml:space="preserve">SDA </w:t>
      </w:r>
      <w:r w:rsidR="00C0464F">
        <w:t>r</w:t>
      </w:r>
      <w:r>
        <w:t>ule</w:t>
      </w:r>
      <w:r w:rsidR="00697BEB">
        <w:t>(</w:t>
      </w:r>
      <w:r>
        <w:t>s</w:t>
      </w:r>
      <w:r w:rsidR="00697BEB">
        <w:t>)</w:t>
      </w:r>
      <w:r>
        <w:t xml:space="preserve"> are drafted and the </w:t>
      </w:r>
      <w:r w:rsidR="00697BEB">
        <w:t xml:space="preserve">assessment </w:t>
      </w:r>
      <w:r>
        <w:t xml:space="preserve">process </w:t>
      </w:r>
      <w:r w:rsidR="00697BEB">
        <w:t xml:space="preserve">is </w:t>
      </w:r>
      <w:r>
        <w:t>implemented.</w:t>
      </w:r>
    </w:p>
    <w:p w14:paraId="411A47AE" w14:textId="77777777" w:rsidR="002E6A60" w:rsidRDefault="00E11669" w:rsidP="00A93156">
      <w:pPr>
        <w:pStyle w:val="BodyText1"/>
      </w:pPr>
      <w:r>
        <w:rPr>
          <w:noProof/>
          <w:lang w:val="en-AU" w:eastAsia="en-AU"/>
        </w:rPr>
        <w:drawing>
          <wp:inline distT="0" distB="0" distL="0" distR="0" wp14:anchorId="411A4FA8" wp14:editId="411A4FA9">
            <wp:extent cx="6019800" cy="7077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19800" cy="7077075"/>
                    </a:xfrm>
                    <a:prstGeom prst="rect">
                      <a:avLst/>
                    </a:prstGeom>
                  </pic:spPr>
                </pic:pic>
              </a:graphicData>
            </a:graphic>
          </wp:inline>
        </w:drawing>
      </w:r>
    </w:p>
    <w:p w14:paraId="411A47AF" w14:textId="77777777" w:rsidR="00C77A0B" w:rsidRDefault="00C77A0B" w:rsidP="00A93156">
      <w:pPr>
        <w:pStyle w:val="BodyText1"/>
      </w:pPr>
    </w:p>
    <w:p w14:paraId="411A47B0" w14:textId="77777777" w:rsidR="00C77A0B" w:rsidRDefault="00C77A0B" w:rsidP="00A93156">
      <w:pPr>
        <w:pStyle w:val="BodyText1"/>
      </w:pPr>
    </w:p>
    <w:p w14:paraId="411A47B1" w14:textId="77777777" w:rsidR="002E6A60" w:rsidRDefault="002E6A60" w:rsidP="00B85F8A">
      <w:pPr>
        <w:pStyle w:val="Heading4"/>
      </w:pPr>
      <w:bookmarkStart w:id="117" w:name="_Toc447056836"/>
      <w:bookmarkStart w:id="118" w:name="_Toc447198706"/>
      <w:bookmarkStart w:id="119" w:name="_Toc447447093"/>
      <w:r>
        <w:lastRenderedPageBreak/>
        <w:t>Forecast demand by dwelling type</w:t>
      </w:r>
      <w:bookmarkEnd w:id="117"/>
      <w:bookmarkEnd w:id="118"/>
      <w:bookmarkEnd w:id="119"/>
    </w:p>
    <w:p w14:paraId="411A47B2" w14:textId="1C3DA976" w:rsidR="00422CE4" w:rsidRDefault="00AE1F91" w:rsidP="00A93156">
      <w:pPr>
        <w:pStyle w:val="BodyText1"/>
        <w:rPr>
          <w:lang w:val="en-AU"/>
        </w:rPr>
      </w:pPr>
      <w:r>
        <w:rPr>
          <w:lang w:val="en-AU"/>
        </w:rPr>
        <w:fldChar w:fldCharType="begin"/>
      </w:r>
      <w:r>
        <w:rPr>
          <w:lang w:val="en-AU"/>
        </w:rPr>
        <w:instrText xml:space="preserve"> REF _Ref447482701 \h </w:instrText>
      </w:r>
      <w:r>
        <w:rPr>
          <w:lang w:val="en-AU"/>
        </w:rPr>
      </w:r>
      <w:r>
        <w:rPr>
          <w:lang w:val="en-AU"/>
        </w:rPr>
        <w:fldChar w:fldCharType="separate"/>
      </w:r>
      <w:r w:rsidR="00607084">
        <w:t xml:space="preserve">Figure </w:t>
      </w:r>
      <w:r w:rsidR="00607084">
        <w:rPr>
          <w:noProof/>
        </w:rPr>
        <w:t>4</w:t>
      </w:r>
      <w:r>
        <w:rPr>
          <w:lang w:val="en-AU"/>
        </w:rPr>
        <w:fldChar w:fldCharType="end"/>
      </w:r>
      <w:r>
        <w:rPr>
          <w:lang w:val="en-AU"/>
        </w:rPr>
        <w:t xml:space="preserve"> </w:t>
      </w:r>
      <w:r w:rsidR="00A93156" w:rsidRPr="00A93156">
        <w:rPr>
          <w:lang w:val="en-AU"/>
        </w:rPr>
        <w:t xml:space="preserve">shows the </w:t>
      </w:r>
      <w:r w:rsidR="00697BEB">
        <w:rPr>
          <w:lang w:val="en-AU"/>
        </w:rPr>
        <w:t xml:space="preserve">preliminary </w:t>
      </w:r>
      <w:r w:rsidR="00953082">
        <w:rPr>
          <w:lang w:val="en-AU"/>
        </w:rPr>
        <w:t xml:space="preserve">forecast </w:t>
      </w:r>
      <w:r w:rsidR="00A93156" w:rsidRPr="00A93156">
        <w:rPr>
          <w:lang w:val="en-AU"/>
        </w:rPr>
        <w:t>number of participants by dwelling ty</w:t>
      </w:r>
      <w:r w:rsidR="00E2350A">
        <w:rPr>
          <w:lang w:val="en-AU"/>
        </w:rPr>
        <w:t>pe. At the commencement of the S</w:t>
      </w:r>
      <w:r w:rsidR="00A93156" w:rsidRPr="00A93156">
        <w:rPr>
          <w:lang w:val="en-AU"/>
        </w:rPr>
        <w:t xml:space="preserve">cheme, the majority of existing properties are known to be group homes. As time progresses, it is anticipated that smaller forms of accommodation will become an increasingly preferred option. In particular, duplexes and townhouses are cost effective options that have proven highly successful in trial sites. These and other smaller forms of accommodation are therefore expected to become an increasingly </w:t>
      </w:r>
      <w:r w:rsidR="00E2350A">
        <w:rPr>
          <w:lang w:val="en-AU"/>
        </w:rPr>
        <w:t>large proportion of SDA as the S</w:t>
      </w:r>
      <w:r w:rsidR="00A93156" w:rsidRPr="00A93156">
        <w:rPr>
          <w:lang w:val="en-AU"/>
        </w:rPr>
        <w:t>cheme progresses.</w:t>
      </w:r>
    </w:p>
    <w:p w14:paraId="411A47B3" w14:textId="77777777" w:rsidR="00A93156" w:rsidRDefault="00BD7B58" w:rsidP="00A93156">
      <w:pPr>
        <w:keepNext/>
        <w:spacing w:before="120" w:after="120"/>
        <w:ind w:left="363"/>
      </w:pPr>
      <w:r>
        <w:rPr>
          <w:noProof/>
          <w:lang w:val="en-AU" w:eastAsia="en-AU"/>
        </w:rPr>
        <w:drawing>
          <wp:inline distT="0" distB="0" distL="0" distR="0" wp14:anchorId="411A4FAA" wp14:editId="411A4FAB">
            <wp:extent cx="4974590" cy="2816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4590" cy="2816860"/>
                    </a:xfrm>
                    <a:prstGeom prst="rect">
                      <a:avLst/>
                    </a:prstGeom>
                    <a:noFill/>
                  </pic:spPr>
                </pic:pic>
              </a:graphicData>
            </a:graphic>
          </wp:inline>
        </w:drawing>
      </w:r>
    </w:p>
    <w:p w14:paraId="411A47B5" w14:textId="28565924" w:rsidR="002E6A60" w:rsidRDefault="00AE1F91" w:rsidP="00AE1F91">
      <w:pPr>
        <w:pStyle w:val="Caption"/>
        <w:rPr>
          <w:rFonts w:eastAsiaTheme="minorHAnsi" w:cs="Arial"/>
          <w:sz w:val="24"/>
          <w:lang w:val="en-AU" w:eastAsia="en-US"/>
        </w:rPr>
      </w:pPr>
      <w:bookmarkStart w:id="120" w:name="_Ref447482701"/>
      <w:r>
        <w:t xml:space="preserve">Figure </w:t>
      </w:r>
      <w:r>
        <w:fldChar w:fldCharType="begin"/>
      </w:r>
      <w:r>
        <w:instrText xml:space="preserve"> SEQ Figure \* ARABIC </w:instrText>
      </w:r>
      <w:r>
        <w:fldChar w:fldCharType="separate"/>
      </w:r>
      <w:r w:rsidR="00607084">
        <w:rPr>
          <w:noProof/>
        </w:rPr>
        <w:t>4</w:t>
      </w:r>
      <w:r>
        <w:fldChar w:fldCharType="end"/>
      </w:r>
      <w:bookmarkEnd w:id="120"/>
      <w:r>
        <w:t xml:space="preserve"> - </w:t>
      </w:r>
      <w:r w:rsidRPr="00734400">
        <w:t>Forecast Participants by dwelling type</w:t>
      </w:r>
      <w:r w:rsidR="002E6A60">
        <w:br w:type="page"/>
      </w:r>
    </w:p>
    <w:p w14:paraId="411A47B6" w14:textId="77777777" w:rsidR="004802A3" w:rsidRDefault="00BC26A0" w:rsidP="001D02E2">
      <w:pPr>
        <w:pStyle w:val="Heading2"/>
      </w:pPr>
      <w:bookmarkStart w:id="121" w:name="_Toc447447094"/>
      <w:bookmarkStart w:id="122" w:name="_Toc447450400"/>
      <w:r w:rsidRPr="00E348A4">
        <w:lastRenderedPageBreak/>
        <w:t xml:space="preserve">Administration </w:t>
      </w:r>
      <w:r w:rsidR="0078701C">
        <w:t>a</w:t>
      </w:r>
      <w:r w:rsidRPr="00E348A4">
        <w:t>rrangements</w:t>
      </w:r>
      <w:bookmarkEnd w:id="121"/>
      <w:bookmarkEnd w:id="122"/>
    </w:p>
    <w:p w14:paraId="411A47B7" w14:textId="77777777" w:rsidR="003443F6" w:rsidRDefault="003443F6" w:rsidP="00B85F8A">
      <w:pPr>
        <w:pStyle w:val="Heading3"/>
      </w:pPr>
      <w:bookmarkStart w:id="123" w:name="_Toc447447095"/>
      <w:bookmarkStart w:id="124" w:name="_Toc447450401"/>
      <w:r>
        <w:t>Purchase of SDA supports</w:t>
      </w:r>
      <w:bookmarkEnd w:id="123"/>
      <w:bookmarkEnd w:id="124"/>
    </w:p>
    <w:p w14:paraId="411A47B8" w14:textId="77777777" w:rsidR="00E45E94" w:rsidRPr="00E2350A" w:rsidRDefault="00E45E94" w:rsidP="00E2350A">
      <w:pPr>
        <w:pStyle w:val="BodyText1"/>
        <w:rPr>
          <w:lang w:val="en-AU"/>
        </w:rPr>
      </w:pPr>
      <w:r w:rsidRPr="00E2350A">
        <w:rPr>
          <w:lang w:val="en-AU"/>
        </w:rPr>
        <w:t>The purchase of SDA supports will operate in a similar way to the purchase of other supports under the NDIS</w:t>
      </w:r>
      <w:r w:rsidR="00E2350A" w:rsidRPr="00E2350A">
        <w:rPr>
          <w:lang w:val="en-AU"/>
        </w:rPr>
        <w:t xml:space="preserve">. </w:t>
      </w:r>
      <w:r w:rsidRPr="00E2350A">
        <w:rPr>
          <w:lang w:val="en-AU"/>
        </w:rPr>
        <w:t>A participant, whether self-managed or through another party, will source SDA supports from the market and enter into a relationship with the provider</w:t>
      </w:r>
      <w:r w:rsidR="00E2350A" w:rsidRPr="00E2350A">
        <w:rPr>
          <w:lang w:val="en-AU"/>
        </w:rPr>
        <w:t xml:space="preserve">. </w:t>
      </w:r>
      <w:r w:rsidRPr="00E2350A">
        <w:rPr>
          <w:lang w:val="en-AU"/>
        </w:rPr>
        <w:t xml:space="preserve">The new </w:t>
      </w:r>
      <w:r w:rsidR="00C0464F">
        <w:rPr>
          <w:lang w:val="en-AU"/>
        </w:rPr>
        <w:t>r</w:t>
      </w:r>
      <w:r w:rsidR="00C0464F" w:rsidRPr="00E2350A">
        <w:rPr>
          <w:lang w:val="en-AU"/>
        </w:rPr>
        <w:t xml:space="preserve">ules </w:t>
      </w:r>
      <w:r w:rsidRPr="00E2350A">
        <w:rPr>
          <w:lang w:val="en-AU"/>
        </w:rPr>
        <w:t>will set out the arrangement for the purchase of SDA. Should the Agency decide to bulk purchase SDA supports then the participant’s plan will state that SDA supports are to be provided by a particular provider or by the Agency</w:t>
      </w:r>
      <w:r w:rsidR="00E2350A" w:rsidRPr="00E2350A">
        <w:rPr>
          <w:lang w:val="en-AU"/>
        </w:rPr>
        <w:t xml:space="preserve">. </w:t>
      </w:r>
      <w:r w:rsidRPr="00E2350A">
        <w:rPr>
          <w:lang w:val="en-AU"/>
        </w:rPr>
        <w:t>In this case the primary relationship will still be between the provider and the participant</w:t>
      </w:r>
      <w:r w:rsidR="00E2350A" w:rsidRPr="00E2350A">
        <w:rPr>
          <w:lang w:val="en-AU"/>
        </w:rPr>
        <w:t xml:space="preserve">. </w:t>
      </w:r>
    </w:p>
    <w:p w14:paraId="411A47B9" w14:textId="77777777" w:rsidR="003443F6" w:rsidRDefault="003443F6" w:rsidP="00B85F8A">
      <w:pPr>
        <w:pStyle w:val="Heading3"/>
      </w:pPr>
      <w:bookmarkStart w:id="125" w:name="_Toc447447096"/>
      <w:bookmarkStart w:id="126" w:name="_Toc447450402"/>
      <w:r>
        <w:t>Registration of providers</w:t>
      </w:r>
      <w:bookmarkEnd w:id="125"/>
      <w:bookmarkEnd w:id="126"/>
    </w:p>
    <w:p w14:paraId="411A47BA" w14:textId="20D013AF" w:rsidR="003443F6" w:rsidRPr="00E2350A" w:rsidRDefault="003443F6" w:rsidP="00E2350A">
      <w:pPr>
        <w:pStyle w:val="BodyText1"/>
        <w:rPr>
          <w:lang w:val="en-AU"/>
        </w:rPr>
      </w:pPr>
      <w:r w:rsidRPr="00E2350A">
        <w:rPr>
          <w:lang w:val="en-AU"/>
        </w:rPr>
        <w:t>All providers of SDA supports will have to be registered with the Agency</w:t>
      </w:r>
      <w:r w:rsidR="00E2350A" w:rsidRPr="00E2350A">
        <w:rPr>
          <w:lang w:val="en-AU"/>
        </w:rPr>
        <w:t xml:space="preserve">. </w:t>
      </w:r>
      <w:r w:rsidR="004C3298">
        <w:rPr>
          <w:lang w:val="en-AU"/>
        </w:rPr>
        <w:t>For SDA a</w:t>
      </w:r>
      <w:r w:rsidR="004C3298" w:rsidRPr="00E2350A">
        <w:rPr>
          <w:lang w:val="en-AU"/>
        </w:rPr>
        <w:t xml:space="preserve"> </w:t>
      </w:r>
      <w:r w:rsidRPr="00E2350A">
        <w:rPr>
          <w:lang w:val="en-AU"/>
        </w:rPr>
        <w:t>new category of supports will be developed and providers will be able to register to provide these supports. Providers of SDA supports will be required to comply with new terms of business which will be developed to reflect the considerations that arise from the provision of SDA supports.</w:t>
      </w:r>
    </w:p>
    <w:p w14:paraId="411A47BB" w14:textId="60244A5C" w:rsidR="003443F6" w:rsidRPr="00E2350A" w:rsidRDefault="003443F6" w:rsidP="00E2350A">
      <w:pPr>
        <w:pStyle w:val="BodyText1"/>
        <w:rPr>
          <w:lang w:val="en-AU"/>
        </w:rPr>
      </w:pPr>
      <w:r w:rsidRPr="00E2350A">
        <w:rPr>
          <w:lang w:val="en-AU"/>
        </w:rPr>
        <w:t xml:space="preserve">The </w:t>
      </w:r>
      <w:r w:rsidR="004C3298">
        <w:rPr>
          <w:lang w:val="en-AU"/>
        </w:rPr>
        <w:t>Agency is designing</w:t>
      </w:r>
      <w:r w:rsidRPr="00E2350A">
        <w:rPr>
          <w:lang w:val="en-AU"/>
        </w:rPr>
        <w:t xml:space="preserve"> the registration process</w:t>
      </w:r>
      <w:r w:rsidR="0067272D" w:rsidRPr="00E2350A">
        <w:rPr>
          <w:lang w:val="en-AU"/>
        </w:rPr>
        <w:t>,</w:t>
      </w:r>
      <w:r w:rsidRPr="00E2350A">
        <w:rPr>
          <w:lang w:val="en-AU"/>
        </w:rPr>
        <w:t xml:space="preserve"> and compliance with requirements under the </w:t>
      </w:r>
      <w:r w:rsidR="004C3298">
        <w:rPr>
          <w:lang w:val="en-AU"/>
        </w:rPr>
        <w:t>S</w:t>
      </w:r>
      <w:r w:rsidR="004C3298" w:rsidRPr="00E2350A">
        <w:rPr>
          <w:lang w:val="en-AU"/>
        </w:rPr>
        <w:t>cheme</w:t>
      </w:r>
      <w:r w:rsidR="0067272D" w:rsidRPr="00E2350A">
        <w:rPr>
          <w:lang w:val="en-AU"/>
        </w:rPr>
        <w:t>,</w:t>
      </w:r>
      <w:r w:rsidRPr="00E2350A">
        <w:rPr>
          <w:lang w:val="en-AU"/>
        </w:rPr>
        <w:t xml:space="preserve"> to be as streamlined as possible </w:t>
      </w:r>
      <w:r w:rsidR="004C3298">
        <w:rPr>
          <w:lang w:val="en-AU"/>
        </w:rPr>
        <w:t xml:space="preserve">in order to reduce the burden placed on providers </w:t>
      </w:r>
      <w:r w:rsidRPr="00E2350A">
        <w:rPr>
          <w:lang w:val="en-AU"/>
        </w:rPr>
        <w:t xml:space="preserve">while recognising that specific measures will be required in relation to the provision of SDA supports. </w:t>
      </w:r>
    </w:p>
    <w:p w14:paraId="411A47BC" w14:textId="07B1278D" w:rsidR="003443F6" w:rsidRDefault="003443F6" w:rsidP="00E2350A">
      <w:pPr>
        <w:pStyle w:val="BodyText1"/>
        <w:rPr>
          <w:lang w:val="en-AU"/>
        </w:rPr>
      </w:pPr>
      <w:r w:rsidRPr="00E2350A">
        <w:rPr>
          <w:lang w:val="en-AU"/>
        </w:rPr>
        <w:t>The primary purpose of provider registration is to allow the Agency to make appropriate SDA payments based on the dwelling category, build type and condition of the dw</w:t>
      </w:r>
      <w:r w:rsidR="00E45E94" w:rsidRPr="00E2350A">
        <w:rPr>
          <w:lang w:val="en-AU"/>
        </w:rPr>
        <w:t>elling</w:t>
      </w:r>
      <w:r w:rsidR="00E2350A" w:rsidRPr="00E2350A">
        <w:rPr>
          <w:lang w:val="en-AU"/>
        </w:rPr>
        <w:t xml:space="preserve">. </w:t>
      </w:r>
      <w:r w:rsidR="00E45E94" w:rsidRPr="00E2350A">
        <w:rPr>
          <w:lang w:val="en-AU"/>
        </w:rPr>
        <w:t xml:space="preserve">The </w:t>
      </w:r>
      <w:r>
        <w:rPr>
          <w:lang w:val="en-AU"/>
        </w:rPr>
        <w:t>requirements for the registration of providers are being developed and are likely to include</w:t>
      </w:r>
      <w:r w:rsidR="004C3298">
        <w:rPr>
          <w:lang w:val="en-AU"/>
        </w:rPr>
        <w:t xml:space="preserve"> requirements to</w:t>
      </w:r>
      <w:r>
        <w:rPr>
          <w:lang w:val="en-AU"/>
        </w:rPr>
        <w:t>:</w:t>
      </w:r>
    </w:p>
    <w:p w14:paraId="411A47BD" w14:textId="6B459957" w:rsidR="00302A64" w:rsidRDefault="004C3298" w:rsidP="000F045D">
      <w:pPr>
        <w:pStyle w:val="BodyText1"/>
        <w:numPr>
          <w:ilvl w:val="0"/>
          <w:numId w:val="49"/>
        </w:numPr>
        <w:rPr>
          <w:lang w:val="en-AU"/>
        </w:rPr>
      </w:pPr>
      <w:r w:rsidRPr="00675E74">
        <w:rPr>
          <w:lang w:val="en-AU"/>
        </w:rPr>
        <w:t>Provide an undertaking</w:t>
      </w:r>
      <w:r w:rsidRPr="00302A64">
        <w:rPr>
          <w:lang w:val="en-AU"/>
        </w:rPr>
        <w:t xml:space="preserve"> that</w:t>
      </w:r>
      <w:r w:rsidR="003443F6" w:rsidRPr="00302A64">
        <w:rPr>
          <w:lang w:val="en-AU"/>
        </w:rPr>
        <w:t xml:space="preserve"> that the provider agree</w:t>
      </w:r>
      <w:r w:rsidR="0025513F">
        <w:rPr>
          <w:lang w:val="en-AU"/>
        </w:rPr>
        <w:t>s</w:t>
      </w:r>
      <w:r w:rsidR="003443F6" w:rsidRPr="00302A64">
        <w:rPr>
          <w:lang w:val="en-AU"/>
        </w:rPr>
        <w:t xml:space="preserve"> to comply with the </w:t>
      </w:r>
      <w:r w:rsidR="004D4B94">
        <w:rPr>
          <w:lang w:val="en-AU"/>
        </w:rPr>
        <w:t>Agency</w:t>
      </w:r>
      <w:r w:rsidR="003443F6" w:rsidRPr="00302A64">
        <w:rPr>
          <w:lang w:val="en-AU"/>
        </w:rPr>
        <w:t xml:space="preserve"> terms of business</w:t>
      </w:r>
      <w:r>
        <w:rPr>
          <w:lang w:val="en-AU"/>
        </w:rPr>
        <w:t>;</w:t>
      </w:r>
      <w:r w:rsidR="003443F6" w:rsidRPr="00302A64">
        <w:rPr>
          <w:lang w:val="en-AU"/>
        </w:rPr>
        <w:t xml:space="preserve"> </w:t>
      </w:r>
    </w:p>
    <w:p w14:paraId="411A47BE" w14:textId="20EE4107" w:rsidR="003443F6" w:rsidRPr="00302A64" w:rsidRDefault="00C15B2C" w:rsidP="000F045D">
      <w:pPr>
        <w:pStyle w:val="BodyText1"/>
        <w:numPr>
          <w:ilvl w:val="0"/>
          <w:numId w:val="49"/>
        </w:numPr>
        <w:rPr>
          <w:lang w:val="en-AU"/>
        </w:rPr>
      </w:pPr>
      <w:r>
        <w:rPr>
          <w:lang w:val="en-AU"/>
        </w:rPr>
        <w:t>Attest</w:t>
      </w:r>
      <w:r w:rsidR="003443F6" w:rsidRPr="00302A64">
        <w:rPr>
          <w:lang w:val="en-AU"/>
        </w:rPr>
        <w:t xml:space="preserve"> that the dwelling complies with all applicable State, Territory and Commonwealth laws and obligations</w:t>
      </w:r>
      <w:r w:rsidR="004C3298">
        <w:rPr>
          <w:lang w:val="en-AU"/>
        </w:rPr>
        <w:t>;</w:t>
      </w:r>
      <w:r w:rsidR="003443F6" w:rsidRPr="00302A64">
        <w:rPr>
          <w:lang w:val="en-AU"/>
        </w:rPr>
        <w:t xml:space="preserve"> </w:t>
      </w:r>
    </w:p>
    <w:p w14:paraId="411A47BF" w14:textId="68188A5A" w:rsidR="00302A64" w:rsidRPr="00903CC1" w:rsidRDefault="004C3298" w:rsidP="000F045D">
      <w:pPr>
        <w:pStyle w:val="BodyText1"/>
        <w:numPr>
          <w:ilvl w:val="0"/>
          <w:numId w:val="49"/>
        </w:numPr>
        <w:rPr>
          <w:lang w:val="en-AU"/>
        </w:rPr>
      </w:pPr>
      <w:r>
        <w:rPr>
          <w:lang w:val="en-AU"/>
        </w:rPr>
        <w:t xml:space="preserve">Demonstrate </w:t>
      </w:r>
      <w:r w:rsidR="003443F6">
        <w:rPr>
          <w:lang w:val="en-AU"/>
        </w:rPr>
        <w:t>that the benchmark rent has not been exceeded</w:t>
      </w:r>
      <w:r>
        <w:rPr>
          <w:lang w:val="en-AU"/>
        </w:rPr>
        <w:t>;</w:t>
      </w:r>
    </w:p>
    <w:p w14:paraId="45AC5376" w14:textId="10808055" w:rsidR="004C3298" w:rsidRDefault="004C3298" w:rsidP="000F045D">
      <w:pPr>
        <w:pStyle w:val="BodyText1"/>
        <w:numPr>
          <w:ilvl w:val="0"/>
          <w:numId w:val="49"/>
        </w:numPr>
        <w:rPr>
          <w:lang w:val="en-AU"/>
        </w:rPr>
      </w:pPr>
      <w:r w:rsidRPr="00675E74">
        <w:rPr>
          <w:lang w:val="en-AU"/>
        </w:rPr>
        <w:t>Undertake to satisfy any</w:t>
      </w:r>
      <w:r w:rsidR="003443F6" w:rsidRPr="00302A64">
        <w:rPr>
          <w:lang w:val="en-AU"/>
        </w:rPr>
        <w:t xml:space="preserve"> other requirement necessary to demonstrate that the NDIS funding is being appropriately spent and that the necessary safeguards are in place</w:t>
      </w:r>
      <w:r w:rsidR="00E2350A">
        <w:rPr>
          <w:lang w:val="en-AU"/>
        </w:rPr>
        <w:t xml:space="preserve">. </w:t>
      </w:r>
    </w:p>
    <w:p w14:paraId="02BC27C8" w14:textId="4327AACF" w:rsidR="004C3298" w:rsidRDefault="00AE1F91" w:rsidP="004C3298">
      <w:pPr>
        <w:pStyle w:val="BodyText1"/>
        <w:jc w:val="both"/>
        <w:rPr>
          <w:lang w:val="en-AU"/>
        </w:rPr>
      </w:pPr>
      <w:r>
        <w:rPr>
          <w:lang w:val="en-AU"/>
        </w:rPr>
        <w:fldChar w:fldCharType="begin"/>
      </w:r>
      <w:r>
        <w:rPr>
          <w:lang w:val="en-AU"/>
        </w:rPr>
        <w:instrText xml:space="preserve"> REF _Ref447482768 \h </w:instrText>
      </w:r>
      <w:r>
        <w:rPr>
          <w:lang w:val="en-AU"/>
        </w:rPr>
      </w:r>
      <w:r>
        <w:rPr>
          <w:lang w:val="en-AU"/>
        </w:rPr>
        <w:fldChar w:fldCharType="separate"/>
      </w:r>
      <w:r w:rsidR="00607084">
        <w:t xml:space="preserve">Figure </w:t>
      </w:r>
      <w:r w:rsidR="00607084">
        <w:rPr>
          <w:noProof/>
        </w:rPr>
        <w:t>5</w:t>
      </w:r>
      <w:r>
        <w:rPr>
          <w:lang w:val="en-AU"/>
        </w:rPr>
        <w:fldChar w:fldCharType="end"/>
      </w:r>
      <w:r>
        <w:rPr>
          <w:lang w:val="en-AU"/>
        </w:rPr>
        <w:t xml:space="preserve"> </w:t>
      </w:r>
      <w:r w:rsidR="004C3298">
        <w:rPr>
          <w:lang w:val="en-AU"/>
        </w:rPr>
        <w:t>below provides a simplified overview of the registration process for accommodation providers.</w:t>
      </w:r>
    </w:p>
    <w:p w14:paraId="411A47C1" w14:textId="754AA723" w:rsidR="00FF4BC6" w:rsidRDefault="00FF4BC6" w:rsidP="00FF4BC6">
      <w:pPr>
        <w:rPr>
          <w:rFonts w:asciiTheme="minorHAnsi" w:eastAsia="MS Mincho" w:hAnsiTheme="minorHAnsi" w:cs="FSMe-Bold"/>
          <w:spacing w:val="-2"/>
          <w:sz w:val="24"/>
          <w:szCs w:val="20"/>
          <w:lang w:eastAsia="en-US"/>
        </w:rPr>
      </w:pPr>
      <w:r w:rsidRPr="00FF4BC6">
        <w:rPr>
          <w:rFonts w:asciiTheme="minorHAnsi" w:eastAsia="MS Mincho" w:hAnsiTheme="minorHAnsi" w:cs="FSMe-Bold"/>
          <w:spacing w:val="-2"/>
          <w:sz w:val="24"/>
          <w:szCs w:val="20"/>
          <w:lang w:eastAsia="en-US"/>
        </w:rPr>
        <w:lastRenderedPageBreak/>
        <w:t xml:space="preserve">  </w:t>
      </w:r>
      <w:r w:rsidR="004C3298">
        <w:rPr>
          <w:rFonts w:asciiTheme="minorHAnsi" w:eastAsia="MS Mincho" w:hAnsiTheme="minorHAnsi" w:cs="FSMe-Bold"/>
          <w:noProof/>
          <w:spacing w:val="-2"/>
          <w:sz w:val="24"/>
          <w:szCs w:val="20"/>
          <w:lang w:val="en-AU" w:eastAsia="en-AU"/>
        </w:rPr>
        <w:drawing>
          <wp:inline distT="0" distB="0" distL="0" distR="0" wp14:anchorId="4BFAD948" wp14:editId="5F1BE9B3">
            <wp:extent cx="6029960" cy="267173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9960" cy="2671738"/>
                    </a:xfrm>
                    <a:prstGeom prst="rect">
                      <a:avLst/>
                    </a:prstGeom>
                    <a:noFill/>
                  </pic:spPr>
                </pic:pic>
              </a:graphicData>
            </a:graphic>
          </wp:inline>
        </w:drawing>
      </w:r>
    </w:p>
    <w:p w14:paraId="0693CCD1" w14:textId="02274105" w:rsidR="00AE1F91" w:rsidRPr="00FF4BC6" w:rsidRDefault="00AE1F91" w:rsidP="00AE1F91">
      <w:pPr>
        <w:pStyle w:val="Caption"/>
        <w:rPr>
          <w:rFonts w:asciiTheme="minorHAnsi" w:eastAsia="MS Mincho" w:hAnsiTheme="minorHAnsi" w:cs="FSMe-Bold"/>
          <w:spacing w:val="-2"/>
          <w:sz w:val="24"/>
          <w:szCs w:val="20"/>
          <w:lang w:eastAsia="en-US"/>
        </w:rPr>
      </w:pPr>
      <w:bookmarkStart w:id="127" w:name="_Ref447482768"/>
      <w:r>
        <w:t xml:space="preserve">Figure </w:t>
      </w:r>
      <w:r>
        <w:fldChar w:fldCharType="begin"/>
      </w:r>
      <w:r>
        <w:instrText xml:space="preserve"> SEQ Figure \* ARABIC </w:instrText>
      </w:r>
      <w:r>
        <w:fldChar w:fldCharType="separate"/>
      </w:r>
      <w:r w:rsidR="00607084">
        <w:rPr>
          <w:noProof/>
        </w:rPr>
        <w:t>5</w:t>
      </w:r>
      <w:r>
        <w:fldChar w:fldCharType="end"/>
      </w:r>
      <w:bookmarkEnd w:id="127"/>
      <w:r>
        <w:t xml:space="preserve"> </w:t>
      </w:r>
      <w:r w:rsidRPr="00807774">
        <w:t xml:space="preserve">– </w:t>
      </w:r>
      <w:r>
        <w:t>R</w:t>
      </w:r>
      <w:r w:rsidRPr="00807774">
        <w:t xml:space="preserve">egistration of </w:t>
      </w:r>
      <w:r>
        <w:t>Providers</w:t>
      </w:r>
    </w:p>
    <w:p w14:paraId="411A47C3" w14:textId="77777777" w:rsidR="003443F6" w:rsidRPr="003443F6" w:rsidRDefault="00C15B2C" w:rsidP="00B85F8A">
      <w:pPr>
        <w:pStyle w:val="Heading3"/>
      </w:pPr>
      <w:bookmarkStart w:id="128" w:name="_Toc447447097"/>
      <w:bookmarkStart w:id="129" w:name="_Toc447450403"/>
      <w:r>
        <w:t xml:space="preserve">Registration </w:t>
      </w:r>
      <w:r w:rsidR="003443F6" w:rsidRPr="003443F6">
        <w:t>of dwellings</w:t>
      </w:r>
      <w:bookmarkEnd w:id="128"/>
      <w:bookmarkEnd w:id="129"/>
      <w:r w:rsidR="003443F6" w:rsidRPr="003443F6">
        <w:t xml:space="preserve"> </w:t>
      </w:r>
    </w:p>
    <w:p w14:paraId="411A47C4" w14:textId="77777777" w:rsidR="003443F6" w:rsidRPr="00E2350A" w:rsidRDefault="003443F6" w:rsidP="00E2350A">
      <w:pPr>
        <w:pStyle w:val="BodyText1"/>
        <w:rPr>
          <w:lang w:val="en-AU"/>
        </w:rPr>
      </w:pPr>
      <w:r w:rsidRPr="00E2350A">
        <w:rPr>
          <w:lang w:val="en-AU"/>
        </w:rPr>
        <w:t>When making a decision about the SDA supports to be provided to a participant</w:t>
      </w:r>
      <w:r w:rsidR="0067272D" w:rsidRPr="00E2350A">
        <w:rPr>
          <w:lang w:val="en-AU"/>
        </w:rPr>
        <w:t>,</w:t>
      </w:r>
      <w:r w:rsidRPr="00E2350A">
        <w:rPr>
          <w:lang w:val="en-AU"/>
        </w:rPr>
        <w:t xml:space="preserve"> an important part of that decision is to determine the design category and build type of dwelling for the participant. The registration of approved dwellings will serve to provide certainty about the SDA benchmark price that applies for a property and also support the matching of demand and supply. </w:t>
      </w:r>
    </w:p>
    <w:p w14:paraId="4CE170D0" w14:textId="77777777" w:rsidR="004C3298" w:rsidRDefault="003443F6" w:rsidP="00E2350A">
      <w:pPr>
        <w:pStyle w:val="BodyText1"/>
        <w:rPr>
          <w:lang w:val="en-AU"/>
        </w:rPr>
      </w:pPr>
      <w:r w:rsidRPr="00E2350A">
        <w:rPr>
          <w:lang w:val="en-AU"/>
        </w:rPr>
        <w:t>Before a dwelling will be funded</w:t>
      </w:r>
      <w:r w:rsidR="0067272D" w:rsidRPr="00E2350A">
        <w:rPr>
          <w:lang w:val="en-AU"/>
        </w:rPr>
        <w:t>,</w:t>
      </w:r>
      <w:r w:rsidRPr="00E2350A">
        <w:rPr>
          <w:lang w:val="en-AU"/>
        </w:rPr>
        <w:t xml:space="preserve"> the dwelling will have to be registered with the Agency</w:t>
      </w:r>
      <w:r w:rsidR="00E2350A" w:rsidRPr="00E2350A">
        <w:rPr>
          <w:lang w:val="en-AU"/>
        </w:rPr>
        <w:t xml:space="preserve">. </w:t>
      </w:r>
      <w:r w:rsidRPr="00E2350A">
        <w:rPr>
          <w:lang w:val="en-AU"/>
        </w:rPr>
        <w:t>When applying for registration of a dwelling the provider will select the dwelling category and build type against which registration is being sought</w:t>
      </w:r>
      <w:r w:rsidR="00E2350A" w:rsidRPr="00E2350A">
        <w:rPr>
          <w:lang w:val="en-AU"/>
        </w:rPr>
        <w:t xml:space="preserve">. </w:t>
      </w:r>
    </w:p>
    <w:p w14:paraId="411A47C5" w14:textId="47C1071F" w:rsidR="003443F6" w:rsidRPr="00E2350A" w:rsidRDefault="003443F6" w:rsidP="00E2350A">
      <w:pPr>
        <w:pStyle w:val="BodyText1"/>
        <w:rPr>
          <w:lang w:val="en-AU"/>
        </w:rPr>
      </w:pPr>
      <w:r w:rsidRPr="00E2350A">
        <w:rPr>
          <w:lang w:val="en-AU"/>
        </w:rPr>
        <w:t xml:space="preserve">The conditions for registration for a dwelling will include the requirement that the provider </w:t>
      </w:r>
      <w:r w:rsidR="00C15B2C">
        <w:rPr>
          <w:lang w:val="en-AU"/>
        </w:rPr>
        <w:t>attest</w:t>
      </w:r>
      <w:r w:rsidR="004C3298">
        <w:rPr>
          <w:lang w:val="en-AU"/>
        </w:rPr>
        <w:t>s</w:t>
      </w:r>
      <w:r w:rsidRPr="00E2350A">
        <w:rPr>
          <w:lang w:val="en-AU"/>
        </w:rPr>
        <w:t xml:space="preserve"> that the dwelling meets the applicable standards for the selected design category and build type. </w:t>
      </w:r>
      <w:r w:rsidR="004C3298" w:rsidRPr="00E2350A">
        <w:rPr>
          <w:lang w:val="en-AU"/>
        </w:rPr>
        <w:t>The benchmark prices for each of the design categories reflect specified design requirements, materials and building standards that are applicable to that category.</w:t>
      </w:r>
    </w:p>
    <w:p w14:paraId="411A47C6" w14:textId="7932AF13" w:rsidR="003443F6" w:rsidRDefault="003443F6" w:rsidP="00E2350A">
      <w:pPr>
        <w:pStyle w:val="BodyText1"/>
        <w:rPr>
          <w:lang w:val="en-AU"/>
        </w:rPr>
      </w:pPr>
      <w:r w:rsidRPr="00E2350A">
        <w:rPr>
          <w:lang w:val="en-AU"/>
        </w:rPr>
        <w:t>Providers will not only have to meet certain requirements in order to register a dwelling</w:t>
      </w:r>
      <w:r w:rsidR="0067272D" w:rsidRPr="00E2350A">
        <w:rPr>
          <w:lang w:val="en-AU"/>
        </w:rPr>
        <w:t>,</w:t>
      </w:r>
      <w:r w:rsidRPr="00E2350A">
        <w:rPr>
          <w:lang w:val="en-AU"/>
        </w:rPr>
        <w:t xml:space="preserve"> but will also have to meet ongoing requirements to maintain the registration of the dwelling</w:t>
      </w:r>
      <w:r w:rsidR="00E2350A" w:rsidRPr="00E2350A">
        <w:rPr>
          <w:lang w:val="en-AU"/>
        </w:rPr>
        <w:t xml:space="preserve">. </w:t>
      </w:r>
      <w:r w:rsidR="004C3298">
        <w:rPr>
          <w:lang w:val="en-AU"/>
        </w:rPr>
        <w:t>Providers would</w:t>
      </w:r>
      <w:r w:rsidRPr="00E2350A">
        <w:rPr>
          <w:lang w:val="en-AU"/>
        </w:rPr>
        <w:t xml:space="preserve"> have to </w:t>
      </w:r>
      <w:r w:rsidR="00C15B2C">
        <w:rPr>
          <w:lang w:val="en-AU"/>
        </w:rPr>
        <w:t>attest</w:t>
      </w:r>
      <w:r w:rsidR="00C15B2C" w:rsidRPr="00E2350A">
        <w:rPr>
          <w:lang w:val="en-AU"/>
        </w:rPr>
        <w:t xml:space="preserve"> </w:t>
      </w:r>
      <w:r w:rsidRPr="00E2350A">
        <w:rPr>
          <w:lang w:val="en-AU"/>
        </w:rPr>
        <w:t>from time to time that the dwelling continues to comply with the requirements for the dwelling category and build type against which the dwelling is registered</w:t>
      </w:r>
      <w:r w:rsidR="00E2350A" w:rsidRPr="00E2350A">
        <w:rPr>
          <w:lang w:val="en-AU"/>
        </w:rPr>
        <w:t xml:space="preserve">. </w:t>
      </w:r>
      <w:r w:rsidRPr="00E2350A">
        <w:rPr>
          <w:lang w:val="en-AU"/>
        </w:rPr>
        <w:t xml:space="preserve"> </w:t>
      </w:r>
      <w:r w:rsidR="0067272D" w:rsidRPr="00E2350A">
        <w:rPr>
          <w:lang w:val="en-AU"/>
        </w:rPr>
        <w:t xml:space="preserve">This will need to align with the quality and safeguard arrangements of each </w:t>
      </w:r>
      <w:r w:rsidR="00940B53">
        <w:rPr>
          <w:lang w:val="en-AU"/>
        </w:rPr>
        <w:t>s</w:t>
      </w:r>
      <w:r w:rsidR="0067272D" w:rsidRPr="00E2350A">
        <w:rPr>
          <w:lang w:val="en-AU"/>
        </w:rPr>
        <w:t>tate government.</w:t>
      </w:r>
    </w:p>
    <w:p w14:paraId="47312604" w14:textId="1EF8759A" w:rsidR="00940B53" w:rsidRPr="00675E74" w:rsidRDefault="00AE1F91" w:rsidP="00940B53">
      <w:pPr>
        <w:pStyle w:val="BodyText1"/>
        <w:jc w:val="both"/>
        <w:rPr>
          <w:lang w:val="en-AU"/>
        </w:rPr>
      </w:pPr>
      <w:r>
        <w:rPr>
          <w:lang w:val="en-AU"/>
        </w:rPr>
        <w:fldChar w:fldCharType="begin"/>
      </w:r>
      <w:r>
        <w:rPr>
          <w:lang w:val="en-AU"/>
        </w:rPr>
        <w:instrText xml:space="preserve"> REF _Ref447482887 \h </w:instrText>
      </w:r>
      <w:r>
        <w:rPr>
          <w:lang w:val="en-AU"/>
        </w:rPr>
      </w:r>
      <w:r>
        <w:rPr>
          <w:lang w:val="en-AU"/>
        </w:rPr>
        <w:fldChar w:fldCharType="separate"/>
      </w:r>
      <w:r w:rsidR="00607084">
        <w:t xml:space="preserve">Figure </w:t>
      </w:r>
      <w:r w:rsidR="00607084">
        <w:rPr>
          <w:noProof/>
        </w:rPr>
        <w:t>6</w:t>
      </w:r>
      <w:r>
        <w:rPr>
          <w:lang w:val="en-AU"/>
        </w:rPr>
        <w:fldChar w:fldCharType="end"/>
      </w:r>
      <w:r>
        <w:rPr>
          <w:lang w:val="en-AU"/>
        </w:rPr>
        <w:t xml:space="preserve"> </w:t>
      </w:r>
      <w:r w:rsidR="00940B53">
        <w:rPr>
          <w:lang w:val="en-AU"/>
        </w:rPr>
        <w:t>provides a simplified overview of the registration process likely to apply for dwellings.</w:t>
      </w:r>
    </w:p>
    <w:p w14:paraId="397135FE" w14:textId="77777777" w:rsidR="00940B53" w:rsidRPr="00E2350A" w:rsidRDefault="00940B53" w:rsidP="00E2350A">
      <w:pPr>
        <w:pStyle w:val="BodyText1"/>
        <w:rPr>
          <w:lang w:val="en-AU"/>
        </w:rPr>
      </w:pPr>
    </w:p>
    <w:p w14:paraId="411A47C7" w14:textId="41F55EF7" w:rsidR="005F4CC4" w:rsidRDefault="004555FB" w:rsidP="005F5686">
      <w:pPr>
        <w:pStyle w:val="BodyText1"/>
      </w:pPr>
      <w:r>
        <w:rPr>
          <w:noProof/>
          <w:lang w:val="en-AU" w:eastAsia="en-AU"/>
        </w:rPr>
        <w:lastRenderedPageBreak/>
        <w:drawing>
          <wp:inline distT="0" distB="0" distL="0" distR="0" wp14:anchorId="2F3E1BFD" wp14:editId="51288F5B">
            <wp:extent cx="6034936" cy="3550920"/>
            <wp:effectExtent l="0" t="0" r="444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7940" cy="3552688"/>
                    </a:xfrm>
                    <a:prstGeom prst="rect">
                      <a:avLst/>
                    </a:prstGeom>
                    <a:noFill/>
                  </pic:spPr>
                </pic:pic>
              </a:graphicData>
            </a:graphic>
          </wp:inline>
        </w:drawing>
      </w:r>
    </w:p>
    <w:p w14:paraId="0317FB60" w14:textId="65DBD6D4" w:rsidR="00AE1F91" w:rsidRDefault="00AE1F91" w:rsidP="00AE1F91">
      <w:pPr>
        <w:pStyle w:val="Caption"/>
      </w:pPr>
      <w:bookmarkStart w:id="130" w:name="_Ref447482887"/>
      <w:r>
        <w:t xml:space="preserve">Figure </w:t>
      </w:r>
      <w:r>
        <w:fldChar w:fldCharType="begin"/>
      </w:r>
      <w:r>
        <w:instrText xml:space="preserve"> SEQ Figure \* ARABIC </w:instrText>
      </w:r>
      <w:r>
        <w:fldChar w:fldCharType="separate"/>
      </w:r>
      <w:r w:rsidR="00607084">
        <w:rPr>
          <w:noProof/>
        </w:rPr>
        <w:t>6</w:t>
      </w:r>
      <w:r>
        <w:fldChar w:fldCharType="end"/>
      </w:r>
      <w:bookmarkEnd w:id="130"/>
      <w:r>
        <w:t xml:space="preserve"> </w:t>
      </w:r>
      <w:bookmarkStart w:id="131" w:name="_Ref447482866"/>
      <w:r>
        <w:t xml:space="preserve">- </w:t>
      </w:r>
      <w:r w:rsidRPr="00CA49A4">
        <w:t>registration of dwellings</w:t>
      </w:r>
      <w:bookmarkEnd w:id="131"/>
    </w:p>
    <w:p w14:paraId="411A47C9" w14:textId="77777777" w:rsidR="00302A64" w:rsidRPr="00302A64" w:rsidRDefault="00302A64" w:rsidP="00B85F8A">
      <w:pPr>
        <w:pStyle w:val="Heading3"/>
      </w:pPr>
      <w:bookmarkStart w:id="132" w:name="_Toc447447098"/>
      <w:bookmarkStart w:id="133" w:name="_Toc447450404"/>
      <w:r>
        <w:t>Quality and safeguarding</w:t>
      </w:r>
      <w:bookmarkEnd w:id="132"/>
      <w:bookmarkEnd w:id="133"/>
      <w:r>
        <w:t xml:space="preserve"> </w:t>
      </w:r>
    </w:p>
    <w:p w14:paraId="411A47CA" w14:textId="79595A38" w:rsidR="003443F6" w:rsidRPr="00E2350A" w:rsidRDefault="003443F6" w:rsidP="00E2350A">
      <w:pPr>
        <w:pStyle w:val="BodyText1"/>
        <w:rPr>
          <w:lang w:val="en-AU"/>
        </w:rPr>
      </w:pPr>
      <w:r w:rsidRPr="00E2350A">
        <w:rPr>
          <w:lang w:val="en-AU"/>
        </w:rPr>
        <w:t xml:space="preserve">The Agency is keen to minimise the burden placed on providers under the </w:t>
      </w:r>
      <w:r w:rsidR="00940B53">
        <w:rPr>
          <w:lang w:val="en-AU"/>
        </w:rPr>
        <w:t>S</w:t>
      </w:r>
      <w:r w:rsidRPr="00E2350A">
        <w:rPr>
          <w:lang w:val="en-AU"/>
        </w:rPr>
        <w:t>cheme</w:t>
      </w:r>
      <w:r w:rsidR="0067272D" w:rsidRPr="00E2350A">
        <w:rPr>
          <w:lang w:val="en-AU"/>
        </w:rPr>
        <w:t>,</w:t>
      </w:r>
      <w:r w:rsidRPr="00E2350A">
        <w:rPr>
          <w:lang w:val="en-AU"/>
        </w:rPr>
        <w:t xml:space="preserve"> but recognises that some measures will be required in relation to the provision of SDA supports</w:t>
      </w:r>
      <w:r w:rsidR="00E2350A" w:rsidRPr="00E2350A">
        <w:rPr>
          <w:lang w:val="en-AU"/>
        </w:rPr>
        <w:t xml:space="preserve">. </w:t>
      </w:r>
      <w:r w:rsidRPr="00E2350A">
        <w:rPr>
          <w:lang w:val="en-AU"/>
        </w:rPr>
        <w:t xml:space="preserve">For example, measures to ensure that the SDA supports provided to participants are the supports that are being paid for by the </w:t>
      </w:r>
      <w:r w:rsidR="00940B53">
        <w:rPr>
          <w:lang w:val="en-AU"/>
        </w:rPr>
        <w:t>Agency</w:t>
      </w:r>
      <w:r w:rsidRPr="00E2350A">
        <w:rPr>
          <w:lang w:val="en-AU"/>
        </w:rPr>
        <w:t xml:space="preserve"> and measures to allow participants to exercise choice and control while obtaining appropriate quality and with appropriate safeguarding.</w:t>
      </w:r>
    </w:p>
    <w:p w14:paraId="009FB6F6" w14:textId="77777777" w:rsidR="00940B53" w:rsidRDefault="003443F6" w:rsidP="00E2350A">
      <w:pPr>
        <w:pStyle w:val="BodyText1"/>
        <w:rPr>
          <w:lang w:val="en-AU"/>
        </w:rPr>
      </w:pPr>
      <w:r w:rsidRPr="00E2350A">
        <w:rPr>
          <w:lang w:val="en-AU"/>
        </w:rPr>
        <w:t>The NDIS Quality and Safeguarding Framework is currently being developed by the Commonwealth</w:t>
      </w:r>
      <w:r w:rsidR="00E2350A" w:rsidRPr="00E2350A">
        <w:rPr>
          <w:lang w:val="en-AU"/>
        </w:rPr>
        <w:t xml:space="preserve">. </w:t>
      </w:r>
      <w:r w:rsidRPr="00E2350A">
        <w:rPr>
          <w:lang w:val="en-AU"/>
        </w:rPr>
        <w:t>Until the Framework is in place the States, Territories and the Commonwealth will have a shared responsibility for quality and safeguarding</w:t>
      </w:r>
      <w:r w:rsidR="00E2350A" w:rsidRPr="00E2350A">
        <w:rPr>
          <w:lang w:val="en-AU"/>
        </w:rPr>
        <w:t xml:space="preserve">. </w:t>
      </w:r>
      <w:r w:rsidRPr="00E2350A">
        <w:rPr>
          <w:lang w:val="en-AU"/>
        </w:rPr>
        <w:t>The existing State systems will con</w:t>
      </w:r>
      <w:r w:rsidR="00302A64" w:rsidRPr="00E2350A">
        <w:rPr>
          <w:lang w:val="en-AU"/>
        </w:rPr>
        <w:t>tinue to play an important role</w:t>
      </w:r>
      <w:r w:rsidR="00E2350A" w:rsidRPr="00E2350A">
        <w:rPr>
          <w:lang w:val="en-AU"/>
        </w:rPr>
        <w:t>.</w:t>
      </w:r>
    </w:p>
    <w:p w14:paraId="411A47CD" w14:textId="775ABF95" w:rsidR="00302A64" w:rsidRPr="00940B53" w:rsidRDefault="00940B53" w:rsidP="00940B53">
      <w:pPr>
        <w:spacing w:after="240" w:line="240" w:lineRule="auto"/>
        <w:jc w:val="both"/>
        <w:rPr>
          <w:rFonts w:asciiTheme="minorHAnsi" w:hAnsiTheme="minorHAnsi"/>
          <w:spacing w:val="-2"/>
          <w:sz w:val="24"/>
          <w:lang w:val="en-AU"/>
        </w:rPr>
      </w:pPr>
      <w:r>
        <w:rPr>
          <w:rFonts w:asciiTheme="minorHAnsi" w:eastAsia="MS Mincho" w:hAnsiTheme="minorHAnsi" w:cs="FSMe-Bold"/>
          <w:spacing w:val="-2"/>
          <w:sz w:val="24"/>
          <w:szCs w:val="20"/>
          <w:lang w:val="en-AU" w:eastAsia="en-US"/>
        </w:rPr>
        <w:t xml:space="preserve">Following transition to the Scheme, </w:t>
      </w:r>
      <w:r w:rsidRPr="00675E74">
        <w:rPr>
          <w:rFonts w:asciiTheme="minorHAnsi" w:eastAsia="MS Mincho" w:hAnsiTheme="minorHAnsi" w:cs="FSMe-Bold"/>
          <w:spacing w:val="-2"/>
          <w:sz w:val="24"/>
          <w:szCs w:val="20"/>
          <w:lang w:val="en-AU" w:eastAsia="en-US"/>
        </w:rPr>
        <w:t xml:space="preserve">Providers must continue to comply with all relevant </w:t>
      </w:r>
      <w:r>
        <w:rPr>
          <w:rFonts w:asciiTheme="minorHAnsi" w:eastAsia="MS Mincho" w:hAnsiTheme="minorHAnsi" w:cs="FSMe-Bold"/>
          <w:spacing w:val="-2"/>
          <w:sz w:val="24"/>
          <w:szCs w:val="20"/>
          <w:lang w:val="en-AU" w:eastAsia="en-US"/>
        </w:rPr>
        <w:t>q</w:t>
      </w:r>
      <w:r w:rsidRPr="00675E74">
        <w:rPr>
          <w:rFonts w:asciiTheme="minorHAnsi" w:eastAsia="MS Mincho" w:hAnsiTheme="minorHAnsi" w:cs="FSMe-Bold"/>
          <w:spacing w:val="-2"/>
          <w:sz w:val="24"/>
          <w:szCs w:val="20"/>
          <w:lang w:val="en-AU" w:eastAsia="en-US"/>
        </w:rPr>
        <w:t>uality and safeguard arrangements in force in each relevant State. Providers may also be required to attest that they have third party certification that the dwelling complies with the quality and safeguard arrangements of each State government.</w:t>
      </w:r>
    </w:p>
    <w:p w14:paraId="411A47CE" w14:textId="77777777" w:rsidR="003443F6" w:rsidRDefault="003443F6" w:rsidP="00797FB2">
      <w:pPr>
        <w:numPr>
          <w:ilvl w:val="2"/>
          <w:numId w:val="27"/>
        </w:numPr>
        <w:spacing w:before="200" w:after="240"/>
        <w:ind w:left="851" w:hanging="851"/>
        <w:outlineLvl w:val="3"/>
        <w:rPr>
          <w:rFonts w:eastAsia="Times New Roman" w:cstheme="majorBidi"/>
          <w:bCs/>
          <w:i/>
          <w:snapToGrid w:val="0"/>
          <w:sz w:val="24"/>
          <w:szCs w:val="26"/>
          <w:lang w:val="en-AU" w:eastAsia="en-AU"/>
        </w:rPr>
      </w:pPr>
      <w:bookmarkStart w:id="134" w:name="_Toc447056842"/>
      <w:bookmarkStart w:id="135" w:name="_Toc447198712"/>
      <w:bookmarkStart w:id="136" w:name="_Toc447447099"/>
      <w:r>
        <w:rPr>
          <w:rFonts w:eastAsia="Times New Roman" w:cstheme="majorBidi"/>
          <w:bCs/>
          <w:i/>
          <w:snapToGrid w:val="0"/>
          <w:sz w:val="24"/>
          <w:szCs w:val="26"/>
          <w:lang w:val="en-AU" w:eastAsia="en-AU"/>
        </w:rPr>
        <w:t xml:space="preserve">Rights and </w:t>
      </w:r>
      <w:r w:rsidR="0025513F">
        <w:rPr>
          <w:rFonts w:eastAsia="Times New Roman" w:cstheme="majorBidi"/>
          <w:bCs/>
          <w:i/>
          <w:snapToGrid w:val="0"/>
          <w:sz w:val="24"/>
          <w:szCs w:val="26"/>
          <w:lang w:val="en-AU" w:eastAsia="en-AU"/>
        </w:rPr>
        <w:t>o</w:t>
      </w:r>
      <w:r>
        <w:rPr>
          <w:rFonts w:eastAsia="Times New Roman" w:cstheme="majorBidi"/>
          <w:bCs/>
          <w:i/>
          <w:snapToGrid w:val="0"/>
          <w:sz w:val="24"/>
          <w:szCs w:val="26"/>
          <w:lang w:val="en-AU" w:eastAsia="en-AU"/>
        </w:rPr>
        <w:t>bligations</w:t>
      </w:r>
      <w:bookmarkEnd w:id="134"/>
      <w:bookmarkEnd w:id="135"/>
      <w:bookmarkEnd w:id="136"/>
      <w:r>
        <w:rPr>
          <w:rFonts w:eastAsia="Times New Roman" w:cstheme="majorBidi"/>
          <w:bCs/>
          <w:i/>
          <w:snapToGrid w:val="0"/>
          <w:sz w:val="24"/>
          <w:szCs w:val="26"/>
          <w:lang w:val="en-AU" w:eastAsia="en-AU"/>
        </w:rPr>
        <w:t xml:space="preserve"> </w:t>
      </w:r>
    </w:p>
    <w:p w14:paraId="411A47CF" w14:textId="77777777" w:rsidR="003443F6" w:rsidRPr="00E2350A" w:rsidRDefault="003443F6" w:rsidP="00E2350A">
      <w:pPr>
        <w:pStyle w:val="BodyText1"/>
        <w:rPr>
          <w:lang w:val="en-AU"/>
        </w:rPr>
      </w:pPr>
      <w:r w:rsidRPr="00E2350A">
        <w:rPr>
          <w:lang w:val="en-AU"/>
        </w:rPr>
        <w:t>When a participant chooses a dwelling the tenancy relationship will be between the participant and the provider</w:t>
      </w:r>
      <w:r w:rsidR="00E2350A" w:rsidRPr="00E2350A">
        <w:rPr>
          <w:lang w:val="en-AU"/>
        </w:rPr>
        <w:t xml:space="preserve">. </w:t>
      </w:r>
      <w:r w:rsidRPr="00E2350A">
        <w:rPr>
          <w:lang w:val="en-AU"/>
        </w:rPr>
        <w:t>In this regard the purchase of SDA supports will operate in a similar way to the purchase of other supports under the NDIS</w:t>
      </w:r>
      <w:r w:rsidR="00E2350A" w:rsidRPr="00E2350A">
        <w:rPr>
          <w:lang w:val="en-AU"/>
        </w:rPr>
        <w:t xml:space="preserve">. </w:t>
      </w:r>
      <w:r w:rsidRPr="00E2350A">
        <w:rPr>
          <w:lang w:val="en-AU"/>
        </w:rPr>
        <w:t>A participant, whether self-managed or through another party, will source SDA supports from the market and enter into a relationship with the provider</w:t>
      </w:r>
      <w:r w:rsidR="00E2350A" w:rsidRPr="00E2350A">
        <w:rPr>
          <w:lang w:val="en-AU"/>
        </w:rPr>
        <w:t xml:space="preserve">. </w:t>
      </w:r>
    </w:p>
    <w:p w14:paraId="411A47D0" w14:textId="38BE7104" w:rsidR="003443F6" w:rsidRPr="00E2350A" w:rsidRDefault="003443F6" w:rsidP="00E2350A">
      <w:pPr>
        <w:pStyle w:val="BodyText1"/>
        <w:rPr>
          <w:lang w:val="en-AU"/>
        </w:rPr>
      </w:pPr>
      <w:r w:rsidRPr="00E2350A">
        <w:rPr>
          <w:lang w:val="en-AU"/>
        </w:rPr>
        <w:lastRenderedPageBreak/>
        <w:t>The registration conditions for providers of SDA supports</w:t>
      </w:r>
      <w:r w:rsidR="0067272D" w:rsidRPr="00E2350A">
        <w:rPr>
          <w:lang w:val="en-AU"/>
        </w:rPr>
        <w:t xml:space="preserve"> will</w:t>
      </w:r>
      <w:r w:rsidRPr="00E2350A">
        <w:rPr>
          <w:lang w:val="en-AU"/>
        </w:rPr>
        <w:t xml:space="preserve"> impose obligations on providers in relation to tenancy matters</w:t>
      </w:r>
      <w:r w:rsidR="00E2350A" w:rsidRPr="00E2350A">
        <w:rPr>
          <w:lang w:val="en-AU"/>
        </w:rPr>
        <w:t xml:space="preserve">. </w:t>
      </w:r>
      <w:r w:rsidRPr="00E2350A">
        <w:rPr>
          <w:lang w:val="en-AU"/>
        </w:rPr>
        <w:t>Those obligations are being developed for inclusion in the</w:t>
      </w:r>
      <w:r w:rsidR="0067272D" w:rsidRPr="00E2350A">
        <w:rPr>
          <w:lang w:val="en-AU"/>
        </w:rPr>
        <w:t xml:space="preserve"> </w:t>
      </w:r>
      <w:r w:rsidR="00940B53">
        <w:rPr>
          <w:lang w:val="en-AU"/>
        </w:rPr>
        <w:t>SDA rule(s)</w:t>
      </w:r>
      <w:r w:rsidR="00E2350A" w:rsidRPr="00E2350A">
        <w:rPr>
          <w:lang w:val="en-AU"/>
        </w:rPr>
        <w:t xml:space="preserve">. </w:t>
      </w:r>
      <w:r w:rsidR="0067272D" w:rsidRPr="00E2350A">
        <w:rPr>
          <w:lang w:val="en-AU"/>
        </w:rPr>
        <w:t>The Agency recognis</w:t>
      </w:r>
      <w:r w:rsidRPr="00E2350A">
        <w:rPr>
          <w:lang w:val="en-AU"/>
        </w:rPr>
        <w:t>es the need to minimise the burden on providers from imposing obligations in relation to tenancy matters but considers that some minimum obligations will be required in relation to the provision of SDA supports.</w:t>
      </w:r>
    </w:p>
    <w:p w14:paraId="411A47D1" w14:textId="77777777" w:rsidR="003443F6" w:rsidRDefault="003443F6" w:rsidP="00797FB2">
      <w:pPr>
        <w:numPr>
          <w:ilvl w:val="2"/>
          <w:numId w:val="27"/>
        </w:numPr>
        <w:spacing w:before="200" w:after="240"/>
        <w:ind w:left="851" w:hanging="851"/>
        <w:outlineLvl w:val="3"/>
        <w:rPr>
          <w:rFonts w:eastAsia="Times New Roman" w:cstheme="majorBidi"/>
          <w:bCs/>
          <w:i/>
          <w:snapToGrid w:val="0"/>
          <w:sz w:val="24"/>
          <w:szCs w:val="26"/>
          <w:lang w:val="en-AU" w:eastAsia="en-AU"/>
        </w:rPr>
      </w:pPr>
      <w:bookmarkStart w:id="137" w:name="_Toc447056843"/>
      <w:bookmarkStart w:id="138" w:name="_Toc447198713"/>
      <w:bookmarkStart w:id="139" w:name="_Toc447447100"/>
      <w:r>
        <w:rPr>
          <w:rFonts w:eastAsia="Times New Roman" w:cstheme="majorBidi"/>
          <w:bCs/>
          <w:i/>
          <w:snapToGrid w:val="0"/>
          <w:sz w:val="24"/>
          <w:szCs w:val="26"/>
          <w:lang w:val="en-AU" w:eastAsia="en-AU"/>
        </w:rPr>
        <w:t>Code of conduct, complaints and serious incidents and quality assurance</w:t>
      </w:r>
      <w:bookmarkEnd w:id="137"/>
      <w:bookmarkEnd w:id="138"/>
      <w:bookmarkEnd w:id="139"/>
      <w:r>
        <w:rPr>
          <w:rFonts w:eastAsia="Times New Roman" w:cstheme="majorBidi"/>
          <w:bCs/>
          <w:i/>
          <w:snapToGrid w:val="0"/>
          <w:sz w:val="24"/>
          <w:szCs w:val="26"/>
          <w:lang w:val="en-AU" w:eastAsia="en-AU"/>
        </w:rPr>
        <w:t xml:space="preserve"> </w:t>
      </w:r>
    </w:p>
    <w:p w14:paraId="411A47D2" w14:textId="54F58991" w:rsidR="003443F6" w:rsidRPr="00E2350A" w:rsidRDefault="00940B53" w:rsidP="00E2350A">
      <w:pPr>
        <w:pStyle w:val="BodyText1"/>
        <w:rPr>
          <w:lang w:val="en-AU"/>
        </w:rPr>
      </w:pPr>
      <w:r>
        <w:rPr>
          <w:lang w:val="en-AU"/>
        </w:rPr>
        <w:t>As outlined above, the e</w:t>
      </w:r>
      <w:r w:rsidR="0067272D" w:rsidRPr="00E2350A">
        <w:rPr>
          <w:lang w:val="en-AU"/>
        </w:rPr>
        <w:t>xisting</w:t>
      </w:r>
      <w:r w:rsidR="00E45E94" w:rsidRPr="00E2350A">
        <w:rPr>
          <w:lang w:val="en-AU"/>
        </w:rPr>
        <w:t xml:space="preserve"> arrangements for quality and safeguards arrangements will continue to apply for SDA during transition</w:t>
      </w:r>
      <w:r w:rsidR="0067272D" w:rsidRPr="00E2350A">
        <w:rPr>
          <w:lang w:val="en-AU"/>
        </w:rPr>
        <w:t xml:space="preserve"> to full scheme,</w:t>
      </w:r>
      <w:r>
        <w:rPr>
          <w:lang w:val="en-AU"/>
        </w:rPr>
        <w:t xml:space="preserve"> his includes any relevant code of conducts, complaint and incident report and handling as well as quality assurance processes which may apply. A</w:t>
      </w:r>
      <w:r w:rsidR="0067272D" w:rsidRPr="00E2350A">
        <w:rPr>
          <w:lang w:val="en-AU"/>
        </w:rPr>
        <w:t xml:space="preserve">s agreed by the Commonwealth and </w:t>
      </w:r>
      <w:r w:rsidR="00E45E94" w:rsidRPr="00E2350A">
        <w:rPr>
          <w:lang w:val="en-AU"/>
        </w:rPr>
        <w:t xml:space="preserve">State </w:t>
      </w:r>
      <w:r w:rsidR="0067272D" w:rsidRPr="00E2350A">
        <w:rPr>
          <w:lang w:val="en-AU"/>
        </w:rPr>
        <w:t>governments</w:t>
      </w:r>
      <w:r w:rsidR="00E45E94" w:rsidRPr="00E2350A">
        <w:rPr>
          <w:lang w:val="en-AU"/>
        </w:rPr>
        <w:t xml:space="preserve"> as part of the bilateral agreements for the NDIS</w:t>
      </w:r>
      <w:r>
        <w:rPr>
          <w:lang w:val="en-AU"/>
        </w:rPr>
        <w:t>, t</w:t>
      </w:r>
      <w:r w:rsidR="00E45E94" w:rsidRPr="00E2350A">
        <w:rPr>
          <w:lang w:val="en-AU"/>
        </w:rPr>
        <w:t>hese existing arrangements will continue to apply until such time as the National Quality and Safeguards Framework is implemented</w:t>
      </w:r>
      <w:r w:rsidR="00E2350A" w:rsidRPr="00E2350A">
        <w:rPr>
          <w:lang w:val="en-AU"/>
        </w:rPr>
        <w:t xml:space="preserve">. </w:t>
      </w:r>
    </w:p>
    <w:p w14:paraId="411A47D3" w14:textId="77777777" w:rsidR="008B203A" w:rsidRDefault="008B203A" w:rsidP="00B85F8A">
      <w:pPr>
        <w:pStyle w:val="Heading3"/>
      </w:pPr>
      <w:bookmarkStart w:id="140" w:name="_Toc447447101"/>
      <w:bookmarkStart w:id="141" w:name="_Toc447450405"/>
      <w:r>
        <w:t>Implementation considerations</w:t>
      </w:r>
      <w:bookmarkEnd w:id="140"/>
      <w:bookmarkEnd w:id="141"/>
    </w:p>
    <w:p w14:paraId="411A47D5" w14:textId="677F2A73" w:rsidR="008B203A" w:rsidRDefault="008B203A" w:rsidP="008B203A">
      <w:pPr>
        <w:pStyle w:val="BodyText1"/>
        <w:rPr>
          <w:lang w:val="en-AU"/>
        </w:rPr>
      </w:pPr>
      <w:r>
        <w:rPr>
          <w:lang w:val="en-AU"/>
        </w:rPr>
        <w:t xml:space="preserve">Implementation of the new arrangements </w:t>
      </w:r>
      <w:r w:rsidR="00AD67C2">
        <w:rPr>
          <w:lang w:val="en-AU"/>
        </w:rPr>
        <w:t>for</w:t>
      </w:r>
      <w:r>
        <w:rPr>
          <w:lang w:val="en-AU"/>
        </w:rPr>
        <w:t xml:space="preserve"> SDA is dependent on the development of a number of elements</w:t>
      </w:r>
      <w:r w:rsidR="00940B53">
        <w:rPr>
          <w:lang w:val="en-AU"/>
        </w:rPr>
        <w:t xml:space="preserve">, </w:t>
      </w:r>
      <w:r>
        <w:rPr>
          <w:lang w:val="en-AU"/>
        </w:rPr>
        <w:t xml:space="preserve">the detail </w:t>
      </w:r>
      <w:r w:rsidR="00940B53">
        <w:rPr>
          <w:lang w:val="en-AU"/>
        </w:rPr>
        <w:t>which</w:t>
      </w:r>
      <w:r>
        <w:rPr>
          <w:lang w:val="en-AU"/>
        </w:rPr>
        <w:t xml:space="preserve"> are currently being developed by the </w:t>
      </w:r>
      <w:r w:rsidR="004D4B94">
        <w:rPr>
          <w:lang w:val="en-AU"/>
        </w:rPr>
        <w:t>Agency</w:t>
      </w:r>
      <w:r w:rsidR="00E2350A">
        <w:rPr>
          <w:lang w:val="en-AU"/>
        </w:rPr>
        <w:t xml:space="preserve">. </w:t>
      </w:r>
      <w:r w:rsidR="00940B53">
        <w:rPr>
          <w:lang w:val="en-AU"/>
        </w:rPr>
        <w:t>S</w:t>
      </w:r>
      <w:r>
        <w:rPr>
          <w:lang w:val="en-AU"/>
        </w:rPr>
        <w:t>everal of the</w:t>
      </w:r>
      <w:r w:rsidR="00940B53">
        <w:rPr>
          <w:lang w:val="en-AU"/>
        </w:rPr>
        <w:t>se</w:t>
      </w:r>
      <w:r>
        <w:rPr>
          <w:lang w:val="en-AU"/>
        </w:rPr>
        <w:t xml:space="preserve"> critical elements to the implementation of SDA are dependent on the action of other bodies</w:t>
      </w:r>
      <w:r w:rsidR="00E2350A">
        <w:rPr>
          <w:lang w:val="en-AU"/>
        </w:rPr>
        <w:t xml:space="preserve">. </w:t>
      </w:r>
      <w:r>
        <w:rPr>
          <w:lang w:val="en-AU"/>
        </w:rPr>
        <w:t xml:space="preserve">As the development of these elements progress the information in this </w:t>
      </w:r>
      <w:r w:rsidR="00484B08">
        <w:rPr>
          <w:lang w:val="en-AU"/>
        </w:rPr>
        <w:t>position</w:t>
      </w:r>
      <w:r>
        <w:rPr>
          <w:lang w:val="en-AU"/>
        </w:rPr>
        <w:t xml:space="preserve"> paper may change</w:t>
      </w:r>
      <w:r w:rsidR="00E2350A">
        <w:rPr>
          <w:lang w:val="en-AU"/>
        </w:rPr>
        <w:t xml:space="preserve">. </w:t>
      </w:r>
    </w:p>
    <w:p w14:paraId="411A47D6" w14:textId="77777777" w:rsidR="008B203A" w:rsidRDefault="008B203A" w:rsidP="008B203A">
      <w:pPr>
        <w:pStyle w:val="BodyText1"/>
        <w:rPr>
          <w:lang w:val="en-AU"/>
        </w:rPr>
      </w:pPr>
      <w:r>
        <w:rPr>
          <w:lang w:val="en-AU"/>
        </w:rPr>
        <w:t>Some of the elements being developed are:</w:t>
      </w:r>
    </w:p>
    <w:p w14:paraId="411A47D7" w14:textId="32617F05" w:rsidR="008B203A" w:rsidRDefault="008B203A" w:rsidP="000F045D">
      <w:pPr>
        <w:pStyle w:val="BodyText1"/>
        <w:numPr>
          <w:ilvl w:val="0"/>
          <w:numId w:val="50"/>
        </w:numPr>
        <w:rPr>
          <w:lang w:val="en-AU"/>
        </w:rPr>
      </w:pPr>
      <w:r>
        <w:rPr>
          <w:lang w:val="en-AU"/>
        </w:rPr>
        <w:t>Further analysis of scheme sustainability</w:t>
      </w:r>
      <w:r w:rsidR="00940B53">
        <w:rPr>
          <w:lang w:val="en-AU"/>
        </w:rPr>
        <w:t>;</w:t>
      </w:r>
    </w:p>
    <w:p w14:paraId="411A47D8" w14:textId="6152AEB8" w:rsidR="008B203A" w:rsidRDefault="008B203A" w:rsidP="000F045D">
      <w:pPr>
        <w:pStyle w:val="BodyText1"/>
        <w:numPr>
          <w:ilvl w:val="0"/>
          <w:numId w:val="50"/>
        </w:numPr>
        <w:rPr>
          <w:lang w:val="en-AU"/>
        </w:rPr>
      </w:pPr>
      <w:r>
        <w:rPr>
          <w:lang w:val="en-AU"/>
        </w:rPr>
        <w:t xml:space="preserve">The new SDA </w:t>
      </w:r>
      <w:r w:rsidR="00C0464F">
        <w:rPr>
          <w:lang w:val="en-AU"/>
        </w:rPr>
        <w:t>r</w:t>
      </w:r>
      <w:r>
        <w:rPr>
          <w:lang w:val="en-AU"/>
        </w:rPr>
        <w:t xml:space="preserve">ules which are to be agreed </w:t>
      </w:r>
      <w:r w:rsidR="0001414F">
        <w:rPr>
          <w:lang w:val="en-AU"/>
        </w:rPr>
        <w:t>by</w:t>
      </w:r>
      <w:r>
        <w:rPr>
          <w:lang w:val="en-AU"/>
        </w:rPr>
        <w:t xml:space="preserve"> the</w:t>
      </w:r>
      <w:r w:rsidR="0001414F">
        <w:rPr>
          <w:lang w:val="en-AU"/>
        </w:rPr>
        <w:t xml:space="preserve"> Commonwealth,</w:t>
      </w:r>
      <w:r>
        <w:rPr>
          <w:lang w:val="en-AU"/>
        </w:rPr>
        <w:t xml:space="preserve"> States and Territories</w:t>
      </w:r>
      <w:r w:rsidR="00940B53">
        <w:rPr>
          <w:lang w:val="en-AU"/>
        </w:rPr>
        <w:t>;</w:t>
      </w:r>
    </w:p>
    <w:p w14:paraId="411A47D9" w14:textId="3C05A2C2" w:rsidR="008B203A" w:rsidRDefault="008B203A" w:rsidP="000F045D">
      <w:pPr>
        <w:pStyle w:val="BodyText1"/>
        <w:numPr>
          <w:ilvl w:val="0"/>
          <w:numId w:val="50"/>
        </w:numPr>
        <w:rPr>
          <w:lang w:val="en-AU"/>
        </w:rPr>
      </w:pPr>
      <w:r>
        <w:rPr>
          <w:lang w:val="en-AU"/>
        </w:rPr>
        <w:t xml:space="preserve">The new ITC systems being developed by the </w:t>
      </w:r>
      <w:r w:rsidR="004D4B94">
        <w:rPr>
          <w:lang w:val="en-AU"/>
        </w:rPr>
        <w:t>Agency</w:t>
      </w:r>
      <w:r w:rsidR="00940B53">
        <w:rPr>
          <w:lang w:val="en-AU"/>
        </w:rPr>
        <w:t>;</w:t>
      </w:r>
    </w:p>
    <w:p w14:paraId="411A47DA" w14:textId="3F41C51E" w:rsidR="008B203A" w:rsidRDefault="008B203A" w:rsidP="000F045D">
      <w:pPr>
        <w:pStyle w:val="BodyText1"/>
        <w:numPr>
          <w:ilvl w:val="0"/>
          <w:numId w:val="50"/>
        </w:numPr>
        <w:rPr>
          <w:lang w:val="en-AU"/>
        </w:rPr>
      </w:pPr>
      <w:r>
        <w:rPr>
          <w:lang w:val="en-AU"/>
        </w:rPr>
        <w:t>The procurement and funding processes for SDA</w:t>
      </w:r>
      <w:r w:rsidR="00940B53">
        <w:rPr>
          <w:lang w:val="en-AU"/>
        </w:rPr>
        <w:t>;</w:t>
      </w:r>
    </w:p>
    <w:p w14:paraId="411A47DB" w14:textId="77777777" w:rsidR="00BC25FA" w:rsidRPr="0001414F" w:rsidRDefault="008B203A" w:rsidP="000F045D">
      <w:pPr>
        <w:pStyle w:val="BodyText1"/>
        <w:numPr>
          <w:ilvl w:val="0"/>
          <w:numId w:val="50"/>
        </w:numPr>
        <w:rPr>
          <w:lang w:val="en-AU"/>
        </w:rPr>
      </w:pPr>
      <w:r>
        <w:rPr>
          <w:lang w:val="en-AU"/>
        </w:rPr>
        <w:t xml:space="preserve">Finalisation of policy with </w:t>
      </w:r>
      <w:r w:rsidR="0001414F">
        <w:rPr>
          <w:lang w:val="en-AU"/>
        </w:rPr>
        <w:t>the Commonwealth and the States</w:t>
      </w:r>
      <w:r w:rsidR="00903CC1">
        <w:rPr>
          <w:lang w:val="en-AU"/>
        </w:rPr>
        <w:t>.</w:t>
      </w:r>
    </w:p>
    <w:p w14:paraId="411A47DC" w14:textId="77777777" w:rsidR="0001414F" w:rsidRDefault="0001414F">
      <w:pPr>
        <w:spacing w:line="276" w:lineRule="auto"/>
        <w:rPr>
          <w:rFonts w:eastAsia="Times New Roman" w:cstheme="majorBidi"/>
          <w:b/>
          <w:bCs/>
          <w:snapToGrid w:val="0"/>
          <w:color w:val="6A2875"/>
          <w:sz w:val="44"/>
          <w:szCs w:val="26"/>
          <w:lang w:val="en-AU" w:eastAsia="en-AU"/>
        </w:rPr>
      </w:pPr>
      <w:r>
        <w:br w:type="page"/>
      </w:r>
    </w:p>
    <w:p w14:paraId="411A47DD" w14:textId="77777777" w:rsidR="00BC25FA" w:rsidRDefault="00BC25FA" w:rsidP="00BC25FA">
      <w:pPr>
        <w:pStyle w:val="Heading2"/>
      </w:pPr>
      <w:bookmarkStart w:id="142" w:name="_Toc447447102"/>
      <w:bookmarkStart w:id="143" w:name="_Toc447450406"/>
      <w:r>
        <w:lastRenderedPageBreak/>
        <w:t>Appendices</w:t>
      </w:r>
      <w:bookmarkEnd w:id="142"/>
      <w:bookmarkEnd w:id="143"/>
    </w:p>
    <w:p w14:paraId="411A47DE" w14:textId="77777777" w:rsidR="00BC25FA" w:rsidRPr="0025513F" w:rsidRDefault="00BD7DD6" w:rsidP="0025513F">
      <w:pPr>
        <w:pStyle w:val="Heading3"/>
        <w:numPr>
          <w:ilvl w:val="1"/>
          <w:numId w:val="43"/>
        </w:numPr>
        <w:ind w:left="432"/>
      </w:pPr>
      <w:bookmarkStart w:id="144" w:name="_Toc447036105"/>
      <w:bookmarkStart w:id="145" w:name="_Toc447036207"/>
      <w:bookmarkStart w:id="146" w:name="_Toc447056846"/>
      <w:bookmarkStart w:id="147" w:name="_Toc447198716"/>
      <w:bookmarkStart w:id="148" w:name="_Toc447447103"/>
      <w:bookmarkStart w:id="149" w:name="_Toc447450407"/>
      <w:r>
        <w:t xml:space="preserve">Appendix A: </w:t>
      </w:r>
      <w:r w:rsidR="00BC25FA">
        <w:t>SDA Pricing and Payments Framework</w:t>
      </w:r>
      <w:bookmarkEnd w:id="144"/>
      <w:bookmarkEnd w:id="145"/>
      <w:bookmarkEnd w:id="146"/>
      <w:bookmarkEnd w:id="147"/>
      <w:bookmarkEnd w:id="148"/>
      <w:bookmarkEnd w:id="149"/>
    </w:p>
    <w:sdt>
      <w:sdtPr>
        <w:rPr>
          <w:rFonts w:asciiTheme="minorHAnsi" w:eastAsiaTheme="minorHAnsi" w:hAnsiTheme="minorHAnsi" w:cs="Times New Roman"/>
          <w:i/>
          <w:sz w:val="20"/>
          <w:szCs w:val="22"/>
          <w:lang w:val="en-AU" w:eastAsia="en-US"/>
        </w:rPr>
        <w:id w:val="-562330657"/>
        <w:docPartObj>
          <w:docPartGallery w:val="Table of Contents"/>
          <w:docPartUnique/>
        </w:docPartObj>
      </w:sdtPr>
      <w:sdtEndPr>
        <w:rPr>
          <w:rFonts w:eastAsia="Times New Roman" w:cs="Arial"/>
          <w:i w:val="0"/>
          <w:noProof/>
          <w:lang w:eastAsia="en-AU"/>
        </w:rPr>
      </w:sdtEndPr>
      <w:sdtContent>
        <w:p w14:paraId="411A47DF" w14:textId="77777777" w:rsidR="00BC25FA" w:rsidRPr="00BC25FA" w:rsidRDefault="00BC25FA" w:rsidP="00BC25FA">
          <w:pPr>
            <w:spacing w:after="0" w:line="240" w:lineRule="auto"/>
            <w:rPr>
              <w:rFonts w:asciiTheme="minorHAnsi" w:eastAsiaTheme="minorHAnsi" w:hAnsiTheme="minorHAnsi" w:cs="Times New Roman"/>
              <w:i/>
              <w:sz w:val="20"/>
              <w:szCs w:val="22"/>
              <w:lang w:val="en-AU" w:eastAsia="en-US"/>
            </w:rPr>
          </w:pPr>
          <w:r w:rsidRPr="00BC25FA">
            <w:rPr>
              <w:rFonts w:asciiTheme="minorHAnsi" w:eastAsiaTheme="minorHAnsi" w:hAnsiTheme="minorHAnsi" w:cs="Times New Roman"/>
              <w:i/>
              <w:sz w:val="20"/>
              <w:szCs w:val="22"/>
              <w:lang w:val="en-AU" w:eastAsia="en-US"/>
            </w:rPr>
            <w:t>Contents</w:t>
          </w:r>
        </w:p>
        <w:p w14:paraId="411A47E0" w14:textId="77777777" w:rsidR="00BC25FA" w:rsidRPr="00BC25FA" w:rsidRDefault="00BC25FA" w:rsidP="00BC25FA">
          <w:pPr>
            <w:tabs>
              <w:tab w:val="right" w:leader="dot" w:pos="9016"/>
            </w:tabs>
            <w:spacing w:after="100" w:line="240" w:lineRule="auto"/>
            <w:rPr>
              <w:rFonts w:asciiTheme="minorHAnsi" w:hAnsiTheme="minorHAnsi"/>
              <w:noProof/>
              <w:sz w:val="20"/>
              <w:szCs w:val="22"/>
              <w:lang w:val="en-AU" w:eastAsia="en-AU"/>
            </w:rPr>
          </w:pPr>
          <w:r w:rsidRPr="00BC25FA">
            <w:rPr>
              <w:rFonts w:asciiTheme="minorHAnsi" w:eastAsia="Times New Roman" w:hAnsiTheme="minorHAnsi" w:cs="Arial"/>
              <w:sz w:val="20"/>
              <w:szCs w:val="22"/>
              <w:lang w:val="en-AU" w:eastAsia="en-AU"/>
            </w:rPr>
            <w:fldChar w:fldCharType="begin"/>
          </w:r>
          <w:r w:rsidRPr="00BC25FA">
            <w:rPr>
              <w:rFonts w:asciiTheme="minorHAnsi" w:eastAsia="Times New Roman" w:hAnsiTheme="minorHAnsi" w:cs="Arial"/>
              <w:sz w:val="20"/>
              <w:szCs w:val="22"/>
              <w:lang w:val="en-AU" w:eastAsia="en-AU"/>
            </w:rPr>
            <w:instrText xml:space="preserve"> TOC \o "1-3" \h \z \u </w:instrText>
          </w:r>
          <w:r w:rsidRPr="00BC25FA">
            <w:rPr>
              <w:rFonts w:asciiTheme="minorHAnsi" w:eastAsia="Times New Roman" w:hAnsiTheme="minorHAnsi" w:cs="Arial"/>
              <w:sz w:val="20"/>
              <w:szCs w:val="22"/>
              <w:lang w:val="en-AU" w:eastAsia="en-AU"/>
            </w:rPr>
            <w:fldChar w:fldCharType="separate"/>
          </w:r>
          <w:hyperlink w:anchor="_Toc430012056" w:history="1">
            <w:r w:rsidRPr="00BC25FA">
              <w:rPr>
                <w:rFonts w:asciiTheme="minorHAnsi" w:eastAsiaTheme="majorEastAsia" w:hAnsiTheme="minorHAnsi" w:cs="Arial"/>
                <w:noProof/>
                <w:color w:val="0000FF" w:themeColor="hyperlink"/>
                <w:sz w:val="20"/>
                <w:szCs w:val="22"/>
                <w:u w:val="single"/>
                <w:lang w:val="en-AU" w:eastAsia="en-US"/>
              </w:rPr>
              <w:t xml:space="preserve">Part 1 – </w:t>
            </w:r>
            <w:r w:rsidRPr="00BC25FA">
              <w:rPr>
                <w:rFonts w:asciiTheme="minorHAnsi" w:eastAsiaTheme="majorEastAsia" w:hAnsiTheme="minorHAnsi" w:cs="Arial"/>
                <w:noProof/>
                <w:color w:val="0000FF" w:themeColor="hyperlink"/>
                <w:sz w:val="20"/>
                <w:szCs w:val="22"/>
                <w:u w:val="single"/>
                <w:lang w:val="en-AU" w:eastAsia="en-AU"/>
              </w:rPr>
              <w:t>Preliminaries</w:t>
            </w:r>
            <w:r w:rsidRPr="00BC25FA">
              <w:rPr>
                <w:rFonts w:asciiTheme="minorHAnsi" w:eastAsia="Times New Roman" w:hAnsiTheme="minorHAnsi" w:cs="Times New Roman"/>
                <w:noProof/>
                <w:webHidden/>
                <w:sz w:val="20"/>
                <w:szCs w:val="22"/>
                <w:lang w:val="en-AU" w:eastAsia="en-AU"/>
              </w:rPr>
              <w:tab/>
            </w:r>
            <w:r w:rsidRPr="00BC25FA">
              <w:rPr>
                <w:rFonts w:asciiTheme="minorHAnsi" w:eastAsia="Times New Roman" w:hAnsiTheme="minorHAnsi" w:cs="Times New Roman"/>
                <w:noProof/>
                <w:webHidden/>
                <w:sz w:val="20"/>
                <w:szCs w:val="22"/>
                <w:lang w:val="en-AU" w:eastAsia="en-AU"/>
              </w:rPr>
              <w:fldChar w:fldCharType="begin"/>
            </w:r>
            <w:r w:rsidRPr="00BC25FA">
              <w:rPr>
                <w:rFonts w:asciiTheme="minorHAnsi" w:eastAsia="Times New Roman" w:hAnsiTheme="minorHAnsi" w:cs="Times New Roman"/>
                <w:noProof/>
                <w:webHidden/>
                <w:sz w:val="20"/>
                <w:szCs w:val="22"/>
                <w:lang w:val="en-AU" w:eastAsia="en-AU"/>
              </w:rPr>
              <w:instrText xml:space="preserve"> PAGEREF _Toc430012056 \h </w:instrText>
            </w:r>
            <w:r w:rsidRPr="00BC25FA">
              <w:rPr>
                <w:rFonts w:asciiTheme="minorHAnsi" w:eastAsia="Times New Roman" w:hAnsiTheme="minorHAnsi" w:cs="Times New Roman"/>
                <w:noProof/>
                <w:webHidden/>
                <w:sz w:val="20"/>
                <w:szCs w:val="22"/>
                <w:lang w:val="en-AU" w:eastAsia="en-AU"/>
              </w:rPr>
            </w:r>
            <w:r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Pr="00BC25FA">
              <w:rPr>
                <w:rFonts w:asciiTheme="minorHAnsi" w:eastAsia="Times New Roman" w:hAnsiTheme="minorHAnsi" w:cs="Times New Roman"/>
                <w:noProof/>
                <w:webHidden/>
                <w:sz w:val="20"/>
                <w:szCs w:val="22"/>
                <w:lang w:val="en-AU" w:eastAsia="en-AU"/>
              </w:rPr>
              <w:fldChar w:fldCharType="end"/>
            </w:r>
          </w:hyperlink>
        </w:p>
        <w:p w14:paraId="411A47E1"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7" w:history="1">
            <w:r w:rsidR="00BC25FA" w:rsidRPr="00BC25FA">
              <w:rPr>
                <w:rFonts w:asciiTheme="minorHAnsi" w:eastAsiaTheme="majorEastAsia" w:hAnsiTheme="minorHAnsi" w:cs="Arial"/>
                <w:noProof/>
                <w:color w:val="0000FF" w:themeColor="hyperlink"/>
                <w:sz w:val="20"/>
                <w:szCs w:val="22"/>
                <w:u w:val="single"/>
                <w:lang w:val="en-AU" w:eastAsia="en-US"/>
              </w:rPr>
              <w:t>Purpose of this paper</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2"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8" w:history="1">
            <w:r w:rsidR="00BC25FA" w:rsidRPr="00BC25FA">
              <w:rPr>
                <w:rFonts w:asciiTheme="minorHAnsi" w:eastAsiaTheme="majorEastAsia" w:hAnsiTheme="minorHAnsi" w:cs="Arial"/>
                <w:noProof/>
                <w:color w:val="0000FF" w:themeColor="hyperlink"/>
                <w:sz w:val="20"/>
                <w:szCs w:val="22"/>
                <w:u w:val="single"/>
                <w:lang w:val="en-AU" w:eastAsia="en-US"/>
              </w:rPr>
              <w:t>The vision for specialist disability accommodation under the NDIS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3"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9" w:history="1">
            <w:r w:rsidR="00BC25FA" w:rsidRPr="00BC25FA">
              <w:rPr>
                <w:rFonts w:asciiTheme="minorHAnsi" w:eastAsiaTheme="majorEastAsia" w:hAnsiTheme="minorHAnsi" w:cs="Arial"/>
                <w:noProof/>
                <w:color w:val="0000FF" w:themeColor="hyperlink"/>
                <w:sz w:val="20"/>
                <w:szCs w:val="22"/>
                <w:u w:val="single"/>
                <w:lang w:val="en-AU" w:eastAsia="en-US"/>
              </w:rPr>
              <w:t>Operating context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4"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60" w:history="1">
            <w:r w:rsidR="00BC25FA" w:rsidRPr="00BC25FA">
              <w:rPr>
                <w:rFonts w:asciiTheme="minorHAnsi" w:eastAsiaTheme="majorEastAsia" w:hAnsiTheme="minorHAnsi" w:cs="Arial"/>
                <w:noProof/>
                <w:color w:val="0000FF" w:themeColor="hyperlink"/>
                <w:sz w:val="20"/>
                <w:szCs w:val="22"/>
                <w:u w:val="single"/>
                <w:lang w:val="en-AU" w:eastAsia="en-US"/>
              </w:rPr>
              <w:t>Part 2 –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5"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Policy intent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6"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Establishing and publishing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7"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The form of the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8"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4"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Consumption costs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9"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Opportunity costs of capital</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A"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Costs of ownership</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B"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Land price inflation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C"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8"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Resident rent contributions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D"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9"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Treatment of publicly owned land in setting the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37</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E"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0"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Other price setting considerations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38</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F"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Payment arrangements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39</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0"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Payment of the consumption costs component of the benchmark price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39</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1"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Agency has the capacity to pay more in exceptional circumstances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2"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74" w:history="1">
            <w:r w:rsidR="00BC25FA" w:rsidRPr="00BC25FA">
              <w:rPr>
                <w:rFonts w:asciiTheme="minorHAnsi" w:eastAsiaTheme="majorEastAsia" w:hAnsiTheme="minorHAnsi" w:cs="Arial"/>
                <w:noProof/>
                <w:color w:val="0000FF" w:themeColor="hyperlink"/>
                <w:sz w:val="20"/>
                <w:szCs w:val="22"/>
                <w:u w:val="single"/>
                <w:lang w:val="en-AU" w:eastAsia="en-US"/>
              </w:rPr>
              <w:t>Part 3 – For whom in what circumstances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3"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for whom specialist disability accommodation is reasonable and necessary</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4"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who require a specialist built-form</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41</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5"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with high support needs that can only be met cost effectively by specialist disability accommodation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41</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6"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78"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 4 – Registration, approved dwellings, security of tenure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7"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9"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A modified market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8"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0"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Registration of approved dwellings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9"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Further Work</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A"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8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 5 – Miscellaneous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B"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Flexibility</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C"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4"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Transition of residents in supported accommodation and aged residential care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D"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Notification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E"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Reviewing this Framework and establishing the subsequent Framework</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F"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Western Australia</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800" w14:textId="77777777" w:rsidR="00BC25FA" w:rsidRPr="00BC25FA" w:rsidRDefault="00BC25FA" w:rsidP="00BC25FA">
          <w:pPr>
            <w:spacing w:after="0" w:line="240" w:lineRule="auto"/>
            <w:rPr>
              <w:rFonts w:asciiTheme="minorHAnsi" w:eastAsia="Times New Roman" w:hAnsiTheme="minorHAnsi" w:cs="Arial"/>
              <w:noProof/>
              <w:sz w:val="20"/>
              <w:szCs w:val="22"/>
              <w:lang w:val="en-AU" w:eastAsia="en-AU"/>
            </w:rPr>
          </w:pPr>
          <w:r w:rsidRPr="00BC25FA">
            <w:rPr>
              <w:rFonts w:asciiTheme="minorHAnsi" w:eastAsia="Times New Roman" w:hAnsiTheme="minorHAnsi" w:cs="Arial"/>
              <w:b/>
              <w:bCs/>
              <w:noProof/>
              <w:sz w:val="20"/>
              <w:szCs w:val="22"/>
              <w:lang w:val="en-AU" w:eastAsia="en-AU"/>
            </w:rPr>
            <w:fldChar w:fldCharType="end"/>
          </w:r>
        </w:p>
      </w:sdtContent>
    </w:sdt>
    <w:p w14:paraId="411A4801" w14:textId="77777777" w:rsidR="001D0000" w:rsidRDefault="001D0000" w:rsidP="00BC25FA">
      <w:pPr>
        <w:tabs>
          <w:tab w:val="left" w:pos="6360"/>
        </w:tabs>
        <w:spacing w:after="0" w:line="240" w:lineRule="auto"/>
        <w:jc w:val="center"/>
        <w:rPr>
          <w:rFonts w:asciiTheme="minorHAnsi" w:eastAsia="Times New Roman" w:hAnsiTheme="minorHAnsi" w:cs="Arial"/>
          <w:b/>
          <w:sz w:val="24"/>
          <w:szCs w:val="32"/>
          <w:lang w:val="en-AU" w:eastAsia="en-US"/>
        </w:rPr>
      </w:pPr>
      <w:r>
        <w:rPr>
          <w:rFonts w:asciiTheme="minorHAnsi" w:eastAsia="Times New Roman" w:hAnsiTheme="minorHAnsi" w:cs="Arial"/>
          <w:b/>
          <w:sz w:val="24"/>
          <w:szCs w:val="32"/>
          <w:lang w:val="en-AU" w:eastAsia="en-US"/>
        </w:rPr>
        <w:br w:type="page"/>
      </w:r>
    </w:p>
    <w:p w14:paraId="411A4802" w14:textId="77777777" w:rsidR="00BC25FA" w:rsidRPr="00BC25FA" w:rsidRDefault="00BC25FA" w:rsidP="00BC25FA">
      <w:pPr>
        <w:tabs>
          <w:tab w:val="left" w:pos="6360"/>
        </w:tabs>
        <w:spacing w:after="0" w:line="240" w:lineRule="auto"/>
        <w:jc w:val="center"/>
        <w:rPr>
          <w:rFonts w:asciiTheme="minorHAnsi" w:eastAsia="Times New Roman" w:hAnsiTheme="minorHAnsi" w:cs="Arial"/>
          <w:b/>
          <w:sz w:val="24"/>
          <w:szCs w:val="32"/>
          <w:lang w:val="en-AU" w:eastAsia="en-US"/>
        </w:rPr>
      </w:pPr>
      <w:r w:rsidRPr="00BC25FA">
        <w:rPr>
          <w:rFonts w:asciiTheme="minorHAnsi" w:eastAsia="Times New Roman" w:hAnsiTheme="minorHAnsi" w:cs="Arial"/>
          <w:b/>
          <w:sz w:val="24"/>
          <w:szCs w:val="32"/>
          <w:lang w:val="en-AU" w:eastAsia="en-US"/>
        </w:rPr>
        <w:lastRenderedPageBreak/>
        <w:t>Specialist Disability Accommodation</w:t>
      </w:r>
    </w:p>
    <w:p w14:paraId="411A4803" w14:textId="77777777" w:rsidR="00BC25FA" w:rsidRPr="00BC25FA" w:rsidRDefault="00BC25FA" w:rsidP="00BC25FA">
      <w:pPr>
        <w:tabs>
          <w:tab w:val="left" w:pos="6360"/>
        </w:tabs>
        <w:spacing w:after="0" w:line="240" w:lineRule="auto"/>
        <w:jc w:val="center"/>
        <w:rPr>
          <w:rFonts w:asciiTheme="minorHAnsi" w:eastAsia="Times New Roman" w:hAnsiTheme="minorHAnsi" w:cs="Arial"/>
          <w:b/>
          <w:sz w:val="24"/>
          <w:szCs w:val="32"/>
          <w:lang w:val="en-AU" w:eastAsia="en-US"/>
        </w:rPr>
      </w:pPr>
      <w:r w:rsidRPr="00BC25FA">
        <w:rPr>
          <w:rFonts w:asciiTheme="minorHAnsi" w:eastAsia="Times New Roman" w:hAnsiTheme="minorHAnsi" w:cs="Arial"/>
          <w:b/>
          <w:sz w:val="24"/>
          <w:szCs w:val="32"/>
          <w:lang w:val="en-AU" w:eastAsia="en-US"/>
        </w:rPr>
        <w:t>Pricing and Payments Framework</w:t>
      </w:r>
    </w:p>
    <w:p w14:paraId="411A4804"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150" w:name="_Toc429404557"/>
      <w:bookmarkStart w:id="151" w:name="_Toc430012056"/>
      <w:bookmarkStart w:id="152" w:name="_Toc447030047"/>
      <w:bookmarkStart w:id="153" w:name="_Toc447035999"/>
      <w:bookmarkStart w:id="154" w:name="_Toc447036106"/>
      <w:bookmarkStart w:id="155" w:name="_Toc447036208"/>
      <w:bookmarkStart w:id="156" w:name="_Toc447056847"/>
      <w:bookmarkStart w:id="157" w:name="_Toc447198717"/>
      <w:bookmarkStart w:id="158" w:name="_Toc447225460"/>
      <w:bookmarkStart w:id="159" w:name="_Toc447447104"/>
      <w:bookmarkStart w:id="160" w:name="_Toc447448863"/>
      <w:bookmarkStart w:id="161" w:name="_Toc447450161"/>
      <w:bookmarkStart w:id="162" w:name="_Toc447450408"/>
      <w:r w:rsidRPr="00BC25FA">
        <w:rPr>
          <w:rFonts w:asciiTheme="minorHAnsi" w:eastAsiaTheme="majorEastAsia" w:hAnsiTheme="minorHAnsi" w:cs="Arial"/>
          <w:b/>
          <w:bCs/>
          <w:sz w:val="24"/>
          <w:szCs w:val="28"/>
          <w:lang w:val="en-AU" w:eastAsia="en-US"/>
        </w:rPr>
        <w:t xml:space="preserve">Part 1 – </w:t>
      </w:r>
      <w:r w:rsidRPr="00BC25FA">
        <w:rPr>
          <w:rFonts w:asciiTheme="minorHAnsi" w:eastAsiaTheme="majorEastAsia" w:hAnsiTheme="minorHAnsi" w:cs="Arial"/>
          <w:b/>
          <w:bCs/>
          <w:sz w:val="24"/>
          <w:szCs w:val="28"/>
          <w:lang w:val="en-AU" w:eastAsia="en-AU"/>
        </w:rPr>
        <w:t>Preliminaries</w:t>
      </w:r>
      <w:bookmarkEnd w:id="150"/>
      <w:bookmarkEnd w:id="151"/>
      <w:bookmarkEnd w:id="152"/>
      <w:bookmarkEnd w:id="153"/>
      <w:bookmarkEnd w:id="154"/>
      <w:bookmarkEnd w:id="155"/>
      <w:bookmarkEnd w:id="156"/>
      <w:bookmarkEnd w:id="157"/>
      <w:bookmarkEnd w:id="158"/>
      <w:bookmarkEnd w:id="159"/>
      <w:bookmarkEnd w:id="160"/>
      <w:bookmarkEnd w:id="161"/>
      <w:bookmarkEnd w:id="162"/>
    </w:p>
    <w:p w14:paraId="411A4805"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163" w:name="_Toc429404558"/>
      <w:bookmarkStart w:id="164" w:name="_Toc430012057"/>
      <w:bookmarkStart w:id="165" w:name="_Toc447030048"/>
      <w:bookmarkStart w:id="166" w:name="_Toc447036000"/>
      <w:bookmarkStart w:id="167" w:name="_Toc447036107"/>
      <w:bookmarkStart w:id="168" w:name="_Toc447036209"/>
      <w:bookmarkStart w:id="169" w:name="_Toc447056848"/>
      <w:bookmarkStart w:id="170" w:name="_Toc447198718"/>
      <w:bookmarkStart w:id="171" w:name="_Toc447225461"/>
      <w:bookmarkStart w:id="172" w:name="_Toc447447105"/>
      <w:bookmarkStart w:id="173" w:name="_Toc447448864"/>
      <w:bookmarkStart w:id="174" w:name="_Toc447450162"/>
      <w:bookmarkStart w:id="175" w:name="_Toc447450409"/>
      <w:r w:rsidRPr="00BC25FA">
        <w:rPr>
          <w:rFonts w:asciiTheme="minorHAnsi" w:eastAsiaTheme="majorEastAsia" w:hAnsiTheme="minorHAnsi" w:cs="Arial"/>
          <w:b/>
          <w:bCs/>
          <w:szCs w:val="26"/>
          <w:lang w:val="en-AU" w:eastAsia="en-US"/>
        </w:rPr>
        <w:t>Purpose of this paper</w:t>
      </w:r>
      <w:bookmarkEnd w:id="163"/>
      <w:bookmarkEnd w:id="164"/>
      <w:bookmarkEnd w:id="165"/>
      <w:bookmarkEnd w:id="166"/>
      <w:bookmarkEnd w:id="167"/>
      <w:bookmarkEnd w:id="168"/>
      <w:bookmarkEnd w:id="169"/>
      <w:bookmarkEnd w:id="170"/>
      <w:bookmarkEnd w:id="171"/>
      <w:bookmarkEnd w:id="172"/>
      <w:bookmarkEnd w:id="173"/>
      <w:bookmarkEnd w:id="174"/>
      <w:bookmarkEnd w:id="175"/>
    </w:p>
    <w:p w14:paraId="411A480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paper sets out an initial pricing and payments framework for the funding of the land and built elements of specialist disability accommodation under the National Disability Insurance Scheme (NDIS). </w:t>
      </w:r>
    </w:p>
    <w:p w14:paraId="411A4807"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paper is not intended to cover broader aspects of policy in respect of specialist disability accommodation including a charging model of an individual rental contribution and other tenancy arrangements or quality standards relating to the building or asset management by housing providers. </w:t>
      </w:r>
    </w:p>
    <w:p w14:paraId="411A4809"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Nor does the paper cover the support arrangements delivered to participants within specialist disability accommodation. These arrangements are covered through broader policy on individual supports funded through the Scheme.</w:t>
      </w:r>
    </w:p>
    <w:p w14:paraId="411A480B"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pricing and payments Framework (the Framework) will apply for the period 1 July 2016 to 30 June 2021. The framework is designed in the context of the transition into the NDIS of participants receiving, and providers of, specialist disability accommodation. </w:t>
      </w:r>
    </w:p>
    <w:p w14:paraId="411A480D"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Framework recognises there may be uncertainty in the market for specialist disability accommodation as it is initially and progressively established, and as accommodation support services transition from block grant funding into the market.  </w:t>
      </w:r>
    </w:p>
    <w:p w14:paraId="411A480F"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Framework is also intended to ensure there is scope for growth, replacement, change and innovation in the supply of specialist disability accommodation over time.</w:t>
      </w:r>
    </w:p>
    <w:p w14:paraId="411A4811"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future framework will be subject to further work by the Commonwealth, states and territories, and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w:t>
      </w:r>
    </w:p>
    <w:p w14:paraId="411A4813"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1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zCs w:val="26"/>
          <w:lang w:val="en-AU" w:eastAsia="en-US"/>
        </w:rPr>
      </w:pPr>
      <w:bookmarkStart w:id="176" w:name="_Toc428792226"/>
      <w:bookmarkStart w:id="177" w:name="_Toc429404559"/>
      <w:bookmarkStart w:id="178" w:name="_Toc430012058"/>
      <w:bookmarkStart w:id="179" w:name="_Toc447030049"/>
      <w:bookmarkStart w:id="180" w:name="_Toc447036001"/>
      <w:bookmarkStart w:id="181" w:name="_Toc447036108"/>
      <w:bookmarkStart w:id="182" w:name="_Toc447036210"/>
      <w:bookmarkStart w:id="183" w:name="_Toc447056849"/>
      <w:bookmarkStart w:id="184" w:name="_Toc447198719"/>
      <w:bookmarkStart w:id="185" w:name="_Toc447225462"/>
      <w:bookmarkStart w:id="186" w:name="_Toc447447106"/>
      <w:bookmarkStart w:id="187" w:name="_Toc447448865"/>
      <w:bookmarkStart w:id="188" w:name="_Toc447450163"/>
      <w:bookmarkStart w:id="189" w:name="_Toc447450410"/>
      <w:r w:rsidRPr="00BC25FA">
        <w:rPr>
          <w:rFonts w:asciiTheme="minorHAnsi" w:eastAsiaTheme="majorEastAsia" w:hAnsiTheme="minorHAnsi" w:cs="Arial"/>
          <w:b/>
          <w:bCs/>
          <w:szCs w:val="26"/>
          <w:lang w:val="en-AU" w:eastAsia="en-US"/>
        </w:rPr>
        <w:t>The vision for specialist disability accommodation under the NDIS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11A4815"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NDIS will support the availability of specialist disability accommodation for participants who are assessed as requiring such specialist accommodation. </w:t>
      </w:r>
    </w:p>
    <w:p w14:paraId="411A4816"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7"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NDIS will support a sustainable specialist disability accommodation market that fosters choice and control, encourages innovation, provides options for participants, continuity of supply and financial sustainability for governments, participants and providers.</w:t>
      </w:r>
    </w:p>
    <w:p w14:paraId="411A4818"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9"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framework is designed to give effect to the objects of the NDIS Act 2013, in particular, to promote the provision of high quality and innovative supports that enable people with disability to maximise independent lifestyles and full inclusion in the community.</w:t>
      </w:r>
    </w:p>
    <w:p w14:paraId="411A481A"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B"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Framework will play a key role in moving, over time, towards a market that achieves this vision. </w:t>
      </w:r>
    </w:p>
    <w:p w14:paraId="411A481C" w14:textId="77777777" w:rsidR="00BC25FA" w:rsidRPr="00BC25FA" w:rsidRDefault="00BC25FA" w:rsidP="00BC25FA">
      <w:pPr>
        <w:spacing w:after="0" w:line="240" w:lineRule="auto"/>
        <w:ind w:left="360"/>
        <w:rPr>
          <w:rFonts w:asciiTheme="minorHAnsi" w:eastAsia="Times New Roman" w:hAnsiTheme="minorHAnsi" w:cs="Times New Roman"/>
          <w:snapToGrid w:val="0"/>
          <w:lang w:val="en-AU" w:eastAsia="en-AU"/>
        </w:rPr>
      </w:pPr>
    </w:p>
    <w:p w14:paraId="411A481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zCs w:val="26"/>
          <w:lang w:val="en-AU" w:eastAsia="en-US"/>
        </w:rPr>
      </w:pPr>
      <w:bookmarkStart w:id="190" w:name="_Toc429404560"/>
      <w:bookmarkStart w:id="191" w:name="_Toc430012059"/>
      <w:bookmarkStart w:id="192" w:name="_Toc447030050"/>
      <w:bookmarkStart w:id="193" w:name="_Toc447036002"/>
      <w:bookmarkStart w:id="194" w:name="_Toc447036109"/>
      <w:bookmarkStart w:id="195" w:name="_Toc447036211"/>
      <w:bookmarkStart w:id="196" w:name="_Toc447056850"/>
      <w:bookmarkStart w:id="197" w:name="_Toc447198720"/>
      <w:bookmarkStart w:id="198" w:name="_Toc447225463"/>
      <w:bookmarkStart w:id="199" w:name="_Toc447447107"/>
      <w:bookmarkStart w:id="200" w:name="_Toc447448866"/>
      <w:bookmarkStart w:id="201" w:name="_Toc447450164"/>
      <w:bookmarkStart w:id="202" w:name="_Toc447450411"/>
      <w:r w:rsidRPr="00BC25FA">
        <w:rPr>
          <w:rFonts w:asciiTheme="minorHAnsi" w:eastAsiaTheme="majorEastAsia" w:hAnsiTheme="minorHAnsi" w:cs="Arial"/>
          <w:b/>
          <w:bCs/>
          <w:szCs w:val="26"/>
          <w:lang w:val="en-AU" w:eastAsia="en-US"/>
        </w:rPr>
        <w:t>Operating context</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411A481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NDIS funding for specialist disability accommodation is attached to participants and it is portable. That is, participants will have the ability to move between accommodation providers and their funding will also move. Participants will not be penalised for changes to their accommodation (such </w:t>
      </w:r>
      <w:r w:rsidRPr="00BC25FA">
        <w:rPr>
          <w:rFonts w:asciiTheme="minorHAnsi" w:eastAsia="Times New Roman" w:hAnsiTheme="minorHAnsi" w:cs="Times New Roman"/>
          <w:snapToGrid w:val="0"/>
          <w:lang w:val="en-AU" w:eastAsia="en-AU"/>
        </w:rPr>
        <w:lastRenderedPageBreak/>
        <w:t xml:space="preserve">as provider, location and/or configuration). However, their accommodation choices will be constrained by market supply and an assessment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of their reasonable and necessary needs. There may be adjustments to participants’ funding as a result of their choices due to the factors/weightings outlined in this Framework. </w:t>
      </w:r>
    </w:p>
    <w:p w14:paraId="411A481F"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While funding is attached to a participant, it may be paid directly to providers.</w:t>
      </w:r>
    </w:p>
    <w:p w14:paraId="411A4821"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funding provided by the NDIS for specialist disability accommodation will not be on an individual dwelling or provider basis. It will be on the basis of an efficient cost structure for a representative provider (noting there may be different classes of accommodation and weightings/factors applied as outlined in this Framework). When combined with resident contributions and land price inflation, the NDIS funding should be sufficient to cover the efficient cost of providing accommodation over its full lifecycle (that is, establishing, operating and replacing the accommodation), and therefore should allow  providers to attain finance (debt and equity) in the private market to meet these lifecycle costs. </w:t>
      </w:r>
    </w:p>
    <w:p w14:paraId="411A4823"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It is also recognised that the elements of the Framework need to work together.  The capacity for providers to access and utilise the value captured in land price inflation may be limited in some circumstances. It is recognised that variables considered when determining the benchmark price will need to be balanced to ensure the funding is on an efficient and sustainable, basis.</w:t>
      </w:r>
    </w:p>
    <w:p w14:paraId="411A482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26"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203" w:name="_Toc429404561"/>
      <w:bookmarkStart w:id="204" w:name="_Toc430012060"/>
      <w:bookmarkStart w:id="205" w:name="_Toc447030051"/>
      <w:bookmarkStart w:id="206" w:name="_Toc447036003"/>
      <w:bookmarkStart w:id="207" w:name="_Toc447036110"/>
      <w:bookmarkStart w:id="208" w:name="_Toc447036212"/>
      <w:bookmarkStart w:id="209" w:name="_Toc447056851"/>
      <w:bookmarkStart w:id="210" w:name="_Toc447198721"/>
      <w:bookmarkStart w:id="211" w:name="_Toc447225464"/>
      <w:bookmarkStart w:id="212" w:name="_Toc447447108"/>
      <w:bookmarkStart w:id="213" w:name="_Toc447448867"/>
      <w:bookmarkStart w:id="214" w:name="_Toc447450165"/>
      <w:bookmarkStart w:id="215" w:name="_Toc447450412"/>
      <w:r w:rsidRPr="00BC25FA">
        <w:rPr>
          <w:rFonts w:asciiTheme="minorHAnsi" w:eastAsiaTheme="majorEastAsia" w:hAnsiTheme="minorHAnsi" w:cs="Arial"/>
          <w:b/>
          <w:bCs/>
          <w:sz w:val="24"/>
          <w:szCs w:val="28"/>
          <w:lang w:val="en-AU" w:eastAsia="en-US"/>
        </w:rPr>
        <w:t>Part 2 – Benchmark prices</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411A4827"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16" w:name="_Toc429404562"/>
      <w:bookmarkStart w:id="217" w:name="_Toc430012061"/>
      <w:bookmarkStart w:id="218" w:name="_Toc447030052"/>
      <w:bookmarkStart w:id="219" w:name="_Toc447036004"/>
      <w:bookmarkStart w:id="220" w:name="_Toc447036111"/>
      <w:bookmarkStart w:id="221" w:name="_Toc447036213"/>
      <w:bookmarkStart w:id="222" w:name="_Toc447056852"/>
      <w:bookmarkStart w:id="223" w:name="_Toc447198722"/>
      <w:bookmarkStart w:id="224" w:name="_Toc447225465"/>
      <w:bookmarkStart w:id="225" w:name="_Toc447447109"/>
      <w:bookmarkStart w:id="226" w:name="_Toc447448868"/>
      <w:bookmarkStart w:id="227" w:name="_Toc447450166"/>
      <w:bookmarkStart w:id="228" w:name="_Toc447450413"/>
      <w:r w:rsidRPr="00BC25FA">
        <w:rPr>
          <w:rFonts w:asciiTheme="minorHAnsi" w:eastAsiaTheme="majorEastAsia" w:hAnsiTheme="minorHAnsi" w:cs="Arial"/>
          <w:b/>
          <w:bCs/>
          <w:snapToGrid w:val="0"/>
          <w:szCs w:val="26"/>
          <w:lang w:val="en-AU" w:eastAsia="en-AU"/>
        </w:rPr>
        <w:t>Policy intent</w:t>
      </w:r>
      <w:bookmarkEnd w:id="216"/>
      <w:bookmarkEnd w:id="217"/>
      <w:bookmarkEnd w:id="218"/>
      <w:bookmarkEnd w:id="219"/>
      <w:bookmarkEnd w:id="220"/>
      <w:bookmarkEnd w:id="221"/>
      <w:bookmarkEnd w:id="222"/>
      <w:bookmarkEnd w:id="223"/>
      <w:bookmarkEnd w:id="224"/>
      <w:bookmarkEnd w:id="225"/>
      <w:bookmarkEnd w:id="226"/>
      <w:bookmarkEnd w:id="227"/>
      <w:bookmarkEnd w:id="228"/>
      <w:r w:rsidRPr="00BC25FA">
        <w:rPr>
          <w:rFonts w:asciiTheme="minorHAnsi" w:eastAsiaTheme="majorEastAsia" w:hAnsiTheme="minorHAnsi" w:cs="Arial"/>
          <w:b/>
          <w:bCs/>
          <w:snapToGrid w:val="0"/>
          <w:szCs w:val="26"/>
          <w:lang w:val="en-AU" w:eastAsia="en-AU"/>
        </w:rPr>
        <w:t xml:space="preserve"> </w:t>
      </w:r>
    </w:p>
    <w:p w14:paraId="411A482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set funding amounts for specialist disability accommodation at a level sufficient to cover the full lifecycle costs of appropriate accommodation, after accounting for a reasonable rent contribution from the participant and land price inflation.</w:t>
      </w:r>
    </w:p>
    <w:p w14:paraId="411A4829"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2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pricing and payment arrangements adopted by the Agency should provide certainty on the payment amount and the period for which this is specified, such that a specialist disability accommodation provider could raise finance for the development and/or redevelopment of appropriate dwelling stock. </w:t>
      </w:r>
    </w:p>
    <w:p w14:paraId="411A482B" w14:textId="77777777" w:rsidR="00BC25FA" w:rsidRPr="00BC25FA" w:rsidRDefault="00BC25FA" w:rsidP="00BC25FA">
      <w:pPr>
        <w:spacing w:after="0" w:line="240" w:lineRule="auto"/>
        <w:rPr>
          <w:rFonts w:asciiTheme="minorHAnsi" w:eastAsia="Times New Roman" w:hAnsiTheme="minorHAnsi" w:cs="Arial"/>
          <w:snapToGrid w:val="0"/>
          <w:lang w:val="en-AU" w:eastAsia="en-AU"/>
        </w:rPr>
      </w:pPr>
    </w:p>
    <w:p w14:paraId="411A482C"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29" w:name="_Toc429404563"/>
      <w:bookmarkStart w:id="230" w:name="_Toc430012062"/>
      <w:bookmarkStart w:id="231" w:name="_Toc447030053"/>
      <w:bookmarkStart w:id="232" w:name="_Toc447036005"/>
      <w:bookmarkStart w:id="233" w:name="_Toc447036112"/>
      <w:bookmarkStart w:id="234" w:name="_Toc447036214"/>
      <w:bookmarkStart w:id="235" w:name="_Toc447056853"/>
      <w:bookmarkStart w:id="236" w:name="_Toc447198723"/>
      <w:bookmarkStart w:id="237" w:name="_Toc447225466"/>
      <w:bookmarkStart w:id="238" w:name="_Toc447447110"/>
      <w:bookmarkStart w:id="239" w:name="_Toc447448869"/>
      <w:bookmarkStart w:id="240" w:name="_Toc447450167"/>
      <w:bookmarkStart w:id="241" w:name="_Toc447450414"/>
      <w:r w:rsidRPr="00BC25FA">
        <w:rPr>
          <w:rFonts w:asciiTheme="minorHAnsi" w:eastAsiaTheme="majorEastAsia" w:hAnsiTheme="minorHAnsi" w:cs="Arial"/>
          <w:b/>
          <w:bCs/>
          <w:snapToGrid w:val="0"/>
          <w:szCs w:val="26"/>
          <w:lang w:val="en-AU" w:eastAsia="en-AU"/>
        </w:rPr>
        <w:t>Establishing and publishing benchmark prices</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411A482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develop by March 2016, and then review every five years, forecasts of benchmark prices for specialist disability accommodation. Benchmark prices will have effect for five years from their publication and be calculated on the basis of classes of dwellings.</w:t>
      </w:r>
    </w:p>
    <w:p w14:paraId="411A482E"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2F"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When the Agency develops its benchmark prices, it will follow a process where: </w:t>
      </w:r>
    </w:p>
    <w:p w14:paraId="411A4830" w14:textId="43B2C973"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begin by seeking the views of the Commonwealth, State and Territory Governments, on the pricing and payments arrangements for specialist disability accommodation. </w:t>
      </w:r>
    </w:p>
    <w:p w14:paraId="411A4831"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developing its views on the pricing and payments arrangements the Agency should issue discussion papers on the arrangements it might adopt, and consult with current and future residents of specialist disability accommodation, and government and non-government providers of specialist disability accommodation. The consultation process should also seek feedback from other stakeholders including: families, carers, disability interest groups, provider peak bodies, and financiers.</w:t>
      </w:r>
    </w:p>
    <w:p w14:paraId="411A483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develop draft benchmark prices on which it will seek views of residents, providers and other stakeholders as necessary; and make any adjustments it deems necessary, before publishing its final benchmark prices (and any associated weights and factors). </w:t>
      </w:r>
    </w:p>
    <w:p w14:paraId="411A4833"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3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Agency may also specify trigger events that would automatically change the benchmark prices, to account for substantial changes in pricing parameters. Where these are a feature of the benchmark prices regime, they would also be consulted on and published. The agency should set out the process that would apply to these updates.</w:t>
      </w:r>
    </w:p>
    <w:p w14:paraId="411A483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36"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42" w:name="_Toc429404564"/>
      <w:bookmarkStart w:id="243" w:name="_Toc430012063"/>
      <w:bookmarkStart w:id="244" w:name="_Toc447030054"/>
      <w:bookmarkStart w:id="245" w:name="_Toc447036006"/>
      <w:bookmarkStart w:id="246" w:name="_Toc447036113"/>
      <w:bookmarkStart w:id="247" w:name="_Toc447036215"/>
      <w:bookmarkStart w:id="248" w:name="_Toc447056854"/>
      <w:bookmarkStart w:id="249" w:name="_Toc447198724"/>
      <w:bookmarkStart w:id="250" w:name="_Toc447225467"/>
      <w:bookmarkStart w:id="251" w:name="_Toc447447111"/>
      <w:bookmarkStart w:id="252" w:name="_Toc447448870"/>
      <w:bookmarkStart w:id="253" w:name="_Toc447450168"/>
      <w:bookmarkStart w:id="254" w:name="_Toc447450415"/>
      <w:r w:rsidRPr="00BC25FA">
        <w:rPr>
          <w:rFonts w:asciiTheme="minorHAnsi" w:eastAsiaTheme="majorEastAsia" w:hAnsiTheme="minorHAnsi" w:cs="Arial"/>
          <w:b/>
          <w:bCs/>
          <w:snapToGrid w:val="0"/>
          <w:szCs w:val="26"/>
          <w:lang w:val="en-AU" w:eastAsia="en-AU"/>
        </w:rPr>
        <w:t>The form of the benchmark prices</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411A483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Benchmark prices for all specialist disability accommodation will be based on an efficient representative provider, representative configurations of dwelling stock, and will include the following components:</w:t>
      </w:r>
    </w:p>
    <w:p w14:paraId="411A4838"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3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Dwelling price = </w:t>
      </w:r>
    </w:p>
    <w:p w14:paraId="411A483A"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Consumption costs </w:t>
      </w:r>
    </w:p>
    <w:p w14:paraId="411A483B"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Opportunity costs of capital </w:t>
      </w:r>
    </w:p>
    <w:p w14:paraId="411A483C"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Costs of ownership </w:t>
      </w:r>
    </w:p>
    <w:p w14:paraId="411A483D"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Land price inflation  </w:t>
      </w:r>
    </w:p>
    <w:p w14:paraId="411A483E" w14:textId="77777777" w:rsidR="00BC25FA" w:rsidRPr="00BC25FA" w:rsidRDefault="00BC25FA" w:rsidP="00BC25FA">
      <w:pPr>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Resident rent contributions (from all participants in dwelling)</w:t>
      </w:r>
    </w:p>
    <w:p w14:paraId="411A483F"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0"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Benchmark price = Dwelling price / Anticipated number of dwelling residents</w:t>
      </w:r>
    </w:p>
    <w:p w14:paraId="411A4841"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benchmark prices would be expressed as a price per participant.</w:t>
      </w:r>
    </w:p>
    <w:p w14:paraId="411A4843"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4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benchmark prices will have additive and/or multiplicative factors or weights for classes of dwellings (determined by the Agency) that can be applied by the Agency as necessary including for:</w:t>
      </w:r>
    </w:p>
    <w:p w14:paraId="411A484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Geographical location</w:t>
      </w:r>
      <w:r w:rsidRPr="00BC25FA">
        <w:rPr>
          <w:rFonts w:asciiTheme="minorHAnsi" w:eastAsia="Times New Roman" w:hAnsiTheme="minorHAnsi" w:cs="Times New Roman"/>
          <w:vertAlign w:val="superscript"/>
          <w:lang w:val="en-AU" w:eastAsia="en-AU"/>
        </w:rPr>
        <w:footnoteReference w:id="2"/>
      </w:r>
      <w:r w:rsidRPr="00BC25FA">
        <w:rPr>
          <w:rFonts w:asciiTheme="minorHAnsi" w:eastAsia="Times New Roman" w:hAnsiTheme="minorHAnsi" w:cs="Times New Roman"/>
          <w:snapToGrid w:val="0"/>
          <w:lang w:val="en-AU" w:eastAsia="en-AU"/>
        </w:rPr>
        <w:t xml:space="preserve"> (recognising – for example – that land costs, building costs and maintenance costs can be higher or lower in various locations);</w:t>
      </w:r>
    </w:p>
    <w:p w14:paraId="411A484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Number of bedrooms (recognising that the size of a dwelling affects costs);</w:t>
      </w:r>
    </w:p>
    <w:p w14:paraId="411A484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Whether the dwelling is furnished or unfurnished; </w:t>
      </w:r>
    </w:p>
    <w:p w14:paraId="411A484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Specific building/dwelling features requiring additional build costs to address disability requirements; </w:t>
      </w:r>
    </w:p>
    <w:p w14:paraId="411A484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Price inflation in the second and subsequent years of an established benchmark price; and/or</w:t>
      </w:r>
    </w:p>
    <w:p w14:paraId="411A484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other factor the Agency determines to be necessary. </w:t>
      </w:r>
    </w:p>
    <w:p w14:paraId="411A484B"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C"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55" w:name="_Toc429404565"/>
      <w:bookmarkStart w:id="256" w:name="_Toc430012064"/>
      <w:bookmarkStart w:id="257" w:name="_Toc447030055"/>
      <w:bookmarkStart w:id="258" w:name="_Toc447036007"/>
      <w:bookmarkStart w:id="259" w:name="_Toc447036114"/>
      <w:bookmarkStart w:id="260" w:name="_Toc447036216"/>
      <w:bookmarkStart w:id="261" w:name="_Toc447056855"/>
      <w:bookmarkStart w:id="262" w:name="_Toc447198725"/>
      <w:bookmarkStart w:id="263" w:name="_Toc447225468"/>
      <w:bookmarkStart w:id="264" w:name="_Toc447447112"/>
      <w:bookmarkStart w:id="265" w:name="_Toc447448871"/>
      <w:bookmarkStart w:id="266" w:name="_Toc447450169"/>
      <w:bookmarkStart w:id="267" w:name="_Toc447450416"/>
      <w:r w:rsidRPr="00BC25FA">
        <w:rPr>
          <w:rFonts w:asciiTheme="minorHAnsi" w:eastAsiaTheme="majorEastAsia" w:hAnsiTheme="minorHAnsi" w:cs="Arial"/>
          <w:b/>
          <w:bCs/>
          <w:snapToGrid w:val="0"/>
          <w:szCs w:val="26"/>
          <w:lang w:val="en-AU" w:eastAsia="en-AU"/>
        </w:rPr>
        <w:t>Consumption costs</w:t>
      </w:r>
      <w:bookmarkEnd w:id="255"/>
      <w:bookmarkEnd w:id="256"/>
      <w:bookmarkEnd w:id="257"/>
      <w:bookmarkEnd w:id="258"/>
      <w:bookmarkEnd w:id="259"/>
      <w:bookmarkEnd w:id="260"/>
      <w:bookmarkEnd w:id="261"/>
      <w:bookmarkEnd w:id="262"/>
      <w:bookmarkEnd w:id="263"/>
      <w:bookmarkEnd w:id="264"/>
      <w:bookmarkEnd w:id="265"/>
      <w:bookmarkEnd w:id="266"/>
      <w:bookmarkEnd w:id="267"/>
    </w:p>
    <w:p w14:paraId="411A484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consumption cost equates with depreciation of the dwelling to the end of its useful life. This price component will be set to cover the capital cost over the useful life of the building (that is, the cost is amortised over the useful life of the building). This would provide the accommodation owner with funds to replace the building as new at the end of its life. The price component would be adjusted for the investment interest on those payments over time, and the inflation impact on construction/replacement costs.</w:t>
      </w:r>
    </w:p>
    <w:p w14:paraId="411A484E"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4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period for a reasonable useful life of buildings. The Agency may determine different periods for a reasonable useful life of building classes based on geography, type of building, quality and standards or other factors relevant to building life.</w:t>
      </w:r>
    </w:p>
    <w:p w14:paraId="411A4850"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1"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68" w:name="_Toc429404566"/>
      <w:bookmarkStart w:id="269" w:name="_Toc430012065"/>
      <w:bookmarkStart w:id="270" w:name="_Toc447030056"/>
      <w:bookmarkStart w:id="271" w:name="_Toc447036008"/>
      <w:bookmarkStart w:id="272" w:name="_Toc447036115"/>
      <w:bookmarkStart w:id="273" w:name="_Toc447036217"/>
      <w:bookmarkStart w:id="274" w:name="_Toc447056856"/>
      <w:bookmarkStart w:id="275" w:name="_Toc447198726"/>
      <w:bookmarkStart w:id="276" w:name="_Toc447225469"/>
      <w:bookmarkStart w:id="277" w:name="_Toc447447113"/>
      <w:bookmarkStart w:id="278" w:name="_Toc447448872"/>
      <w:bookmarkStart w:id="279" w:name="_Toc447450170"/>
      <w:bookmarkStart w:id="280" w:name="_Toc447450417"/>
      <w:r w:rsidRPr="00BC25FA">
        <w:rPr>
          <w:rFonts w:asciiTheme="minorHAnsi" w:eastAsiaTheme="majorEastAsia" w:hAnsiTheme="minorHAnsi" w:cs="Arial"/>
          <w:b/>
          <w:bCs/>
          <w:snapToGrid w:val="0"/>
          <w:szCs w:val="26"/>
          <w:lang w:val="en-AU" w:eastAsia="en-AU"/>
        </w:rPr>
        <w:t>Opportunity costs</w:t>
      </w:r>
      <w:bookmarkEnd w:id="268"/>
      <w:r w:rsidRPr="00BC25FA">
        <w:rPr>
          <w:rFonts w:asciiTheme="minorHAnsi" w:eastAsiaTheme="majorEastAsia" w:hAnsiTheme="minorHAnsi" w:cs="Arial"/>
          <w:b/>
          <w:bCs/>
          <w:snapToGrid w:val="0"/>
          <w:szCs w:val="26"/>
          <w:lang w:val="en-AU" w:eastAsia="en-AU"/>
        </w:rPr>
        <w:t xml:space="preserve"> of capital</w:t>
      </w:r>
      <w:bookmarkEnd w:id="269"/>
      <w:bookmarkEnd w:id="270"/>
      <w:bookmarkEnd w:id="271"/>
      <w:bookmarkEnd w:id="272"/>
      <w:bookmarkEnd w:id="273"/>
      <w:bookmarkEnd w:id="274"/>
      <w:bookmarkEnd w:id="275"/>
      <w:bookmarkEnd w:id="276"/>
      <w:bookmarkEnd w:id="277"/>
      <w:bookmarkEnd w:id="278"/>
      <w:bookmarkEnd w:id="279"/>
      <w:bookmarkEnd w:id="280"/>
    </w:p>
    <w:p w14:paraId="411A485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opportunity cost of capital component would recognise the typical sources of capital (debt or equity) and associated costs (at an efficient price), across all aspects of the capital investment in the accommodation (land, buildings, plant and equipment). </w:t>
      </w:r>
    </w:p>
    <w:p w14:paraId="411A4853"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4"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formulaic terms:</w:t>
      </w:r>
    </w:p>
    <w:p w14:paraId="411A4855" w14:textId="77777777" w:rsidR="00BC25FA" w:rsidRPr="00BC25FA" w:rsidRDefault="00BC25FA" w:rsidP="00BC25FA">
      <w:pPr>
        <w:keepNext/>
        <w:spacing w:after="0" w:line="240" w:lineRule="auto"/>
        <w:rPr>
          <w:rFonts w:asciiTheme="minorHAnsi" w:eastAsia="Times New Roman" w:hAnsiTheme="minorHAnsi" w:cs="Times New Roman"/>
          <w:snapToGrid w:val="0"/>
          <w:lang w:val="en-AU" w:eastAsia="en-AU"/>
        </w:rPr>
      </w:pPr>
    </w:p>
    <w:p w14:paraId="411A4856" w14:textId="77777777" w:rsidR="00BC25FA" w:rsidRPr="00BC25FA" w:rsidRDefault="00BC25FA" w:rsidP="00BC25FA">
      <w:pPr>
        <w:tabs>
          <w:tab w:val="left" w:pos="6360"/>
        </w:tabs>
        <w:spacing w:after="0" w:line="240" w:lineRule="auto"/>
        <w:ind w:left="1134" w:hanging="41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Opportunity cost component = value of asset-base * weighted average cost of capital</w:t>
      </w:r>
    </w:p>
    <w:p w14:paraId="411A4857" w14:textId="77777777" w:rsidR="00BC25FA" w:rsidRPr="00BC25FA" w:rsidRDefault="00BC25FA" w:rsidP="00BC25FA">
      <w:pPr>
        <w:tabs>
          <w:tab w:val="left" w:pos="6360"/>
        </w:tabs>
        <w:spacing w:after="0" w:line="240" w:lineRule="auto"/>
        <w:rPr>
          <w:rFonts w:asciiTheme="minorHAnsi" w:eastAsia="Times New Roman" w:hAnsiTheme="minorHAnsi" w:cs="Arial"/>
          <w:b/>
          <w:snapToGrid w:val="0"/>
          <w:lang w:val="en-AU" w:eastAsia="en-AU"/>
        </w:rPr>
      </w:pPr>
    </w:p>
    <w:p w14:paraId="411A4858"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weighted average cost of capital will be set by the Agency at a single national rate.</w:t>
      </w:r>
    </w:p>
    <w:p w14:paraId="411A4859" w14:textId="77777777" w:rsidR="00BC25FA" w:rsidRPr="00BC25FA" w:rsidRDefault="00BC25FA" w:rsidP="00BC25FA">
      <w:pPr>
        <w:tabs>
          <w:tab w:val="left" w:pos="6360"/>
        </w:tabs>
        <w:spacing w:after="0" w:line="240" w:lineRule="auto"/>
        <w:rPr>
          <w:rFonts w:asciiTheme="minorHAnsi" w:eastAsia="Times New Roman" w:hAnsiTheme="minorHAnsi" w:cs="Arial"/>
          <w:b/>
          <w:snapToGrid w:val="0"/>
          <w:lang w:val="en-AU" w:eastAsia="en-AU"/>
        </w:rPr>
      </w:pPr>
    </w:p>
    <w:p w14:paraId="411A485A"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81" w:name="_Toc429404567"/>
      <w:bookmarkStart w:id="282" w:name="_Toc430012066"/>
      <w:bookmarkStart w:id="283" w:name="_Toc447030057"/>
      <w:bookmarkStart w:id="284" w:name="_Toc447036009"/>
      <w:bookmarkStart w:id="285" w:name="_Toc447036116"/>
      <w:bookmarkStart w:id="286" w:name="_Toc447036218"/>
      <w:bookmarkStart w:id="287" w:name="_Toc447056857"/>
      <w:bookmarkStart w:id="288" w:name="_Toc447198727"/>
      <w:bookmarkStart w:id="289" w:name="_Toc447225470"/>
      <w:bookmarkStart w:id="290" w:name="_Toc447447114"/>
      <w:bookmarkStart w:id="291" w:name="_Toc447448873"/>
      <w:bookmarkStart w:id="292" w:name="_Toc447450171"/>
      <w:bookmarkStart w:id="293" w:name="_Toc447450418"/>
      <w:r w:rsidRPr="00BC25FA">
        <w:rPr>
          <w:rFonts w:asciiTheme="minorHAnsi" w:eastAsiaTheme="majorEastAsia" w:hAnsiTheme="minorHAnsi" w:cs="Arial"/>
          <w:b/>
          <w:bCs/>
          <w:snapToGrid w:val="0"/>
          <w:szCs w:val="26"/>
          <w:lang w:val="en-AU" w:eastAsia="en-AU"/>
        </w:rPr>
        <w:t>Costs of ownership</w:t>
      </w:r>
      <w:bookmarkEnd w:id="281"/>
      <w:bookmarkEnd w:id="282"/>
      <w:bookmarkEnd w:id="283"/>
      <w:bookmarkEnd w:id="284"/>
      <w:bookmarkEnd w:id="285"/>
      <w:bookmarkEnd w:id="286"/>
      <w:bookmarkEnd w:id="287"/>
      <w:bookmarkEnd w:id="288"/>
      <w:bookmarkEnd w:id="289"/>
      <w:bookmarkEnd w:id="290"/>
      <w:bookmarkEnd w:id="291"/>
      <w:bookmarkEnd w:id="292"/>
      <w:bookmarkEnd w:id="293"/>
    </w:p>
    <w:p w14:paraId="411A485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costs of ownership component would make provision for costs that are legally required, that extend the operating life of the accommodation, or that are otherwise necessary. An efficient accommodation-related operational cost of specialist disability accommodation could include: facilities management, rates, insurance, utilities not met by the tenants, repairs and maintenance, and tenancy management (noting resident rent contributions will offset these costs).</w:t>
      </w:r>
    </w:p>
    <w:p w14:paraId="411A485C"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5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determine how occupancy rates will be factored into the benchmark prices. </w:t>
      </w:r>
    </w:p>
    <w:p w14:paraId="411A485E"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F"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94" w:name="_Toc429404568"/>
      <w:bookmarkStart w:id="295" w:name="_Toc430012067"/>
      <w:bookmarkStart w:id="296" w:name="_Toc447030058"/>
      <w:bookmarkStart w:id="297" w:name="_Toc447036010"/>
      <w:bookmarkStart w:id="298" w:name="_Toc447036117"/>
      <w:bookmarkStart w:id="299" w:name="_Toc447036219"/>
      <w:bookmarkStart w:id="300" w:name="_Toc447056858"/>
      <w:bookmarkStart w:id="301" w:name="_Toc447198728"/>
      <w:bookmarkStart w:id="302" w:name="_Toc447225471"/>
      <w:bookmarkStart w:id="303" w:name="_Toc447447115"/>
      <w:bookmarkStart w:id="304" w:name="_Toc447448874"/>
      <w:bookmarkStart w:id="305" w:name="_Toc447450172"/>
      <w:bookmarkStart w:id="306" w:name="_Toc447450419"/>
      <w:r w:rsidRPr="00BC25FA">
        <w:rPr>
          <w:rFonts w:asciiTheme="minorHAnsi" w:eastAsiaTheme="majorEastAsia" w:hAnsiTheme="minorHAnsi" w:cs="Arial"/>
          <w:b/>
          <w:bCs/>
          <w:snapToGrid w:val="0"/>
          <w:szCs w:val="26"/>
          <w:lang w:val="en-AU" w:eastAsia="en-AU"/>
        </w:rPr>
        <w:t>Land price inflation</w:t>
      </w:r>
      <w:bookmarkEnd w:id="294"/>
      <w:bookmarkEnd w:id="295"/>
      <w:bookmarkEnd w:id="296"/>
      <w:bookmarkEnd w:id="297"/>
      <w:bookmarkEnd w:id="298"/>
      <w:bookmarkEnd w:id="299"/>
      <w:bookmarkEnd w:id="300"/>
      <w:bookmarkEnd w:id="301"/>
      <w:bookmarkEnd w:id="302"/>
      <w:bookmarkEnd w:id="303"/>
      <w:bookmarkEnd w:id="304"/>
      <w:bookmarkEnd w:id="305"/>
      <w:bookmarkEnd w:id="306"/>
    </w:p>
    <w:p w14:paraId="411A486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land price inflation component recognises the gain or loss the accommodation owner incurs over time due to changes in the value of land. To minimise short-run volatility in pricing arrangements, the Agency would adopt a long-run, multi-year approach to establishing this component of the benchmark prices. </w:t>
      </w:r>
    </w:p>
    <w:p w14:paraId="411A486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Land that is procured through a leasing arrangement by the provider will also be funded consistent with the formula outlined above. That is, the benchmark price will not be adjusted for land ownership arrangements (own versus lease). This recognises that while the provider is leasing the land, if they are paying a market price, then the owner of the land will be incurring costs and inflation consistent with the formula above, and this will, in theory, be reflected in the market rental price for the land. </w:t>
      </w:r>
    </w:p>
    <w:p w14:paraId="411A486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6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Where other gains and losses from the revaluation or inflation of assets can be identified these may be taken into account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in setting the dwelling price.</w:t>
      </w:r>
    </w:p>
    <w:p w14:paraId="411A486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66"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07" w:name="_Toc429404569"/>
      <w:bookmarkStart w:id="308" w:name="_Toc430012068"/>
      <w:bookmarkStart w:id="309" w:name="_Toc447030059"/>
      <w:bookmarkStart w:id="310" w:name="_Toc447036011"/>
      <w:bookmarkStart w:id="311" w:name="_Toc447036118"/>
      <w:bookmarkStart w:id="312" w:name="_Toc447036220"/>
      <w:bookmarkStart w:id="313" w:name="_Toc447056859"/>
      <w:bookmarkStart w:id="314" w:name="_Toc447198729"/>
      <w:bookmarkStart w:id="315" w:name="_Toc447225472"/>
      <w:bookmarkStart w:id="316" w:name="_Toc447447116"/>
      <w:bookmarkStart w:id="317" w:name="_Toc447448875"/>
      <w:bookmarkStart w:id="318" w:name="_Toc447450173"/>
      <w:bookmarkStart w:id="319" w:name="_Toc447450420"/>
      <w:r w:rsidRPr="00BC25FA">
        <w:rPr>
          <w:rFonts w:asciiTheme="minorHAnsi" w:eastAsiaTheme="majorEastAsia" w:hAnsiTheme="minorHAnsi" w:cs="Arial"/>
          <w:b/>
          <w:bCs/>
          <w:snapToGrid w:val="0"/>
          <w:szCs w:val="26"/>
          <w:lang w:val="en-AU" w:eastAsia="en-AU"/>
        </w:rPr>
        <w:t>Resident rent contributions</w:t>
      </w:r>
      <w:bookmarkEnd w:id="307"/>
      <w:bookmarkEnd w:id="308"/>
      <w:bookmarkEnd w:id="309"/>
      <w:bookmarkEnd w:id="310"/>
      <w:bookmarkEnd w:id="311"/>
      <w:bookmarkEnd w:id="312"/>
      <w:bookmarkEnd w:id="313"/>
      <w:bookmarkEnd w:id="314"/>
      <w:bookmarkEnd w:id="315"/>
      <w:bookmarkEnd w:id="316"/>
      <w:bookmarkEnd w:id="317"/>
      <w:bookmarkEnd w:id="318"/>
      <w:bookmarkEnd w:id="319"/>
    </w:p>
    <w:p w14:paraId="411A486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In formulating a resident contribution in the benchmark prices, the Agency should assume residents are in receipt of the Disability Support Pension, and that the rent contribution is 25 per cent of the base rate of this payment and that rent excludes board. The contribution should be adjusted in respect of dwellings in which the tenants would be eligible for Commonwealth Rent Assistance (CRA). </w:t>
      </w:r>
    </w:p>
    <w:p w14:paraId="411A486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resident rent contribution component of the benchmark prices will be automatically adjusted when Disability Support Pension payment rates are changed.</w:t>
      </w:r>
      <w:r w:rsidRPr="00E92659">
        <w:rPr>
          <w:rFonts w:asciiTheme="minorHAnsi" w:eastAsia="Times New Roman" w:hAnsiTheme="minorHAnsi" w:cs="Times New Roman"/>
          <w:snapToGrid w:val="0"/>
          <w:lang w:val="en-AU" w:eastAsia="en-AU"/>
        </w:rPr>
        <w:footnoteReference w:id="3"/>
      </w:r>
    </w:p>
    <w:p w14:paraId="411A486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rent contribution of 25 per cent of the base rate of the Disability Support Pension will be considered as the maximum rent that may be charged to residents by accommodation </w:t>
      </w:r>
      <w:r w:rsidR="00FD1D3A" w:rsidRPr="00BC25FA">
        <w:rPr>
          <w:rFonts w:asciiTheme="minorHAnsi" w:eastAsia="Times New Roman" w:hAnsiTheme="minorHAnsi" w:cs="Times New Roman"/>
          <w:snapToGrid w:val="0"/>
          <w:lang w:val="en-AU" w:eastAsia="en-AU"/>
        </w:rPr>
        <w:t>providers It</w:t>
      </w:r>
      <w:r w:rsidRPr="00BC25FA">
        <w:rPr>
          <w:rFonts w:asciiTheme="minorHAnsi" w:eastAsia="Times New Roman" w:hAnsiTheme="minorHAnsi" w:cs="Times New Roman"/>
          <w:snapToGrid w:val="0"/>
          <w:lang w:val="en-AU" w:eastAsia="en-AU"/>
        </w:rPr>
        <w:t xml:space="preserve"> is recognised that this pricing and payments framework will be a major change for a number of providers who currently use the ‘rent and board’ model for determining rents.  However, while this will be a major change for many providers, it will make the price of accommodation for residents more transparent.  It is also recognised that this approach assumes that most participants will be reliant on the Disability Support Pension.  While this is likely to be true, at least in the medium term, this means that this setting should be kept under review.  </w:t>
      </w:r>
    </w:p>
    <w:p w14:paraId="411A486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6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20" w:name="_Toc429404570"/>
      <w:bookmarkStart w:id="321" w:name="_Toc430012069"/>
      <w:bookmarkStart w:id="322" w:name="_Toc447030060"/>
      <w:bookmarkStart w:id="323" w:name="_Toc447036012"/>
      <w:bookmarkStart w:id="324" w:name="_Toc447036119"/>
      <w:bookmarkStart w:id="325" w:name="_Toc447036221"/>
      <w:bookmarkStart w:id="326" w:name="_Toc447056860"/>
      <w:bookmarkStart w:id="327" w:name="_Toc447198730"/>
      <w:bookmarkStart w:id="328" w:name="_Toc447225473"/>
      <w:bookmarkStart w:id="329" w:name="_Toc447447117"/>
      <w:bookmarkStart w:id="330" w:name="_Toc447448876"/>
      <w:bookmarkStart w:id="331" w:name="_Toc447450174"/>
      <w:bookmarkStart w:id="332" w:name="_Toc447450421"/>
      <w:r w:rsidRPr="00BC25FA">
        <w:rPr>
          <w:rFonts w:asciiTheme="minorHAnsi" w:eastAsiaTheme="majorEastAsia" w:hAnsiTheme="minorHAnsi" w:cs="Arial"/>
          <w:b/>
          <w:bCs/>
          <w:snapToGrid w:val="0"/>
          <w:szCs w:val="26"/>
          <w:lang w:val="en-AU" w:eastAsia="en-AU"/>
        </w:rPr>
        <w:t>Treatment of publicly owned land in setting the benchmark prices</w:t>
      </w:r>
      <w:bookmarkEnd w:id="320"/>
      <w:bookmarkEnd w:id="321"/>
      <w:bookmarkEnd w:id="322"/>
      <w:bookmarkEnd w:id="323"/>
      <w:bookmarkEnd w:id="324"/>
      <w:bookmarkEnd w:id="325"/>
      <w:bookmarkEnd w:id="326"/>
      <w:bookmarkEnd w:id="327"/>
      <w:bookmarkEnd w:id="328"/>
      <w:bookmarkEnd w:id="329"/>
      <w:bookmarkEnd w:id="330"/>
      <w:bookmarkEnd w:id="331"/>
      <w:bookmarkEnd w:id="332"/>
    </w:p>
    <w:p w14:paraId="411A486E" w14:textId="3CE728DA"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Land that is owned outright by providers could include land that has been purchased and funded solely by a provider, land that has been provided at nil cost or below market cost from a State Government (or other sources), or land which has been partially funded by State Governments (or other parties).</w:t>
      </w:r>
    </w:p>
    <w:p w14:paraId="411A486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Regardless of historical funding or ownership arrangements, land for which title resides with the non-government provider will be treated consistent with the benchmark price and not adjusted for historical procurement arrangements.</w:t>
      </w:r>
    </w:p>
    <w:p w14:paraId="411A487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2" w14:textId="0B171880"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Land that is owned by State Governments and leased/occupied by non-government providers could include lease arrangements (including 50 or 99 year leases) that are for nil cost, below market value (including peppercorn rent arrangements) or full market rental value. </w:t>
      </w:r>
    </w:p>
    <w:p w14:paraId="411A487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determining the value of the benchmark price, the funding methodology adopted by the Agency should not subsidise providers operating on publicly owned land if they are not paying a market rent for that land. This essentially removes any windfall gains arising from existing ownership arrangements that are not fully priced. This largely relates to providers that are delivering accommodation supports on publicly owned land at nil or peppercorn rental cost. To this effect, a “pass-through” mechanism will be set up between jurisdictions, providers and the Agency to reflect the need to adjust the benchmark prices for affected providers operating on publicly owned land at below market cost.</w:t>
      </w:r>
    </w:p>
    <w:p w14:paraId="411A487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7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From the perspective of providers and participants, their funding arrangements should not be influenced by land ownership arrangements. To this end, the funding associated with participants resident in specialist disability accommodation would be consistent with the benchmark prices. </w:t>
      </w:r>
    </w:p>
    <w:p w14:paraId="411A487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8" w14:textId="1013B028"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Providers not paying market rental costs for land should not receive a windfall gain. State Governments will be expected to charge and recover from these providers a cost of capital equivalent to the land component in the benchmark price. This would be revenue neutral for providers, but ensure there is transparency in pricing/cost. </w:t>
      </w:r>
    </w:p>
    <w:p w14:paraId="411A487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7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pass-through mechanism will require jurisdictions to then refund this cost of the land component to the Agency. This would be equal to the difference between the benchmark funding for land and the current (below market) rental cost charged by the state or territory government.</w:t>
      </w:r>
    </w:p>
    <w:p w14:paraId="411A487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mechanism will ensure transparency and consistency in applying benchmark prices; it will account for the true cost of service delivery by providers and be cost and revenue neutral for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t>
      </w:r>
    </w:p>
    <w:p w14:paraId="411A487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Where the cost of leasing/occupying State Government land by a non-government provider is on a basis that is below market cost, then the cost is being met by a state or territory government. The land component may therefore form part of that government’s in-kind contribution to the NDIS (net of any land price inflation). This would be calculated on the same efficient price basis as established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for other owners in accordance with this Framework and would be transparently accounted for in state or territory government in-kind funding contributions. If below market rents are charged to providers, the in-kind contribution would be equal to the difference between the benchmark funding for land and the current (below market) rental cost charged by the State Government.</w:t>
      </w:r>
    </w:p>
    <w:p w14:paraId="411A487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inclusion of land as an in-kind contribution will be reviewed as part of the Framework review outlined below.</w:t>
      </w:r>
    </w:p>
    <w:p w14:paraId="411A488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2" w14:textId="32D673CD"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Government land may also be leased/occupied by non-government providers on a basis that is equivalent to the market rental cost. In this scenario, the provider will be funded the full benchmark price (plus any weightings/loadings as appropriate), and State Governments will recoup their market rent from the provider. This can be used by State Governments to fund their cash contribution to the NDIS. In these circumstances the land component would not form part of that government’s in-kind contribution to the NDIS.</w:t>
      </w:r>
    </w:p>
    <w:p w14:paraId="411A488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Governments may also directly provide accommodation services, and this may form part of their in-kind contribution to the NDIS. In this scenario, the land component</w:t>
      </w:r>
      <w:r w:rsidRPr="00BC25FA" w:rsidDel="00EC544E">
        <w:rPr>
          <w:rFonts w:asciiTheme="minorHAnsi" w:eastAsia="Times New Roman" w:hAnsiTheme="minorHAnsi" w:cs="Times New Roman"/>
          <w:snapToGrid w:val="0"/>
          <w:lang w:val="en-AU" w:eastAsia="en-AU"/>
        </w:rPr>
        <w:t xml:space="preserve"> </w:t>
      </w:r>
      <w:r w:rsidRPr="00BC25FA">
        <w:rPr>
          <w:rFonts w:asciiTheme="minorHAnsi" w:eastAsia="Times New Roman" w:hAnsiTheme="minorHAnsi" w:cs="Times New Roman"/>
          <w:snapToGrid w:val="0"/>
          <w:lang w:val="en-AU" w:eastAsia="en-AU"/>
        </w:rPr>
        <w:t xml:space="preserve">(net of any land price inflation) would be calculated on the same efficient price basis as established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for other owners in accordance with this Framework, and would be transparently accounted for in state or territory government in-kind funding contributions. If Government directly provided accommodation services are paid for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the same ‘pass-through’ arrangements will apply.</w:t>
      </w:r>
    </w:p>
    <w:p w14:paraId="411A488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Government land may continue to be owned by the relevant jurisdiction or transfer to another provider at the jurisdiction’s discretion.</w:t>
      </w:r>
    </w:p>
    <w:p w14:paraId="411A488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If state or territory governments do not wish to participate in the pass back mechanism other arrangements will be agreed bilaterally to ensure the same net effect on scheme funding.</w:t>
      </w:r>
    </w:p>
    <w:p w14:paraId="411A4889"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8A"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33" w:name="_Toc429404571"/>
      <w:bookmarkStart w:id="334" w:name="_Toc430012070"/>
      <w:bookmarkStart w:id="335" w:name="_Toc447030061"/>
      <w:bookmarkStart w:id="336" w:name="_Toc447036013"/>
      <w:bookmarkStart w:id="337" w:name="_Toc447036120"/>
      <w:bookmarkStart w:id="338" w:name="_Toc447036222"/>
      <w:bookmarkStart w:id="339" w:name="_Toc447056861"/>
      <w:bookmarkStart w:id="340" w:name="_Toc447198731"/>
      <w:bookmarkStart w:id="341" w:name="_Toc447225474"/>
      <w:bookmarkStart w:id="342" w:name="_Toc447447118"/>
      <w:bookmarkStart w:id="343" w:name="_Toc447448877"/>
      <w:bookmarkStart w:id="344" w:name="_Toc447450175"/>
      <w:bookmarkStart w:id="345" w:name="_Toc447450422"/>
      <w:r w:rsidRPr="00BC25FA">
        <w:rPr>
          <w:rFonts w:asciiTheme="minorHAnsi" w:eastAsiaTheme="majorEastAsia" w:hAnsiTheme="minorHAnsi" w:cs="Arial"/>
          <w:b/>
          <w:bCs/>
          <w:snapToGrid w:val="0"/>
          <w:szCs w:val="26"/>
          <w:lang w:val="en-AU" w:eastAsia="en-AU"/>
        </w:rPr>
        <w:t>Other price setting considerations</w:t>
      </w:r>
      <w:bookmarkEnd w:id="333"/>
      <w:bookmarkEnd w:id="334"/>
      <w:bookmarkEnd w:id="335"/>
      <w:bookmarkEnd w:id="336"/>
      <w:bookmarkEnd w:id="337"/>
      <w:bookmarkEnd w:id="338"/>
      <w:bookmarkEnd w:id="339"/>
      <w:bookmarkEnd w:id="340"/>
      <w:bookmarkEnd w:id="341"/>
      <w:bookmarkEnd w:id="342"/>
      <w:bookmarkEnd w:id="343"/>
      <w:bookmarkEnd w:id="344"/>
      <w:bookmarkEnd w:id="345"/>
    </w:p>
    <w:p w14:paraId="411A488B"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When the Agency develops or reviews its benchmark prices, it will factor into those prices the costs of meeting any quality or safeguarding requirements that apply to specialist disability accommodation. </w:t>
      </w:r>
      <w:r w:rsidRPr="00BC25FA">
        <w:rPr>
          <w:rFonts w:asciiTheme="minorHAnsi" w:eastAsia="Times New Roman" w:hAnsiTheme="minorHAnsi" w:cs="Times New Roman"/>
          <w:snapToGrid w:val="0"/>
          <w:lang w:val="en-AU" w:eastAsia="en-AU"/>
        </w:rPr>
        <w:lastRenderedPageBreak/>
        <w:t xml:space="preserve">Further national policy work is required to identify and implement quality assurance mechanisms and safeguards that will apply to supported accommodated related services in the NDIS. </w:t>
      </w:r>
      <w:r w:rsidRPr="00BC25FA">
        <w:rPr>
          <w:rFonts w:asciiTheme="minorHAnsi" w:eastAsia="Times New Roman" w:hAnsiTheme="minorHAnsi" w:cs="Arial"/>
          <w:snapToGrid w:val="0"/>
          <w:vertAlign w:val="superscript"/>
          <w:lang w:val="en-AU" w:eastAsia="en-AU"/>
        </w:rPr>
        <w:footnoteReference w:id="4"/>
      </w:r>
    </w:p>
    <w:p w14:paraId="411A488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8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46" w:name="_Toc429404572"/>
      <w:bookmarkStart w:id="347" w:name="_Toc430012071"/>
      <w:bookmarkStart w:id="348" w:name="_Toc447030062"/>
      <w:bookmarkStart w:id="349" w:name="_Toc447036014"/>
      <w:bookmarkStart w:id="350" w:name="_Toc447036121"/>
      <w:bookmarkStart w:id="351" w:name="_Toc447036223"/>
      <w:bookmarkStart w:id="352" w:name="_Toc447056862"/>
      <w:bookmarkStart w:id="353" w:name="_Toc447198732"/>
      <w:bookmarkStart w:id="354" w:name="_Toc447225475"/>
      <w:bookmarkStart w:id="355" w:name="_Toc447447119"/>
      <w:bookmarkStart w:id="356" w:name="_Toc447448878"/>
      <w:bookmarkStart w:id="357" w:name="_Toc447450176"/>
      <w:bookmarkStart w:id="358" w:name="_Toc447450423"/>
      <w:r w:rsidRPr="00BC25FA">
        <w:rPr>
          <w:rFonts w:asciiTheme="minorHAnsi" w:eastAsiaTheme="majorEastAsia" w:hAnsiTheme="minorHAnsi" w:cs="Arial"/>
          <w:b/>
          <w:bCs/>
          <w:snapToGrid w:val="0"/>
          <w:szCs w:val="26"/>
          <w:lang w:val="en-AU" w:eastAsia="en-AU"/>
        </w:rPr>
        <w:t>Payment arrangements</w:t>
      </w:r>
      <w:bookmarkEnd w:id="346"/>
      <w:bookmarkEnd w:id="347"/>
      <w:bookmarkEnd w:id="348"/>
      <w:bookmarkEnd w:id="349"/>
      <w:bookmarkEnd w:id="350"/>
      <w:bookmarkEnd w:id="351"/>
      <w:bookmarkEnd w:id="352"/>
      <w:bookmarkEnd w:id="353"/>
      <w:bookmarkEnd w:id="354"/>
      <w:bookmarkEnd w:id="355"/>
      <w:bookmarkEnd w:id="356"/>
      <w:bookmarkEnd w:id="357"/>
      <w:bookmarkEnd w:id="358"/>
    </w:p>
    <w:p w14:paraId="411A488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value of the contribution that the Agency makes in respect of the accommodation costs for a participant residing in specialist disability accommodation will be the relevant benchmark price determined by the Agency, with the application of appropriate weights and factors.</w:t>
      </w:r>
    </w:p>
    <w:p w14:paraId="411A488F"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While the benchmark prices might be an annual amount, the Agency would have flexibility in determining the payment schedule for instalments through the year. The Agency (in consultation with the participant) would decide whether payments are made directly to the accommodation provider, or to the participant who would then pay the accommodation provider. The Agency contribution for specialist disability accommodation will flow for as long at the participant lives in the specialist disability accommodation. </w:t>
      </w:r>
    </w:p>
    <w:p w14:paraId="411A4891"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2"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59" w:name="_Toc428792253"/>
      <w:bookmarkStart w:id="360" w:name="_Toc429404573"/>
      <w:bookmarkStart w:id="361" w:name="_Toc430012072"/>
      <w:bookmarkStart w:id="362" w:name="_Toc447030063"/>
      <w:bookmarkStart w:id="363" w:name="_Toc447036015"/>
      <w:bookmarkStart w:id="364" w:name="_Toc447036122"/>
      <w:bookmarkStart w:id="365" w:name="_Toc447036224"/>
      <w:bookmarkStart w:id="366" w:name="_Toc447056863"/>
      <w:bookmarkStart w:id="367" w:name="_Toc447198733"/>
      <w:bookmarkStart w:id="368" w:name="_Toc447225476"/>
      <w:bookmarkStart w:id="369" w:name="_Toc447447120"/>
      <w:bookmarkStart w:id="370" w:name="_Toc447448879"/>
      <w:bookmarkStart w:id="371" w:name="_Toc447450177"/>
      <w:bookmarkStart w:id="372" w:name="_Toc447450424"/>
      <w:r w:rsidRPr="00BC25FA">
        <w:rPr>
          <w:rFonts w:asciiTheme="minorHAnsi" w:eastAsiaTheme="majorEastAsia" w:hAnsiTheme="minorHAnsi" w:cs="Arial"/>
          <w:b/>
          <w:bCs/>
          <w:snapToGrid w:val="0"/>
          <w:szCs w:val="26"/>
          <w:lang w:val="en-AU" w:eastAsia="en-AU"/>
        </w:rPr>
        <w:t>Payment of the consumption costs</w:t>
      </w:r>
      <w:bookmarkEnd w:id="359"/>
      <w:r w:rsidRPr="00BC25FA">
        <w:rPr>
          <w:rFonts w:asciiTheme="minorHAnsi" w:eastAsiaTheme="majorEastAsia" w:hAnsiTheme="minorHAnsi" w:cs="Arial"/>
          <w:b/>
          <w:bCs/>
          <w:snapToGrid w:val="0"/>
          <w:szCs w:val="26"/>
          <w:lang w:val="en-AU" w:eastAsia="en-AU"/>
        </w:rPr>
        <w:t xml:space="preserve"> component of the benchmark price</w:t>
      </w:r>
      <w:bookmarkEnd w:id="360"/>
      <w:bookmarkEnd w:id="361"/>
      <w:bookmarkEnd w:id="362"/>
      <w:bookmarkEnd w:id="363"/>
      <w:bookmarkEnd w:id="364"/>
      <w:bookmarkEnd w:id="365"/>
      <w:bookmarkEnd w:id="366"/>
      <w:bookmarkEnd w:id="367"/>
      <w:bookmarkEnd w:id="368"/>
      <w:bookmarkEnd w:id="369"/>
      <w:bookmarkEnd w:id="370"/>
      <w:bookmarkEnd w:id="371"/>
      <w:bookmarkEnd w:id="372"/>
    </w:p>
    <w:p w14:paraId="411A489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payment of the consumption costs component of the benchmark price would cease after the initial life of the building, recognising that replacement costs have been provided over the life of the building. </w:t>
      </w:r>
    </w:p>
    <w:p w14:paraId="411A4894"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9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reset the period for the reasonable initial life in respect of a specific dwelling that is replaced or which the Agency determines as having been substantially upgraded or which is of a form that warrants ongoing funding for consumption costs. The Agency will create a mechanism whereby accommodation providers can advise the Agency of, and the Agency can confirm substantial upgrades and replacements. </w:t>
      </w:r>
    </w:p>
    <w:p w14:paraId="411A489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9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remaining dwelling life of state or territory managed or funded supported accommodation dwellings in a location rolled into the NDIS.</w:t>
      </w:r>
    </w:p>
    <w:p w14:paraId="411A489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9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develop a framework for assessing the useful life of a building. This will include reference to quality and standards, and other factors as deemed appropriate by the Agency.</w:t>
      </w:r>
    </w:p>
    <w:p w14:paraId="411A489A"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B"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For example, consider the case of a 20 year old dwelling that transitioned to the scheme, in the situation where the Agency had determined that a reasonable dwelling life was 40 years. In this case, the Agency would pay one fortieth of the consumption component of the benchmark price for the next 20 years. </w:t>
      </w:r>
    </w:p>
    <w:p w14:paraId="411A489C"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p>
    <w:p w14:paraId="411A489D"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If at the end of those 20 years, the accommodation provider replaced or substantially upgraded the dwelling, with the Agency’s agreement, it would receive the consumption component of the benchmark price for a further 40 years.</w:t>
      </w:r>
    </w:p>
    <w:p w14:paraId="411A489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73" w:name="_Toc428792252"/>
      <w:bookmarkStart w:id="374" w:name="_Toc429404574"/>
      <w:bookmarkStart w:id="375" w:name="_Toc430012073"/>
      <w:bookmarkStart w:id="376" w:name="_Toc447030064"/>
      <w:bookmarkStart w:id="377" w:name="_Toc447036016"/>
      <w:bookmarkStart w:id="378" w:name="_Toc447036123"/>
      <w:bookmarkStart w:id="379" w:name="_Toc447036225"/>
      <w:bookmarkStart w:id="380" w:name="_Toc447056864"/>
      <w:bookmarkStart w:id="381" w:name="_Toc447198734"/>
      <w:bookmarkStart w:id="382" w:name="_Toc447225477"/>
      <w:bookmarkStart w:id="383" w:name="_Toc447447121"/>
      <w:bookmarkStart w:id="384" w:name="_Toc447448880"/>
      <w:bookmarkStart w:id="385" w:name="_Toc447450178"/>
      <w:bookmarkStart w:id="386" w:name="_Toc447450425"/>
      <w:r w:rsidRPr="00BC25FA">
        <w:rPr>
          <w:rFonts w:asciiTheme="minorHAnsi" w:eastAsiaTheme="majorEastAsia" w:hAnsiTheme="minorHAnsi" w:cs="Arial"/>
          <w:b/>
          <w:bCs/>
          <w:snapToGrid w:val="0"/>
          <w:szCs w:val="26"/>
          <w:lang w:val="en-AU" w:eastAsia="en-AU"/>
        </w:rPr>
        <w:lastRenderedPageBreak/>
        <w:t>Agency has the capacity to pay more in exceptional circumstances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11A489F"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has the capacity to pay more than the benchmark price where it determines that compelling and exceptional circumstances exist that substantially affect the costs to the accommodation provider, in respect of a particular participant. </w:t>
      </w:r>
    </w:p>
    <w:p w14:paraId="411A48A0"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A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what payments are made in excess of the benchmark price, and for how long.</w:t>
      </w:r>
    </w:p>
    <w:p w14:paraId="411A48A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3"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387" w:name="_Toc429404575"/>
      <w:bookmarkStart w:id="388" w:name="_Toc430012074"/>
      <w:bookmarkStart w:id="389" w:name="_Toc447030065"/>
      <w:bookmarkStart w:id="390" w:name="_Toc447036017"/>
      <w:bookmarkStart w:id="391" w:name="_Toc447036124"/>
      <w:bookmarkStart w:id="392" w:name="_Toc447036226"/>
      <w:bookmarkStart w:id="393" w:name="_Toc447056865"/>
      <w:bookmarkStart w:id="394" w:name="_Toc447198735"/>
      <w:bookmarkStart w:id="395" w:name="_Toc447225478"/>
      <w:bookmarkStart w:id="396" w:name="_Toc447447122"/>
      <w:bookmarkStart w:id="397" w:name="_Toc447448881"/>
      <w:bookmarkStart w:id="398" w:name="_Toc447450179"/>
      <w:bookmarkStart w:id="399" w:name="_Toc447450426"/>
      <w:r w:rsidRPr="00BC25FA">
        <w:rPr>
          <w:rFonts w:asciiTheme="minorHAnsi" w:eastAsiaTheme="majorEastAsia" w:hAnsiTheme="minorHAnsi" w:cs="Arial"/>
          <w:b/>
          <w:bCs/>
          <w:sz w:val="24"/>
          <w:szCs w:val="28"/>
          <w:lang w:val="en-AU" w:eastAsia="en-US"/>
        </w:rPr>
        <w:t>Part 3 – For whom in what circumstances</w:t>
      </w:r>
      <w:bookmarkEnd w:id="387"/>
      <w:bookmarkEnd w:id="388"/>
      <w:bookmarkEnd w:id="389"/>
      <w:bookmarkEnd w:id="390"/>
      <w:bookmarkEnd w:id="391"/>
      <w:bookmarkEnd w:id="392"/>
      <w:bookmarkEnd w:id="393"/>
      <w:bookmarkEnd w:id="394"/>
      <w:bookmarkEnd w:id="395"/>
      <w:bookmarkEnd w:id="396"/>
      <w:bookmarkEnd w:id="397"/>
      <w:bookmarkEnd w:id="398"/>
      <w:bookmarkEnd w:id="399"/>
    </w:p>
    <w:p w14:paraId="411A48A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00" w:name="_Toc429404576"/>
      <w:bookmarkStart w:id="401" w:name="_Toc430012075"/>
      <w:bookmarkStart w:id="402" w:name="_Toc447030066"/>
      <w:bookmarkStart w:id="403" w:name="_Toc447036018"/>
      <w:bookmarkStart w:id="404" w:name="_Toc447036125"/>
      <w:bookmarkStart w:id="405" w:name="_Toc447036227"/>
      <w:bookmarkStart w:id="406" w:name="_Toc447056866"/>
      <w:bookmarkStart w:id="407" w:name="_Toc447198736"/>
      <w:bookmarkStart w:id="408" w:name="_Toc447225479"/>
      <w:bookmarkStart w:id="409" w:name="_Toc447447123"/>
      <w:bookmarkStart w:id="410" w:name="_Toc447448882"/>
      <w:bookmarkStart w:id="411" w:name="_Toc447450180"/>
      <w:bookmarkStart w:id="412" w:name="_Toc447450427"/>
      <w:r w:rsidRPr="00BC25FA">
        <w:rPr>
          <w:rFonts w:asciiTheme="minorHAnsi" w:eastAsiaTheme="majorEastAsia" w:hAnsiTheme="minorHAnsi" w:cs="Arial"/>
          <w:b/>
          <w:bCs/>
          <w:snapToGrid w:val="0"/>
          <w:szCs w:val="26"/>
          <w:lang w:val="en-AU" w:eastAsia="en-AU"/>
        </w:rPr>
        <w:t>Participants for whom specialist disability accommodation is reasonable and necessary</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411A48A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lang w:val="en-AU" w:eastAsia="en-AU"/>
        </w:rPr>
      </w:pPr>
      <w:r w:rsidRPr="00BC25FA">
        <w:rPr>
          <w:rFonts w:asciiTheme="minorHAnsi" w:eastAsia="Times New Roman" w:hAnsiTheme="minorHAnsi" w:cs="Times New Roman"/>
          <w:lang w:val="en-AU" w:eastAsia="en-AU"/>
        </w:rPr>
        <w:t>The NDIS will support specialist disability accommodation, including for:</w:t>
      </w:r>
    </w:p>
    <w:p w14:paraId="411A48A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w:t>
      </w:r>
      <w:r w:rsidRPr="00BC25FA">
        <w:rPr>
          <w:rFonts w:asciiTheme="minorHAnsi" w:eastAsia="Times New Roman" w:hAnsiTheme="minorHAnsi" w:cs="Times New Roman"/>
          <w:vertAlign w:val="superscript"/>
          <w:lang w:val="en-AU" w:eastAsia="en-AU"/>
        </w:rPr>
        <w:footnoteReference w:id="5"/>
      </w:r>
      <w:r w:rsidRPr="00BC25FA">
        <w:rPr>
          <w:rFonts w:asciiTheme="minorHAnsi" w:eastAsia="Times New Roman" w:hAnsiTheme="minorHAnsi" w:cs="Times New Roman"/>
          <w:snapToGrid w:val="0"/>
          <w:lang w:val="en-AU" w:eastAsia="en-AU"/>
        </w:rPr>
        <w:t xml:space="preserve"> in existing supported accommodation, such as group homes, large residential centres, cluster or village based accommodation;</w:t>
      </w:r>
    </w:p>
    <w:p w14:paraId="411A48A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who currently reside in a residential aged care facility; and</w:t>
      </w:r>
    </w:p>
    <w:p w14:paraId="411A48A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participants who access alternative or innovative accommodation that is appropriate for people who require specialist disability accommodation to live independently, as determined by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w:t>
      </w:r>
    </w:p>
    <w:p w14:paraId="411A48A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A"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lang w:val="en-AU" w:eastAsia="en-AU"/>
        </w:rPr>
      </w:pPr>
      <w:r w:rsidRPr="00BC25FA">
        <w:rPr>
          <w:rFonts w:asciiTheme="minorHAnsi" w:eastAsia="Times New Roman" w:hAnsiTheme="minorHAnsi" w:cs="Times New Roman"/>
          <w:lang w:val="en-AU" w:eastAsia="en-AU"/>
        </w:rPr>
        <w:t>Funding to support participants who require specialist disability accommodation will be available, if it is reasonable and necessary, for:</w:t>
      </w:r>
    </w:p>
    <w:p w14:paraId="411A48AB"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who are currently in specialist disability accommodation and wish to stay there;</w:t>
      </w:r>
    </w:p>
    <w:p w14:paraId="411A48AC"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participants who are currently in specialist disability accommodation who wish to explore options to change their accommodation arrangements; and </w:t>
      </w:r>
    </w:p>
    <w:p w14:paraId="411A48AD"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over time, participants who are not currently in specialist disability accommodation, but for whom specialist disability housing would be reasonable and necessary, including participants whose circumstances change or who represent new or unmet demand</w:t>
      </w:r>
    </w:p>
    <w:p w14:paraId="411A48AE"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F"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E92659">
        <w:rPr>
          <w:rFonts w:asciiTheme="minorHAnsi" w:eastAsia="Times New Roman" w:hAnsiTheme="minorHAnsi" w:cs="Times New Roman"/>
          <w:snapToGrid w:val="0"/>
          <w:lang w:val="en-AU" w:eastAsia="en-AU"/>
        </w:rPr>
        <w:t xml:space="preserve">People currently residing in supported accommodation have already established, through State processes, a need for reasonable and necessary housing based supports, but this requires confirmation by the </w:t>
      </w:r>
      <w:r w:rsidR="004D4B94">
        <w:rPr>
          <w:rFonts w:asciiTheme="minorHAnsi" w:eastAsia="Times New Roman" w:hAnsiTheme="minorHAnsi" w:cs="Times New Roman"/>
          <w:snapToGrid w:val="0"/>
          <w:lang w:val="en-AU" w:eastAsia="en-AU"/>
        </w:rPr>
        <w:t>Agency</w:t>
      </w:r>
      <w:r w:rsidRPr="00E92659">
        <w:rPr>
          <w:rFonts w:asciiTheme="minorHAnsi" w:eastAsia="Times New Roman" w:hAnsiTheme="minorHAnsi" w:cs="Times New Roman"/>
          <w:snapToGrid w:val="0"/>
          <w:lang w:val="en-AU" w:eastAsia="en-AU"/>
        </w:rPr>
        <w:t xml:space="preserve">. It is envisaged that at a minimum, funding for specialist disability accommodation will fund current clients in the existing stock of supported accommodation.  </w:t>
      </w:r>
    </w:p>
    <w:p w14:paraId="411A48B0"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1"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E92659">
        <w:rPr>
          <w:rFonts w:asciiTheme="minorHAnsi" w:eastAsia="Times New Roman" w:hAnsiTheme="minorHAnsi" w:cs="Times New Roman"/>
          <w:snapToGrid w:val="0"/>
          <w:lang w:val="en-AU" w:eastAsia="en-AU"/>
        </w:rPr>
        <w:t>Young people in residential aged care and participants deemed eligible from existing waiting lists for which support would be reasonable and necessary would be given priority for funding.</w:t>
      </w:r>
    </w:p>
    <w:p w14:paraId="411A48B2"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participants for whom specialist disability accommodation is reasonable and necessary.  This will be done by reference two sets of criteria (noting that both sets might apply to the same participant):</w:t>
      </w:r>
      <w:r w:rsidRPr="00BC25FA">
        <w:rPr>
          <w:rFonts w:asciiTheme="minorHAnsi" w:eastAsia="Times New Roman" w:hAnsiTheme="minorHAnsi" w:cs="Times New Roman"/>
          <w:snapToGrid w:val="0"/>
          <w:lang w:val="en-AU" w:eastAsia="en-AU"/>
        </w:rPr>
        <w:br/>
      </w:r>
    </w:p>
    <w:p w14:paraId="411A48B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lang w:val="en-AU" w:eastAsia="en-AU"/>
        </w:rPr>
        <w:t>Whether participants require a specialist built-form</w:t>
      </w:r>
      <w:r w:rsidRPr="00BC25FA">
        <w:rPr>
          <w:rFonts w:asciiTheme="minorHAnsi" w:eastAsia="Times New Roman" w:hAnsiTheme="minorHAnsi" w:cs="Times New Roman"/>
          <w:snapToGrid w:val="0"/>
          <w:lang w:val="en-AU" w:eastAsia="en-AU"/>
        </w:rPr>
        <w:t xml:space="preserve"> – this criteria will identify participants who need specialist disability accommodation because the physical, cognitive or psychosocial features of their disability requires housing with specific design, specialist features or amenity to enable them to live safely; and/or</w:t>
      </w:r>
    </w:p>
    <w:p w14:paraId="411A48B5" w14:textId="77777777" w:rsidR="00BC25FA" w:rsidRPr="00BC25FA" w:rsidRDefault="00BC25FA" w:rsidP="00BC25FA">
      <w:pPr>
        <w:spacing w:after="0" w:line="240" w:lineRule="auto"/>
        <w:ind w:left="1134"/>
        <w:rPr>
          <w:rFonts w:asciiTheme="minorHAnsi" w:eastAsia="Times New Roman" w:hAnsiTheme="minorHAnsi" w:cs="Times New Roman"/>
          <w:snapToGrid w:val="0"/>
          <w:lang w:val="en-AU" w:eastAsia="en-AU"/>
        </w:rPr>
      </w:pPr>
    </w:p>
    <w:p w14:paraId="411A48B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lang w:val="en-AU" w:eastAsia="en-AU"/>
        </w:rPr>
        <w:lastRenderedPageBreak/>
        <w:t>Whether participants support needs can only be met cost effectively by specialist disability accommodation</w:t>
      </w:r>
      <w:r w:rsidRPr="00BC25FA">
        <w:rPr>
          <w:rFonts w:asciiTheme="minorHAnsi" w:eastAsia="Times New Roman" w:hAnsiTheme="minorHAnsi" w:cs="Times New Roman"/>
          <w:snapToGrid w:val="0"/>
          <w:lang w:val="en-AU" w:eastAsia="en-AU"/>
        </w:rPr>
        <w:t xml:space="preserve"> – this criteria will identify participants who need specialist disability accommodation arrangements because the nature of their disability, and limitations of their informal support network, mean that their housing needs cannot currently be met in the community, or it would not be cost effective to provide support for them to live independently in the community.  </w:t>
      </w:r>
    </w:p>
    <w:p w14:paraId="411A48B7"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B8"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13" w:name="_Toc429404577"/>
      <w:bookmarkStart w:id="414" w:name="_Toc430012076"/>
      <w:bookmarkStart w:id="415" w:name="_Toc447030067"/>
      <w:bookmarkStart w:id="416" w:name="_Toc447036019"/>
      <w:bookmarkStart w:id="417" w:name="_Toc447036126"/>
      <w:bookmarkStart w:id="418" w:name="_Toc447036228"/>
      <w:bookmarkStart w:id="419" w:name="_Toc447056867"/>
      <w:bookmarkStart w:id="420" w:name="_Toc447198737"/>
      <w:bookmarkStart w:id="421" w:name="_Toc447225480"/>
      <w:bookmarkStart w:id="422" w:name="_Toc447447124"/>
      <w:bookmarkStart w:id="423" w:name="_Toc447448883"/>
      <w:bookmarkStart w:id="424" w:name="_Toc447450181"/>
      <w:bookmarkStart w:id="425" w:name="_Toc447450428"/>
      <w:r w:rsidRPr="00BC25FA">
        <w:rPr>
          <w:rFonts w:asciiTheme="minorHAnsi" w:eastAsiaTheme="majorEastAsia" w:hAnsiTheme="minorHAnsi" w:cs="Arial"/>
          <w:b/>
          <w:bCs/>
          <w:snapToGrid w:val="0"/>
          <w:szCs w:val="26"/>
          <w:lang w:val="en-AU" w:eastAsia="en-AU"/>
        </w:rPr>
        <w:t>Participants who require a specialist built-form</w:t>
      </w:r>
      <w:bookmarkEnd w:id="413"/>
      <w:bookmarkEnd w:id="414"/>
      <w:bookmarkEnd w:id="415"/>
      <w:bookmarkEnd w:id="416"/>
      <w:bookmarkEnd w:id="417"/>
      <w:bookmarkEnd w:id="418"/>
      <w:bookmarkEnd w:id="419"/>
      <w:bookmarkEnd w:id="420"/>
      <w:bookmarkEnd w:id="421"/>
      <w:bookmarkEnd w:id="422"/>
      <w:bookmarkEnd w:id="423"/>
      <w:bookmarkEnd w:id="424"/>
      <w:bookmarkEnd w:id="425"/>
      <w:r w:rsidRPr="00BC25FA">
        <w:rPr>
          <w:rFonts w:asciiTheme="minorHAnsi" w:eastAsiaTheme="minorHAnsi" w:hAnsiTheme="minorHAnsi"/>
          <w:b/>
          <w:bCs/>
          <w:sz w:val="20"/>
          <w:szCs w:val="22"/>
          <w:lang w:val="en-AU" w:eastAsia="en-US"/>
        </w:rPr>
        <w:tab/>
      </w:r>
    </w:p>
    <w:p w14:paraId="411A48B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accommodation needs for some participants are not currently met by the housing market because the functional impairment and impact of their disability requires accommodation with specific design features or amenity which is not readily supplied through mainstream housing and which involves a significant cost beyond what would be funded as home modifications.  </w:t>
      </w:r>
    </w:p>
    <w:p w14:paraId="411A48BA"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These participants need accommodation in properties which are either physically accessible (for example, have ramps and rails) or are designed to minimise the effects of the features of their disability (for example, have a floor plan which facilitates a greater level of independence or building materials and features which minimise sensory stimulation).</w:t>
      </w:r>
    </w:p>
    <w:p w14:paraId="411A48B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B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meeting these criteria are those with high and/or complex needs, including:</w:t>
      </w:r>
    </w:p>
    <w:p w14:paraId="411A48BE"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Those with significant physical limitations; and/or</w:t>
      </w:r>
    </w:p>
    <w:p w14:paraId="411A48BF"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Those who have significant sensory, psychosocial or cognitive impairments.</w:t>
      </w:r>
    </w:p>
    <w:p w14:paraId="411A48C0" w14:textId="77777777" w:rsidR="00BC25FA" w:rsidRPr="00BC25FA" w:rsidRDefault="00BC25FA" w:rsidP="00BC25FA">
      <w:pPr>
        <w:spacing w:after="0" w:line="240" w:lineRule="auto"/>
        <w:ind w:left="720"/>
        <w:contextualSpacing/>
        <w:rPr>
          <w:rFonts w:asciiTheme="minorHAnsi" w:eastAsiaTheme="minorHAnsi" w:hAnsiTheme="minorHAnsi"/>
          <w:sz w:val="20"/>
          <w:szCs w:val="22"/>
          <w:lang w:val="en-AU" w:eastAsia="en-US"/>
        </w:rPr>
      </w:pPr>
    </w:p>
    <w:p w14:paraId="411A48C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will include participants with the diagnoses of:</w:t>
      </w:r>
    </w:p>
    <w:p w14:paraId="411A48C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Spinal cord injury (SCI)</w:t>
      </w:r>
    </w:p>
    <w:p w14:paraId="411A48C3"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Cerebral Palsy </w:t>
      </w:r>
    </w:p>
    <w:p w14:paraId="411A48C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Multiple Sclerosis</w:t>
      </w:r>
    </w:p>
    <w:p w14:paraId="411A48C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Stroke</w:t>
      </w:r>
    </w:p>
    <w:p w14:paraId="411A48C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Intellectual disability (ID) with limited mobility</w:t>
      </w:r>
    </w:p>
    <w:p w14:paraId="411A48C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Global developmental delay</w:t>
      </w:r>
    </w:p>
    <w:p w14:paraId="411A48C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Acquired Brain Injury (ABI) with limited mobility</w:t>
      </w:r>
    </w:p>
    <w:p w14:paraId="411A48C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Autism Spectrum Disorders (ASD)</w:t>
      </w:r>
    </w:p>
    <w:p w14:paraId="411A48C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Psychosocial conditions which may have physical sequelae due to long term medication use, such as schizophrenia</w:t>
      </w:r>
    </w:p>
    <w:p w14:paraId="411A48CB"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C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Noting that not all participants with the diagnosis above will require specialist disability accommodation, the Agency will further develop the criteria it will apply when determining whether a participant requires accommodation of a specialist built form in consultation with jurisdictions. This will include consideration of those who will definitely need accessible accommodation and those, who may, depending on their disability and an inability to live independently in the community.</w:t>
      </w:r>
    </w:p>
    <w:p w14:paraId="411A48CD" w14:textId="77777777" w:rsidR="00BC25FA" w:rsidRPr="00BC25FA" w:rsidRDefault="00BC25FA" w:rsidP="00BC25FA">
      <w:pPr>
        <w:spacing w:after="0" w:line="240" w:lineRule="auto"/>
        <w:rPr>
          <w:rFonts w:asciiTheme="minorHAnsi" w:eastAsiaTheme="minorHAnsi" w:hAnsiTheme="minorHAnsi"/>
          <w:lang w:val="en-AU" w:eastAsia="en-US"/>
        </w:rPr>
      </w:pPr>
    </w:p>
    <w:p w14:paraId="411A48C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26" w:name="_Toc429404578"/>
      <w:bookmarkStart w:id="427" w:name="_Toc430012077"/>
      <w:bookmarkStart w:id="428" w:name="_Toc447030068"/>
      <w:bookmarkStart w:id="429" w:name="_Toc447036020"/>
      <w:bookmarkStart w:id="430" w:name="_Toc447036127"/>
      <w:bookmarkStart w:id="431" w:name="_Toc447036229"/>
      <w:bookmarkStart w:id="432" w:name="_Toc447056868"/>
      <w:bookmarkStart w:id="433" w:name="_Toc447198738"/>
      <w:bookmarkStart w:id="434" w:name="_Toc447225481"/>
      <w:bookmarkStart w:id="435" w:name="_Toc447447125"/>
      <w:bookmarkStart w:id="436" w:name="_Toc447448884"/>
      <w:bookmarkStart w:id="437" w:name="_Toc447450182"/>
      <w:bookmarkStart w:id="438" w:name="_Toc447450429"/>
      <w:r w:rsidRPr="00BC25FA">
        <w:rPr>
          <w:rFonts w:asciiTheme="minorHAnsi" w:eastAsiaTheme="majorEastAsia" w:hAnsiTheme="minorHAnsi" w:cs="Arial"/>
          <w:b/>
          <w:bCs/>
          <w:snapToGrid w:val="0"/>
          <w:szCs w:val="26"/>
          <w:lang w:val="en-AU" w:eastAsia="en-AU"/>
        </w:rPr>
        <w:t>Participants with high support needs that can only be met cost effectively by specialist disability accommodation</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411A48CF"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participant could live independently if unlimited funds are available to support them in their home.  Enabling every NDIS participant to live independently with their required levels of supports would be prohibitively expensive for the NDIS.   </w:t>
      </w:r>
    </w:p>
    <w:p w14:paraId="411A48D0" w14:textId="77777777" w:rsidR="00BC25FA" w:rsidRPr="00BC25FA" w:rsidRDefault="00BC25FA" w:rsidP="00BC25FA">
      <w:pPr>
        <w:spacing w:after="0" w:line="240" w:lineRule="auto"/>
        <w:rPr>
          <w:rFonts w:asciiTheme="minorHAnsi" w:eastAsiaTheme="minorHAnsi" w:hAnsiTheme="minorHAnsi"/>
          <w:lang w:val="en-AU" w:eastAsia="en-US"/>
        </w:rPr>
      </w:pPr>
    </w:p>
    <w:p w14:paraId="411A48D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factors which best indicate the need for specialist disability accommodation are:</w:t>
      </w:r>
    </w:p>
    <w:p w14:paraId="411A48D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Level of complexity of the available support required;</w:t>
      </w:r>
    </w:p>
    <w:p w14:paraId="411A48D3"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Need to minimise risk to the participant, and in some situations, to the community;</w:t>
      </w:r>
    </w:p>
    <w:p w14:paraId="411A48D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 xml:space="preserve">Capacity of informal supports to maintain these participants in the community; </w:t>
      </w:r>
    </w:p>
    <w:p w14:paraId="411A48D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Cost of keeping the participant in independent community living; and</w:t>
      </w:r>
    </w:p>
    <w:p w14:paraId="411A48D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Capacity or capability of the person to live outside of a specialist disability accommodation arrangements</w:t>
      </w:r>
    </w:p>
    <w:p w14:paraId="411A48D7"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D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These factors are linked and a combination must be present together in a participant for whom specialist disability accommodation funds are reasonable and necessary.</w:t>
      </w:r>
    </w:p>
    <w:p w14:paraId="411A48D9"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DA" w14:textId="77777777" w:rsidR="00BC25FA" w:rsidRPr="00BC25FA" w:rsidRDefault="00BC25FA" w:rsidP="00BC25FA">
      <w:pPr>
        <w:keepNext/>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Level of complexity of the available support</w:t>
      </w:r>
    </w:p>
    <w:p w14:paraId="411A48D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with high levels of complex or specialised needs can find it difficult to source the support that they need (particularly for example some rural and remote regions).  Setting up and maintaining very high intensity support programs for participants requiring 1:1 or more support for long periods (for example 24 hour care) are particularly difficult to reliably source and staff, even in some metropolitan areas.  Providing support for participants in a shared living arrangement, where staff and other resources can support more than one participant is often an effective strategy in these situations.</w:t>
      </w:r>
    </w:p>
    <w:p w14:paraId="411A48D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DD"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Level of risk</w:t>
      </w:r>
    </w:p>
    <w:p w14:paraId="411A48DE"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relates to a number of issues, including:</w:t>
      </w:r>
    </w:p>
    <w:p w14:paraId="411A48DF"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way a participant responds to safety risks, alarms and the like and are able to remove themselves from the hazard or get assistance quickly enough to help them do so;</w:t>
      </w:r>
    </w:p>
    <w:p w14:paraId="411A48E0"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minimisation of risks to a participant’s safety or functional performance due to the diagnosis which may be minimised by design features (for example walkways which channel residents into living areas); and</w:t>
      </w:r>
    </w:p>
    <w:p w14:paraId="411A48E1"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any risks that a participant may present to the community or others in the household due to challenging behaviours if living independently or with families or carers in the community.</w:t>
      </w:r>
    </w:p>
    <w:p w14:paraId="411A48E2"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3" w14:textId="77777777" w:rsidR="00BC25FA" w:rsidRPr="00BC25FA" w:rsidRDefault="00BC25FA" w:rsidP="001D0000">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presence of these risks is not generally something that could be identified reliably from the participant’s diagnosis or severity but requires some knowledge of the participant.</w:t>
      </w:r>
    </w:p>
    <w:p w14:paraId="411A48E4" w14:textId="77777777" w:rsidR="00BC25FA" w:rsidRPr="001D0000" w:rsidRDefault="00BC25FA" w:rsidP="001D0000">
      <w:pPr>
        <w:spacing w:after="0" w:line="240" w:lineRule="auto"/>
        <w:ind w:left="426"/>
        <w:contextualSpacing/>
        <w:rPr>
          <w:rFonts w:asciiTheme="minorHAnsi" w:eastAsia="Times New Roman" w:hAnsiTheme="minorHAnsi" w:cs="Times New Roman"/>
          <w:snapToGrid w:val="0"/>
          <w:lang w:val="en-AU" w:eastAsia="en-AU"/>
        </w:rPr>
      </w:pPr>
    </w:p>
    <w:p w14:paraId="411A48E5" w14:textId="77777777" w:rsidR="00BC25FA" w:rsidRPr="00BC25FA" w:rsidRDefault="00BC25FA" w:rsidP="001D0000">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current risk assessment section of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Planning Conversation Tool does not sufficiently explore the participant’s capacity in these areas.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will undertake further work on this issue.</w:t>
      </w:r>
    </w:p>
    <w:p w14:paraId="411A48E6"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7"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Informal support</w:t>
      </w:r>
    </w:p>
    <w:p w14:paraId="411A48E8"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relates to the participant’s support network and the capacity and capability it has to maintain the person in the community outside a specialist disability accommodation arrangement.  The sustainability of these supports is an important feature here as many people with very severe levels of disability remain at home because families or other carers are willing and able to continue to support them.</w:t>
      </w:r>
    </w:p>
    <w:p w14:paraId="411A48E9"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A"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Cost effectiveness of maintaining the participant in the community</w:t>
      </w:r>
    </w:p>
    <w:p w14:paraId="411A48EB"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requiring very high levels of support, especially 1:1 support, are very expensive to maintain individually in the community.  This is particularly so for participants who require 24 hours care per day or who require more than one carer to be in attendance at any one time.  Supporting all NDIS participants to live independently would not be sustainable for the NDIS.  The economies of scale of having very high need participants supported in shared living arrangements, where staff and other resources can be brought together to support more than one participant, means that specialist disability accommodation is often the most cost effective option for supporting these participants.</w:t>
      </w:r>
    </w:p>
    <w:p w14:paraId="411A48E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D" w14:textId="77777777" w:rsidR="001D0000" w:rsidRDefault="001D0000" w:rsidP="00BC25FA">
      <w:pPr>
        <w:spacing w:after="0" w:line="240" w:lineRule="auto"/>
        <w:rPr>
          <w:rFonts w:asciiTheme="minorHAnsi" w:eastAsiaTheme="minorHAnsi" w:hAnsiTheme="minorHAnsi" w:cs="Times New Roman"/>
          <w:i/>
          <w:lang w:val="en-AU" w:eastAsia="en-US"/>
        </w:rPr>
      </w:pPr>
      <w:r>
        <w:rPr>
          <w:rFonts w:asciiTheme="minorHAnsi" w:eastAsiaTheme="minorHAnsi" w:hAnsiTheme="minorHAnsi" w:cs="Times New Roman"/>
          <w:i/>
          <w:lang w:val="en-AU" w:eastAsia="en-US"/>
        </w:rPr>
        <w:br w:type="page"/>
      </w:r>
    </w:p>
    <w:p w14:paraId="411A48EE"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lastRenderedPageBreak/>
        <w:t>Capacity or capability of the participant</w:t>
      </w:r>
    </w:p>
    <w:p w14:paraId="411A48EF"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 individual’s circumstance may be such that they have resided in supported accommodation for a significant period time, such that their capacity to live outside of a specialist disability accommodation arrangement is limited. The individual may require ongoing supported accommodation for a period of time as they transition to alternative accommodation arrangements that are appropriate for their circumstances. </w:t>
      </w:r>
    </w:p>
    <w:p w14:paraId="411A48F0"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1"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Building on the above, the Agency will develop and publish the criteria it will apply when determining whether specialist disability accommodation is reasonable and necessary for a participant on the basis of their high support needs and other circumstances. This will includes consideration of those who will definitely need accessible accommodation and those, who may, depending on the supports available to them.</w:t>
      </w:r>
    </w:p>
    <w:p w14:paraId="411A48F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3"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napToGrid w:val="0"/>
          <w:sz w:val="24"/>
          <w:szCs w:val="28"/>
          <w:lang w:val="en-AU" w:eastAsia="en-AU"/>
        </w:rPr>
      </w:pPr>
      <w:bookmarkStart w:id="439" w:name="_Toc429404579"/>
      <w:bookmarkStart w:id="440" w:name="_Toc430012078"/>
      <w:bookmarkStart w:id="441" w:name="_Toc447030069"/>
      <w:bookmarkStart w:id="442" w:name="_Toc447036021"/>
      <w:bookmarkStart w:id="443" w:name="_Toc447036128"/>
      <w:bookmarkStart w:id="444" w:name="_Toc447036230"/>
      <w:bookmarkStart w:id="445" w:name="_Toc447056869"/>
      <w:bookmarkStart w:id="446" w:name="_Toc447198739"/>
      <w:bookmarkStart w:id="447" w:name="_Toc447225482"/>
      <w:bookmarkStart w:id="448" w:name="_Toc447447126"/>
      <w:bookmarkStart w:id="449" w:name="_Toc447448885"/>
      <w:bookmarkStart w:id="450" w:name="_Toc447450183"/>
      <w:bookmarkStart w:id="451" w:name="_Toc447450430"/>
      <w:r w:rsidRPr="00BC25FA">
        <w:rPr>
          <w:rFonts w:asciiTheme="minorHAnsi" w:eastAsiaTheme="majorEastAsia" w:hAnsiTheme="minorHAnsi" w:cs="Arial"/>
          <w:b/>
          <w:bCs/>
          <w:snapToGrid w:val="0"/>
          <w:sz w:val="24"/>
          <w:szCs w:val="28"/>
          <w:lang w:val="en-AU" w:eastAsia="en-AU"/>
        </w:rPr>
        <w:t>Part 4 – Registration, approved dwellings, security of tenure</w:t>
      </w:r>
      <w:bookmarkEnd w:id="439"/>
      <w:bookmarkEnd w:id="440"/>
      <w:bookmarkEnd w:id="441"/>
      <w:bookmarkEnd w:id="442"/>
      <w:bookmarkEnd w:id="443"/>
      <w:bookmarkEnd w:id="444"/>
      <w:bookmarkEnd w:id="445"/>
      <w:bookmarkEnd w:id="446"/>
      <w:bookmarkEnd w:id="447"/>
      <w:bookmarkEnd w:id="448"/>
      <w:bookmarkEnd w:id="449"/>
      <w:bookmarkEnd w:id="450"/>
      <w:bookmarkEnd w:id="451"/>
    </w:p>
    <w:p w14:paraId="411A48F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52" w:name="_Toc429404580"/>
      <w:bookmarkStart w:id="453" w:name="_Toc430012079"/>
      <w:bookmarkStart w:id="454" w:name="_Toc447030070"/>
      <w:bookmarkStart w:id="455" w:name="_Toc447036022"/>
      <w:bookmarkStart w:id="456" w:name="_Toc447036129"/>
      <w:bookmarkStart w:id="457" w:name="_Toc447036231"/>
      <w:bookmarkStart w:id="458" w:name="_Toc447056870"/>
      <w:bookmarkStart w:id="459" w:name="_Toc447198740"/>
      <w:bookmarkStart w:id="460" w:name="_Toc447225483"/>
      <w:bookmarkStart w:id="461" w:name="_Toc447447127"/>
      <w:bookmarkStart w:id="462" w:name="_Toc447448886"/>
      <w:bookmarkStart w:id="463" w:name="_Toc447450184"/>
      <w:bookmarkStart w:id="464" w:name="_Toc447450431"/>
      <w:r w:rsidRPr="00BC25FA">
        <w:rPr>
          <w:rFonts w:asciiTheme="minorHAnsi" w:eastAsiaTheme="majorEastAsia" w:hAnsiTheme="minorHAnsi" w:cs="Arial"/>
          <w:b/>
          <w:bCs/>
          <w:snapToGrid w:val="0"/>
          <w:szCs w:val="26"/>
          <w:lang w:val="en-AU" w:eastAsia="en-AU"/>
        </w:rPr>
        <w:t>A modified market</w:t>
      </w:r>
      <w:bookmarkEnd w:id="452"/>
      <w:bookmarkEnd w:id="453"/>
      <w:bookmarkEnd w:id="454"/>
      <w:bookmarkEnd w:id="455"/>
      <w:bookmarkEnd w:id="456"/>
      <w:bookmarkEnd w:id="457"/>
      <w:bookmarkEnd w:id="458"/>
      <w:bookmarkEnd w:id="459"/>
      <w:bookmarkEnd w:id="460"/>
      <w:bookmarkEnd w:id="461"/>
      <w:bookmarkEnd w:id="462"/>
      <w:bookmarkEnd w:id="463"/>
      <w:bookmarkEnd w:id="464"/>
      <w:r w:rsidRPr="00BC25FA">
        <w:rPr>
          <w:rFonts w:asciiTheme="minorHAnsi" w:eastAsiaTheme="majorEastAsia" w:hAnsiTheme="minorHAnsi" w:cs="Arial"/>
          <w:b/>
          <w:bCs/>
          <w:snapToGrid w:val="0"/>
          <w:szCs w:val="26"/>
          <w:lang w:val="en-AU" w:eastAsia="en-AU"/>
        </w:rPr>
        <w:t xml:space="preserve"> </w:t>
      </w:r>
    </w:p>
    <w:p w14:paraId="411A48F5" w14:textId="77777777" w:rsidR="00BC25FA" w:rsidRPr="001D0000"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1D0000">
        <w:rPr>
          <w:rFonts w:asciiTheme="minorHAnsi" w:eastAsia="Times New Roman" w:hAnsiTheme="minorHAnsi" w:cs="Times New Roman"/>
          <w:snapToGrid w:val="0"/>
          <w:lang w:val="en-AU" w:eastAsia="en-AU"/>
        </w:rPr>
        <w:t>It is recognised that the existing stock of supported accommodation (such as group homes, large residential centres) is essential to ensuring the ongoing supply of appropriate specialist accommodation. A key priority is to facilitate the transition of the existing stock of supported accommodation into the NDIS. Funding will allow for the continuity of supply of the existing stock of supported accommodation (State owned or non-government owned) and also ensure there is scope for replacement, change and innovation over time.</w:t>
      </w:r>
    </w:p>
    <w:p w14:paraId="411A48F6" w14:textId="77777777" w:rsidR="00BC25FA" w:rsidRPr="00BC25FA" w:rsidRDefault="00BC25FA" w:rsidP="00BC25FA">
      <w:pPr>
        <w:spacing w:after="0" w:line="240" w:lineRule="auto"/>
        <w:ind w:left="360"/>
        <w:rPr>
          <w:rFonts w:asciiTheme="minorHAnsi" w:eastAsia="Times New Roman" w:hAnsiTheme="minorHAnsi" w:cs="Times New Roman"/>
          <w:snapToGrid w:val="0"/>
          <w:lang w:val="en-AU" w:eastAsia="en-AU"/>
        </w:rPr>
      </w:pPr>
    </w:p>
    <w:p w14:paraId="411A48F7"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design of the NDIS has sought to embed a market based approach where feasible, by putting funds into the hands of participants (to the extent possible).  There are market constraints on the feasibility of this</w:t>
      </w:r>
      <w:r w:rsidR="00FD1D3A" w:rsidRPr="00BC25FA">
        <w:rPr>
          <w:rFonts w:asciiTheme="minorHAnsi" w:eastAsia="Times New Roman" w:hAnsiTheme="minorHAnsi" w:cs="Times New Roman"/>
          <w:snapToGrid w:val="0"/>
          <w:lang w:val="en-AU" w:eastAsia="en-AU"/>
        </w:rPr>
        <w:t>, including</w:t>
      </w:r>
      <w:r w:rsidRPr="00BC25FA">
        <w:rPr>
          <w:rFonts w:asciiTheme="minorHAnsi" w:eastAsia="Times New Roman" w:hAnsiTheme="minorHAnsi" w:cs="Times New Roman"/>
          <w:snapToGrid w:val="0"/>
          <w:lang w:val="en-AU" w:eastAsia="en-AU"/>
        </w:rPr>
        <w:t xml:space="preserve"> that:</w:t>
      </w:r>
    </w:p>
    <w:p w14:paraId="411A48F8"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F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Housing involves substantial capital investments that create returns over the long term. It is not responsive to short-run changes in market dynamics.</w:t>
      </w:r>
    </w:p>
    <w:p w14:paraId="411A48F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It is an area where the market may not respond fully or quickly to demand, especially in respect of required built forms that are not typically available in the broader housing market; thereby requiring some market incentive.</w:t>
      </w:r>
    </w:p>
    <w:p w14:paraId="411A48FB"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a number of locations, there are serious shortages of affordable accommodation for low income earners; which may impact disproportionately on NDIS participants with complex needs and reliant on income support.</w:t>
      </w:r>
    </w:p>
    <w:p w14:paraId="411A48FC"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There is a need to ensure that the scheme does not replace existing effort in the social and community housing sectors which are primarily responsible for addressing the housing needs of people on low incomes.</w:t>
      </w:r>
    </w:p>
    <w:p w14:paraId="411A48FD"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E"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Consequently, the Agency will need the flexibility to target funding in respect of approved dwellings, to ensure the best accommodation outcomes can be secured for participants who have a reasonable and necessary need for specialist disability accommodation, while ensuring the sustainability of the NDIS. </w:t>
      </w:r>
    </w:p>
    <w:p w14:paraId="411A48FF"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00"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65" w:name="_Toc429404581"/>
      <w:bookmarkStart w:id="466" w:name="_Toc430012080"/>
      <w:bookmarkStart w:id="467" w:name="_Toc447030071"/>
      <w:bookmarkStart w:id="468" w:name="_Toc447036023"/>
      <w:bookmarkStart w:id="469" w:name="_Toc447036130"/>
      <w:bookmarkStart w:id="470" w:name="_Toc447036232"/>
      <w:bookmarkStart w:id="471" w:name="_Toc447056871"/>
      <w:bookmarkStart w:id="472" w:name="_Toc447198741"/>
      <w:bookmarkStart w:id="473" w:name="_Toc447225484"/>
      <w:bookmarkStart w:id="474" w:name="_Toc447447128"/>
      <w:bookmarkStart w:id="475" w:name="_Toc447448887"/>
      <w:bookmarkStart w:id="476" w:name="_Toc447450185"/>
      <w:bookmarkStart w:id="477" w:name="_Toc447450432"/>
      <w:r w:rsidRPr="00BC25FA">
        <w:rPr>
          <w:rFonts w:asciiTheme="minorHAnsi" w:eastAsiaTheme="majorEastAsia" w:hAnsiTheme="minorHAnsi" w:cs="Arial"/>
          <w:b/>
          <w:bCs/>
          <w:snapToGrid w:val="0"/>
          <w:szCs w:val="26"/>
          <w:lang w:val="en-AU" w:eastAsia="en-AU"/>
        </w:rPr>
        <w:t>Registration of approved dwellings</w:t>
      </w:r>
      <w:bookmarkEnd w:id="465"/>
      <w:bookmarkEnd w:id="466"/>
      <w:bookmarkEnd w:id="467"/>
      <w:bookmarkEnd w:id="468"/>
      <w:bookmarkEnd w:id="469"/>
      <w:bookmarkEnd w:id="470"/>
      <w:bookmarkEnd w:id="471"/>
      <w:bookmarkEnd w:id="472"/>
      <w:bookmarkEnd w:id="473"/>
      <w:bookmarkEnd w:id="474"/>
      <w:bookmarkEnd w:id="475"/>
      <w:bookmarkEnd w:id="476"/>
      <w:bookmarkEnd w:id="477"/>
    </w:p>
    <w:p w14:paraId="411A490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will implement a provider registration system. Funding will only be directed in respect of registered and approved providers for approved dwellings. </w:t>
      </w:r>
    </w:p>
    <w:p w14:paraId="411A4902"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0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For payments to be made in respect of participants for specialist disability accommodation, the participant must be resident in a dwelling approved by the Agency for this purpose.</w:t>
      </w:r>
    </w:p>
    <w:p w14:paraId="411A4904"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Approved dwellings for specialist disability accommodation include:</w:t>
      </w:r>
    </w:p>
    <w:p w14:paraId="411A490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or territory managed or funded supported accommodation dwellings at the time that the scheme became operational in a location;</w:t>
      </w:r>
    </w:p>
    <w:p w14:paraId="411A490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Commonwealth funded aged residential care facilities;</w:t>
      </w:r>
    </w:p>
    <w:p w14:paraId="411A490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Dwellings incentivised under the second funding stream (see Part 5 below); and</w:t>
      </w:r>
    </w:p>
    <w:p w14:paraId="411A490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Any other dwelling the Agency approves for this purpose.</w:t>
      </w:r>
    </w:p>
    <w:p w14:paraId="411A490A"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B"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For participants who choose to self-manage their funding, funding for specialist disability accommodation will only be provided where the Agency approves the residential dwelling for this purpose. </w:t>
      </w:r>
    </w:p>
    <w:p w14:paraId="411A490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how it manages this requirement.</w:t>
      </w:r>
    </w:p>
    <w:p w14:paraId="411A490E"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0F"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78" w:name="_Toc430012081"/>
      <w:bookmarkStart w:id="479" w:name="_Toc447030072"/>
      <w:bookmarkStart w:id="480" w:name="_Toc447036024"/>
      <w:bookmarkStart w:id="481" w:name="_Toc447036131"/>
      <w:bookmarkStart w:id="482" w:name="_Toc447036233"/>
      <w:bookmarkStart w:id="483" w:name="_Toc447056872"/>
      <w:bookmarkStart w:id="484" w:name="_Toc447198742"/>
      <w:bookmarkStart w:id="485" w:name="_Toc447225485"/>
      <w:bookmarkStart w:id="486" w:name="_Toc447447129"/>
      <w:bookmarkStart w:id="487" w:name="_Toc447448888"/>
      <w:bookmarkStart w:id="488" w:name="_Toc447450186"/>
      <w:bookmarkStart w:id="489" w:name="_Toc447450433"/>
      <w:r w:rsidRPr="00BC25FA">
        <w:rPr>
          <w:rFonts w:asciiTheme="minorHAnsi" w:eastAsiaTheme="majorEastAsia" w:hAnsiTheme="minorHAnsi" w:cs="Arial"/>
          <w:b/>
          <w:bCs/>
          <w:snapToGrid w:val="0"/>
          <w:szCs w:val="26"/>
          <w:lang w:val="en-AU" w:eastAsia="en-AU"/>
        </w:rPr>
        <w:t>Further Work</w:t>
      </w:r>
      <w:bookmarkEnd w:id="478"/>
      <w:bookmarkEnd w:id="479"/>
      <w:bookmarkEnd w:id="480"/>
      <w:bookmarkEnd w:id="481"/>
      <w:bookmarkEnd w:id="482"/>
      <w:bookmarkEnd w:id="483"/>
      <w:bookmarkEnd w:id="484"/>
      <w:bookmarkEnd w:id="485"/>
      <w:bookmarkEnd w:id="486"/>
      <w:bookmarkEnd w:id="487"/>
      <w:bookmarkEnd w:id="488"/>
      <w:bookmarkEnd w:id="489"/>
    </w:p>
    <w:p w14:paraId="411A4910"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1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quality and safeguarding aspects of specialist disability accommodation require further work. The work will be undertaken by the housing sub group with a report back to DRC at their next meeting. </w:t>
      </w:r>
    </w:p>
    <w:p w14:paraId="411A491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Subject to further work, the dwelling approval process may also include minimum requirements, and may be linked to the provider registration process in the NDIS Act.</w:t>
      </w:r>
    </w:p>
    <w:p w14:paraId="411A4914"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specify requirements relating to:</w:t>
      </w:r>
    </w:p>
    <w:p w14:paraId="411A491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quality and standards that must be met by accommodation providers, noting this may leverage existing mechanisms, such as the national community housing regulatory system, State-based building codes and other mechanisms as deemed appropriate by the </w:t>
      </w:r>
      <w:r w:rsidR="004D4B94">
        <w:rPr>
          <w:rFonts w:asciiTheme="minorHAnsi" w:eastAsia="Times New Roman" w:hAnsiTheme="minorHAnsi" w:cs="Times New Roman"/>
          <w:snapToGrid w:val="0"/>
          <w:lang w:val="en-AU" w:eastAsia="en-AU"/>
        </w:rPr>
        <w:t>Agency</w:t>
      </w:r>
    </w:p>
    <w:p w14:paraId="411A491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rights and responsibilities of accommodation providers, residents and support providers, and how this will be implemented</w:t>
      </w:r>
    </w:p>
    <w:p w14:paraId="411A491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security of tenure and safeguarding arrangements for residents.</w:t>
      </w:r>
    </w:p>
    <w:p w14:paraId="411A491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how providers will calculate and apply resident contributions.</w:t>
      </w:r>
    </w:p>
    <w:p w14:paraId="411A491A"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1B"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mechanism for regulation and monitoring of these requirements will be considered through this further work. </w:t>
      </w:r>
    </w:p>
    <w:p w14:paraId="411A491C"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D"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napToGrid w:val="0"/>
          <w:sz w:val="24"/>
          <w:szCs w:val="28"/>
          <w:lang w:val="en-AU" w:eastAsia="en-AU"/>
        </w:rPr>
      </w:pPr>
      <w:bookmarkStart w:id="490" w:name="_Toc429404582"/>
      <w:bookmarkStart w:id="491" w:name="_Toc430012082"/>
      <w:bookmarkStart w:id="492" w:name="_Toc447030073"/>
      <w:bookmarkStart w:id="493" w:name="_Toc447036025"/>
      <w:bookmarkStart w:id="494" w:name="_Toc447036132"/>
      <w:bookmarkStart w:id="495" w:name="_Toc447036234"/>
      <w:bookmarkStart w:id="496" w:name="_Toc447056873"/>
      <w:bookmarkStart w:id="497" w:name="_Toc447198743"/>
      <w:bookmarkStart w:id="498" w:name="_Toc447225486"/>
      <w:bookmarkStart w:id="499" w:name="_Toc447447130"/>
      <w:bookmarkStart w:id="500" w:name="_Toc447448889"/>
      <w:bookmarkStart w:id="501" w:name="_Toc447450187"/>
      <w:bookmarkStart w:id="502" w:name="_Toc447450434"/>
      <w:r w:rsidRPr="00BC25FA">
        <w:rPr>
          <w:rFonts w:asciiTheme="minorHAnsi" w:eastAsiaTheme="majorEastAsia" w:hAnsiTheme="minorHAnsi" w:cs="Arial"/>
          <w:b/>
          <w:bCs/>
          <w:snapToGrid w:val="0"/>
          <w:sz w:val="24"/>
          <w:szCs w:val="28"/>
          <w:lang w:val="en-AU" w:eastAsia="en-AU"/>
        </w:rPr>
        <w:t>Part 5 – Miscellaneous</w:t>
      </w:r>
      <w:bookmarkEnd w:id="490"/>
      <w:bookmarkEnd w:id="491"/>
      <w:bookmarkEnd w:id="492"/>
      <w:bookmarkEnd w:id="493"/>
      <w:bookmarkEnd w:id="494"/>
      <w:bookmarkEnd w:id="495"/>
      <w:bookmarkEnd w:id="496"/>
      <w:bookmarkEnd w:id="497"/>
      <w:bookmarkEnd w:id="498"/>
      <w:bookmarkEnd w:id="499"/>
      <w:bookmarkEnd w:id="500"/>
      <w:bookmarkEnd w:id="501"/>
      <w:bookmarkEnd w:id="502"/>
    </w:p>
    <w:p w14:paraId="411A491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03" w:name="_Toc429404583"/>
      <w:bookmarkStart w:id="504" w:name="_Toc430012083"/>
      <w:bookmarkStart w:id="505" w:name="_Toc447030074"/>
      <w:bookmarkStart w:id="506" w:name="_Toc447036026"/>
      <w:bookmarkStart w:id="507" w:name="_Toc447036133"/>
      <w:bookmarkStart w:id="508" w:name="_Toc447036235"/>
      <w:bookmarkStart w:id="509" w:name="_Toc447056874"/>
      <w:bookmarkStart w:id="510" w:name="_Toc447198744"/>
      <w:bookmarkStart w:id="511" w:name="_Toc447225487"/>
      <w:bookmarkStart w:id="512" w:name="_Toc447447131"/>
      <w:bookmarkStart w:id="513" w:name="_Toc447448890"/>
      <w:bookmarkStart w:id="514" w:name="_Toc447450188"/>
      <w:bookmarkStart w:id="515" w:name="_Toc447450435"/>
      <w:r w:rsidRPr="00BC25FA">
        <w:rPr>
          <w:rFonts w:asciiTheme="minorHAnsi" w:eastAsiaTheme="majorEastAsia" w:hAnsiTheme="minorHAnsi" w:cs="Arial"/>
          <w:b/>
          <w:bCs/>
          <w:snapToGrid w:val="0"/>
          <w:szCs w:val="26"/>
          <w:lang w:val="en-AU" w:eastAsia="en-AU"/>
        </w:rPr>
        <w:t>Flexibility</w:t>
      </w:r>
      <w:bookmarkEnd w:id="503"/>
      <w:bookmarkEnd w:id="504"/>
      <w:bookmarkEnd w:id="505"/>
      <w:bookmarkEnd w:id="506"/>
      <w:bookmarkEnd w:id="507"/>
      <w:bookmarkEnd w:id="508"/>
      <w:bookmarkEnd w:id="509"/>
      <w:bookmarkEnd w:id="510"/>
      <w:bookmarkEnd w:id="511"/>
      <w:bookmarkEnd w:id="512"/>
      <w:bookmarkEnd w:id="513"/>
      <w:bookmarkEnd w:id="514"/>
      <w:bookmarkEnd w:id="515"/>
    </w:p>
    <w:p w14:paraId="411A491F"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Nothing in this Framework prevents the Agency from making other payments in respect of housing or accommodation arrangements that are consistent with the NDIS Act. </w:t>
      </w:r>
    </w:p>
    <w:p w14:paraId="411A4920"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2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includes any funding arrangements the Agency may need to facilitate the supply of specialist disability accommodation, where the market is not responding appropriately to the demand for places, and/or where innovative built forms or financing arrangements are needed.</w:t>
      </w:r>
    </w:p>
    <w:p w14:paraId="411A4922"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2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can also enter into voluntary agreements with existing or prospective accommodation providers to reduce payments below the benchmark price in recognition that families, carers, faith groups, philanthropic bodies, local government bodies and others may wish to make an ongoing contribution to the provision of specialist disability accommodation.</w:t>
      </w:r>
    </w:p>
    <w:p w14:paraId="411A4924"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25"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16" w:name="_Toc429404584"/>
      <w:bookmarkStart w:id="517" w:name="_Toc430012084"/>
      <w:bookmarkStart w:id="518" w:name="_Toc447030075"/>
      <w:bookmarkStart w:id="519" w:name="_Toc447036027"/>
      <w:bookmarkStart w:id="520" w:name="_Toc447036134"/>
      <w:bookmarkStart w:id="521" w:name="_Toc447036236"/>
      <w:bookmarkStart w:id="522" w:name="_Toc447056875"/>
      <w:bookmarkStart w:id="523" w:name="_Toc447198745"/>
      <w:bookmarkStart w:id="524" w:name="_Toc447225488"/>
      <w:bookmarkStart w:id="525" w:name="_Toc447447132"/>
      <w:bookmarkStart w:id="526" w:name="_Toc447448891"/>
      <w:bookmarkStart w:id="527" w:name="_Toc447450189"/>
      <w:bookmarkStart w:id="528" w:name="_Toc447450436"/>
      <w:r w:rsidRPr="00BC25FA">
        <w:rPr>
          <w:rFonts w:asciiTheme="minorHAnsi" w:eastAsiaTheme="majorEastAsia" w:hAnsiTheme="minorHAnsi" w:cs="Arial"/>
          <w:b/>
          <w:bCs/>
          <w:snapToGrid w:val="0"/>
          <w:szCs w:val="26"/>
          <w:lang w:val="en-AU" w:eastAsia="en-AU"/>
        </w:rPr>
        <w:lastRenderedPageBreak/>
        <w:t>Transition of residents in supported accommodation and aged residential care</w:t>
      </w:r>
      <w:bookmarkEnd w:id="516"/>
      <w:bookmarkEnd w:id="517"/>
      <w:bookmarkEnd w:id="518"/>
      <w:bookmarkEnd w:id="519"/>
      <w:bookmarkEnd w:id="520"/>
      <w:bookmarkEnd w:id="521"/>
      <w:bookmarkEnd w:id="522"/>
      <w:bookmarkEnd w:id="523"/>
      <w:bookmarkEnd w:id="524"/>
      <w:bookmarkEnd w:id="525"/>
      <w:bookmarkEnd w:id="526"/>
      <w:bookmarkEnd w:id="527"/>
      <w:bookmarkEnd w:id="528"/>
    </w:p>
    <w:p w14:paraId="411A4926"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Some people living in existing specialist disability accommodation may not be assessed as:</w:t>
      </w:r>
    </w:p>
    <w:p w14:paraId="411A492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qualifying as an NDIS participant; or</w:t>
      </w:r>
    </w:p>
    <w:p w14:paraId="411A492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having a reasonable and necessary need for specialist disability accommodation on entry to the NDIS. </w:t>
      </w:r>
    </w:p>
    <w:p w14:paraId="411A492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2A" w14:textId="77777777" w:rsidR="00BC25FA" w:rsidRPr="0009478E"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Continuity of support arrangements will be developed for people living in existing specialist disability accommodation who are in these situations. These arrangements will either retain the person in their current accommodation or find new accommodation or other arrangements appropriate to their needs.</w:t>
      </w:r>
      <w:r w:rsidR="0009478E">
        <w:rPr>
          <w:rFonts w:asciiTheme="minorHAnsi" w:eastAsia="Times New Roman" w:hAnsiTheme="minorHAnsi" w:cs="Times New Roman"/>
          <w:snapToGrid w:val="0"/>
          <w:lang w:val="en-AU" w:eastAsia="en-AU"/>
        </w:rPr>
        <w:t xml:space="preserve"> </w:t>
      </w:r>
    </w:p>
    <w:p w14:paraId="411A492B"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2C"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Continuity of support arrangements will apply to people who are ineligible for the NDIS and are/were resident in state or territory managed or funded supported accommodation and residential aged care facilities at the time the scheme was/is rolled out in their location.</w:t>
      </w:r>
      <w:r w:rsidRPr="00BC25FA">
        <w:rPr>
          <w:rFonts w:asciiTheme="minorHAnsi" w:eastAsia="Times New Roman" w:hAnsiTheme="minorHAnsi" w:cs="Arial"/>
          <w:snapToGrid w:val="0"/>
          <w:vertAlign w:val="superscript"/>
          <w:lang w:val="en-AU" w:eastAsia="en-AU"/>
        </w:rPr>
        <w:footnoteReference w:id="6"/>
      </w:r>
    </w:p>
    <w:p w14:paraId="411A492D"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2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29" w:name="_Toc429404585"/>
      <w:bookmarkStart w:id="530" w:name="_Toc430012085"/>
      <w:bookmarkStart w:id="531" w:name="_Toc447030076"/>
      <w:bookmarkStart w:id="532" w:name="_Toc447036028"/>
      <w:bookmarkStart w:id="533" w:name="_Toc447036135"/>
      <w:bookmarkStart w:id="534" w:name="_Toc447036237"/>
      <w:bookmarkStart w:id="535" w:name="_Toc447056876"/>
      <w:bookmarkStart w:id="536" w:name="_Toc447198746"/>
      <w:bookmarkStart w:id="537" w:name="_Toc447225489"/>
      <w:bookmarkStart w:id="538" w:name="_Toc447447133"/>
      <w:bookmarkStart w:id="539" w:name="_Toc447448892"/>
      <w:bookmarkStart w:id="540" w:name="_Toc447450190"/>
      <w:bookmarkStart w:id="541" w:name="_Toc447450437"/>
      <w:r w:rsidRPr="00BC25FA">
        <w:rPr>
          <w:rFonts w:asciiTheme="minorHAnsi" w:eastAsiaTheme="majorEastAsia" w:hAnsiTheme="minorHAnsi" w:cs="Arial"/>
          <w:b/>
          <w:bCs/>
          <w:snapToGrid w:val="0"/>
          <w:szCs w:val="26"/>
          <w:lang w:val="en-AU" w:eastAsia="en-AU"/>
        </w:rPr>
        <w:t>Notification</w:t>
      </w:r>
      <w:bookmarkEnd w:id="529"/>
      <w:bookmarkEnd w:id="530"/>
      <w:bookmarkEnd w:id="531"/>
      <w:bookmarkEnd w:id="532"/>
      <w:bookmarkEnd w:id="533"/>
      <w:bookmarkEnd w:id="534"/>
      <w:bookmarkEnd w:id="535"/>
      <w:bookmarkEnd w:id="536"/>
      <w:bookmarkEnd w:id="537"/>
      <w:bookmarkEnd w:id="538"/>
      <w:bookmarkEnd w:id="539"/>
      <w:bookmarkEnd w:id="540"/>
      <w:bookmarkEnd w:id="541"/>
    </w:p>
    <w:p w14:paraId="411A492F" w14:textId="77777777" w:rsidR="00BC25FA" w:rsidRPr="00BC25FA" w:rsidRDefault="00BC25FA" w:rsidP="0009478E">
      <w:pPr>
        <w:spacing w:after="0" w:line="240" w:lineRule="auto"/>
        <w:ind w:left="426" w:hanging="6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need to adjust its cost structures when a state or territory government wishes to sell or transfer ownership of publicly owned land on which there is an approved dwelling. To give the Agency better capacity to manage these pressures, States and Territories will give the Agency 6 months’ notice of any intention to change the ownership arrangements for publicly owned land. </w:t>
      </w:r>
    </w:p>
    <w:p w14:paraId="411A4930" w14:textId="77777777" w:rsidR="00BC25FA" w:rsidRPr="00BC25FA" w:rsidRDefault="00BC25FA" w:rsidP="0009478E">
      <w:pPr>
        <w:spacing w:after="0" w:line="240" w:lineRule="auto"/>
        <w:ind w:left="426" w:hanging="66"/>
        <w:rPr>
          <w:rFonts w:asciiTheme="minorHAnsi" w:eastAsia="Times New Roman" w:hAnsiTheme="minorHAnsi" w:cs="Times New Roman"/>
          <w:snapToGrid w:val="0"/>
          <w:lang w:val="en-AU" w:eastAsia="en-AU"/>
        </w:rPr>
      </w:pPr>
    </w:p>
    <w:p w14:paraId="411A4931" w14:textId="77777777" w:rsidR="00BC25FA" w:rsidRPr="00BC25FA" w:rsidRDefault="00BC25FA" w:rsidP="0009478E">
      <w:pPr>
        <w:spacing w:after="0" w:line="240" w:lineRule="auto"/>
        <w:ind w:left="426" w:hanging="6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Australian Capital Territory does not need to notify the Agency in respect of ownership changes for leasehold land, where the lease is held by a non-government body. </w:t>
      </w:r>
    </w:p>
    <w:p w14:paraId="411A4932"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33"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42" w:name="_Toc429404586"/>
      <w:bookmarkStart w:id="543" w:name="_Toc430012086"/>
      <w:bookmarkStart w:id="544" w:name="_Toc447030077"/>
      <w:bookmarkStart w:id="545" w:name="_Toc447036029"/>
      <w:bookmarkStart w:id="546" w:name="_Toc447036136"/>
      <w:bookmarkStart w:id="547" w:name="_Toc447036238"/>
      <w:bookmarkStart w:id="548" w:name="_Toc447056877"/>
      <w:bookmarkStart w:id="549" w:name="_Toc447198747"/>
      <w:bookmarkStart w:id="550" w:name="_Toc447225490"/>
      <w:bookmarkStart w:id="551" w:name="_Toc447447134"/>
      <w:bookmarkStart w:id="552" w:name="_Toc447448893"/>
      <w:bookmarkStart w:id="553" w:name="_Toc447450191"/>
      <w:bookmarkStart w:id="554" w:name="_Toc447450438"/>
      <w:r w:rsidRPr="00BC25FA">
        <w:rPr>
          <w:rFonts w:asciiTheme="minorHAnsi" w:eastAsiaTheme="majorEastAsia" w:hAnsiTheme="minorHAnsi" w:cs="Arial"/>
          <w:b/>
          <w:bCs/>
          <w:snapToGrid w:val="0"/>
          <w:szCs w:val="26"/>
          <w:lang w:val="en-AU" w:eastAsia="en-AU"/>
        </w:rPr>
        <w:t>Reviewing this Framework and establishing the subsequent Framework</w:t>
      </w:r>
      <w:bookmarkEnd w:id="542"/>
      <w:bookmarkEnd w:id="543"/>
      <w:bookmarkEnd w:id="544"/>
      <w:bookmarkEnd w:id="545"/>
      <w:bookmarkEnd w:id="546"/>
      <w:bookmarkEnd w:id="547"/>
      <w:bookmarkEnd w:id="548"/>
      <w:bookmarkEnd w:id="549"/>
      <w:bookmarkEnd w:id="550"/>
      <w:bookmarkEnd w:id="551"/>
      <w:bookmarkEnd w:id="552"/>
      <w:bookmarkEnd w:id="553"/>
      <w:bookmarkEnd w:id="554"/>
    </w:p>
    <w:p w14:paraId="411A4934"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Disability Reform Council will review this Pricing and Payments Framework in the Framework’s third year of operation, with the goal of completing the review by the conclusion of that third year. The Disability Reform Council will set the terms of reference for this review. The outcome of the review will inform the Disability Reform Council’s development of any pricing and payments arrangements that replace this Framework.</w:t>
      </w:r>
    </w:p>
    <w:p w14:paraId="411A4935"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36"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may ask DRC to bring forward the review time frame, should it prove necessary. </w:t>
      </w:r>
    </w:p>
    <w:p w14:paraId="411A4937"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38"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55" w:name="_Toc429404587"/>
      <w:bookmarkStart w:id="556" w:name="_Toc430012087"/>
      <w:bookmarkStart w:id="557" w:name="_Toc447030078"/>
      <w:bookmarkStart w:id="558" w:name="_Toc447036030"/>
      <w:bookmarkStart w:id="559" w:name="_Toc447036137"/>
      <w:bookmarkStart w:id="560" w:name="_Toc447036239"/>
      <w:bookmarkStart w:id="561" w:name="_Toc447056878"/>
      <w:bookmarkStart w:id="562" w:name="_Toc447198748"/>
      <w:bookmarkStart w:id="563" w:name="_Toc447225491"/>
      <w:bookmarkStart w:id="564" w:name="_Toc447447135"/>
      <w:bookmarkStart w:id="565" w:name="_Toc447448894"/>
      <w:bookmarkStart w:id="566" w:name="_Toc447450192"/>
      <w:bookmarkStart w:id="567" w:name="_Toc447450439"/>
      <w:r w:rsidRPr="00BC25FA">
        <w:rPr>
          <w:rFonts w:asciiTheme="minorHAnsi" w:eastAsiaTheme="majorEastAsia" w:hAnsiTheme="minorHAnsi" w:cs="Arial"/>
          <w:b/>
          <w:bCs/>
          <w:snapToGrid w:val="0"/>
          <w:szCs w:val="26"/>
          <w:lang w:val="en-AU" w:eastAsia="en-AU"/>
        </w:rPr>
        <w:t>Western Australia</w:t>
      </w:r>
      <w:bookmarkEnd w:id="555"/>
      <w:bookmarkEnd w:id="556"/>
      <w:bookmarkEnd w:id="557"/>
      <w:bookmarkEnd w:id="558"/>
      <w:bookmarkEnd w:id="559"/>
      <w:bookmarkEnd w:id="560"/>
      <w:bookmarkEnd w:id="561"/>
      <w:bookmarkEnd w:id="562"/>
      <w:bookmarkEnd w:id="563"/>
      <w:bookmarkEnd w:id="564"/>
      <w:bookmarkEnd w:id="565"/>
      <w:bookmarkEnd w:id="566"/>
      <w:bookmarkEnd w:id="567"/>
    </w:p>
    <w:p w14:paraId="411A4939"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sz w:val="24"/>
          <w:lang w:val="en-AU" w:eastAsia="en-AU"/>
        </w:rPr>
      </w:pPr>
      <w:r w:rsidRPr="00BC25FA">
        <w:rPr>
          <w:rFonts w:asciiTheme="minorHAnsi" w:eastAsia="Times New Roman" w:hAnsiTheme="minorHAnsi" w:cs="Times New Roman"/>
          <w:snapToGrid w:val="0"/>
          <w:lang w:val="en-AU" w:eastAsia="en-AU"/>
        </w:rPr>
        <w:t>In Western Australia (WA) the comparative trial of the Agency and the NDIS My Way models is informing WA’s own planning for the future of disability services in WA.</w:t>
      </w:r>
    </w:p>
    <w:p w14:paraId="411A493A" w14:textId="77777777" w:rsidR="00B74B51" w:rsidRDefault="00B74B51" w:rsidP="00BC25FA">
      <w:pPr>
        <w:pStyle w:val="BodyText1"/>
      </w:pPr>
      <w:r>
        <w:br w:type="page"/>
      </w:r>
    </w:p>
    <w:p w14:paraId="411A493B" w14:textId="77777777" w:rsidR="00B74B51" w:rsidRPr="00F904DE" w:rsidRDefault="00B74B51" w:rsidP="00B85F8A">
      <w:pPr>
        <w:pStyle w:val="Heading3"/>
        <w:numPr>
          <w:ilvl w:val="1"/>
          <w:numId w:val="45"/>
        </w:numPr>
        <w:ind w:left="720"/>
      </w:pPr>
      <w:bookmarkStart w:id="568" w:name="_Toc447030079"/>
      <w:bookmarkStart w:id="569" w:name="_Toc447036031"/>
      <w:bookmarkStart w:id="570" w:name="_Toc447036138"/>
      <w:bookmarkStart w:id="571" w:name="_Toc447036240"/>
      <w:bookmarkStart w:id="572" w:name="_Toc447056879"/>
      <w:bookmarkStart w:id="573" w:name="_Toc447198749"/>
      <w:bookmarkStart w:id="574" w:name="_Toc447447136"/>
      <w:bookmarkStart w:id="575" w:name="_Toc447450440"/>
      <w:r w:rsidRPr="00F904DE">
        <w:lastRenderedPageBreak/>
        <w:t>Appendix B: Building Specifications for SDA design categories</w:t>
      </w:r>
      <w:bookmarkEnd w:id="568"/>
      <w:bookmarkEnd w:id="569"/>
      <w:bookmarkEnd w:id="570"/>
      <w:bookmarkEnd w:id="571"/>
      <w:bookmarkEnd w:id="572"/>
      <w:bookmarkEnd w:id="573"/>
      <w:bookmarkEnd w:id="574"/>
      <w:bookmarkEnd w:id="575"/>
    </w:p>
    <w:p w14:paraId="411A493C" w14:textId="77777777" w:rsidR="00B74B51" w:rsidRPr="00F904DE"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576" w:name="_Toc447030080"/>
      <w:bookmarkStart w:id="577" w:name="_Toc447036032"/>
      <w:bookmarkStart w:id="578" w:name="_Toc447036139"/>
      <w:bookmarkStart w:id="579" w:name="_Toc447036241"/>
      <w:bookmarkStart w:id="580" w:name="_Toc447056880"/>
      <w:bookmarkStart w:id="581" w:name="_Toc447198750"/>
      <w:bookmarkStart w:id="582" w:name="_Toc447225493"/>
      <w:bookmarkStart w:id="583" w:name="_Toc447447137"/>
      <w:bookmarkStart w:id="584" w:name="_Toc447448896"/>
      <w:bookmarkStart w:id="585" w:name="_Toc447450194"/>
      <w:bookmarkStart w:id="586" w:name="_Toc447450441"/>
      <w:r w:rsidRPr="00F904DE">
        <w:rPr>
          <w:rFonts w:eastAsia="Times New Roman" w:cs="Arial"/>
          <w:b/>
          <w:color w:val="6A2875"/>
          <w:sz w:val="30"/>
          <w:szCs w:val="30"/>
        </w:rPr>
        <w:t>Introduction</w:t>
      </w:r>
      <w:bookmarkEnd w:id="576"/>
      <w:bookmarkEnd w:id="577"/>
      <w:bookmarkEnd w:id="578"/>
      <w:bookmarkEnd w:id="579"/>
      <w:bookmarkEnd w:id="580"/>
      <w:bookmarkEnd w:id="581"/>
      <w:bookmarkEnd w:id="582"/>
      <w:bookmarkEnd w:id="583"/>
      <w:bookmarkEnd w:id="584"/>
      <w:bookmarkEnd w:id="585"/>
      <w:bookmarkEnd w:id="586"/>
    </w:p>
    <w:p w14:paraId="411A493D" w14:textId="5495C861" w:rsidR="00B74B51" w:rsidRPr="00F904DE" w:rsidRDefault="00B74B51" w:rsidP="00342F2C">
      <w:pPr>
        <w:pStyle w:val="BodyText1"/>
        <w:rPr>
          <w:lang w:val="en-AU"/>
        </w:rPr>
      </w:pPr>
      <w:r w:rsidRPr="00F904DE">
        <w:rPr>
          <w:lang w:val="en-AU"/>
        </w:rPr>
        <w:t xml:space="preserve">The </w:t>
      </w:r>
      <w:r w:rsidR="00342F2C">
        <w:rPr>
          <w:lang w:val="en-AU"/>
        </w:rPr>
        <w:t xml:space="preserve">SDA </w:t>
      </w:r>
      <w:r w:rsidRPr="00F904DE">
        <w:rPr>
          <w:lang w:val="en-AU"/>
        </w:rPr>
        <w:t xml:space="preserve">Framework anticipates that participants may require a range of different property types and that both the design and the construction of properties may vary depending on the individual’s </w:t>
      </w:r>
      <w:r w:rsidR="00342F2C">
        <w:rPr>
          <w:lang w:val="en-AU"/>
        </w:rPr>
        <w:t xml:space="preserve">specific </w:t>
      </w:r>
      <w:r w:rsidRPr="00F904DE">
        <w:rPr>
          <w:lang w:val="en-AU"/>
        </w:rPr>
        <w:t>needs.</w:t>
      </w:r>
    </w:p>
    <w:p w14:paraId="411A493E" w14:textId="6072FDF0" w:rsidR="00B74B51" w:rsidRPr="00F904DE" w:rsidRDefault="00B74B51" w:rsidP="00342F2C">
      <w:pPr>
        <w:pStyle w:val="BodyText1"/>
        <w:rPr>
          <w:lang w:val="en-AU"/>
        </w:rPr>
      </w:pPr>
      <w:r w:rsidRPr="00F904DE">
        <w:rPr>
          <w:lang w:val="en-AU"/>
        </w:rPr>
        <w:t xml:space="preserve">This </w:t>
      </w:r>
      <w:r w:rsidR="00342F2C">
        <w:rPr>
          <w:lang w:val="en-AU"/>
        </w:rPr>
        <w:t>A</w:t>
      </w:r>
      <w:r w:rsidRPr="00F904DE">
        <w:rPr>
          <w:lang w:val="en-AU"/>
        </w:rPr>
        <w:t>ppendix details the design and building categories utilised in the development of benchmark prices.</w:t>
      </w:r>
    </w:p>
    <w:p w14:paraId="411A493F" w14:textId="77777777" w:rsidR="00B74B51" w:rsidRPr="00B74B51" w:rsidRDefault="00B74B51" w:rsidP="00342F2C">
      <w:pPr>
        <w:pStyle w:val="BodyText1"/>
        <w:rPr>
          <w:u w:val="single"/>
          <w:lang w:val="en-AU"/>
        </w:rPr>
      </w:pPr>
      <w:r w:rsidRPr="00F904DE">
        <w:rPr>
          <w:u w:val="single"/>
          <w:lang w:val="en-AU"/>
        </w:rPr>
        <w:t>Note that this appendix is a preliminary draft only and will be refined through further review and stakeholder feedback.</w:t>
      </w:r>
    </w:p>
    <w:p w14:paraId="411A4940" w14:textId="77777777" w:rsidR="00B74B51" w:rsidRPr="00B74B51" w:rsidRDefault="00B74B51" w:rsidP="00B74B51">
      <w:pPr>
        <w:numPr>
          <w:ilvl w:val="1"/>
          <w:numId w:val="2"/>
        </w:numPr>
        <w:spacing w:before="240" w:after="160" w:line="259" w:lineRule="auto"/>
        <w:ind w:left="709" w:hanging="709"/>
        <w:outlineLvl w:val="2"/>
        <w:rPr>
          <w:rFonts w:eastAsia="Times New Roman" w:cs="Arial"/>
          <w:b/>
          <w:color w:val="6A2875"/>
          <w:sz w:val="30"/>
          <w:szCs w:val="30"/>
        </w:rPr>
      </w:pPr>
      <w:bookmarkStart w:id="587" w:name="_Toc447030081"/>
      <w:bookmarkStart w:id="588" w:name="_Toc447036033"/>
      <w:bookmarkStart w:id="589" w:name="_Toc447036140"/>
      <w:bookmarkStart w:id="590" w:name="_Toc447036242"/>
      <w:bookmarkStart w:id="591" w:name="_Toc447056881"/>
      <w:bookmarkStart w:id="592" w:name="_Toc447198751"/>
      <w:bookmarkStart w:id="593" w:name="_Toc447225494"/>
      <w:bookmarkStart w:id="594" w:name="_Toc447447138"/>
      <w:bookmarkStart w:id="595" w:name="_Toc447448897"/>
      <w:bookmarkStart w:id="596" w:name="_Toc447450195"/>
      <w:bookmarkStart w:id="597" w:name="_Toc447450442"/>
      <w:r w:rsidRPr="00B74B51">
        <w:rPr>
          <w:rFonts w:eastAsia="Times New Roman" w:cs="Arial"/>
          <w:b/>
          <w:color w:val="6A2875"/>
          <w:sz w:val="30"/>
          <w:szCs w:val="30"/>
        </w:rPr>
        <w:t>Categories of SDA and building types</w:t>
      </w:r>
      <w:bookmarkEnd w:id="587"/>
      <w:bookmarkEnd w:id="588"/>
      <w:bookmarkEnd w:id="589"/>
      <w:bookmarkEnd w:id="590"/>
      <w:bookmarkEnd w:id="591"/>
      <w:bookmarkEnd w:id="592"/>
      <w:bookmarkEnd w:id="593"/>
      <w:bookmarkEnd w:id="594"/>
      <w:bookmarkEnd w:id="595"/>
      <w:bookmarkEnd w:id="596"/>
      <w:bookmarkEnd w:id="597"/>
    </w:p>
    <w:p w14:paraId="411A4941" w14:textId="77777777" w:rsidR="00B74B51" w:rsidRPr="00B74B51" w:rsidRDefault="00B74B51" w:rsidP="00342F2C">
      <w:pPr>
        <w:pStyle w:val="BodyText1"/>
        <w:rPr>
          <w:lang w:val="en-AU"/>
        </w:rPr>
      </w:pPr>
      <w:r w:rsidRPr="00B74B51">
        <w:rPr>
          <w:lang w:val="en-AU"/>
        </w:rPr>
        <w:t>The design of the house, costs of building and allowances for differences in SDA participant’s disability based requirements are interdependent.</w:t>
      </w:r>
    </w:p>
    <w:p w14:paraId="411A4942" w14:textId="77777777" w:rsidR="00B74B51" w:rsidRPr="00B74B51" w:rsidRDefault="00B74B51" w:rsidP="00342F2C">
      <w:pPr>
        <w:pStyle w:val="BodyText1"/>
        <w:rPr>
          <w:lang w:val="en-AU"/>
        </w:rPr>
      </w:pPr>
      <w:r w:rsidRPr="00B74B51">
        <w:rPr>
          <w:lang w:val="en-AU"/>
        </w:rPr>
        <w:t>As such, Marsden Jacob has developed a matrix set of building design options which incorporates, five broad categories of SDA design, four building types and variations in the number of bedrooms with in the building types.</w:t>
      </w:r>
    </w:p>
    <w:p w14:paraId="60FABA34" w14:textId="77777777" w:rsidR="00342F2C" w:rsidRPr="004534A4" w:rsidRDefault="00342F2C" w:rsidP="00342F2C">
      <w:pPr>
        <w:pStyle w:val="AppendixNUMBERED2"/>
        <w:numPr>
          <w:ilvl w:val="2"/>
          <w:numId w:val="2"/>
        </w:numPr>
        <w:ind w:left="360"/>
        <w:rPr>
          <w:lang w:val="en-AU"/>
        </w:rPr>
      </w:pPr>
      <w:r>
        <w:rPr>
          <w:lang w:val="en-AU"/>
        </w:rPr>
        <w:t>Accommodation design c</w:t>
      </w:r>
      <w:r w:rsidRPr="004534A4">
        <w:rPr>
          <w:lang w:val="en-AU"/>
        </w:rPr>
        <w:t>ategories</w:t>
      </w:r>
    </w:p>
    <w:p w14:paraId="10394EBD" w14:textId="77777777" w:rsidR="00342F2C" w:rsidRDefault="00B74B51" w:rsidP="004117F9">
      <w:pPr>
        <w:pStyle w:val="BodyText1"/>
        <w:rPr>
          <w:lang w:val="en-AU"/>
        </w:rPr>
      </w:pPr>
      <w:r w:rsidRPr="00B74B51">
        <w:rPr>
          <w:lang w:val="en-AU"/>
        </w:rPr>
        <w:t>The benchmark pricing model is based on five broad categories of SDA design as show below:</w:t>
      </w:r>
    </w:p>
    <w:p w14:paraId="411A4944" w14:textId="193002B2" w:rsidR="00B74B51" w:rsidRPr="00B74B51" w:rsidRDefault="00342F2C" w:rsidP="00342F2C">
      <w:pPr>
        <w:pStyle w:val="Caption"/>
        <w:rPr>
          <w:rFonts w:eastAsia="Times New Roman" w:cs="Arial"/>
          <w:szCs w:val="22"/>
          <w:lang w:val="en-AU" w:eastAsia="en-US"/>
        </w:rPr>
      </w:pPr>
      <w:r>
        <w:t xml:space="preserve">Table </w:t>
      </w:r>
      <w:r>
        <w:fldChar w:fldCharType="begin"/>
      </w:r>
      <w:r>
        <w:instrText xml:space="preserve"> SEQ Table \* ARABIC </w:instrText>
      </w:r>
      <w:r>
        <w:fldChar w:fldCharType="separate"/>
      </w:r>
      <w:r w:rsidR="00607084">
        <w:rPr>
          <w:noProof/>
        </w:rPr>
        <w:t>8</w:t>
      </w:r>
      <w:r>
        <w:fldChar w:fldCharType="end"/>
      </w:r>
      <w:r>
        <w:t xml:space="preserve"> - AccoMODATION DESIGN CATEGORIES FOR sda</w:t>
      </w:r>
      <w:r w:rsidR="00B74B51" w:rsidRPr="00B74B51">
        <w:rPr>
          <w:rFonts w:eastAsia="Times New Roman" w:cs="Arial"/>
          <w:szCs w:val="22"/>
          <w:lang w:val="en-AU" w:eastAsia="en-US"/>
        </w:rPr>
        <w:t xml:space="preserve"> </w:t>
      </w:r>
    </w:p>
    <w:tbl>
      <w:tblPr>
        <w:tblStyle w:val="MJATable11"/>
        <w:tblW w:w="0" w:type="auto"/>
        <w:tblLook w:val="04A0" w:firstRow="1" w:lastRow="0" w:firstColumn="1" w:lastColumn="0" w:noHBand="0" w:noVBand="1"/>
      </w:tblPr>
      <w:tblGrid>
        <w:gridCol w:w="1696"/>
        <w:gridCol w:w="7790"/>
      </w:tblGrid>
      <w:tr w:rsidR="00B74B51" w:rsidRPr="00B74B51" w14:paraId="411A4947"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7030A0"/>
          </w:tcPr>
          <w:p w14:paraId="411A4945" w14:textId="4C966AD2" w:rsidR="00B74B51" w:rsidRPr="00342F2C" w:rsidRDefault="00342F2C"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Design Category</w:t>
            </w:r>
          </w:p>
        </w:tc>
        <w:tc>
          <w:tcPr>
            <w:tcW w:w="7790" w:type="dxa"/>
            <w:shd w:val="clear" w:color="auto" w:fill="7030A0"/>
          </w:tcPr>
          <w:p w14:paraId="411A4946" w14:textId="77777777" w:rsidR="00B74B51" w:rsidRPr="00342F2C" w:rsidRDefault="00B74B51" w:rsidP="00342F2C">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Description</w:t>
            </w:r>
          </w:p>
        </w:tc>
      </w:tr>
      <w:tr w:rsidR="00B74B51" w:rsidRPr="00B74B51" w14:paraId="411A494A"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0093D0"/>
            </w:tcBorders>
          </w:tcPr>
          <w:p w14:paraId="411A4948"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Standard </w:t>
            </w:r>
          </w:p>
        </w:tc>
        <w:tc>
          <w:tcPr>
            <w:tcW w:w="7790" w:type="dxa"/>
            <w:tcBorders>
              <w:bottom w:val="single" w:sz="4" w:space="0" w:color="0093D0"/>
            </w:tcBorders>
          </w:tcPr>
          <w:p w14:paraId="411A4949"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Housing without specialised design features but with other important SDA characteristics (e.g. location, privacy, shared supports)  </w:t>
            </w:r>
          </w:p>
        </w:tc>
      </w:tr>
      <w:tr w:rsidR="00B74B51" w:rsidRPr="00B74B51" w14:paraId="411A494D"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4B"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Improved Liveability </w:t>
            </w:r>
          </w:p>
        </w:tc>
        <w:tc>
          <w:tcPr>
            <w:tcW w:w="7790" w:type="dxa"/>
            <w:tcBorders>
              <w:top w:val="single" w:sz="4" w:space="0" w:color="0093D0"/>
              <w:bottom w:val="single" w:sz="4" w:space="0" w:color="0093D0"/>
            </w:tcBorders>
          </w:tcPr>
          <w:p w14:paraId="411A494C"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Housing that has been specially designed to significantly improve the ‘liveability’ for participants with non-physical disabilities (e.g. improved wayfinding, clear lines of sight into other rooms for residents and staff, reduced sensory stimulation, room ‘flow’)</w:t>
            </w:r>
          </w:p>
        </w:tc>
      </w:tr>
      <w:tr w:rsidR="00B74B51" w:rsidRPr="00B74B51" w14:paraId="411A4950"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4E"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Fully Accessible </w:t>
            </w:r>
          </w:p>
        </w:tc>
        <w:tc>
          <w:tcPr>
            <w:tcW w:w="7790" w:type="dxa"/>
            <w:tcBorders>
              <w:top w:val="single" w:sz="4" w:space="0" w:color="0093D0"/>
              <w:bottom w:val="single" w:sz="4" w:space="0" w:color="0093D0"/>
            </w:tcBorders>
          </w:tcPr>
          <w:p w14:paraId="411A494F"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Allows full accessibility for participants with adjustments to improve ‘liveability’ (e.g. platinum level design, appropriate height of windows and benches).  This design is based on the Platinum standard for accommodation and Australian Standard 1428.1</w:t>
            </w:r>
          </w:p>
        </w:tc>
      </w:tr>
      <w:tr w:rsidR="00B74B51" w:rsidRPr="00B74B51" w14:paraId="411A4953"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51"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Robust Construction </w:t>
            </w:r>
          </w:p>
        </w:tc>
        <w:tc>
          <w:tcPr>
            <w:tcW w:w="7790" w:type="dxa"/>
            <w:tcBorders>
              <w:top w:val="single" w:sz="4" w:space="0" w:color="0093D0"/>
              <w:bottom w:val="single" w:sz="4" w:space="0" w:color="0093D0"/>
            </w:tcBorders>
          </w:tcPr>
          <w:p w14:paraId="411A4952"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Resilient but inconspicuous materials and features that minimise risk to the participant and the community, improve privacy and reduce maintenance costs (e.g. secure windows, doors and external areas, sound proof walls, unbreakable glass, appropriate strength walls, etc.). The room sizes are based on the Platinum standard for accommodation and Australian Standard 1428.1</w:t>
            </w:r>
          </w:p>
        </w:tc>
      </w:tr>
      <w:tr w:rsidR="00B74B51" w:rsidRPr="00B74B51" w14:paraId="411A4956" w14:textId="77777777" w:rsidTr="00342F2C">
        <w:trPr>
          <w:trHeight w:val="37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54"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High Support Needs </w:t>
            </w:r>
          </w:p>
        </w:tc>
        <w:tc>
          <w:tcPr>
            <w:tcW w:w="7790" w:type="dxa"/>
            <w:tcBorders>
              <w:top w:val="single" w:sz="4" w:space="0" w:color="0093D0"/>
              <w:bottom w:val="single" w:sz="4" w:space="0" w:color="0093D0"/>
            </w:tcBorders>
          </w:tcPr>
          <w:p w14:paraId="411A4955"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Higher support needs (e.g. wider access and greater allowances for hoists and other equipment).</w:t>
            </w:r>
          </w:p>
        </w:tc>
      </w:tr>
    </w:tbl>
    <w:p w14:paraId="411A4957" w14:textId="77777777" w:rsidR="00B74B51" w:rsidRPr="00B74B51" w:rsidRDefault="00B74B51" w:rsidP="00B74B51">
      <w:pPr>
        <w:spacing w:before="120" w:after="120" w:line="280" w:lineRule="atLeast"/>
        <w:rPr>
          <w:rFonts w:eastAsia="Times New Roman" w:cs="Arial"/>
          <w:szCs w:val="22"/>
          <w:lang w:val="en-AU" w:eastAsia="en-US"/>
        </w:rPr>
      </w:pPr>
    </w:p>
    <w:p w14:paraId="411A4958" w14:textId="77777777" w:rsidR="00B74B51" w:rsidRPr="00B74B51" w:rsidRDefault="00B74B51" w:rsidP="00B74B51">
      <w:pPr>
        <w:spacing w:before="120" w:after="120" w:line="280" w:lineRule="atLeast"/>
        <w:rPr>
          <w:rFonts w:eastAsia="Times New Roman" w:cs="Arial"/>
          <w:szCs w:val="22"/>
          <w:lang w:val="en-AU" w:eastAsia="en-US"/>
        </w:rPr>
      </w:pPr>
    </w:p>
    <w:p w14:paraId="411A4959" w14:textId="77777777" w:rsidR="00B85F8A" w:rsidRDefault="00B85F8A" w:rsidP="00B74B51">
      <w:pPr>
        <w:spacing w:before="120" w:after="120" w:line="280" w:lineRule="atLeast"/>
        <w:rPr>
          <w:rFonts w:eastAsia="Times New Roman" w:cs="Arial"/>
          <w:szCs w:val="22"/>
          <w:lang w:val="en-AU" w:eastAsia="en-US"/>
        </w:rPr>
      </w:pPr>
      <w:r>
        <w:rPr>
          <w:rFonts w:eastAsia="Times New Roman" w:cs="Arial"/>
          <w:szCs w:val="22"/>
          <w:lang w:val="en-AU" w:eastAsia="en-US"/>
        </w:rPr>
        <w:br w:type="page"/>
      </w:r>
    </w:p>
    <w:p w14:paraId="411A495A"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598" w:name="_Toc447030083"/>
      <w:bookmarkStart w:id="599" w:name="_Toc447036035"/>
      <w:bookmarkStart w:id="600" w:name="_Toc447036142"/>
      <w:bookmarkStart w:id="601" w:name="_Toc447036244"/>
      <w:bookmarkStart w:id="602" w:name="_Toc447056883"/>
      <w:bookmarkStart w:id="603" w:name="_Toc447198753"/>
      <w:bookmarkStart w:id="604" w:name="_Toc447225496"/>
      <w:bookmarkStart w:id="605" w:name="_Toc447447140"/>
      <w:bookmarkStart w:id="606" w:name="_Toc447448899"/>
      <w:r w:rsidRPr="00B74B51">
        <w:rPr>
          <w:rFonts w:eastAsia="Times New Roman" w:cs="Arial"/>
          <w:b/>
          <w:sz w:val="24"/>
        </w:rPr>
        <w:lastRenderedPageBreak/>
        <w:t>Building types</w:t>
      </w:r>
      <w:bookmarkEnd w:id="598"/>
      <w:bookmarkEnd w:id="599"/>
      <w:bookmarkEnd w:id="600"/>
      <w:bookmarkEnd w:id="601"/>
      <w:bookmarkEnd w:id="602"/>
      <w:bookmarkEnd w:id="603"/>
      <w:bookmarkEnd w:id="604"/>
      <w:bookmarkEnd w:id="605"/>
      <w:bookmarkEnd w:id="606"/>
    </w:p>
    <w:p w14:paraId="411A495B" w14:textId="6B83518D" w:rsidR="00B74B51" w:rsidRPr="00B74B51" w:rsidRDefault="00B74B51" w:rsidP="00342F2C">
      <w:pPr>
        <w:pStyle w:val="BodyText1"/>
        <w:rPr>
          <w:lang w:val="en-AU"/>
        </w:rPr>
      </w:pPr>
      <w:r w:rsidRPr="00B74B51">
        <w:rPr>
          <w:lang w:val="en-AU"/>
        </w:rPr>
        <w:t xml:space="preserve">Four building types, including variations in the number of bedrooms are set out in </w:t>
      </w:r>
      <w:r w:rsidR="00342F2C">
        <w:rPr>
          <w:lang w:val="en-AU"/>
        </w:rPr>
        <w:fldChar w:fldCharType="begin"/>
      </w:r>
      <w:r w:rsidR="00342F2C">
        <w:rPr>
          <w:lang w:val="en-AU"/>
        </w:rPr>
        <w:instrText xml:space="preserve"> REF _Ref447459536 \h </w:instrText>
      </w:r>
      <w:r w:rsidR="00342F2C">
        <w:rPr>
          <w:lang w:val="en-AU"/>
        </w:rPr>
      </w:r>
      <w:r w:rsidR="00342F2C">
        <w:rPr>
          <w:lang w:val="en-AU"/>
        </w:rPr>
        <w:fldChar w:fldCharType="separate"/>
      </w:r>
      <w:r w:rsidR="00607084">
        <w:t xml:space="preserve">Table </w:t>
      </w:r>
      <w:r w:rsidR="00607084">
        <w:rPr>
          <w:noProof/>
        </w:rPr>
        <w:t>9</w:t>
      </w:r>
      <w:r w:rsidR="00342F2C">
        <w:rPr>
          <w:lang w:val="en-AU"/>
        </w:rPr>
        <w:fldChar w:fldCharType="end"/>
      </w:r>
    </w:p>
    <w:p w14:paraId="19B77014" w14:textId="77777777" w:rsidR="00342F2C" w:rsidRPr="00B74B51" w:rsidRDefault="00342F2C" w:rsidP="00342F2C">
      <w:pPr>
        <w:pStyle w:val="Caption"/>
        <w:rPr>
          <w:rFonts w:eastAsia="Times New Roman" w:cs="Arial"/>
          <w:szCs w:val="22"/>
          <w:lang w:val="en-AU" w:eastAsia="en-US"/>
        </w:rPr>
      </w:pPr>
      <w:bookmarkStart w:id="607" w:name="_Ref447459536"/>
      <w:r>
        <w:t xml:space="preserve">Table </w:t>
      </w:r>
      <w:r>
        <w:fldChar w:fldCharType="begin"/>
      </w:r>
      <w:r>
        <w:instrText xml:space="preserve"> SEQ Table \* ARABIC </w:instrText>
      </w:r>
      <w:r>
        <w:fldChar w:fldCharType="separate"/>
      </w:r>
      <w:r w:rsidR="00607084">
        <w:rPr>
          <w:noProof/>
        </w:rPr>
        <w:t>9</w:t>
      </w:r>
      <w:r>
        <w:fldChar w:fldCharType="end"/>
      </w:r>
      <w:bookmarkEnd w:id="607"/>
      <w:r>
        <w:t xml:space="preserve"> - AccoMODATION DESIGN CATEGORIES FOR sda</w:t>
      </w:r>
      <w:r w:rsidRPr="00B74B51">
        <w:rPr>
          <w:rFonts w:eastAsia="Times New Roman" w:cs="Arial"/>
          <w:szCs w:val="22"/>
          <w:lang w:val="en-AU" w:eastAsia="en-US"/>
        </w:rPr>
        <w:t xml:space="preserve"> </w:t>
      </w:r>
    </w:p>
    <w:tbl>
      <w:tblPr>
        <w:tblStyle w:val="TableGrid2"/>
        <w:tblW w:w="9498" w:type="dxa"/>
        <w:tblBorders>
          <w:top w:val="single" w:sz="4" w:space="0" w:color="0093D0"/>
          <w:left w:val="none" w:sz="0" w:space="0" w:color="auto"/>
          <w:bottom w:val="single" w:sz="4" w:space="0" w:color="0093D0"/>
          <w:right w:val="none" w:sz="0" w:space="0" w:color="auto"/>
          <w:insideH w:val="single" w:sz="4" w:space="0" w:color="0093D0"/>
          <w:insideV w:val="none" w:sz="0" w:space="0" w:color="auto"/>
        </w:tblBorders>
        <w:tblLook w:val="04A0" w:firstRow="1" w:lastRow="0" w:firstColumn="1" w:lastColumn="0" w:noHBand="0" w:noVBand="1"/>
      </w:tblPr>
      <w:tblGrid>
        <w:gridCol w:w="1410"/>
        <w:gridCol w:w="5820"/>
        <w:gridCol w:w="2268"/>
      </w:tblGrid>
      <w:tr w:rsidR="00B74B51" w:rsidRPr="00B74B51" w14:paraId="411A4960" w14:textId="77777777" w:rsidTr="00B74B51">
        <w:tc>
          <w:tcPr>
            <w:tcW w:w="1410" w:type="dxa"/>
            <w:shd w:val="clear" w:color="auto" w:fill="7030A0"/>
          </w:tcPr>
          <w:p w14:paraId="411A495D"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Residence type</w:t>
            </w:r>
          </w:p>
        </w:tc>
        <w:tc>
          <w:tcPr>
            <w:tcW w:w="5820" w:type="dxa"/>
            <w:shd w:val="clear" w:color="auto" w:fill="7030A0"/>
          </w:tcPr>
          <w:p w14:paraId="411A495E"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Description</w:t>
            </w:r>
          </w:p>
        </w:tc>
        <w:tc>
          <w:tcPr>
            <w:tcW w:w="2268" w:type="dxa"/>
            <w:shd w:val="clear" w:color="auto" w:fill="7030A0"/>
          </w:tcPr>
          <w:p w14:paraId="411A495F"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Number of bedrooms</w:t>
            </w:r>
          </w:p>
        </w:tc>
      </w:tr>
      <w:tr w:rsidR="00B74B51" w:rsidRPr="00B74B51" w14:paraId="411A4965" w14:textId="77777777" w:rsidTr="00B74B51">
        <w:trPr>
          <w:trHeight w:val="731"/>
        </w:trPr>
        <w:tc>
          <w:tcPr>
            <w:tcW w:w="1410" w:type="dxa"/>
          </w:tcPr>
          <w:p w14:paraId="411A4961"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w:t>
            </w:r>
          </w:p>
        </w:tc>
        <w:tc>
          <w:tcPr>
            <w:tcW w:w="5820" w:type="dxa"/>
          </w:tcPr>
          <w:p w14:paraId="411A4962"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Apartments are self-contained units occupying only part of a larger residential real estate building.</w:t>
            </w:r>
          </w:p>
          <w:p w14:paraId="411A4963"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Apartments are assumed to be situated in medium to high rise buildings and be predominately located in high-density living suburbs.</w:t>
            </w:r>
          </w:p>
        </w:tc>
        <w:tc>
          <w:tcPr>
            <w:tcW w:w="2268" w:type="dxa"/>
          </w:tcPr>
          <w:p w14:paraId="411A4964"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1 or 2 bedrooms</w:t>
            </w:r>
          </w:p>
        </w:tc>
      </w:tr>
      <w:tr w:rsidR="00B74B51" w:rsidRPr="00B74B51" w14:paraId="411A4969" w14:textId="77777777" w:rsidTr="00B74B51">
        <w:tc>
          <w:tcPr>
            <w:tcW w:w="1410" w:type="dxa"/>
          </w:tcPr>
          <w:p w14:paraId="411A4966"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Villas, Duplexes and townhouses</w:t>
            </w:r>
          </w:p>
        </w:tc>
        <w:tc>
          <w:tcPr>
            <w:tcW w:w="5820" w:type="dxa"/>
          </w:tcPr>
          <w:p w14:paraId="411A4967"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Duplexes, villas and townhouses are small semi-attached properties within a single land title or strata titled area. These residences are generally low-rise (single or double story) and include access to communal shared areas such as garden or courtyard spaces.</w:t>
            </w:r>
          </w:p>
        </w:tc>
        <w:tc>
          <w:tcPr>
            <w:tcW w:w="2268" w:type="dxa"/>
          </w:tcPr>
          <w:p w14:paraId="411A4968"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1, 2 or 3 bedrooms</w:t>
            </w:r>
          </w:p>
        </w:tc>
      </w:tr>
      <w:tr w:rsidR="00B74B51" w:rsidRPr="00B74B51" w14:paraId="411A496D" w14:textId="77777777" w:rsidTr="00B74B51">
        <w:tc>
          <w:tcPr>
            <w:tcW w:w="1410" w:type="dxa"/>
          </w:tcPr>
          <w:p w14:paraId="411A496A"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House</w:t>
            </w:r>
          </w:p>
        </w:tc>
        <w:tc>
          <w:tcPr>
            <w:tcW w:w="5820" w:type="dxa"/>
          </w:tcPr>
          <w:p w14:paraId="411A496B"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 xml:space="preserve">Houses are detached low-rise dwellings with garden or courtyard areas. House are most commonly the only property on the land title and are designed for a single family or a small number of people. </w:t>
            </w:r>
          </w:p>
        </w:tc>
        <w:tc>
          <w:tcPr>
            <w:tcW w:w="2268" w:type="dxa"/>
          </w:tcPr>
          <w:p w14:paraId="411A496C"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3 bedrooms</w:t>
            </w:r>
          </w:p>
        </w:tc>
      </w:tr>
      <w:tr w:rsidR="00B74B51" w:rsidRPr="00B74B51" w14:paraId="411A4972" w14:textId="77777777" w:rsidTr="00B74B51">
        <w:tc>
          <w:tcPr>
            <w:tcW w:w="1410" w:type="dxa"/>
          </w:tcPr>
          <w:p w14:paraId="411A496E"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Group Homes</w:t>
            </w:r>
          </w:p>
        </w:tc>
        <w:tc>
          <w:tcPr>
            <w:tcW w:w="5820" w:type="dxa"/>
          </w:tcPr>
          <w:p w14:paraId="411A4970" w14:textId="0041C5A9"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Group accommodation is distinguished from other forms of accommodation by the larger number of resident bedrooms within the complex and the existence of shared kitchen, living communal spaces.</w:t>
            </w:r>
            <w:r w:rsidR="00C54230">
              <w:rPr>
                <w:rFonts w:asciiTheme="minorHAnsi" w:eastAsia="Calibri" w:hAnsiTheme="minorHAnsi" w:cs="Arial"/>
                <w:sz w:val="20"/>
                <w:szCs w:val="22"/>
                <w:lang w:val="en-AU" w:eastAsia="en-US"/>
              </w:rPr>
              <w:t xml:space="preserve"> </w:t>
            </w:r>
            <w:r w:rsidRPr="00342F2C">
              <w:rPr>
                <w:rFonts w:asciiTheme="minorHAnsi" w:eastAsia="Calibri" w:hAnsiTheme="minorHAnsi" w:cs="Arial"/>
                <w:sz w:val="20"/>
                <w:szCs w:val="22"/>
                <w:lang w:val="en-AU" w:eastAsia="en-US"/>
              </w:rPr>
              <w:t xml:space="preserve">Historically, </w:t>
            </w:r>
            <w:r w:rsidR="00C54230">
              <w:rPr>
                <w:rFonts w:asciiTheme="minorHAnsi" w:eastAsia="Calibri" w:hAnsiTheme="minorHAnsi" w:cs="Arial"/>
                <w:sz w:val="20"/>
                <w:szCs w:val="22"/>
                <w:lang w:val="en-AU" w:eastAsia="en-US"/>
              </w:rPr>
              <w:t xml:space="preserve">larger </w:t>
            </w:r>
            <w:r w:rsidRPr="00342F2C">
              <w:rPr>
                <w:rFonts w:asciiTheme="minorHAnsi" w:eastAsia="Calibri" w:hAnsiTheme="minorHAnsi" w:cs="Arial"/>
                <w:sz w:val="20"/>
                <w:szCs w:val="22"/>
                <w:lang w:val="en-AU" w:eastAsia="en-US"/>
              </w:rPr>
              <w:t xml:space="preserve">group accommodation may have been classified as a hospital. </w:t>
            </w:r>
          </w:p>
        </w:tc>
        <w:tc>
          <w:tcPr>
            <w:tcW w:w="2268" w:type="dxa"/>
          </w:tcPr>
          <w:p w14:paraId="411A4971"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4 to 6 bedrooms</w:t>
            </w:r>
          </w:p>
        </w:tc>
      </w:tr>
    </w:tbl>
    <w:p w14:paraId="411A4973" w14:textId="77777777" w:rsidR="00B74B51" w:rsidRPr="00B74B51" w:rsidRDefault="00B74B51" w:rsidP="00B74B51">
      <w:pPr>
        <w:numPr>
          <w:ilvl w:val="1"/>
          <w:numId w:val="2"/>
        </w:numPr>
        <w:spacing w:before="240" w:after="160" w:line="259" w:lineRule="auto"/>
        <w:ind w:left="709" w:hanging="709"/>
        <w:outlineLvl w:val="2"/>
        <w:rPr>
          <w:rFonts w:eastAsia="Times New Roman" w:cs="Arial"/>
          <w:b/>
          <w:color w:val="6A2875"/>
          <w:sz w:val="30"/>
          <w:szCs w:val="30"/>
        </w:rPr>
      </w:pPr>
      <w:bookmarkStart w:id="608" w:name="_Toc447030084"/>
      <w:bookmarkStart w:id="609" w:name="_Toc447036036"/>
      <w:bookmarkStart w:id="610" w:name="_Toc447036143"/>
      <w:bookmarkStart w:id="611" w:name="_Toc447036245"/>
      <w:bookmarkStart w:id="612" w:name="_Toc447056884"/>
      <w:bookmarkStart w:id="613" w:name="_Toc447198754"/>
      <w:bookmarkStart w:id="614" w:name="_Toc447225497"/>
      <w:bookmarkStart w:id="615" w:name="_Toc447447141"/>
      <w:bookmarkStart w:id="616" w:name="_Toc447448900"/>
      <w:bookmarkStart w:id="617" w:name="_Toc447450196"/>
      <w:bookmarkStart w:id="618" w:name="_Toc447450443"/>
      <w:r w:rsidRPr="00B74B51">
        <w:rPr>
          <w:rFonts w:eastAsia="Times New Roman" w:cs="Arial"/>
          <w:b/>
          <w:color w:val="6A2875"/>
          <w:sz w:val="30"/>
          <w:szCs w:val="30"/>
        </w:rPr>
        <w:t>Property size estimates</w:t>
      </w:r>
      <w:bookmarkEnd w:id="608"/>
      <w:bookmarkEnd w:id="609"/>
      <w:bookmarkEnd w:id="610"/>
      <w:bookmarkEnd w:id="611"/>
      <w:bookmarkEnd w:id="612"/>
      <w:bookmarkEnd w:id="613"/>
      <w:bookmarkEnd w:id="614"/>
      <w:bookmarkEnd w:id="615"/>
      <w:bookmarkEnd w:id="616"/>
      <w:bookmarkEnd w:id="617"/>
      <w:bookmarkEnd w:id="618"/>
    </w:p>
    <w:p w14:paraId="411A4974" w14:textId="77777777" w:rsidR="00B74B51" w:rsidRPr="00B74B51" w:rsidRDefault="00B74B51" w:rsidP="00C54230">
      <w:pPr>
        <w:pStyle w:val="BodyText1"/>
        <w:rPr>
          <w:lang w:val="en-AU"/>
        </w:rPr>
      </w:pPr>
      <w:r w:rsidRPr="00B74B51">
        <w:rPr>
          <w:lang w:val="en-AU"/>
        </w:rPr>
        <w:t xml:space="preserve">The size of each property type at each standard of SDA was developed based on estimates of the room sizes and numbers of each room required.  This approach allowed properties to be sized and priced </w:t>
      </w:r>
    </w:p>
    <w:p w14:paraId="411A4975" w14:textId="77777777" w:rsidR="00B74B51" w:rsidRPr="00B74B51" w:rsidRDefault="00B74B51" w:rsidP="00B74B51">
      <w:pPr>
        <w:numPr>
          <w:ilvl w:val="2"/>
          <w:numId w:val="2"/>
        </w:numPr>
        <w:spacing w:after="120" w:line="259" w:lineRule="auto"/>
        <w:ind w:left="720" w:hanging="720"/>
        <w:outlineLvl w:val="3"/>
        <w:rPr>
          <w:rFonts w:eastAsia="Times New Roman" w:cs="Arial"/>
          <w:i/>
          <w:sz w:val="24"/>
          <w:szCs w:val="20"/>
          <w:lang w:eastAsia="en-US"/>
        </w:rPr>
      </w:pPr>
      <w:bookmarkStart w:id="619" w:name="_Toc447030085"/>
      <w:bookmarkStart w:id="620" w:name="_Toc447036037"/>
      <w:bookmarkStart w:id="621" w:name="_Toc447036144"/>
      <w:bookmarkStart w:id="622" w:name="_Toc447036246"/>
      <w:bookmarkStart w:id="623" w:name="_Toc447056885"/>
      <w:bookmarkStart w:id="624" w:name="_Toc447198755"/>
      <w:bookmarkStart w:id="625" w:name="_Toc447225498"/>
      <w:bookmarkStart w:id="626" w:name="_Toc447447142"/>
      <w:bookmarkStart w:id="627" w:name="_Toc447448901"/>
      <w:r w:rsidRPr="00B74B51">
        <w:rPr>
          <w:rFonts w:eastAsia="Times New Roman" w:cs="Arial"/>
          <w:b/>
          <w:sz w:val="24"/>
        </w:rPr>
        <w:t>Room sizes for each level of SDA</w:t>
      </w:r>
      <w:bookmarkEnd w:id="619"/>
      <w:bookmarkEnd w:id="620"/>
      <w:bookmarkEnd w:id="621"/>
      <w:bookmarkEnd w:id="622"/>
      <w:bookmarkEnd w:id="623"/>
      <w:bookmarkEnd w:id="624"/>
      <w:bookmarkEnd w:id="625"/>
      <w:bookmarkEnd w:id="626"/>
      <w:bookmarkEnd w:id="627"/>
    </w:p>
    <w:p w14:paraId="38E4874E" w14:textId="77777777" w:rsidR="00607084" w:rsidRDefault="00B74B51" w:rsidP="003F3925">
      <w:pPr>
        <w:pStyle w:val="Caption"/>
      </w:pPr>
      <w:r w:rsidRPr="00B74B51">
        <w:rPr>
          <w:lang w:val="en-AU"/>
        </w:rPr>
        <w:t xml:space="preserve">The project team developed room sizes for each of the levels of SDA based on designs by the team’s architects- Silver Thomas Hanley (STH) for Liveable Housing Design </w:t>
      </w:r>
      <w:r w:rsidRPr="00B74B51">
        <w:rPr>
          <w:i/>
          <w:lang w:val="en-AU"/>
        </w:rPr>
        <w:t>Platinum standard</w:t>
      </w:r>
      <w:r w:rsidRPr="00B74B51">
        <w:rPr>
          <w:lang w:val="en-AU"/>
        </w:rPr>
        <w:t xml:space="preserve"> (incorporating Australian Standard AS1428.1) and for high care</w:t>
      </w:r>
      <w:r w:rsidRPr="00B74B51">
        <w:rPr>
          <w:vertAlign w:val="superscript"/>
          <w:lang w:val="en-AU"/>
        </w:rPr>
        <w:footnoteReference w:id="7"/>
      </w:r>
      <w:r w:rsidRPr="00B74B51">
        <w:rPr>
          <w:lang w:val="en-AU"/>
        </w:rPr>
        <w:t xml:space="preserve">.  Room sizes for standard and improved liability were based on the architect’s designs and were moderated through consultation with accommodation providers.  The resulting room sizes are set out in </w:t>
      </w:r>
      <w:r w:rsidR="003F3925">
        <w:rPr>
          <w:lang w:val="en-AU"/>
        </w:rPr>
        <w:fldChar w:fldCharType="begin"/>
      </w:r>
      <w:r w:rsidR="003F3925">
        <w:rPr>
          <w:lang w:val="en-AU"/>
        </w:rPr>
        <w:instrText xml:space="preserve"> REF _Ref447459742 \h </w:instrText>
      </w:r>
      <w:r w:rsidR="003F3925">
        <w:rPr>
          <w:lang w:val="en-AU"/>
        </w:rPr>
      </w:r>
      <w:r w:rsidR="003F3925">
        <w:rPr>
          <w:lang w:val="en-AU"/>
        </w:rPr>
        <w:fldChar w:fldCharType="separate"/>
      </w:r>
    </w:p>
    <w:p w14:paraId="411A4976" w14:textId="191F34E6" w:rsidR="00B74B51" w:rsidRDefault="00607084" w:rsidP="00C54230">
      <w:pPr>
        <w:pStyle w:val="BodyText1"/>
        <w:rPr>
          <w:lang w:val="en-AU"/>
        </w:rPr>
      </w:pPr>
      <w:r>
        <w:t xml:space="preserve">Table </w:t>
      </w:r>
      <w:r>
        <w:rPr>
          <w:noProof/>
        </w:rPr>
        <w:t>10</w:t>
      </w:r>
      <w:r w:rsidR="003F3925">
        <w:rPr>
          <w:lang w:val="en-AU"/>
        </w:rPr>
        <w:fldChar w:fldCharType="end"/>
      </w:r>
      <w:r w:rsidR="003F3925">
        <w:rPr>
          <w:lang w:val="en-AU"/>
        </w:rPr>
        <w:t>.</w:t>
      </w:r>
      <w:r w:rsidR="003F3925" w:rsidRPr="00B74B51">
        <w:rPr>
          <w:lang w:val="en-AU"/>
        </w:rPr>
        <w:t xml:space="preserve"> </w:t>
      </w:r>
      <w:r w:rsidR="00B74B51" w:rsidRPr="00B74B51">
        <w:rPr>
          <w:lang w:val="en-AU"/>
        </w:rPr>
        <w:t>Optional rooms (for overnight support and breakout rooms) are shaded and are shown at the bottom of the table.</w:t>
      </w:r>
    </w:p>
    <w:p w14:paraId="5D3D122D" w14:textId="77777777" w:rsidR="003F3925" w:rsidRDefault="003F3925" w:rsidP="00C54230">
      <w:pPr>
        <w:pStyle w:val="BodyText1"/>
        <w:rPr>
          <w:lang w:val="en-AU"/>
        </w:rPr>
      </w:pPr>
    </w:p>
    <w:p w14:paraId="1563A191" w14:textId="77777777" w:rsidR="003F3925" w:rsidRDefault="003F3925" w:rsidP="003F3925">
      <w:pPr>
        <w:pStyle w:val="Caption"/>
      </w:pPr>
      <w:bookmarkStart w:id="628" w:name="_Ref447459742"/>
      <w:bookmarkStart w:id="629" w:name="_Ref442858288"/>
    </w:p>
    <w:p w14:paraId="411A4977" w14:textId="4BA19A97" w:rsidR="00B74B51" w:rsidRPr="003F3925" w:rsidRDefault="00C54230" w:rsidP="003F3925">
      <w:pPr>
        <w:pStyle w:val="Caption"/>
        <w:rPr>
          <w:rFonts w:eastAsia="Times New Roman" w:cs="Arial"/>
          <w:szCs w:val="22"/>
          <w:lang w:val="en-AU" w:eastAsia="en-US"/>
        </w:rPr>
      </w:pPr>
      <w:r>
        <w:t xml:space="preserve">Table </w:t>
      </w:r>
      <w:r>
        <w:fldChar w:fldCharType="begin"/>
      </w:r>
      <w:r>
        <w:instrText xml:space="preserve"> SEQ Table \* ARABIC </w:instrText>
      </w:r>
      <w:r>
        <w:fldChar w:fldCharType="separate"/>
      </w:r>
      <w:r w:rsidR="00607084">
        <w:rPr>
          <w:noProof/>
        </w:rPr>
        <w:t>10</w:t>
      </w:r>
      <w:r>
        <w:fldChar w:fldCharType="end"/>
      </w:r>
      <w:bookmarkEnd w:id="628"/>
      <w:r>
        <w:t xml:space="preserve"> - </w:t>
      </w:r>
      <w:r w:rsidRPr="00C54230">
        <w:t>Current property specifications modelled</w:t>
      </w:r>
      <w:bookmarkEnd w:id="629"/>
    </w:p>
    <w:tbl>
      <w:tblPr>
        <w:tblStyle w:val="MJATable11"/>
        <w:tblW w:w="9496" w:type="dxa"/>
        <w:tblBorders>
          <w:bottom w:val="single" w:sz="4" w:space="0" w:color="0093D0"/>
          <w:insideH w:val="single" w:sz="4" w:space="0" w:color="0093D0"/>
        </w:tblBorders>
        <w:tblLook w:val="04A0" w:firstRow="1" w:lastRow="0" w:firstColumn="1" w:lastColumn="0" w:noHBand="0" w:noVBand="1"/>
      </w:tblPr>
      <w:tblGrid>
        <w:gridCol w:w="2547"/>
        <w:gridCol w:w="1574"/>
        <w:gridCol w:w="3118"/>
        <w:gridCol w:w="2257"/>
      </w:tblGrid>
      <w:tr w:rsidR="00B74B51" w:rsidRPr="00B74B51" w14:paraId="411A497C" w14:textId="77777777" w:rsidTr="00B74B5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7030A0"/>
            <w:noWrap/>
            <w:hideMark/>
          </w:tcPr>
          <w:p w14:paraId="411A4978"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Room/ area</w:t>
            </w:r>
          </w:p>
        </w:tc>
        <w:tc>
          <w:tcPr>
            <w:tcW w:w="1574" w:type="dxa"/>
            <w:shd w:val="clear" w:color="auto" w:fill="7030A0"/>
          </w:tcPr>
          <w:p w14:paraId="411A4979"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Standard &amp; Improved liveability</w:t>
            </w:r>
          </w:p>
        </w:tc>
        <w:tc>
          <w:tcPr>
            <w:tcW w:w="3118" w:type="dxa"/>
            <w:shd w:val="clear" w:color="auto" w:fill="7030A0"/>
            <w:noWrap/>
            <w:hideMark/>
          </w:tcPr>
          <w:p w14:paraId="411A497A"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 xml:space="preserve">Fully accessible &amp; </w:t>
            </w:r>
            <w:r w:rsidRPr="00B74B51">
              <w:rPr>
                <w:rFonts w:eastAsia="Calibri" w:cs="Arial"/>
                <w:szCs w:val="22"/>
                <w:lang w:val="en-AU" w:eastAsia="en-AU"/>
              </w:rPr>
              <w:br/>
              <w:t xml:space="preserve">Robust construction </w:t>
            </w:r>
            <w:r w:rsidRPr="00B74B51">
              <w:rPr>
                <w:rFonts w:eastAsia="Calibri" w:cs="Arial"/>
                <w:szCs w:val="22"/>
                <w:lang w:val="en-AU" w:eastAsia="en-AU"/>
              </w:rPr>
              <w:br/>
              <w:t>(Platinum standard)</w:t>
            </w:r>
          </w:p>
        </w:tc>
        <w:tc>
          <w:tcPr>
            <w:tcW w:w="2257" w:type="dxa"/>
            <w:shd w:val="clear" w:color="auto" w:fill="7030A0"/>
          </w:tcPr>
          <w:p w14:paraId="411A497B"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High Care</w:t>
            </w:r>
          </w:p>
        </w:tc>
      </w:tr>
      <w:tr w:rsidR="00B74B51" w:rsidRPr="00B74B51" w14:paraId="411A498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tcPr>
          <w:p w14:paraId="411A497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Door Widths</w:t>
            </w:r>
          </w:p>
        </w:tc>
        <w:tc>
          <w:tcPr>
            <w:tcW w:w="1574" w:type="dxa"/>
          </w:tcPr>
          <w:p w14:paraId="411A497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Not specified</w:t>
            </w:r>
          </w:p>
        </w:tc>
        <w:tc>
          <w:tcPr>
            <w:tcW w:w="3118" w:type="dxa"/>
            <w:noWrap/>
          </w:tcPr>
          <w:p w14:paraId="411A497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1500 mm</w:t>
            </w:r>
          </w:p>
        </w:tc>
        <w:tc>
          <w:tcPr>
            <w:tcW w:w="2257" w:type="dxa"/>
          </w:tcPr>
          <w:p w14:paraId="411A498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1600 mm (split doors)</w:t>
            </w:r>
          </w:p>
        </w:tc>
      </w:tr>
      <w:tr w:rsidR="00B74B51" w:rsidRPr="00B74B51" w14:paraId="411A4987"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tcPr>
          <w:p w14:paraId="411A4982"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Corridor Widths</w:t>
            </w:r>
          </w:p>
        </w:tc>
        <w:tc>
          <w:tcPr>
            <w:tcW w:w="1574" w:type="dxa"/>
          </w:tcPr>
          <w:p w14:paraId="411A498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1200 mm</w:t>
            </w:r>
          </w:p>
        </w:tc>
        <w:tc>
          <w:tcPr>
            <w:tcW w:w="3118" w:type="dxa"/>
            <w:noWrap/>
          </w:tcPr>
          <w:p w14:paraId="411A498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1200 mm</w:t>
            </w:r>
          </w:p>
        </w:tc>
        <w:tc>
          <w:tcPr>
            <w:tcW w:w="2257" w:type="dxa"/>
          </w:tcPr>
          <w:p w14:paraId="411A498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1600 mm in individual accommodation</w:t>
            </w:r>
          </w:p>
          <w:p w14:paraId="411A4986"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2100 mm in shared accommodation</w:t>
            </w:r>
          </w:p>
        </w:tc>
      </w:tr>
      <w:tr w:rsidR="00B74B51" w:rsidRPr="00B74B51" w14:paraId="411A498C"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88"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Entry</w:t>
            </w:r>
          </w:p>
        </w:tc>
        <w:tc>
          <w:tcPr>
            <w:tcW w:w="1574" w:type="dxa"/>
          </w:tcPr>
          <w:p w14:paraId="411A498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1.44 m</w:t>
            </w:r>
            <w:r w:rsidRPr="00B74B51">
              <w:rPr>
                <w:rFonts w:eastAsia="Calibri" w:cs="Arial"/>
                <w:szCs w:val="22"/>
                <w:vertAlign w:val="superscript"/>
                <w:lang w:val="en-AU" w:eastAsia="en-AU"/>
              </w:rPr>
              <w:t>2</w:t>
            </w:r>
          </w:p>
        </w:tc>
        <w:tc>
          <w:tcPr>
            <w:tcW w:w="3118" w:type="dxa"/>
            <w:noWrap/>
            <w:hideMark/>
          </w:tcPr>
          <w:p w14:paraId="411A498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2.25 m</w:t>
            </w:r>
            <w:r w:rsidRPr="00B74B51">
              <w:rPr>
                <w:rFonts w:eastAsia="Calibri" w:cs="Arial"/>
                <w:szCs w:val="22"/>
                <w:vertAlign w:val="superscript"/>
                <w:lang w:val="en-AU" w:eastAsia="en-AU"/>
              </w:rPr>
              <w:t>2</w:t>
            </w:r>
          </w:p>
        </w:tc>
        <w:tc>
          <w:tcPr>
            <w:tcW w:w="2257" w:type="dxa"/>
          </w:tcPr>
          <w:p w14:paraId="411A498B"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2.56 m</w:t>
            </w:r>
            <w:r w:rsidRPr="00B74B51">
              <w:rPr>
                <w:rFonts w:eastAsia="Calibri" w:cs="Arial"/>
                <w:szCs w:val="22"/>
                <w:vertAlign w:val="superscript"/>
                <w:lang w:val="en-AU" w:eastAsia="en-AU"/>
              </w:rPr>
              <w:t>2</w:t>
            </w:r>
          </w:p>
        </w:tc>
      </w:tr>
      <w:tr w:rsidR="00B74B51" w:rsidRPr="00B74B51" w14:paraId="411A499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8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Kitchen</w:t>
            </w:r>
          </w:p>
        </w:tc>
        <w:tc>
          <w:tcPr>
            <w:tcW w:w="1574" w:type="dxa"/>
          </w:tcPr>
          <w:p w14:paraId="411A498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 m</w:t>
            </w:r>
            <w:r w:rsidRPr="00B74B51">
              <w:rPr>
                <w:rFonts w:eastAsia="Calibri" w:cs="Arial"/>
                <w:szCs w:val="22"/>
                <w:vertAlign w:val="superscript"/>
                <w:lang w:val="en-AU" w:eastAsia="en-AU"/>
              </w:rPr>
              <w:t>2</w:t>
            </w:r>
          </w:p>
        </w:tc>
        <w:tc>
          <w:tcPr>
            <w:tcW w:w="3118" w:type="dxa"/>
            <w:noWrap/>
            <w:hideMark/>
          </w:tcPr>
          <w:p w14:paraId="411A498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11.75 m</w:t>
            </w:r>
            <w:r w:rsidRPr="00B74B51">
              <w:rPr>
                <w:rFonts w:eastAsia="Calibri" w:cs="Arial"/>
                <w:szCs w:val="22"/>
                <w:vertAlign w:val="superscript"/>
                <w:lang w:val="en-AU" w:eastAsia="en-AU"/>
              </w:rPr>
              <w:t>2</w:t>
            </w:r>
          </w:p>
        </w:tc>
        <w:tc>
          <w:tcPr>
            <w:tcW w:w="2257" w:type="dxa"/>
          </w:tcPr>
          <w:p w14:paraId="411A499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11.75 m</w:t>
            </w:r>
            <w:r w:rsidRPr="00B74B51">
              <w:rPr>
                <w:rFonts w:eastAsia="Calibri" w:cs="Arial"/>
                <w:szCs w:val="22"/>
                <w:vertAlign w:val="superscript"/>
                <w:lang w:val="en-AU" w:eastAsia="en-AU"/>
              </w:rPr>
              <w:t>2</w:t>
            </w:r>
          </w:p>
        </w:tc>
      </w:tr>
      <w:tr w:rsidR="00B74B51" w:rsidRPr="00B74B51" w14:paraId="411A4996"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2"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Bathroom</w:t>
            </w:r>
          </w:p>
        </w:tc>
        <w:tc>
          <w:tcPr>
            <w:tcW w:w="1574" w:type="dxa"/>
          </w:tcPr>
          <w:p w14:paraId="411A499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3118" w:type="dxa"/>
            <w:noWrap/>
            <w:hideMark/>
          </w:tcPr>
          <w:p w14:paraId="411A499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2257" w:type="dxa"/>
          </w:tcPr>
          <w:p w14:paraId="411A499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r>
      <w:tr w:rsidR="00B74B51" w:rsidRPr="00B74B51" w14:paraId="411A499B"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7"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Toilet</w:t>
            </w:r>
          </w:p>
        </w:tc>
        <w:tc>
          <w:tcPr>
            <w:tcW w:w="1574" w:type="dxa"/>
          </w:tcPr>
          <w:p w14:paraId="411A499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c>
          <w:tcPr>
            <w:tcW w:w="3118" w:type="dxa"/>
            <w:noWrap/>
            <w:hideMark/>
          </w:tcPr>
          <w:p w14:paraId="411A499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c>
          <w:tcPr>
            <w:tcW w:w="2257" w:type="dxa"/>
          </w:tcPr>
          <w:p w14:paraId="411A499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r>
      <w:tr w:rsidR="00B74B51" w:rsidRPr="00B74B51" w14:paraId="411A49A0"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C"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Bedroom</w:t>
            </w:r>
          </w:p>
        </w:tc>
        <w:tc>
          <w:tcPr>
            <w:tcW w:w="1574" w:type="dxa"/>
          </w:tcPr>
          <w:p w14:paraId="411A499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 m</w:t>
            </w:r>
            <w:r w:rsidRPr="00B74B51">
              <w:rPr>
                <w:rFonts w:eastAsia="Calibri" w:cs="Arial"/>
                <w:szCs w:val="22"/>
                <w:vertAlign w:val="superscript"/>
                <w:lang w:val="en-AU" w:eastAsia="en-AU"/>
              </w:rPr>
              <w:t>2</w:t>
            </w:r>
          </w:p>
        </w:tc>
        <w:tc>
          <w:tcPr>
            <w:tcW w:w="3118" w:type="dxa"/>
            <w:noWrap/>
            <w:hideMark/>
          </w:tcPr>
          <w:p w14:paraId="411A499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16.2 m</w:t>
            </w:r>
            <w:r w:rsidRPr="00B74B51">
              <w:rPr>
                <w:rFonts w:eastAsia="Calibri" w:cs="Arial"/>
                <w:szCs w:val="22"/>
                <w:vertAlign w:val="superscript"/>
                <w:lang w:val="en-AU" w:eastAsia="en-AU"/>
              </w:rPr>
              <w:t>2</w:t>
            </w:r>
          </w:p>
        </w:tc>
        <w:tc>
          <w:tcPr>
            <w:tcW w:w="2257" w:type="dxa"/>
          </w:tcPr>
          <w:p w14:paraId="411A499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25 m</w:t>
            </w:r>
            <w:r w:rsidRPr="00B74B51">
              <w:rPr>
                <w:rFonts w:eastAsia="Calibri" w:cs="Arial"/>
                <w:szCs w:val="22"/>
                <w:vertAlign w:val="superscript"/>
                <w:lang w:val="en-AU" w:eastAsia="en-AU"/>
              </w:rPr>
              <w:t>2</w:t>
            </w:r>
          </w:p>
        </w:tc>
      </w:tr>
      <w:tr w:rsidR="00B74B51" w:rsidRPr="00B74B51" w14:paraId="411A49A5"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1"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Laundry</w:t>
            </w:r>
          </w:p>
        </w:tc>
        <w:tc>
          <w:tcPr>
            <w:tcW w:w="1574" w:type="dxa"/>
          </w:tcPr>
          <w:p w14:paraId="411A49A2"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4 m</w:t>
            </w:r>
            <w:r w:rsidRPr="00B74B51">
              <w:rPr>
                <w:rFonts w:eastAsia="Calibri" w:cs="Arial"/>
                <w:szCs w:val="22"/>
                <w:vertAlign w:val="superscript"/>
                <w:lang w:val="en-AU" w:eastAsia="en-AU"/>
              </w:rPr>
              <w:t>2</w:t>
            </w:r>
          </w:p>
        </w:tc>
        <w:tc>
          <w:tcPr>
            <w:tcW w:w="3118" w:type="dxa"/>
            <w:noWrap/>
            <w:hideMark/>
          </w:tcPr>
          <w:p w14:paraId="411A49A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8.14 m</w:t>
            </w:r>
            <w:r w:rsidRPr="00B74B51">
              <w:rPr>
                <w:rFonts w:eastAsia="Calibri" w:cs="Arial"/>
                <w:szCs w:val="22"/>
                <w:vertAlign w:val="superscript"/>
                <w:lang w:val="en-AU" w:eastAsia="en-AU"/>
              </w:rPr>
              <w:t>2</w:t>
            </w:r>
          </w:p>
        </w:tc>
        <w:tc>
          <w:tcPr>
            <w:tcW w:w="2257" w:type="dxa"/>
          </w:tcPr>
          <w:p w14:paraId="411A49A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8.14 m</w:t>
            </w:r>
            <w:r w:rsidRPr="00B74B51">
              <w:rPr>
                <w:rFonts w:eastAsia="Calibri" w:cs="Arial"/>
                <w:szCs w:val="22"/>
                <w:vertAlign w:val="superscript"/>
                <w:lang w:val="en-AU" w:eastAsia="en-AU"/>
              </w:rPr>
              <w:t>2</w:t>
            </w:r>
          </w:p>
        </w:tc>
      </w:tr>
      <w:tr w:rsidR="00B74B51" w:rsidRPr="00B74B51" w14:paraId="411A49AA"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6"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Storage</w:t>
            </w:r>
          </w:p>
        </w:tc>
        <w:tc>
          <w:tcPr>
            <w:tcW w:w="1574" w:type="dxa"/>
          </w:tcPr>
          <w:p w14:paraId="411A49A7"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c>
          <w:tcPr>
            <w:tcW w:w="3118" w:type="dxa"/>
            <w:noWrap/>
            <w:hideMark/>
          </w:tcPr>
          <w:p w14:paraId="411A49A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c>
          <w:tcPr>
            <w:tcW w:w="2257" w:type="dxa"/>
          </w:tcPr>
          <w:p w14:paraId="411A49A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r>
      <w:tr w:rsidR="00B74B51" w:rsidRPr="00B74B51" w14:paraId="411A49AF"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B"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Terrace</w:t>
            </w:r>
          </w:p>
        </w:tc>
        <w:tc>
          <w:tcPr>
            <w:tcW w:w="1574" w:type="dxa"/>
          </w:tcPr>
          <w:p w14:paraId="411A49AC"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10 m</w:t>
            </w:r>
            <w:r w:rsidRPr="00B74B51">
              <w:rPr>
                <w:rFonts w:eastAsia="Calibri" w:cs="Arial"/>
                <w:szCs w:val="22"/>
                <w:vertAlign w:val="superscript"/>
                <w:lang w:val="en-AU" w:eastAsia="en-AU"/>
              </w:rPr>
              <w:t>2</w:t>
            </w:r>
          </w:p>
        </w:tc>
        <w:tc>
          <w:tcPr>
            <w:tcW w:w="3118" w:type="dxa"/>
            <w:noWrap/>
            <w:hideMark/>
          </w:tcPr>
          <w:p w14:paraId="411A49A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 m</w:t>
            </w:r>
            <w:r w:rsidRPr="00B74B51">
              <w:rPr>
                <w:rFonts w:eastAsia="Calibri" w:cs="Arial"/>
                <w:szCs w:val="22"/>
                <w:vertAlign w:val="superscript"/>
                <w:lang w:val="en-AU" w:eastAsia="en-AU"/>
              </w:rPr>
              <w:t>2</w:t>
            </w:r>
          </w:p>
        </w:tc>
        <w:tc>
          <w:tcPr>
            <w:tcW w:w="2257" w:type="dxa"/>
          </w:tcPr>
          <w:p w14:paraId="411A49A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 m</w:t>
            </w:r>
            <w:r w:rsidRPr="00B74B51">
              <w:rPr>
                <w:rFonts w:eastAsia="Calibri" w:cs="Arial"/>
                <w:szCs w:val="22"/>
                <w:vertAlign w:val="superscript"/>
                <w:lang w:val="en-AU" w:eastAsia="en-AU"/>
              </w:rPr>
              <w:t>2</w:t>
            </w:r>
          </w:p>
        </w:tc>
      </w:tr>
      <w:tr w:rsidR="00B74B51" w:rsidRPr="00B74B51" w14:paraId="411A49B5"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0"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 xml:space="preserve">On-site Support-Office </w:t>
            </w:r>
          </w:p>
          <w:p w14:paraId="411A49B1"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2"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c>
          <w:tcPr>
            <w:tcW w:w="3118" w:type="dxa"/>
            <w:shd w:val="clear" w:color="auto" w:fill="D5B8EA"/>
            <w:noWrap/>
            <w:hideMark/>
          </w:tcPr>
          <w:p w14:paraId="411A49B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c>
          <w:tcPr>
            <w:tcW w:w="2257" w:type="dxa"/>
            <w:shd w:val="clear" w:color="auto" w:fill="D5B8EA"/>
          </w:tcPr>
          <w:p w14:paraId="411A49B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r>
      <w:tr w:rsidR="00B74B51" w:rsidRPr="00B74B51" w14:paraId="411A49BB"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6"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On-site Support-Sleepover</w:t>
            </w:r>
          </w:p>
          <w:p w14:paraId="411A49B7"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3118" w:type="dxa"/>
            <w:shd w:val="clear" w:color="auto" w:fill="D5B8EA"/>
            <w:noWrap/>
            <w:hideMark/>
          </w:tcPr>
          <w:p w14:paraId="411A49B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2257" w:type="dxa"/>
            <w:shd w:val="clear" w:color="auto" w:fill="D5B8EA"/>
          </w:tcPr>
          <w:p w14:paraId="411A49B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r>
      <w:tr w:rsidR="00B74B51" w:rsidRPr="00B74B51" w14:paraId="411A49C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C"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Breakout Room</w:t>
            </w:r>
          </w:p>
          <w:p w14:paraId="411A49B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c>
          <w:tcPr>
            <w:tcW w:w="3118" w:type="dxa"/>
            <w:shd w:val="clear" w:color="auto" w:fill="D5B8EA"/>
            <w:noWrap/>
            <w:hideMark/>
          </w:tcPr>
          <w:p w14:paraId="411A49B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c>
          <w:tcPr>
            <w:tcW w:w="2257" w:type="dxa"/>
            <w:shd w:val="clear" w:color="auto" w:fill="D5B8EA"/>
          </w:tcPr>
          <w:p w14:paraId="411A49C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r>
    </w:tbl>
    <w:p w14:paraId="411A49C2"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Platinum and high care areas designed by Silver Thomas Hanley based on AS1428.1.</w:t>
      </w:r>
    </w:p>
    <w:p w14:paraId="411A49C4" w14:textId="77777777" w:rsidR="00B74B51" w:rsidRPr="00B74B51" w:rsidRDefault="00B74B51" w:rsidP="003F3925">
      <w:pPr>
        <w:pStyle w:val="BodyText1"/>
        <w:rPr>
          <w:lang w:val="en-AU"/>
        </w:rPr>
      </w:pPr>
      <w:r w:rsidRPr="00B74B51">
        <w:rPr>
          <w:lang w:val="en-AU"/>
        </w:rPr>
        <w:t>An allowance for corridor space has been calculated mathematically based on the total size of the property.</w:t>
      </w:r>
    </w:p>
    <w:p w14:paraId="411A49C5" w14:textId="77777777" w:rsidR="00B74B51" w:rsidRPr="00B74B51" w:rsidRDefault="00B74B51" w:rsidP="003F3925">
      <w:pPr>
        <w:pStyle w:val="BodyText1"/>
        <w:rPr>
          <w:lang w:val="en-AU"/>
        </w:rPr>
      </w:pPr>
      <w:r w:rsidRPr="00B74B51">
        <w:rPr>
          <w:lang w:val="en-AU"/>
        </w:rPr>
        <w:t xml:space="preserve">Living and dining room areas were combined and are dependent on the number of bedrooms in the property as well as the standard of accommodation. </w:t>
      </w:r>
    </w:p>
    <w:p w14:paraId="411A49C6" w14:textId="77777777" w:rsidR="00B74B51" w:rsidRPr="003F3925" w:rsidRDefault="001E2292" w:rsidP="003F3925">
      <w:pPr>
        <w:pStyle w:val="Caption"/>
      </w:pPr>
      <w:r w:rsidRPr="003F3925">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11</w:t>
      </w:r>
      <w:r w:rsidRPr="003F3925">
        <w:fldChar w:fldCharType="end"/>
      </w:r>
      <w:r w:rsidR="00B74B51" w:rsidRPr="003F3925">
        <w:t>: Living and dining room areas</w:t>
      </w:r>
    </w:p>
    <w:tbl>
      <w:tblPr>
        <w:tblStyle w:val="MJATable11"/>
        <w:tblW w:w="9214" w:type="dxa"/>
        <w:tblLook w:val="04A0" w:firstRow="1" w:lastRow="0" w:firstColumn="1" w:lastColumn="0" w:noHBand="0" w:noVBand="1"/>
      </w:tblPr>
      <w:tblGrid>
        <w:gridCol w:w="1239"/>
        <w:gridCol w:w="3156"/>
        <w:gridCol w:w="4819"/>
      </w:tblGrid>
      <w:tr w:rsidR="00B74B51" w:rsidRPr="00B74B51" w14:paraId="411A49CA" w14:textId="77777777" w:rsidTr="00B74B51">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239" w:type="dxa"/>
            <w:tcBorders>
              <w:bottom w:val="single" w:sz="4" w:space="0" w:color="0093D0"/>
            </w:tcBorders>
            <w:shd w:val="clear" w:color="auto" w:fill="7030A0"/>
            <w:hideMark/>
          </w:tcPr>
          <w:p w14:paraId="411A49C7" w14:textId="77777777" w:rsidR="00B74B51" w:rsidRPr="00B74B51" w:rsidRDefault="00B74B51" w:rsidP="00B74B51">
            <w:pPr>
              <w:keepNext/>
              <w:keepLines/>
              <w:spacing w:line="240" w:lineRule="auto"/>
              <w:jc w:val="center"/>
              <w:rPr>
                <w:rFonts w:eastAsia="Calibri" w:cs="Arial"/>
                <w:szCs w:val="22"/>
                <w:lang w:val="en-AU" w:eastAsia="en-AU"/>
              </w:rPr>
            </w:pPr>
            <w:r w:rsidRPr="00B74B51">
              <w:rPr>
                <w:rFonts w:eastAsia="Calibri" w:cs="Arial"/>
                <w:szCs w:val="22"/>
                <w:lang w:val="en-AU" w:eastAsia="en-AU"/>
              </w:rPr>
              <w:t>No of bedrooms</w:t>
            </w:r>
          </w:p>
        </w:tc>
        <w:tc>
          <w:tcPr>
            <w:tcW w:w="3156" w:type="dxa"/>
            <w:tcBorders>
              <w:bottom w:val="single" w:sz="4" w:space="0" w:color="0093D0"/>
            </w:tcBorders>
            <w:shd w:val="clear" w:color="auto" w:fill="7030A0"/>
            <w:noWrap/>
            <w:hideMark/>
          </w:tcPr>
          <w:p w14:paraId="411A49C8"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Standard &amp; Improved liveability (m</w:t>
            </w:r>
            <w:r w:rsidRPr="00B74B51">
              <w:rPr>
                <w:rFonts w:eastAsia="Calibri" w:cs="Arial"/>
                <w:szCs w:val="22"/>
                <w:vertAlign w:val="superscript"/>
                <w:lang w:val="en-AU" w:eastAsia="en-AU"/>
              </w:rPr>
              <w:t>2</w:t>
            </w:r>
            <w:r w:rsidRPr="00B74B51">
              <w:rPr>
                <w:rFonts w:eastAsia="Calibri" w:cs="Arial"/>
                <w:szCs w:val="22"/>
                <w:lang w:val="en-AU" w:eastAsia="en-AU"/>
              </w:rPr>
              <w:t>)</w:t>
            </w:r>
          </w:p>
        </w:tc>
        <w:tc>
          <w:tcPr>
            <w:tcW w:w="4819" w:type="dxa"/>
            <w:tcBorders>
              <w:bottom w:val="single" w:sz="4" w:space="0" w:color="0093D0"/>
            </w:tcBorders>
            <w:shd w:val="clear" w:color="auto" w:fill="7030A0"/>
          </w:tcPr>
          <w:p w14:paraId="411A49C9"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 xml:space="preserve">Fully accessible &amp; </w:t>
            </w:r>
            <w:r w:rsidRPr="00B74B51">
              <w:rPr>
                <w:rFonts w:eastAsia="Calibri" w:cs="Arial"/>
                <w:szCs w:val="22"/>
                <w:lang w:val="en-AU" w:eastAsia="en-AU"/>
              </w:rPr>
              <w:br/>
              <w:t>Robust construction &amp; High Care (m</w:t>
            </w:r>
            <w:r w:rsidRPr="00B74B51">
              <w:rPr>
                <w:rFonts w:eastAsia="Calibri" w:cs="Arial"/>
                <w:szCs w:val="22"/>
                <w:vertAlign w:val="superscript"/>
                <w:lang w:val="en-AU" w:eastAsia="en-AU"/>
              </w:rPr>
              <w:t>2</w:t>
            </w:r>
            <w:r w:rsidRPr="00B74B51">
              <w:rPr>
                <w:rFonts w:eastAsia="Calibri" w:cs="Arial"/>
                <w:szCs w:val="22"/>
                <w:lang w:val="en-AU" w:eastAsia="en-AU"/>
              </w:rPr>
              <w:t>)</w:t>
            </w:r>
          </w:p>
        </w:tc>
      </w:tr>
      <w:tr w:rsidR="00B74B51" w:rsidRPr="00B74B51" w14:paraId="411A49CE"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CB"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1</w:t>
            </w:r>
          </w:p>
        </w:tc>
        <w:tc>
          <w:tcPr>
            <w:tcW w:w="3156" w:type="dxa"/>
            <w:tcBorders>
              <w:top w:val="single" w:sz="4" w:space="0" w:color="0093D0"/>
              <w:bottom w:val="single" w:sz="4" w:space="0" w:color="0093D0"/>
            </w:tcBorders>
            <w:noWrap/>
            <w:hideMark/>
          </w:tcPr>
          <w:p w14:paraId="411A49CC"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17.25</w:t>
            </w:r>
          </w:p>
        </w:tc>
        <w:tc>
          <w:tcPr>
            <w:tcW w:w="4819" w:type="dxa"/>
            <w:tcBorders>
              <w:top w:val="single" w:sz="4" w:space="0" w:color="0093D0"/>
              <w:bottom w:val="single" w:sz="4" w:space="0" w:color="0093D0"/>
            </w:tcBorders>
          </w:tcPr>
          <w:p w14:paraId="411A49C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23</w:t>
            </w:r>
          </w:p>
        </w:tc>
      </w:tr>
      <w:tr w:rsidR="00B74B51" w:rsidRPr="00B74B51" w14:paraId="411A49D2"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CF"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2</w:t>
            </w:r>
          </w:p>
        </w:tc>
        <w:tc>
          <w:tcPr>
            <w:tcW w:w="3156" w:type="dxa"/>
            <w:tcBorders>
              <w:top w:val="single" w:sz="4" w:space="0" w:color="0093D0"/>
              <w:bottom w:val="single" w:sz="4" w:space="0" w:color="0093D0"/>
            </w:tcBorders>
            <w:noWrap/>
            <w:hideMark/>
          </w:tcPr>
          <w:p w14:paraId="411A49D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24</w:t>
            </w:r>
          </w:p>
        </w:tc>
        <w:tc>
          <w:tcPr>
            <w:tcW w:w="4819" w:type="dxa"/>
            <w:tcBorders>
              <w:top w:val="single" w:sz="4" w:space="0" w:color="0093D0"/>
              <w:bottom w:val="single" w:sz="4" w:space="0" w:color="0093D0"/>
            </w:tcBorders>
          </w:tcPr>
          <w:p w14:paraId="411A49D1"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32</w:t>
            </w:r>
          </w:p>
        </w:tc>
      </w:tr>
      <w:tr w:rsidR="00B74B51" w:rsidRPr="00B74B51" w14:paraId="411A49D6"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3"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3</w:t>
            </w:r>
          </w:p>
        </w:tc>
        <w:tc>
          <w:tcPr>
            <w:tcW w:w="3156" w:type="dxa"/>
            <w:tcBorders>
              <w:top w:val="single" w:sz="4" w:space="0" w:color="0093D0"/>
              <w:bottom w:val="single" w:sz="4" w:space="0" w:color="0093D0"/>
            </w:tcBorders>
            <w:noWrap/>
            <w:hideMark/>
          </w:tcPr>
          <w:p w14:paraId="411A49D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33.75</w:t>
            </w:r>
          </w:p>
        </w:tc>
        <w:tc>
          <w:tcPr>
            <w:tcW w:w="4819" w:type="dxa"/>
            <w:tcBorders>
              <w:top w:val="single" w:sz="4" w:space="0" w:color="0093D0"/>
              <w:bottom w:val="single" w:sz="4" w:space="0" w:color="0093D0"/>
            </w:tcBorders>
          </w:tcPr>
          <w:p w14:paraId="411A49D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45</w:t>
            </w:r>
          </w:p>
        </w:tc>
      </w:tr>
      <w:tr w:rsidR="00B74B51" w:rsidRPr="00B74B51" w14:paraId="411A49DA"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7"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4</w:t>
            </w:r>
          </w:p>
        </w:tc>
        <w:tc>
          <w:tcPr>
            <w:tcW w:w="3156" w:type="dxa"/>
            <w:tcBorders>
              <w:top w:val="single" w:sz="4" w:space="0" w:color="0093D0"/>
              <w:bottom w:val="single" w:sz="4" w:space="0" w:color="0093D0"/>
            </w:tcBorders>
            <w:noWrap/>
            <w:hideMark/>
          </w:tcPr>
          <w:p w14:paraId="411A49D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39</w:t>
            </w:r>
          </w:p>
        </w:tc>
        <w:tc>
          <w:tcPr>
            <w:tcW w:w="4819" w:type="dxa"/>
            <w:tcBorders>
              <w:top w:val="single" w:sz="4" w:space="0" w:color="0093D0"/>
              <w:bottom w:val="single" w:sz="4" w:space="0" w:color="0093D0"/>
            </w:tcBorders>
          </w:tcPr>
          <w:p w14:paraId="411A49D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52</w:t>
            </w:r>
          </w:p>
        </w:tc>
      </w:tr>
      <w:tr w:rsidR="00B74B51" w:rsidRPr="00B74B51" w14:paraId="411A49DE"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B" w14:textId="77777777" w:rsidR="00B74B51" w:rsidRPr="00B74B51" w:rsidRDefault="00B74B51" w:rsidP="00B74B51">
            <w:pPr>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5</w:t>
            </w:r>
          </w:p>
        </w:tc>
        <w:tc>
          <w:tcPr>
            <w:tcW w:w="3156" w:type="dxa"/>
            <w:tcBorders>
              <w:top w:val="single" w:sz="4" w:space="0" w:color="0093D0"/>
              <w:bottom w:val="single" w:sz="4" w:space="0" w:color="0093D0"/>
            </w:tcBorders>
            <w:noWrap/>
            <w:hideMark/>
          </w:tcPr>
          <w:p w14:paraId="411A49D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48.75</w:t>
            </w:r>
          </w:p>
        </w:tc>
        <w:tc>
          <w:tcPr>
            <w:tcW w:w="4819" w:type="dxa"/>
            <w:tcBorders>
              <w:top w:val="single" w:sz="4" w:space="0" w:color="0093D0"/>
              <w:bottom w:val="single" w:sz="4" w:space="0" w:color="0093D0"/>
            </w:tcBorders>
          </w:tcPr>
          <w:p w14:paraId="411A49D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65</w:t>
            </w:r>
          </w:p>
        </w:tc>
      </w:tr>
      <w:tr w:rsidR="00B74B51" w:rsidRPr="00B74B51" w14:paraId="411A49E2"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noWrap/>
            <w:hideMark/>
          </w:tcPr>
          <w:p w14:paraId="411A49DF" w14:textId="77777777" w:rsidR="00B74B51" w:rsidRPr="00B74B51" w:rsidRDefault="00B74B51" w:rsidP="00B74B51">
            <w:pPr>
              <w:spacing w:line="240" w:lineRule="auto"/>
              <w:jc w:val="center"/>
              <w:rPr>
                <w:rFonts w:eastAsia="Calibri" w:cs="Arial"/>
                <w:szCs w:val="22"/>
                <w:lang w:val="en-AU" w:eastAsia="en-AU"/>
              </w:rPr>
            </w:pPr>
            <w:r w:rsidRPr="00B74B51">
              <w:rPr>
                <w:rFonts w:eastAsia="Calibri" w:cs="Arial"/>
                <w:szCs w:val="22"/>
                <w:lang w:val="en-AU" w:eastAsia="en-AU"/>
              </w:rPr>
              <w:t>6</w:t>
            </w:r>
          </w:p>
        </w:tc>
        <w:tc>
          <w:tcPr>
            <w:tcW w:w="3156" w:type="dxa"/>
            <w:tcBorders>
              <w:top w:val="single" w:sz="4" w:space="0" w:color="0093D0"/>
              <w:bottom w:val="single" w:sz="4" w:space="0" w:color="0093D0"/>
            </w:tcBorders>
            <w:noWrap/>
            <w:hideMark/>
          </w:tcPr>
          <w:p w14:paraId="411A49E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56.25</w:t>
            </w:r>
          </w:p>
        </w:tc>
        <w:tc>
          <w:tcPr>
            <w:tcW w:w="4819" w:type="dxa"/>
            <w:tcBorders>
              <w:top w:val="single" w:sz="4" w:space="0" w:color="0093D0"/>
              <w:bottom w:val="single" w:sz="4" w:space="0" w:color="0093D0"/>
            </w:tcBorders>
          </w:tcPr>
          <w:p w14:paraId="411A49E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75</w:t>
            </w:r>
          </w:p>
        </w:tc>
      </w:tr>
    </w:tbl>
    <w:p w14:paraId="411A49E3"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lastRenderedPageBreak/>
        <w:t>Source: Fully accessible room sizes for 1 to 5 bedrooms from NSW Family and Community Services Design guidelines – Group accommodation – February 2013</w:t>
      </w:r>
    </w:p>
    <w:p w14:paraId="411A49E4" w14:textId="4E5F7EE4"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30" w:name="_Toc447030086"/>
      <w:bookmarkStart w:id="631" w:name="_Toc447036038"/>
      <w:bookmarkStart w:id="632" w:name="_Toc447036145"/>
      <w:bookmarkStart w:id="633" w:name="_Toc447036247"/>
      <w:bookmarkStart w:id="634" w:name="_Toc447056886"/>
      <w:bookmarkStart w:id="635" w:name="_Toc447198756"/>
      <w:bookmarkStart w:id="636" w:name="_Toc447225499"/>
      <w:bookmarkStart w:id="637" w:name="_Toc447447143"/>
      <w:bookmarkStart w:id="638" w:name="_Toc447448902"/>
      <w:r w:rsidRPr="00B74B51">
        <w:rPr>
          <w:rFonts w:eastAsia="Times New Roman" w:cs="Arial"/>
          <w:b/>
          <w:sz w:val="24"/>
        </w:rPr>
        <w:t xml:space="preserve">Numbers of rooms for each </w:t>
      </w:r>
      <w:r w:rsidR="003F3925">
        <w:rPr>
          <w:rFonts w:eastAsia="Times New Roman" w:cs="Arial"/>
          <w:b/>
          <w:sz w:val="24"/>
        </w:rPr>
        <w:t>building</w:t>
      </w:r>
      <w:r w:rsidRPr="00B74B51">
        <w:rPr>
          <w:rFonts w:eastAsia="Times New Roman" w:cs="Arial"/>
          <w:b/>
          <w:sz w:val="24"/>
        </w:rPr>
        <w:t xml:space="preserve"> type</w:t>
      </w:r>
      <w:bookmarkEnd w:id="630"/>
      <w:bookmarkEnd w:id="631"/>
      <w:bookmarkEnd w:id="632"/>
      <w:bookmarkEnd w:id="633"/>
      <w:bookmarkEnd w:id="634"/>
      <w:bookmarkEnd w:id="635"/>
      <w:bookmarkEnd w:id="636"/>
      <w:bookmarkEnd w:id="637"/>
      <w:bookmarkEnd w:id="638"/>
    </w:p>
    <w:p w14:paraId="411A49E5" w14:textId="05CBEFE1" w:rsidR="00B74B51" w:rsidRPr="00B74B51" w:rsidRDefault="00B74B51" w:rsidP="003F3925">
      <w:pPr>
        <w:pStyle w:val="BodyText1"/>
        <w:rPr>
          <w:lang w:val="en-AU"/>
        </w:rPr>
      </w:pPr>
      <w:r w:rsidRPr="00B74B51">
        <w:rPr>
          <w:lang w:val="en-AU"/>
        </w:rPr>
        <w:t xml:space="preserve">The number of rooms for each </w:t>
      </w:r>
      <w:r w:rsidR="003F3925">
        <w:rPr>
          <w:lang w:val="en-AU"/>
        </w:rPr>
        <w:t>building</w:t>
      </w:r>
      <w:r w:rsidRPr="00B74B51">
        <w:rPr>
          <w:lang w:val="en-AU"/>
        </w:rPr>
        <w:t xml:space="preserve"> type are summarised in </w:t>
      </w:r>
      <w:r w:rsidRPr="00B74B51">
        <w:rPr>
          <w:lang w:val="en-AU"/>
        </w:rPr>
        <w:fldChar w:fldCharType="begin"/>
      </w:r>
      <w:r w:rsidRPr="00B74B51">
        <w:rPr>
          <w:lang w:val="en-AU"/>
        </w:rPr>
        <w:instrText xml:space="preserve"> REF _Ref446017795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12</w:t>
      </w:r>
      <w:r w:rsidRPr="00B74B51">
        <w:rPr>
          <w:lang w:val="en-AU"/>
        </w:rPr>
        <w:fldChar w:fldCharType="end"/>
      </w:r>
      <w:r w:rsidRPr="00B74B51">
        <w:rPr>
          <w:lang w:val="en-AU"/>
        </w:rPr>
        <w:t>.</w:t>
      </w:r>
    </w:p>
    <w:p w14:paraId="411A49E6" w14:textId="77777777" w:rsidR="00B74B51" w:rsidRPr="00B74B51" w:rsidRDefault="00B74B51" w:rsidP="003F3925">
      <w:pPr>
        <w:pStyle w:val="BodyText1"/>
        <w:rPr>
          <w:lang w:val="en-AU"/>
        </w:rPr>
      </w:pPr>
      <w:r w:rsidRPr="00B74B51">
        <w:rPr>
          <w:lang w:val="en-AU"/>
        </w:rPr>
        <w:t>For simplicity the table does not list rooms that do not vary from one property to another – such as each house as one kitchen, one laundry and one living/dining room.</w:t>
      </w:r>
    </w:p>
    <w:p w14:paraId="411A49E7" w14:textId="57A2ED5C" w:rsidR="00B74B51" w:rsidRPr="003F3925" w:rsidRDefault="001E2292" w:rsidP="003F3925">
      <w:pPr>
        <w:pStyle w:val="Caption"/>
      </w:pPr>
      <w:bookmarkStart w:id="639" w:name="_Ref446017795"/>
      <w:r w:rsidRPr="003F3925">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12</w:t>
      </w:r>
      <w:r w:rsidRPr="003F3925">
        <w:fldChar w:fldCharType="end"/>
      </w:r>
      <w:bookmarkEnd w:id="639"/>
      <w:r w:rsidR="00B74B51" w:rsidRPr="003F3925">
        <w:t xml:space="preserve">: Numbers of variable rooms for each </w:t>
      </w:r>
      <w:r w:rsidR="003F3925">
        <w:t>building</w:t>
      </w:r>
      <w:r w:rsidR="00B74B51" w:rsidRPr="003F3925">
        <w:t xml:space="preserve"> type</w:t>
      </w:r>
    </w:p>
    <w:tbl>
      <w:tblPr>
        <w:tblStyle w:val="MJATable11"/>
        <w:tblW w:w="9214" w:type="dxa"/>
        <w:tblBorders>
          <w:bottom w:val="single" w:sz="4" w:space="0" w:color="0093D0"/>
          <w:insideH w:val="single" w:sz="4" w:space="0" w:color="0093D0"/>
        </w:tblBorders>
        <w:tblLayout w:type="fixed"/>
        <w:tblLook w:val="04A0" w:firstRow="1" w:lastRow="0" w:firstColumn="1" w:lastColumn="0" w:noHBand="0" w:noVBand="1"/>
      </w:tblPr>
      <w:tblGrid>
        <w:gridCol w:w="1276"/>
        <w:gridCol w:w="1265"/>
        <w:gridCol w:w="1335"/>
        <w:gridCol w:w="1334"/>
        <w:gridCol w:w="1335"/>
        <w:gridCol w:w="1334"/>
        <w:gridCol w:w="1335"/>
      </w:tblGrid>
      <w:tr w:rsidR="00B74B51" w:rsidRPr="00B74B51" w14:paraId="411A49EF" w14:textId="77777777" w:rsidTr="00B74B5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276" w:type="dxa"/>
            <w:shd w:val="clear" w:color="auto" w:fill="7030A0"/>
            <w:noWrap/>
            <w:hideMark/>
          </w:tcPr>
          <w:p w14:paraId="411A49E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Building type</w:t>
            </w:r>
          </w:p>
        </w:tc>
        <w:tc>
          <w:tcPr>
            <w:tcW w:w="1265" w:type="dxa"/>
            <w:shd w:val="clear" w:color="auto" w:fill="7030A0"/>
            <w:noWrap/>
            <w:hideMark/>
          </w:tcPr>
          <w:p w14:paraId="411A49E9"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Bedrooms</w:t>
            </w:r>
          </w:p>
        </w:tc>
        <w:tc>
          <w:tcPr>
            <w:tcW w:w="1335" w:type="dxa"/>
            <w:shd w:val="clear" w:color="auto" w:fill="7030A0"/>
            <w:hideMark/>
          </w:tcPr>
          <w:p w14:paraId="411A49EA"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Entry</w:t>
            </w:r>
          </w:p>
        </w:tc>
        <w:tc>
          <w:tcPr>
            <w:tcW w:w="1334" w:type="dxa"/>
            <w:shd w:val="clear" w:color="auto" w:fill="7030A0"/>
            <w:hideMark/>
          </w:tcPr>
          <w:p w14:paraId="411A49EB"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Large bathroom</w:t>
            </w:r>
          </w:p>
        </w:tc>
        <w:tc>
          <w:tcPr>
            <w:tcW w:w="1335" w:type="dxa"/>
            <w:shd w:val="clear" w:color="auto" w:fill="7030A0"/>
            <w:hideMark/>
          </w:tcPr>
          <w:p w14:paraId="411A49EC"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Bathroom</w:t>
            </w:r>
          </w:p>
        </w:tc>
        <w:tc>
          <w:tcPr>
            <w:tcW w:w="1334" w:type="dxa"/>
            <w:shd w:val="clear" w:color="auto" w:fill="7030A0"/>
            <w:hideMark/>
          </w:tcPr>
          <w:p w14:paraId="411A49ED"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Toilet</w:t>
            </w:r>
          </w:p>
        </w:tc>
        <w:tc>
          <w:tcPr>
            <w:tcW w:w="1335" w:type="dxa"/>
            <w:shd w:val="clear" w:color="auto" w:fill="7030A0"/>
            <w:hideMark/>
          </w:tcPr>
          <w:p w14:paraId="411A49EE"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Storage</w:t>
            </w:r>
          </w:p>
        </w:tc>
      </w:tr>
      <w:tr w:rsidR="00B74B51" w:rsidRPr="00B74B51" w14:paraId="411A49F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9F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Apartment</w:t>
            </w:r>
          </w:p>
        </w:tc>
        <w:tc>
          <w:tcPr>
            <w:tcW w:w="1265" w:type="dxa"/>
            <w:shd w:val="clear" w:color="auto" w:fill="D5B8EA"/>
            <w:hideMark/>
          </w:tcPr>
          <w:p w14:paraId="411A49F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9F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9F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9F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AF33C4" w:rsidRPr="00B74B51" w14:paraId="411A49FF" w14:textId="77777777" w:rsidTr="00AF33C4">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9F8" w14:textId="77777777" w:rsidR="00AF33C4" w:rsidRPr="00B74B51" w:rsidRDefault="00AF33C4" w:rsidP="00AF33C4">
            <w:pPr>
              <w:spacing w:line="240" w:lineRule="auto"/>
              <w:rPr>
                <w:rFonts w:eastAsia="Calibri" w:cs="Arial"/>
                <w:szCs w:val="22"/>
                <w:lang w:val="en-AU" w:eastAsia="en-US"/>
              </w:rPr>
            </w:pPr>
          </w:p>
        </w:tc>
        <w:tc>
          <w:tcPr>
            <w:tcW w:w="1265" w:type="dxa"/>
            <w:shd w:val="clear" w:color="auto" w:fill="D5B8EA"/>
            <w:hideMark/>
          </w:tcPr>
          <w:p w14:paraId="411A49F9"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5" w:type="dxa"/>
            <w:hideMark/>
          </w:tcPr>
          <w:p w14:paraId="411A49FA"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B"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9FC"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themeFill="background1" w:themeFillShade="F2"/>
            <w:hideMark/>
          </w:tcPr>
          <w:p w14:paraId="411A49FD"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9FE"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0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A0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Villa/ Townhouse/ Duplex</w:t>
            </w:r>
          </w:p>
        </w:tc>
        <w:tc>
          <w:tcPr>
            <w:tcW w:w="1265" w:type="dxa"/>
            <w:shd w:val="clear" w:color="auto" w:fill="D5B8EA"/>
            <w:hideMark/>
          </w:tcPr>
          <w:p w14:paraId="411A4A0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0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0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A0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AF33C4" w:rsidRPr="00B74B51" w14:paraId="411A4A0F" w14:textId="77777777" w:rsidTr="00AF33C4">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08" w14:textId="77777777" w:rsidR="00AF33C4" w:rsidRPr="00B74B51" w:rsidRDefault="00AF33C4" w:rsidP="00AF33C4">
            <w:pPr>
              <w:spacing w:line="240" w:lineRule="auto"/>
              <w:rPr>
                <w:rFonts w:eastAsia="Calibri" w:cs="Arial"/>
                <w:szCs w:val="22"/>
                <w:lang w:val="en-AU" w:eastAsia="en-US"/>
              </w:rPr>
            </w:pPr>
          </w:p>
        </w:tc>
        <w:tc>
          <w:tcPr>
            <w:tcW w:w="1265" w:type="dxa"/>
            <w:shd w:val="clear" w:color="auto" w:fill="D5B8EA"/>
            <w:hideMark/>
          </w:tcPr>
          <w:p w14:paraId="411A4A09"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5" w:type="dxa"/>
            <w:hideMark/>
          </w:tcPr>
          <w:p w14:paraId="411A4A0A"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B"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0C"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themeFill="background1" w:themeFillShade="F2"/>
            <w:hideMark/>
          </w:tcPr>
          <w:p w14:paraId="411A4A0D"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A0E"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1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10"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1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1335" w:type="dxa"/>
            <w:hideMark/>
          </w:tcPr>
          <w:p w14:paraId="411A4A1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1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1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1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shd w:val="clear" w:color="auto" w:fill="F2F2F2"/>
            <w:hideMark/>
          </w:tcPr>
          <w:p w14:paraId="411A4A1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1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shd w:val="clear" w:color="auto" w:fill="D5B8EA"/>
            <w:noWrap/>
            <w:hideMark/>
          </w:tcPr>
          <w:p w14:paraId="411A4A1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House</w:t>
            </w:r>
          </w:p>
        </w:tc>
        <w:tc>
          <w:tcPr>
            <w:tcW w:w="1265" w:type="dxa"/>
            <w:shd w:val="clear" w:color="auto" w:fill="D5B8EA"/>
            <w:hideMark/>
          </w:tcPr>
          <w:p w14:paraId="411A4A1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1335" w:type="dxa"/>
            <w:hideMark/>
          </w:tcPr>
          <w:p w14:paraId="411A4A1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1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1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1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shd w:val="clear" w:color="auto" w:fill="F2F2F2"/>
            <w:hideMark/>
          </w:tcPr>
          <w:p w14:paraId="411A4A1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2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A2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Group home</w:t>
            </w:r>
          </w:p>
        </w:tc>
        <w:tc>
          <w:tcPr>
            <w:tcW w:w="1265" w:type="dxa"/>
            <w:shd w:val="clear" w:color="auto" w:fill="D5B8EA"/>
            <w:hideMark/>
          </w:tcPr>
          <w:p w14:paraId="411A4A2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c>
          <w:tcPr>
            <w:tcW w:w="1335" w:type="dxa"/>
            <w:hideMark/>
          </w:tcPr>
          <w:p w14:paraId="411A4A2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2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2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r>
      <w:tr w:rsidR="00B74B51" w:rsidRPr="00B74B51" w14:paraId="411A4A2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28"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2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c>
          <w:tcPr>
            <w:tcW w:w="1335" w:type="dxa"/>
            <w:hideMark/>
          </w:tcPr>
          <w:p w14:paraId="411A4A2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2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2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r>
      <w:tr w:rsidR="00B74B51" w:rsidRPr="00B74B51" w14:paraId="411A4A3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30"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3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c>
          <w:tcPr>
            <w:tcW w:w="1335" w:type="dxa"/>
            <w:hideMark/>
          </w:tcPr>
          <w:p w14:paraId="411A4A3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3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3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3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3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r>
    </w:tbl>
    <w:p w14:paraId="411A4A38" w14:textId="77777777" w:rsidR="00B74B51" w:rsidRPr="00B74B51" w:rsidRDefault="00B74B51" w:rsidP="00B74B51">
      <w:pPr>
        <w:spacing w:before="120" w:after="120" w:line="280" w:lineRule="atLeast"/>
        <w:rPr>
          <w:rFonts w:eastAsia="Times New Roman" w:cs="Arial"/>
          <w:szCs w:val="22"/>
          <w:lang w:val="en-AU" w:eastAsia="en-US"/>
        </w:rPr>
      </w:pPr>
    </w:p>
    <w:p w14:paraId="411A4A39"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40" w:name="_Toc447030087"/>
      <w:bookmarkStart w:id="641" w:name="_Toc447036039"/>
      <w:bookmarkStart w:id="642" w:name="_Toc447036146"/>
      <w:bookmarkStart w:id="643" w:name="_Toc447036248"/>
      <w:bookmarkStart w:id="644" w:name="_Toc447056887"/>
      <w:bookmarkStart w:id="645" w:name="_Toc447198757"/>
      <w:bookmarkStart w:id="646" w:name="_Toc447225500"/>
      <w:bookmarkStart w:id="647" w:name="_Toc447447144"/>
      <w:bookmarkStart w:id="648" w:name="_Toc447448903"/>
      <w:r w:rsidRPr="00B74B51">
        <w:rPr>
          <w:rFonts w:eastAsia="Times New Roman" w:cs="Arial"/>
          <w:b/>
          <w:sz w:val="24"/>
        </w:rPr>
        <w:t>Total property sizes estimates</w:t>
      </w:r>
      <w:bookmarkEnd w:id="640"/>
      <w:bookmarkEnd w:id="641"/>
      <w:bookmarkEnd w:id="642"/>
      <w:bookmarkEnd w:id="643"/>
      <w:bookmarkEnd w:id="644"/>
      <w:bookmarkEnd w:id="645"/>
      <w:bookmarkEnd w:id="646"/>
      <w:bookmarkEnd w:id="647"/>
      <w:bookmarkEnd w:id="648"/>
    </w:p>
    <w:p w14:paraId="411A4A3A" w14:textId="726194CC" w:rsidR="00B74B51" w:rsidRPr="003F3925" w:rsidRDefault="00B74B51" w:rsidP="003F3925">
      <w:pPr>
        <w:pStyle w:val="BodyText1"/>
      </w:pPr>
      <w:r w:rsidRPr="003F3925">
        <w:t xml:space="preserve">Based on the numbers of rooms and the size of each room the total property size for each form of SDA and each property type are set out in </w:t>
      </w:r>
      <w:r w:rsidR="003F3925" w:rsidRPr="003F3925">
        <w:fldChar w:fldCharType="begin"/>
      </w:r>
      <w:r w:rsidR="003F3925" w:rsidRPr="003F3925">
        <w:instrText xml:space="preserve"> REF _Ref447459958 \h </w:instrText>
      </w:r>
      <w:r w:rsidR="003F3925">
        <w:instrText xml:space="preserve"> \* MERGEFORMAT </w:instrText>
      </w:r>
      <w:r w:rsidR="003F3925" w:rsidRPr="003F3925">
        <w:fldChar w:fldCharType="separate"/>
      </w:r>
      <w:r w:rsidR="00607084" w:rsidRPr="003F3925">
        <w:t xml:space="preserve">Table </w:t>
      </w:r>
      <w:r w:rsidR="00607084">
        <w:t>13</w:t>
      </w:r>
      <w:r w:rsidR="003F3925" w:rsidRPr="003F3925">
        <w:fldChar w:fldCharType="end"/>
      </w:r>
      <w:r w:rsidR="003F3925" w:rsidRPr="003F3925">
        <w:t xml:space="preserve"> below</w:t>
      </w:r>
    </w:p>
    <w:p w14:paraId="411A4A3B"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szCs w:val="22"/>
          <w:lang w:val="en-AU" w:eastAsia="en-US"/>
        </w:rPr>
        <w:t>.</w:t>
      </w:r>
    </w:p>
    <w:p w14:paraId="411A4A3C"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headerReference w:type="even" r:id="rId28"/>
          <w:headerReference w:type="default" r:id="rId29"/>
          <w:footerReference w:type="even" r:id="rId30"/>
          <w:footerReference w:type="default" r:id="rId31"/>
          <w:headerReference w:type="first" r:id="rId32"/>
          <w:footerReference w:type="first" r:id="rId33"/>
          <w:pgSz w:w="11906" w:h="16838" w:code="9"/>
          <w:pgMar w:top="1701" w:right="1134" w:bottom="1247" w:left="1276" w:header="680" w:footer="113" w:gutter="0"/>
          <w:cols w:space="708"/>
          <w:docGrid w:linePitch="360"/>
        </w:sectPr>
      </w:pPr>
      <w:bookmarkStart w:id="649" w:name="_Ref445929464"/>
    </w:p>
    <w:p w14:paraId="411A4A3D" w14:textId="77777777" w:rsidR="00B74B51" w:rsidRPr="003F3925" w:rsidRDefault="001E2292" w:rsidP="003F3925">
      <w:pPr>
        <w:pStyle w:val="Caption"/>
      </w:pPr>
      <w:bookmarkStart w:id="650" w:name="_Ref447459958"/>
      <w:r w:rsidRPr="003F3925">
        <w:lastRenderedPageBreak/>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13</w:t>
      </w:r>
      <w:r w:rsidRPr="003F3925">
        <w:fldChar w:fldCharType="end"/>
      </w:r>
      <w:bookmarkEnd w:id="649"/>
      <w:bookmarkEnd w:id="650"/>
      <w:r w:rsidR="00B74B51" w:rsidRPr="003F3925">
        <w:t>: Primary accommodation options estimated sizes (m2)</w:t>
      </w:r>
    </w:p>
    <w:tbl>
      <w:tblPr>
        <w:tblW w:w="14431" w:type="dxa"/>
        <w:tblInd w:w="-2" w:type="dxa"/>
        <w:tblLook w:val="04A0" w:firstRow="1" w:lastRow="0" w:firstColumn="1" w:lastColumn="0" w:noHBand="0" w:noVBand="1"/>
      </w:tblPr>
      <w:tblGrid>
        <w:gridCol w:w="1403"/>
        <w:gridCol w:w="1271"/>
        <w:gridCol w:w="1164"/>
        <w:gridCol w:w="1157"/>
        <w:gridCol w:w="1158"/>
        <w:gridCol w:w="1157"/>
        <w:gridCol w:w="1158"/>
        <w:gridCol w:w="1157"/>
        <w:gridCol w:w="1157"/>
        <w:gridCol w:w="1158"/>
        <w:gridCol w:w="1245"/>
        <w:gridCol w:w="1246"/>
      </w:tblGrid>
      <w:tr w:rsidR="00B74B51" w:rsidRPr="00B74B51" w14:paraId="411A4A45" w14:textId="77777777" w:rsidTr="00B74B51">
        <w:trPr>
          <w:trHeight w:val="418"/>
        </w:trPr>
        <w:tc>
          <w:tcPr>
            <w:tcW w:w="1403" w:type="dxa"/>
            <w:vMerge w:val="restart"/>
            <w:tcBorders>
              <w:top w:val="single" w:sz="8" w:space="0" w:color="0093D0"/>
              <w:left w:val="single" w:sz="8" w:space="0" w:color="0093D0"/>
              <w:bottom w:val="single" w:sz="8" w:space="0" w:color="0093D0"/>
              <w:right w:val="single" w:sz="8" w:space="0" w:color="0093D0"/>
            </w:tcBorders>
            <w:shd w:val="clear" w:color="auto" w:fill="7030A0"/>
            <w:noWrap/>
            <w:vAlign w:val="center"/>
            <w:hideMark/>
          </w:tcPr>
          <w:p w14:paraId="411A4A3E"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Dwelling type</w:t>
            </w:r>
          </w:p>
        </w:tc>
        <w:tc>
          <w:tcPr>
            <w:tcW w:w="1271" w:type="dxa"/>
            <w:vMerge w:val="restart"/>
            <w:tcBorders>
              <w:top w:val="single" w:sz="8" w:space="0" w:color="0093D0"/>
              <w:left w:val="single" w:sz="8" w:space="0" w:color="0093D0"/>
              <w:right w:val="single" w:sz="8" w:space="0" w:color="0093D0"/>
            </w:tcBorders>
            <w:shd w:val="clear" w:color="auto" w:fill="7030A0"/>
            <w:vAlign w:val="center"/>
            <w:hideMark/>
          </w:tcPr>
          <w:p w14:paraId="411A4A3F"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Number of bedrooms</w:t>
            </w:r>
          </w:p>
        </w:tc>
        <w:tc>
          <w:tcPr>
            <w:tcW w:w="1164" w:type="dxa"/>
            <w:vMerge w:val="restart"/>
            <w:tcBorders>
              <w:top w:val="single" w:sz="8" w:space="0" w:color="0093D0"/>
              <w:left w:val="single" w:sz="8" w:space="0" w:color="0093D0"/>
              <w:right w:val="single" w:sz="8" w:space="0" w:color="0093D0"/>
            </w:tcBorders>
            <w:shd w:val="clear" w:color="auto" w:fill="7030A0"/>
            <w:vAlign w:val="center"/>
            <w:hideMark/>
          </w:tcPr>
          <w:p w14:paraId="411A4A40"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Standard</w:t>
            </w:r>
          </w:p>
        </w:tc>
        <w:tc>
          <w:tcPr>
            <w:tcW w:w="2315"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A41"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Improved liveability</w:t>
            </w:r>
          </w:p>
        </w:tc>
        <w:tc>
          <w:tcPr>
            <w:tcW w:w="2315"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A42"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Fully accessible</w:t>
            </w:r>
          </w:p>
        </w:tc>
        <w:tc>
          <w:tcPr>
            <w:tcW w:w="3472" w:type="dxa"/>
            <w:gridSpan w:val="3"/>
            <w:tcBorders>
              <w:top w:val="single" w:sz="8" w:space="0" w:color="0093D0"/>
              <w:left w:val="nil"/>
              <w:bottom w:val="single" w:sz="8" w:space="0" w:color="0093D0"/>
              <w:right w:val="single" w:sz="8" w:space="0" w:color="0093D0"/>
            </w:tcBorders>
            <w:shd w:val="clear" w:color="auto" w:fill="7030A0"/>
            <w:noWrap/>
            <w:vAlign w:val="center"/>
            <w:hideMark/>
          </w:tcPr>
          <w:p w14:paraId="411A4A43"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Robust design</w:t>
            </w:r>
          </w:p>
        </w:tc>
        <w:tc>
          <w:tcPr>
            <w:tcW w:w="2491" w:type="dxa"/>
            <w:gridSpan w:val="2"/>
            <w:tcBorders>
              <w:top w:val="single" w:sz="8" w:space="0" w:color="0093D0"/>
              <w:left w:val="nil"/>
              <w:bottom w:val="single" w:sz="4" w:space="0" w:color="0093D0"/>
              <w:right w:val="single" w:sz="8" w:space="0" w:color="0093D0"/>
            </w:tcBorders>
            <w:shd w:val="clear" w:color="auto" w:fill="7030A0"/>
            <w:noWrap/>
            <w:vAlign w:val="center"/>
            <w:hideMark/>
          </w:tcPr>
          <w:p w14:paraId="411A4A44"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High support</w:t>
            </w:r>
          </w:p>
        </w:tc>
      </w:tr>
      <w:tr w:rsidR="00B74B51" w:rsidRPr="00B74B51" w14:paraId="411A4A52" w14:textId="77777777" w:rsidTr="00AF33C4">
        <w:trPr>
          <w:trHeight w:val="418"/>
        </w:trPr>
        <w:tc>
          <w:tcPr>
            <w:tcW w:w="1403" w:type="dxa"/>
            <w:vMerge/>
            <w:tcBorders>
              <w:top w:val="single" w:sz="8" w:space="0" w:color="0093D0"/>
              <w:left w:val="single" w:sz="8" w:space="0" w:color="0093D0"/>
              <w:bottom w:val="single" w:sz="8" w:space="0" w:color="0093D0"/>
              <w:right w:val="single" w:sz="8" w:space="0" w:color="0093D0"/>
            </w:tcBorders>
            <w:shd w:val="clear" w:color="auto" w:fill="7030A0"/>
            <w:vAlign w:val="center"/>
            <w:hideMark/>
          </w:tcPr>
          <w:p w14:paraId="411A4A46"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271" w:type="dxa"/>
            <w:vMerge/>
            <w:tcBorders>
              <w:left w:val="single" w:sz="8" w:space="0" w:color="0093D0"/>
              <w:bottom w:val="single" w:sz="8" w:space="0" w:color="0093D0"/>
              <w:right w:val="single" w:sz="8" w:space="0" w:color="0093D0"/>
            </w:tcBorders>
            <w:shd w:val="clear" w:color="auto" w:fill="7030A0"/>
            <w:vAlign w:val="center"/>
            <w:hideMark/>
          </w:tcPr>
          <w:p w14:paraId="411A4A47"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64" w:type="dxa"/>
            <w:vMerge/>
            <w:tcBorders>
              <w:left w:val="single" w:sz="8" w:space="0" w:color="0093D0"/>
              <w:bottom w:val="single" w:sz="8" w:space="0" w:color="0093D0"/>
              <w:right w:val="single" w:sz="8" w:space="0" w:color="0093D0"/>
            </w:tcBorders>
            <w:shd w:val="clear" w:color="auto" w:fill="7030A0"/>
            <w:vAlign w:val="center"/>
            <w:hideMark/>
          </w:tcPr>
          <w:p w14:paraId="411A4A48"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57" w:type="dxa"/>
            <w:tcBorders>
              <w:top w:val="nil"/>
              <w:left w:val="nil"/>
              <w:bottom w:val="single" w:sz="8" w:space="0" w:color="0093D0"/>
              <w:right w:val="single" w:sz="8" w:space="0" w:color="0093D0"/>
            </w:tcBorders>
            <w:shd w:val="clear" w:color="auto" w:fill="7030A0"/>
            <w:noWrap/>
            <w:vAlign w:val="center"/>
            <w:hideMark/>
          </w:tcPr>
          <w:p w14:paraId="411A4A49"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A"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B"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C"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D"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E"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F"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+1 Room</w:t>
            </w:r>
          </w:p>
        </w:tc>
        <w:tc>
          <w:tcPr>
            <w:tcW w:w="1245" w:type="dxa"/>
            <w:tcBorders>
              <w:top w:val="single" w:sz="4" w:space="0" w:color="0093D0"/>
              <w:left w:val="nil"/>
              <w:bottom w:val="single" w:sz="8" w:space="0" w:color="0093D0"/>
              <w:right w:val="single" w:sz="8" w:space="0" w:color="0093D0"/>
            </w:tcBorders>
            <w:shd w:val="clear" w:color="auto" w:fill="7030A0"/>
            <w:noWrap/>
            <w:vAlign w:val="center"/>
            <w:hideMark/>
          </w:tcPr>
          <w:p w14:paraId="411A4A50"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246" w:type="dxa"/>
            <w:tcBorders>
              <w:top w:val="single" w:sz="4" w:space="0" w:color="0093D0"/>
              <w:left w:val="nil"/>
              <w:bottom w:val="single" w:sz="8" w:space="0" w:color="0093D0"/>
              <w:right w:val="single" w:sz="8" w:space="0" w:color="0093D0"/>
            </w:tcBorders>
            <w:shd w:val="clear" w:color="auto" w:fill="7030A0"/>
            <w:vAlign w:val="center"/>
          </w:tcPr>
          <w:p w14:paraId="411A4A51"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r>
      <w:tr w:rsidR="00AF33C4" w:rsidRPr="00B74B51" w14:paraId="411A4A5F" w14:textId="77777777" w:rsidTr="00AF33C4">
        <w:trPr>
          <w:trHeight w:val="313"/>
        </w:trPr>
        <w:tc>
          <w:tcPr>
            <w:tcW w:w="1403"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A53"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Apartment</w:t>
            </w:r>
          </w:p>
        </w:tc>
        <w:tc>
          <w:tcPr>
            <w:tcW w:w="1271" w:type="dxa"/>
            <w:tcBorders>
              <w:top w:val="nil"/>
              <w:left w:val="nil"/>
              <w:bottom w:val="single" w:sz="8" w:space="0" w:color="0093D0"/>
              <w:right w:val="nil"/>
            </w:tcBorders>
            <w:shd w:val="clear" w:color="auto" w:fill="D5B8EA"/>
            <w:vAlign w:val="center"/>
            <w:hideMark/>
          </w:tcPr>
          <w:p w14:paraId="411A4A54"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55"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59</w:t>
            </w:r>
          </w:p>
        </w:tc>
        <w:tc>
          <w:tcPr>
            <w:tcW w:w="1157" w:type="dxa"/>
            <w:tcBorders>
              <w:top w:val="nil"/>
              <w:left w:val="nil"/>
              <w:bottom w:val="single" w:sz="8" w:space="0" w:color="0093D0"/>
              <w:right w:val="single" w:sz="8" w:space="0" w:color="0093D0"/>
            </w:tcBorders>
            <w:shd w:val="clear" w:color="000000" w:fill="FFFFFF"/>
            <w:vAlign w:val="center"/>
            <w:hideMark/>
          </w:tcPr>
          <w:p w14:paraId="411A4A5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59</w:t>
            </w:r>
          </w:p>
        </w:tc>
        <w:tc>
          <w:tcPr>
            <w:tcW w:w="1158" w:type="dxa"/>
            <w:tcBorders>
              <w:top w:val="nil"/>
              <w:left w:val="nil"/>
              <w:bottom w:val="single" w:sz="8" w:space="0" w:color="0093D0"/>
              <w:right w:val="single" w:sz="8" w:space="0" w:color="0093D0"/>
            </w:tcBorders>
            <w:shd w:val="clear" w:color="000000" w:fill="FFFFFF"/>
            <w:vAlign w:val="center"/>
            <w:hideMark/>
          </w:tcPr>
          <w:p w14:paraId="411A4A57"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59"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A"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B"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8" w:type="dxa"/>
            <w:tcBorders>
              <w:top w:val="nil"/>
              <w:left w:val="nil"/>
              <w:bottom w:val="single" w:sz="8" w:space="0" w:color="0093D0"/>
              <w:right w:val="single" w:sz="8" w:space="0" w:color="0093D0"/>
            </w:tcBorders>
            <w:shd w:val="clear" w:color="000000" w:fill="FFFFFF"/>
            <w:vAlign w:val="center"/>
            <w:hideMark/>
          </w:tcPr>
          <w:p w14:paraId="411A4A5C"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245" w:type="dxa"/>
            <w:tcBorders>
              <w:top w:val="nil"/>
              <w:left w:val="nil"/>
              <w:bottom w:val="single" w:sz="8" w:space="0" w:color="0093D0"/>
              <w:right w:val="single" w:sz="8" w:space="0" w:color="0093D0"/>
            </w:tcBorders>
            <w:shd w:val="clear" w:color="000000" w:fill="FFFFFF"/>
            <w:vAlign w:val="center"/>
            <w:hideMark/>
          </w:tcPr>
          <w:p w14:paraId="411A4A5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101</w:t>
            </w:r>
          </w:p>
        </w:tc>
        <w:tc>
          <w:tcPr>
            <w:tcW w:w="1246" w:type="dxa"/>
            <w:tcBorders>
              <w:top w:val="nil"/>
              <w:left w:val="nil"/>
              <w:bottom w:val="single" w:sz="8" w:space="0" w:color="0093D0"/>
              <w:right w:val="single" w:sz="8" w:space="0" w:color="0093D0"/>
            </w:tcBorders>
            <w:shd w:val="clear" w:color="000000" w:fill="FFFFFF"/>
            <w:vAlign w:val="center"/>
          </w:tcPr>
          <w:p w14:paraId="411A4A5E"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r>
      <w:tr w:rsidR="00AF33C4" w:rsidRPr="00B74B51" w14:paraId="411A4A6C"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60"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61"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62"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6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64"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106</w:t>
            </w:r>
          </w:p>
        </w:tc>
        <w:tc>
          <w:tcPr>
            <w:tcW w:w="1158" w:type="dxa"/>
            <w:tcBorders>
              <w:top w:val="nil"/>
              <w:left w:val="nil"/>
              <w:bottom w:val="single" w:sz="8" w:space="0" w:color="0093D0"/>
              <w:right w:val="single" w:sz="8" w:space="0" w:color="0093D0"/>
            </w:tcBorders>
            <w:shd w:val="clear" w:color="000000" w:fill="FFFFFF"/>
            <w:vAlign w:val="center"/>
            <w:hideMark/>
          </w:tcPr>
          <w:p w14:paraId="411A4A66"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7"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8"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8" w:type="dxa"/>
            <w:tcBorders>
              <w:top w:val="nil"/>
              <w:left w:val="nil"/>
              <w:bottom w:val="single" w:sz="8" w:space="0" w:color="0093D0"/>
              <w:right w:val="single" w:sz="8" w:space="0" w:color="0093D0"/>
            </w:tcBorders>
            <w:shd w:val="clear" w:color="000000" w:fill="FFFFFF"/>
            <w:vAlign w:val="center"/>
            <w:hideMark/>
          </w:tcPr>
          <w:p w14:paraId="411A4A69"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245" w:type="dxa"/>
            <w:tcBorders>
              <w:top w:val="nil"/>
              <w:left w:val="nil"/>
              <w:bottom w:val="single" w:sz="8" w:space="0" w:color="0093D0"/>
              <w:right w:val="single" w:sz="8" w:space="0" w:color="0093D0"/>
            </w:tcBorders>
            <w:shd w:val="clear" w:color="000000" w:fill="FFFFFF"/>
            <w:vAlign w:val="center"/>
            <w:hideMark/>
          </w:tcPr>
          <w:p w14:paraId="411A4A6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138</w:t>
            </w:r>
          </w:p>
        </w:tc>
        <w:tc>
          <w:tcPr>
            <w:tcW w:w="1246" w:type="dxa"/>
            <w:tcBorders>
              <w:top w:val="nil"/>
              <w:left w:val="nil"/>
              <w:bottom w:val="single" w:sz="8" w:space="0" w:color="0093D0"/>
              <w:right w:val="single" w:sz="8" w:space="0" w:color="0093D0"/>
            </w:tcBorders>
            <w:shd w:val="clear" w:color="000000" w:fill="FFFFFF"/>
            <w:vAlign w:val="center"/>
          </w:tcPr>
          <w:p w14:paraId="411A4A6B"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r>
      <w:tr w:rsidR="00AF33C4" w:rsidRPr="00B74B51" w14:paraId="411A4A79" w14:textId="77777777" w:rsidTr="00AF33C4">
        <w:trPr>
          <w:trHeight w:val="313"/>
        </w:trPr>
        <w:tc>
          <w:tcPr>
            <w:tcW w:w="1403"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A6D"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Villa/ Townhouse/ Duplex</w:t>
            </w:r>
          </w:p>
        </w:tc>
        <w:tc>
          <w:tcPr>
            <w:tcW w:w="1271" w:type="dxa"/>
            <w:tcBorders>
              <w:top w:val="nil"/>
              <w:left w:val="nil"/>
              <w:bottom w:val="single" w:sz="8" w:space="0" w:color="0093D0"/>
              <w:right w:val="single" w:sz="8" w:space="0" w:color="0093D0"/>
            </w:tcBorders>
            <w:shd w:val="clear" w:color="auto" w:fill="D5B8EA"/>
            <w:vAlign w:val="center"/>
            <w:hideMark/>
          </w:tcPr>
          <w:p w14:paraId="411A4A6E"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164" w:type="dxa"/>
            <w:tcBorders>
              <w:top w:val="nil"/>
              <w:left w:val="nil"/>
              <w:bottom w:val="single" w:sz="8" w:space="0" w:color="0093D0"/>
              <w:right w:val="single" w:sz="8" w:space="0" w:color="0093D0"/>
            </w:tcBorders>
            <w:shd w:val="clear" w:color="000000" w:fill="FFFFFF"/>
            <w:vAlign w:val="center"/>
            <w:hideMark/>
          </w:tcPr>
          <w:p w14:paraId="411A4A6F"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59</w:t>
            </w:r>
          </w:p>
        </w:tc>
        <w:tc>
          <w:tcPr>
            <w:tcW w:w="1157" w:type="dxa"/>
            <w:tcBorders>
              <w:top w:val="nil"/>
              <w:left w:val="nil"/>
              <w:bottom w:val="single" w:sz="8" w:space="0" w:color="0093D0"/>
              <w:right w:val="single" w:sz="8" w:space="0" w:color="0093D0"/>
            </w:tcBorders>
            <w:shd w:val="clear" w:color="000000" w:fill="FFFFFF"/>
            <w:vAlign w:val="center"/>
            <w:hideMark/>
          </w:tcPr>
          <w:p w14:paraId="411A4A7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59</w:t>
            </w:r>
          </w:p>
        </w:tc>
        <w:tc>
          <w:tcPr>
            <w:tcW w:w="1158" w:type="dxa"/>
            <w:tcBorders>
              <w:top w:val="nil"/>
              <w:left w:val="nil"/>
              <w:bottom w:val="single" w:sz="8" w:space="0" w:color="0093D0"/>
              <w:right w:val="single" w:sz="8" w:space="0" w:color="0093D0"/>
            </w:tcBorders>
            <w:shd w:val="clear" w:color="000000" w:fill="FFFFFF"/>
            <w:vAlign w:val="center"/>
            <w:hideMark/>
          </w:tcPr>
          <w:p w14:paraId="411A4A7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78</w:t>
            </w:r>
          </w:p>
        </w:tc>
        <w:tc>
          <w:tcPr>
            <w:tcW w:w="1157" w:type="dxa"/>
            <w:tcBorders>
              <w:top w:val="nil"/>
              <w:left w:val="nil"/>
              <w:bottom w:val="single" w:sz="8" w:space="0" w:color="0093D0"/>
              <w:right w:val="single" w:sz="8" w:space="0" w:color="0093D0"/>
            </w:tcBorders>
            <w:shd w:val="clear" w:color="000000" w:fill="FFFFFF"/>
            <w:vAlign w:val="center"/>
            <w:hideMark/>
          </w:tcPr>
          <w:p w14:paraId="411A4A7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7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98</w:t>
            </w:r>
          </w:p>
        </w:tc>
        <w:tc>
          <w:tcPr>
            <w:tcW w:w="1157" w:type="dxa"/>
            <w:tcBorders>
              <w:top w:val="nil"/>
              <w:left w:val="nil"/>
              <w:bottom w:val="single" w:sz="8" w:space="0" w:color="0093D0"/>
              <w:right w:val="single" w:sz="8" w:space="0" w:color="0093D0"/>
            </w:tcBorders>
            <w:shd w:val="clear" w:color="000000" w:fill="FFFFFF"/>
            <w:vAlign w:val="center"/>
            <w:hideMark/>
          </w:tcPr>
          <w:p w14:paraId="411A4A7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7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98</w:t>
            </w:r>
          </w:p>
        </w:tc>
        <w:tc>
          <w:tcPr>
            <w:tcW w:w="1158" w:type="dxa"/>
            <w:tcBorders>
              <w:top w:val="nil"/>
              <w:left w:val="nil"/>
              <w:bottom w:val="single" w:sz="8" w:space="0" w:color="0093D0"/>
              <w:right w:val="single" w:sz="8" w:space="0" w:color="0093D0"/>
            </w:tcBorders>
            <w:shd w:val="clear" w:color="000000" w:fill="FFFFFF"/>
            <w:vAlign w:val="center"/>
            <w:hideMark/>
          </w:tcPr>
          <w:p w14:paraId="411A4A7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114</w:t>
            </w:r>
          </w:p>
        </w:tc>
        <w:tc>
          <w:tcPr>
            <w:tcW w:w="1245" w:type="dxa"/>
            <w:tcBorders>
              <w:top w:val="nil"/>
              <w:left w:val="nil"/>
              <w:bottom w:val="single" w:sz="8" w:space="0" w:color="0093D0"/>
              <w:right w:val="single" w:sz="8" w:space="0" w:color="0093D0"/>
            </w:tcBorders>
            <w:shd w:val="clear" w:color="000000" w:fill="FFFFFF"/>
            <w:vAlign w:val="center"/>
          </w:tcPr>
          <w:p w14:paraId="411A4A7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101</w:t>
            </w:r>
          </w:p>
        </w:tc>
        <w:tc>
          <w:tcPr>
            <w:tcW w:w="1246" w:type="dxa"/>
            <w:tcBorders>
              <w:top w:val="nil"/>
              <w:left w:val="nil"/>
              <w:bottom w:val="single" w:sz="8" w:space="0" w:color="0093D0"/>
              <w:right w:val="single" w:sz="8" w:space="0" w:color="0093D0"/>
            </w:tcBorders>
            <w:shd w:val="clear" w:color="000000" w:fill="FFFFFF"/>
            <w:vAlign w:val="center"/>
          </w:tcPr>
          <w:p w14:paraId="411A4A7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122</w:t>
            </w:r>
          </w:p>
        </w:tc>
      </w:tr>
      <w:tr w:rsidR="00AF33C4" w:rsidRPr="00B74B51" w14:paraId="411A4A86"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7A"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single" w:sz="8" w:space="0" w:color="0093D0"/>
            </w:tcBorders>
            <w:shd w:val="clear" w:color="auto" w:fill="D5B8EA"/>
            <w:vAlign w:val="center"/>
            <w:hideMark/>
          </w:tcPr>
          <w:p w14:paraId="411A4A7B"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164" w:type="dxa"/>
            <w:tcBorders>
              <w:top w:val="nil"/>
              <w:left w:val="nil"/>
              <w:bottom w:val="single" w:sz="8" w:space="0" w:color="0093D0"/>
              <w:right w:val="single" w:sz="8" w:space="0" w:color="0093D0"/>
            </w:tcBorders>
            <w:shd w:val="clear" w:color="000000" w:fill="FFFFFF"/>
            <w:vAlign w:val="center"/>
            <w:hideMark/>
          </w:tcPr>
          <w:p w14:paraId="411A4A7C"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7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7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98</w:t>
            </w:r>
          </w:p>
        </w:tc>
        <w:tc>
          <w:tcPr>
            <w:tcW w:w="1157" w:type="dxa"/>
            <w:tcBorders>
              <w:top w:val="nil"/>
              <w:left w:val="nil"/>
              <w:bottom w:val="single" w:sz="8" w:space="0" w:color="0093D0"/>
              <w:right w:val="single" w:sz="8" w:space="0" w:color="0093D0"/>
            </w:tcBorders>
            <w:shd w:val="clear" w:color="000000" w:fill="FFFFFF"/>
            <w:vAlign w:val="center"/>
            <w:hideMark/>
          </w:tcPr>
          <w:p w14:paraId="411A4A7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106</w:t>
            </w:r>
          </w:p>
        </w:tc>
        <w:tc>
          <w:tcPr>
            <w:tcW w:w="1158" w:type="dxa"/>
            <w:tcBorders>
              <w:top w:val="nil"/>
              <w:left w:val="nil"/>
              <w:bottom w:val="single" w:sz="8" w:space="0" w:color="0093D0"/>
              <w:right w:val="single" w:sz="8" w:space="0" w:color="0093D0"/>
            </w:tcBorders>
            <w:shd w:val="clear" w:color="000000" w:fill="FFFFFF"/>
            <w:vAlign w:val="center"/>
            <w:hideMark/>
          </w:tcPr>
          <w:p w14:paraId="411A4A8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125</w:t>
            </w:r>
          </w:p>
        </w:tc>
        <w:tc>
          <w:tcPr>
            <w:tcW w:w="1157" w:type="dxa"/>
            <w:tcBorders>
              <w:top w:val="nil"/>
              <w:left w:val="nil"/>
              <w:bottom w:val="single" w:sz="8" w:space="0" w:color="0093D0"/>
              <w:right w:val="single" w:sz="8" w:space="0" w:color="0093D0"/>
            </w:tcBorders>
            <w:shd w:val="clear" w:color="000000" w:fill="FFFFFF"/>
            <w:vAlign w:val="center"/>
            <w:hideMark/>
          </w:tcPr>
          <w:p w14:paraId="411A4A8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106</w:t>
            </w:r>
          </w:p>
        </w:tc>
        <w:tc>
          <w:tcPr>
            <w:tcW w:w="1157" w:type="dxa"/>
            <w:tcBorders>
              <w:top w:val="nil"/>
              <w:left w:val="nil"/>
              <w:bottom w:val="single" w:sz="8" w:space="0" w:color="0093D0"/>
              <w:right w:val="single" w:sz="8" w:space="0" w:color="0093D0"/>
            </w:tcBorders>
            <w:shd w:val="clear" w:color="000000" w:fill="FFFFFF"/>
            <w:vAlign w:val="center"/>
            <w:hideMark/>
          </w:tcPr>
          <w:p w14:paraId="411A4A8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125</w:t>
            </w:r>
          </w:p>
        </w:tc>
        <w:tc>
          <w:tcPr>
            <w:tcW w:w="1158" w:type="dxa"/>
            <w:tcBorders>
              <w:top w:val="nil"/>
              <w:left w:val="nil"/>
              <w:bottom w:val="single" w:sz="8" w:space="0" w:color="0093D0"/>
              <w:right w:val="single" w:sz="8" w:space="0" w:color="0093D0"/>
            </w:tcBorders>
            <w:shd w:val="clear" w:color="000000" w:fill="FFFFFF"/>
            <w:vAlign w:val="center"/>
            <w:hideMark/>
          </w:tcPr>
          <w:p w14:paraId="411A4A8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141</w:t>
            </w:r>
          </w:p>
        </w:tc>
        <w:tc>
          <w:tcPr>
            <w:tcW w:w="1245" w:type="dxa"/>
            <w:tcBorders>
              <w:top w:val="nil"/>
              <w:left w:val="nil"/>
              <w:bottom w:val="single" w:sz="8" w:space="0" w:color="0093D0"/>
              <w:right w:val="single" w:sz="8" w:space="0" w:color="0093D0"/>
            </w:tcBorders>
            <w:shd w:val="clear" w:color="000000" w:fill="FFFFFF"/>
            <w:vAlign w:val="center"/>
          </w:tcPr>
          <w:p w14:paraId="411A4A8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138</w:t>
            </w:r>
          </w:p>
        </w:tc>
        <w:tc>
          <w:tcPr>
            <w:tcW w:w="1246" w:type="dxa"/>
            <w:tcBorders>
              <w:top w:val="nil"/>
              <w:left w:val="nil"/>
              <w:bottom w:val="single" w:sz="8" w:space="0" w:color="0093D0"/>
              <w:right w:val="single" w:sz="8" w:space="0" w:color="0093D0"/>
            </w:tcBorders>
            <w:shd w:val="clear" w:color="000000" w:fill="FFFFFF"/>
            <w:vAlign w:val="center"/>
          </w:tcPr>
          <w:p w14:paraId="411A4A8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160</w:t>
            </w:r>
          </w:p>
        </w:tc>
      </w:tr>
      <w:tr w:rsidR="00AF33C4" w:rsidRPr="00B74B51" w14:paraId="411A4A93"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87"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88"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89"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114</w:t>
            </w:r>
          </w:p>
        </w:tc>
        <w:tc>
          <w:tcPr>
            <w:tcW w:w="1157" w:type="dxa"/>
            <w:tcBorders>
              <w:top w:val="nil"/>
              <w:left w:val="nil"/>
              <w:bottom w:val="single" w:sz="8" w:space="0" w:color="0093D0"/>
              <w:right w:val="single" w:sz="8" w:space="0" w:color="0093D0"/>
            </w:tcBorders>
            <w:shd w:val="clear" w:color="000000" w:fill="FFFFFF"/>
            <w:vAlign w:val="center"/>
            <w:hideMark/>
          </w:tcPr>
          <w:p w14:paraId="411A4A8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114</w:t>
            </w:r>
          </w:p>
        </w:tc>
        <w:tc>
          <w:tcPr>
            <w:tcW w:w="1158" w:type="dxa"/>
            <w:tcBorders>
              <w:top w:val="nil"/>
              <w:left w:val="nil"/>
              <w:bottom w:val="single" w:sz="8" w:space="0" w:color="0093D0"/>
              <w:right w:val="single" w:sz="8" w:space="0" w:color="0093D0"/>
            </w:tcBorders>
            <w:shd w:val="clear" w:color="000000" w:fill="FFFFFF"/>
            <w:vAlign w:val="center"/>
            <w:hideMark/>
          </w:tcPr>
          <w:p w14:paraId="411A4A8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133</w:t>
            </w:r>
          </w:p>
        </w:tc>
        <w:tc>
          <w:tcPr>
            <w:tcW w:w="1157" w:type="dxa"/>
            <w:tcBorders>
              <w:top w:val="nil"/>
              <w:left w:val="nil"/>
              <w:bottom w:val="single" w:sz="8" w:space="0" w:color="0093D0"/>
              <w:right w:val="single" w:sz="8" w:space="0" w:color="0093D0"/>
            </w:tcBorders>
            <w:shd w:val="clear" w:color="000000" w:fill="FFFFFF"/>
            <w:vAlign w:val="center"/>
            <w:hideMark/>
          </w:tcPr>
          <w:p w14:paraId="411A4A8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149</w:t>
            </w:r>
          </w:p>
        </w:tc>
        <w:tc>
          <w:tcPr>
            <w:tcW w:w="1158" w:type="dxa"/>
            <w:tcBorders>
              <w:top w:val="nil"/>
              <w:left w:val="nil"/>
              <w:bottom w:val="single" w:sz="8" w:space="0" w:color="0093D0"/>
              <w:right w:val="single" w:sz="8" w:space="0" w:color="0093D0"/>
            </w:tcBorders>
            <w:shd w:val="clear" w:color="000000" w:fill="FFFFFF"/>
            <w:vAlign w:val="center"/>
            <w:hideMark/>
          </w:tcPr>
          <w:p w14:paraId="411A4A8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7" w:type="dxa"/>
            <w:tcBorders>
              <w:top w:val="nil"/>
              <w:left w:val="nil"/>
              <w:bottom w:val="single" w:sz="8" w:space="0" w:color="0093D0"/>
              <w:right w:val="single" w:sz="8" w:space="0" w:color="0093D0"/>
            </w:tcBorders>
            <w:shd w:val="clear" w:color="000000" w:fill="FFFFFF"/>
            <w:vAlign w:val="center"/>
            <w:hideMark/>
          </w:tcPr>
          <w:p w14:paraId="411A4A8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149</w:t>
            </w:r>
          </w:p>
        </w:tc>
        <w:tc>
          <w:tcPr>
            <w:tcW w:w="1157" w:type="dxa"/>
            <w:tcBorders>
              <w:top w:val="nil"/>
              <w:left w:val="nil"/>
              <w:bottom w:val="single" w:sz="8" w:space="0" w:color="0093D0"/>
              <w:right w:val="single" w:sz="8" w:space="0" w:color="0093D0"/>
            </w:tcBorders>
            <w:shd w:val="clear" w:color="000000" w:fill="FFFFFF"/>
            <w:vAlign w:val="center"/>
            <w:hideMark/>
          </w:tcPr>
          <w:p w14:paraId="411A4A8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8" w:type="dxa"/>
            <w:tcBorders>
              <w:top w:val="nil"/>
              <w:left w:val="nil"/>
              <w:bottom w:val="single" w:sz="8" w:space="0" w:color="0093D0"/>
              <w:right w:val="single" w:sz="8" w:space="0" w:color="0093D0"/>
            </w:tcBorders>
            <w:shd w:val="clear" w:color="000000" w:fill="FFFFFF"/>
            <w:vAlign w:val="center"/>
            <w:hideMark/>
          </w:tcPr>
          <w:p w14:paraId="411A4A9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183</w:t>
            </w:r>
          </w:p>
        </w:tc>
        <w:tc>
          <w:tcPr>
            <w:tcW w:w="1245" w:type="dxa"/>
            <w:tcBorders>
              <w:top w:val="nil"/>
              <w:left w:val="nil"/>
              <w:bottom w:val="single" w:sz="8" w:space="0" w:color="0093D0"/>
              <w:right w:val="single" w:sz="8" w:space="0" w:color="0093D0"/>
            </w:tcBorders>
            <w:shd w:val="clear" w:color="000000" w:fill="FFFFFF"/>
            <w:vAlign w:val="center"/>
          </w:tcPr>
          <w:p w14:paraId="411A4A9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195</w:t>
            </w:r>
          </w:p>
        </w:tc>
        <w:tc>
          <w:tcPr>
            <w:tcW w:w="1246" w:type="dxa"/>
            <w:tcBorders>
              <w:top w:val="nil"/>
              <w:left w:val="nil"/>
              <w:bottom w:val="single" w:sz="8" w:space="0" w:color="0093D0"/>
              <w:right w:val="single" w:sz="8" w:space="0" w:color="0093D0"/>
            </w:tcBorders>
            <w:shd w:val="clear" w:color="000000" w:fill="FFFFFF"/>
            <w:vAlign w:val="center"/>
          </w:tcPr>
          <w:p w14:paraId="411A4A9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216</w:t>
            </w:r>
          </w:p>
        </w:tc>
      </w:tr>
      <w:tr w:rsidR="00AF33C4" w:rsidRPr="00B74B51" w14:paraId="411A4AA0" w14:textId="77777777" w:rsidTr="00AF33C4">
        <w:trPr>
          <w:trHeight w:val="313"/>
        </w:trPr>
        <w:tc>
          <w:tcPr>
            <w:tcW w:w="1403" w:type="dxa"/>
            <w:tcBorders>
              <w:top w:val="nil"/>
              <w:left w:val="single" w:sz="8" w:space="0" w:color="0093D0"/>
              <w:bottom w:val="nil"/>
              <w:right w:val="single" w:sz="8" w:space="0" w:color="0093D0"/>
            </w:tcBorders>
            <w:shd w:val="clear" w:color="auto" w:fill="D5B8EA"/>
            <w:noWrap/>
            <w:vAlign w:val="center"/>
            <w:hideMark/>
          </w:tcPr>
          <w:p w14:paraId="411A4A94"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House</w:t>
            </w:r>
          </w:p>
        </w:tc>
        <w:tc>
          <w:tcPr>
            <w:tcW w:w="1271" w:type="dxa"/>
            <w:tcBorders>
              <w:top w:val="nil"/>
              <w:left w:val="nil"/>
              <w:bottom w:val="single" w:sz="8" w:space="0" w:color="0093D0"/>
              <w:right w:val="nil"/>
            </w:tcBorders>
            <w:shd w:val="clear" w:color="auto" w:fill="D5B8EA"/>
            <w:vAlign w:val="center"/>
            <w:hideMark/>
          </w:tcPr>
          <w:p w14:paraId="411A4A95"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96"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114</w:t>
            </w:r>
          </w:p>
        </w:tc>
        <w:tc>
          <w:tcPr>
            <w:tcW w:w="1157" w:type="dxa"/>
            <w:tcBorders>
              <w:top w:val="nil"/>
              <w:left w:val="nil"/>
              <w:bottom w:val="single" w:sz="8" w:space="0" w:color="0093D0"/>
              <w:right w:val="single" w:sz="8" w:space="0" w:color="0093D0"/>
            </w:tcBorders>
            <w:shd w:val="clear" w:color="000000" w:fill="FFFFFF"/>
            <w:vAlign w:val="center"/>
            <w:hideMark/>
          </w:tcPr>
          <w:p w14:paraId="411A4A9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114</w:t>
            </w:r>
          </w:p>
        </w:tc>
        <w:tc>
          <w:tcPr>
            <w:tcW w:w="1158" w:type="dxa"/>
            <w:tcBorders>
              <w:top w:val="nil"/>
              <w:left w:val="nil"/>
              <w:bottom w:val="single" w:sz="8" w:space="0" w:color="0093D0"/>
              <w:right w:val="single" w:sz="8" w:space="0" w:color="0093D0"/>
            </w:tcBorders>
            <w:shd w:val="clear" w:color="000000" w:fill="FFFFFF"/>
            <w:vAlign w:val="center"/>
            <w:hideMark/>
          </w:tcPr>
          <w:p w14:paraId="411A4A9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133</w:t>
            </w:r>
          </w:p>
        </w:tc>
        <w:tc>
          <w:tcPr>
            <w:tcW w:w="1157" w:type="dxa"/>
            <w:tcBorders>
              <w:top w:val="nil"/>
              <w:left w:val="nil"/>
              <w:bottom w:val="single" w:sz="8" w:space="0" w:color="0093D0"/>
              <w:right w:val="single" w:sz="8" w:space="0" w:color="0093D0"/>
            </w:tcBorders>
            <w:shd w:val="clear" w:color="000000" w:fill="FFFFFF"/>
            <w:vAlign w:val="center"/>
            <w:hideMark/>
          </w:tcPr>
          <w:p w14:paraId="411A4A9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149</w:t>
            </w:r>
          </w:p>
        </w:tc>
        <w:tc>
          <w:tcPr>
            <w:tcW w:w="1158" w:type="dxa"/>
            <w:tcBorders>
              <w:top w:val="nil"/>
              <w:left w:val="nil"/>
              <w:bottom w:val="single" w:sz="8" w:space="0" w:color="0093D0"/>
              <w:right w:val="single" w:sz="8" w:space="0" w:color="0093D0"/>
            </w:tcBorders>
            <w:shd w:val="clear" w:color="000000" w:fill="FFFFFF"/>
            <w:vAlign w:val="center"/>
            <w:hideMark/>
          </w:tcPr>
          <w:p w14:paraId="411A4A9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7" w:type="dxa"/>
            <w:tcBorders>
              <w:top w:val="nil"/>
              <w:left w:val="nil"/>
              <w:bottom w:val="single" w:sz="8" w:space="0" w:color="0093D0"/>
              <w:right w:val="single" w:sz="8" w:space="0" w:color="0093D0"/>
            </w:tcBorders>
            <w:shd w:val="clear" w:color="000000" w:fill="FFFFFF"/>
            <w:vAlign w:val="center"/>
            <w:hideMark/>
          </w:tcPr>
          <w:p w14:paraId="411A4A9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149</w:t>
            </w:r>
          </w:p>
        </w:tc>
        <w:tc>
          <w:tcPr>
            <w:tcW w:w="1157" w:type="dxa"/>
            <w:tcBorders>
              <w:top w:val="nil"/>
              <w:left w:val="nil"/>
              <w:bottom w:val="single" w:sz="8" w:space="0" w:color="0093D0"/>
              <w:right w:val="single" w:sz="8" w:space="0" w:color="0093D0"/>
            </w:tcBorders>
            <w:shd w:val="clear" w:color="000000" w:fill="FFFFFF"/>
            <w:vAlign w:val="center"/>
            <w:hideMark/>
          </w:tcPr>
          <w:p w14:paraId="411A4A9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8" w:type="dxa"/>
            <w:tcBorders>
              <w:top w:val="nil"/>
              <w:left w:val="nil"/>
              <w:bottom w:val="single" w:sz="8" w:space="0" w:color="0093D0"/>
              <w:right w:val="single" w:sz="8" w:space="0" w:color="0093D0"/>
            </w:tcBorders>
            <w:shd w:val="clear" w:color="000000" w:fill="FFFFFF"/>
            <w:vAlign w:val="center"/>
            <w:hideMark/>
          </w:tcPr>
          <w:p w14:paraId="411A4A9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183</w:t>
            </w:r>
          </w:p>
        </w:tc>
        <w:tc>
          <w:tcPr>
            <w:tcW w:w="1245" w:type="dxa"/>
            <w:tcBorders>
              <w:top w:val="nil"/>
              <w:left w:val="nil"/>
              <w:bottom w:val="single" w:sz="8" w:space="0" w:color="0093D0"/>
              <w:right w:val="single" w:sz="8" w:space="0" w:color="0093D0"/>
            </w:tcBorders>
            <w:shd w:val="clear" w:color="000000" w:fill="FFFFFF"/>
            <w:vAlign w:val="center"/>
          </w:tcPr>
          <w:p w14:paraId="411A4A9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195</w:t>
            </w:r>
          </w:p>
        </w:tc>
        <w:tc>
          <w:tcPr>
            <w:tcW w:w="1246" w:type="dxa"/>
            <w:tcBorders>
              <w:top w:val="nil"/>
              <w:left w:val="nil"/>
              <w:bottom w:val="single" w:sz="8" w:space="0" w:color="0093D0"/>
              <w:right w:val="single" w:sz="8" w:space="0" w:color="0093D0"/>
            </w:tcBorders>
            <w:shd w:val="clear" w:color="000000" w:fill="FFFFFF"/>
            <w:vAlign w:val="center"/>
          </w:tcPr>
          <w:p w14:paraId="411A4A9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216</w:t>
            </w:r>
          </w:p>
        </w:tc>
      </w:tr>
      <w:tr w:rsidR="00AF33C4" w:rsidRPr="00B74B51" w14:paraId="411A4AAD" w14:textId="77777777" w:rsidTr="00AF33C4">
        <w:trPr>
          <w:trHeight w:val="313"/>
        </w:trPr>
        <w:tc>
          <w:tcPr>
            <w:tcW w:w="1403" w:type="dxa"/>
            <w:vMerge w:val="restart"/>
            <w:tcBorders>
              <w:top w:val="single" w:sz="8" w:space="0" w:color="0093D0"/>
              <w:left w:val="single" w:sz="8" w:space="0" w:color="0093D0"/>
              <w:bottom w:val="single" w:sz="8" w:space="0" w:color="0093D0"/>
              <w:right w:val="single" w:sz="8" w:space="0" w:color="0093D0"/>
            </w:tcBorders>
            <w:shd w:val="clear" w:color="auto" w:fill="D5B8EA"/>
            <w:noWrap/>
            <w:vAlign w:val="center"/>
            <w:hideMark/>
          </w:tcPr>
          <w:p w14:paraId="411A4AA1"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Group home</w:t>
            </w:r>
          </w:p>
        </w:tc>
        <w:tc>
          <w:tcPr>
            <w:tcW w:w="1271" w:type="dxa"/>
            <w:tcBorders>
              <w:top w:val="nil"/>
              <w:left w:val="nil"/>
              <w:bottom w:val="single" w:sz="8" w:space="0" w:color="0093D0"/>
              <w:right w:val="nil"/>
            </w:tcBorders>
            <w:shd w:val="clear" w:color="auto" w:fill="D5B8EA"/>
            <w:vAlign w:val="center"/>
            <w:hideMark/>
          </w:tcPr>
          <w:p w14:paraId="411A4AA2"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4</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A3"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154</w:t>
            </w:r>
          </w:p>
        </w:tc>
        <w:tc>
          <w:tcPr>
            <w:tcW w:w="1157" w:type="dxa"/>
            <w:tcBorders>
              <w:top w:val="nil"/>
              <w:left w:val="nil"/>
              <w:bottom w:val="single" w:sz="8" w:space="0" w:color="0093D0"/>
              <w:right w:val="single" w:sz="8" w:space="0" w:color="0093D0"/>
            </w:tcBorders>
            <w:shd w:val="clear" w:color="000000" w:fill="FFFFFF"/>
            <w:vAlign w:val="center"/>
            <w:hideMark/>
          </w:tcPr>
          <w:p w14:paraId="411A4AA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154</w:t>
            </w:r>
          </w:p>
        </w:tc>
        <w:tc>
          <w:tcPr>
            <w:tcW w:w="1158" w:type="dxa"/>
            <w:tcBorders>
              <w:top w:val="nil"/>
              <w:left w:val="nil"/>
              <w:bottom w:val="single" w:sz="8" w:space="0" w:color="0093D0"/>
              <w:right w:val="single" w:sz="8" w:space="0" w:color="0093D0"/>
            </w:tcBorders>
            <w:shd w:val="clear" w:color="000000" w:fill="FFFFFF"/>
            <w:vAlign w:val="center"/>
            <w:hideMark/>
          </w:tcPr>
          <w:p w14:paraId="411A4AA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173</w:t>
            </w:r>
          </w:p>
        </w:tc>
        <w:tc>
          <w:tcPr>
            <w:tcW w:w="1157" w:type="dxa"/>
            <w:tcBorders>
              <w:top w:val="nil"/>
              <w:left w:val="nil"/>
              <w:bottom w:val="single" w:sz="8" w:space="0" w:color="0093D0"/>
              <w:right w:val="single" w:sz="8" w:space="0" w:color="0093D0"/>
            </w:tcBorders>
            <w:shd w:val="clear" w:color="000000" w:fill="FFFFFF"/>
            <w:vAlign w:val="center"/>
            <w:hideMark/>
          </w:tcPr>
          <w:p w14:paraId="411A4AA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191</w:t>
            </w:r>
          </w:p>
        </w:tc>
        <w:tc>
          <w:tcPr>
            <w:tcW w:w="1158" w:type="dxa"/>
            <w:tcBorders>
              <w:top w:val="nil"/>
              <w:left w:val="nil"/>
              <w:bottom w:val="single" w:sz="8" w:space="0" w:color="0093D0"/>
              <w:right w:val="single" w:sz="8" w:space="0" w:color="0093D0"/>
            </w:tcBorders>
            <w:shd w:val="clear" w:color="000000" w:fill="FFFFFF"/>
            <w:vAlign w:val="center"/>
            <w:hideMark/>
          </w:tcPr>
          <w:p w14:paraId="411A4AA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209</w:t>
            </w:r>
          </w:p>
        </w:tc>
        <w:tc>
          <w:tcPr>
            <w:tcW w:w="1157" w:type="dxa"/>
            <w:tcBorders>
              <w:top w:val="nil"/>
              <w:left w:val="nil"/>
              <w:bottom w:val="single" w:sz="8" w:space="0" w:color="0093D0"/>
              <w:right w:val="single" w:sz="8" w:space="0" w:color="0093D0"/>
            </w:tcBorders>
            <w:shd w:val="clear" w:color="000000" w:fill="FFFFFF"/>
            <w:vAlign w:val="center"/>
            <w:hideMark/>
          </w:tcPr>
          <w:p w14:paraId="411A4AA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191</w:t>
            </w:r>
          </w:p>
        </w:tc>
        <w:tc>
          <w:tcPr>
            <w:tcW w:w="1157" w:type="dxa"/>
            <w:tcBorders>
              <w:top w:val="nil"/>
              <w:left w:val="nil"/>
              <w:bottom w:val="single" w:sz="8" w:space="0" w:color="0093D0"/>
              <w:right w:val="single" w:sz="8" w:space="0" w:color="0093D0"/>
            </w:tcBorders>
            <w:shd w:val="clear" w:color="000000" w:fill="FFFFFF"/>
            <w:vAlign w:val="center"/>
            <w:hideMark/>
          </w:tcPr>
          <w:p w14:paraId="411A4AA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209</w:t>
            </w:r>
          </w:p>
        </w:tc>
        <w:tc>
          <w:tcPr>
            <w:tcW w:w="1158" w:type="dxa"/>
            <w:tcBorders>
              <w:top w:val="nil"/>
              <w:left w:val="nil"/>
              <w:bottom w:val="single" w:sz="8" w:space="0" w:color="0093D0"/>
              <w:right w:val="single" w:sz="8" w:space="0" w:color="0093D0"/>
            </w:tcBorders>
            <w:shd w:val="clear" w:color="000000" w:fill="FFFFFF"/>
            <w:vAlign w:val="center"/>
            <w:hideMark/>
          </w:tcPr>
          <w:p w14:paraId="411A4AA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225</w:t>
            </w:r>
          </w:p>
        </w:tc>
        <w:tc>
          <w:tcPr>
            <w:tcW w:w="1245" w:type="dxa"/>
            <w:tcBorders>
              <w:top w:val="nil"/>
              <w:left w:val="nil"/>
              <w:bottom w:val="single" w:sz="8" w:space="0" w:color="0093D0"/>
              <w:right w:val="single" w:sz="8" w:space="0" w:color="0093D0"/>
            </w:tcBorders>
            <w:shd w:val="clear" w:color="000000" w:fill="FFFFFF"/>
            <w:vAlign w:val="center"/>
          </w:tcPr>
          <w:p w14:paraId="411A4AA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246</w:t>
            </w:r>
          </w:p>
        </w:tc>
        <w:tc>
          <w:tcPr>
            <w:tcW w:w="1246" w:type="dxa"/>
            <w:tcBorders>
              <w:top w:val="nil"/>
              <w:left w:val="nil"/>
              <w:bottom w:val="single" w:sz="8" w:space="0" w:color="0093D0"/>
              <w:right w:val="single" w:sz="8" w:space="0" w:color="0093D0"/>
            </w:tcBorders>
            <w:shd w:val="clear" w:color="000000" w:fill="FFFFFF"/>
            <w:vAlign w:val="center"/>
          </w:tcPr>
          <w:p w14:paraId="411A4AA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268</w:t>
            </w:r>
          </w:p>
        </w:tc>
      </w:tr>
      <w:tr w:rsidR="00AF33C4" w:rsidRPr="00B74B51" w14:paraId="411A4ABA" w14:textId="77777777" w:rsidTr="00AF33C4">
        <w:trPr>
          <w:trHeight w:val="313"/>
        </w:trPr>
        <w:tc>
          <w:tcPr>
            <w:tcW w:w="1403"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AAE"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AF"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B0"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177</w:t>
            </w:r>
          </w:p>
        </w:tc>
        <w:tc>
          <w:tcPr>
            <w:tcW w:w="1157" w:type="dxa"/>
            <w:tcBorders>
              <w:top w:val="nil"/>
              <w:left w:val="nil"/>
              <w:bottom w:val="single" w:sz="8" w:space="0" w:color="0093D0"/>
              <w:right w:val="single" w:sz="8" w:space="0" w:color="0093D0"/>
            </w:tcBorders>
            <w:shd w:val="clear" w:color="000000" w:fill="FFFFFF"/>
            <w:vAlign w:val="center"/>
            <w:hideMark/>
          </w:tcPr>
          <w:p w14:paraId="411A4AB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177</w:t>
            </w:r>
          </w:p>
        </w:tc>
        <w:tc>
          <w:tcPr>
            <w:tcW w:w="1158" w:type="dxa"/>
            <w:tcBorders>
              <w:top w:val="nil"/>
              <w:left w:val="nil"/>
              <w:bottom w:val="single" w:sz="8" w:space="0" w:color="0093D0"/>
              <w:right w:val="single" w:sz="8" w:space="0" w:color="0093D0"/>
            </w:tcBorders>
            <w:shd w:val="clear" w:color="000000" w:fill="FFFFFF"/>
            <w:vAlign w:val="center"/>
            <w:hideMark/>
          </w:tcPr>
          <w:p w14:paraId="411A4AB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196</w:t>
            </w:r>
          </w:p>
        </w:tc>
        <w:tc>
          <w:tcPr>
            <w:tcW w:w="1157" w:type="dxa"/>
            <w:tcBorders>
              <w:top w:val="nil"/>
              <w:left w:val="nil"/>
              <w:bottom w:val="single" w:sz="8" w:space="0" w:color="0093D0"/>
              <w:right w:val="single" w:sz="8" w:space="0" w:color="0093D0"/>
            </w:tcBorders>
            <w:shd w:val="clear" w:color="000000" w:fill="FFFFFF"/>
            <w:vAlign w:val="center"/>
            <w:hideMark/>
          </w:tcPr>
          <w:p w14:paraId="411A4AB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221</w:t>
            </w:r>
          </w:p>
        </w:tc>
        <w:tc>
          <w:tcPr>
            <w:tcW w:w="1158" w:type="dxa"/>
            <w:tcBorders>
              <w:top w:val="nil"/>
              <w:left w:val="nil"/>
              <w:bottom w:val="single" w:sz="8" w:space="0" w:color="0093D0"/>
              <w:right w:val="single" w:sz="8" w:space="0" w:color="0093D0"/>
            </w:tcBorders>
            <w:shd w:val="clear" w:color="000000" w:fill="FFFFFF"/>
            <w:vAlign w:val="center"/>
            <w:hideMark/>
          </w:tcPr>
          <w:p w14:paraId="411A4AB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240</w:t>
            </w:r>
          </w:p>
        </w:tc>
        <w:tc>
          <w:tcPr>
            <w:tcW w:w="1157" w:type="dxa"/>
            <w:tcBorders>
              <w:top w:val="nil"/>
              <w:left w:val="nil"/>
              <w:bottom w:val="single" w:sz="8" w:space="0" w:color="0093D0"/>
              <w:right w:val="single" w:sz="8" w:space="0" w:color="0093D0"/>
            </w:tcBorders>
            <w:shd w:val="clear" w:color="000000" w:fill="FFFFFF"/>
            <w:vAlign w:val="center"/>
            <w:hideMark/>
          </w:tcPr>
          <w:p w14:paraId="411A4AB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221</w:t>
            </w:r>
          </w:p>
        </w:tc>
        <w:tc>
          <w:tcPr>
            <w:tcW w:w="1157" w:type="dxa"/>
            <w:tcBorders>
              <w:top w:val="nil"/>
              <w:left w:val="nil"/>
              <w:bottom w:val="single" w:sz="8" w:space="0" w:color="0093D0"/>
              <w:right w:val="single" w:sz="8" w:space="0" w:color="0093D0"/>
            </w:tcBorders>
            <w:shd w:val="clear" w:color="000000" w:fill="FFFFFF"/>
            <w:vAlign w:val="center"/>
            <w:hideMark/>
          </w:tcPr>
          <w:p w14:paraId="411A4AB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240</w:t>
            </w:r>
          </w:p>
        </w:tc>
        <w:tc>
          <w:tcPr>
            <w:tcW w:w="1158" w:type="dxa"/>
            <w:tcBorders>
              <w:top w:val="nil"/>
              <w:left w:val="nil"/>
              <w:bottom w:val="single" w:sz="8" w:space="0" w:color="0093D0"/>
              <w:right w:val="single" w:sz="8" w:space="0" w:color="0093D0"/>
            </w:tcBorders>
            <w:shd w:val="clear" w:color="000000" w:fill="FFFFFF"/>
            <w:vAlign w:val="center"/>
            <w:hideMark/>
          </w:tcPr>
          <w:p w14:paraId="411A4AB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256</w:t>
            </w:r>
          </w:p>
        </w:tc>
        <w:tc>
          <w:tcPr>
            <w:tcW w:w="1245" w:type="dxa"/>
            <w:tcBorders>
              <w:top w:val="nil"/>
              <w:left w:val="nil"/>
              <w:bottom w:val="single" w:sz="8" w:space="0" w:color="0093D0"/>
              <w:right w:val="single" w:sz="8" w:space="0" w:color="0093D0"/>
            </w:tcBorders>
            <w:shd w:val="clear" w:color="000000" w:fill="FFFFFF"/>
            <w:vAlign w:val="center"/>
          </w:tcPr>
          <w:p w14:paraId="411A4AB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286</w:t>
            </w:r>
          </w:p>
        </w:tc>
        <w:tc>
          <w:tcPr>
            <w:tcW w:w="1246" w:type="dxa"/>
            <w:tcBorders>
              <w:top w:val="nil"/>
              <w:left w:val="nil"/>
              <w:bottom w:val="single" w:sz="8" w:space="0" w:color="0093D0"/>
              <w:right w:val="single" w:sz="8" w:space="0" w:color="0093D0"/>
            </w:tcBorders>
            <w:shd w:val="clear" w:color="000000" w:fill="FFFFFF"/>
            <w:vAlign w:val="center"/>
          </w:tcPr>
          <w:p w14:paraId="411A4AB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308</w:t>
            </w:r>
          </w:p>
        </w:tc>
      </w:tr>
      <w:tr w:rsidR="00AF33C4" w:rsidRPr="00B74B51" w14:paraId="411A4AC7" w14:textId="77777777" w:rsidTr="00AF33C4">
        <w:trPr>
          <w:trHeight w:val="313"/>
        </w:trPr>
        <w:tc>
          <w:tcPr>
            <w:tcW w:w="1403"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ABB"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BC"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6</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BD"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197</w:t>
            </w:r>
          </w:p>
        </w:tc>
        <w:tc>
          <w:tcPr>
            <w:tcW w:w="1157" w:type="dxa"/>
            <w:tcBorders>
              <w:top w:val="nil"/>
              <w:left w:val="nil"/>
              <w:bottom w:val="single" w:sz="8" w:space="0" w:color="0093D0"/>
              <w:right w:val="single" w:sz="8" w:space="0" w:color="0093D0"/>
            </w:tcBorders>
            <w:shd w:val="clear" w:color="000000" w:fill="FFFFFF"/>
            <w:vAlign w:val="center"/>
            <w:hideMark/>
          </w:tcPr>
          <w:p w14:paraId="411A4AB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197</w:t>
            </w:r>
          </w:p>
        </w:tc>
        <w:tc>
          <w:tcPr>
            <w:tcW w:w="1158" w:type="dxa"/>
            <w:tcBorders>
              <w:top w:val="nil"/>
              <w:left w:val="nil"/>
              <w:bottom w:val="single" w:sz="8" w:space="0" w:color="0093D0"/>
              <w:right w:val="single" w:sz="8" w:space="0" w:color="0093D0"/>
            </w:tcBorders>
            <w:shd w:val="clear" w:color="000000" w:fill="FFFFFF"/>
            <w:vAlign w:val="center"/>
            <w:hideMark/>
          </w:tcPr>
          <w:p w14:paraId="411A4AB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216</w:t>
            </w:r>
          </w:p>
        </w:tc>
        <w:tc>
          <w:tcPr>
            <w:tcW w:w="1157" w:type="dxa"/>
            <w:tcBorders>
              <w:top w:val="nil"/>
              <w:left w:val="nil"/>
              <w:bottom w:val="single" w:sz="8" w:space="0" w:color="0093D0"/>
              <w:right w:val="single" w:sz="8" w:space="0" w:color="0093D0"/>
            </w:tcBorders>
            <w:shd w:val="clear" w:color="000000" w:fill="FFFFFF"/>
            <w:vAlign w:val="center"/>
            <w:hideMark/>
          </w:tcPr>
          <w:p w14:paraId="411A4AC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248</w:t>
            </w:r>
          </w:p>
        </w:tc>
        <w:tc>
          <w:tcPr>
            <w:tcW w:w="1158" w:type="dxa"/>
            <w:tcBorders>
              <w:top w:val="nil"/>
              <w:left w:val="nil"/>
              <w:bottom w:val="single" w:sz="8" w:space="0" w:color="0093D0"/>
              <w:right w:val="single" w:sz="8" w:space="0" w:color="0093D0"/>
            </w:tcBorders>
            <w:shd w:val="clear" w:color="000000" w:fill="FFFFFF"/>
            <w:vAlign w:val="center"/>
            <w:hideMark/>
          </w:tcPr>
          <w:p w14:paraId="411A4AC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267</w:t>
            </w:r>
          </w:p>
        </w:tc>
        <w:tc>
          <w:tcPr>
            <w:tcW w:w="1157" w:type="dxa"/>
            <w:tcBorders>
              <w:top w:val="nil"/>
              <w:left w:val="nil"/>
              <w:bottom w:val="single" w:sz="8" w:space="0" w:color="0093D0"/>
              <w:right w:val="single" w:sz="8" w:space="0" w:color="0093D0"/>
            </w:tcBorders>
            <w:shd w:val="clear" w:color="000000" w:fill="FFFFFF"/>
            <w:vAlign w:val="center"/>
            <w:hideMark/>
          </w:tcPr>
          <w:p w14:paraId="411A4AC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248</w:t>
            </w:r>
          </w:p>
        </w:tc>
        <w:tc>
          <w:tcPr>
            <w:tcW w:w="1157" w:type="dxa"/>
            <w:tcBorders>
              <w:top w:val="nil"/>
              <w:left w:val="nil"/>
              <w:bottom w:val="single" w:sz="8" w:space="0" w:color="0093D0"/>
              <w:right w:val="single" w:sz="8" w:space="0" w:color="0093D0"/>
            </w:tcBorders>
            <w:shd w:val="clear" w:color="000000" w:fill="FFFFFF"/>
            <w:vAlign w:val="center"/>
            <w:hideMark/>
          </w:tcPr>
          <w:p w14:paraId="411A4AC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267</w:t>
            </w:r>
          </w:p>
        </w:tc>
        <w:tc>
          <w:tcPr>
            <w:tcW w:w="1158" w:type="dxa"/>
            <w:tcBorders>
              <w:top w:val="nil"/>
              <w:left w:val="nil"/>
              <w:bottom w:val="single" w:sz="8" w:space="0" w:color="0093D0"/>
              <w:right w:val="single" w:sz="8" w:space="0" w:color="0093D0"/>
            </w:tcBorders>
            <w:shd w:val="clear" w:color="000000" w:fill="FFFFFF"/>
            <w:vAlign w:val="center"/>
            <w:hideMark/>
          </w:tcPr>
          <w:p w14:paraId="411A4AC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283</w:t>
            </w:r>
          </w:p>
        </w:tc>
        <w:tc>
          <w:tcPr>
            <w:tcW w:w="1245" w:type="dxa"/>
            <w:tcBorders>
              <w:top w:val="nil"/>
              <w:left w:val="nil"/>
              <w:bottom w:val="single" w:sz="8" w:space="0" w:color="0093D0"/>
              <w:right w:val="single" w:sz="8" w:space="0" w:color="0093D0"/>
            </w:tcBorders>
            <w:shd w:val="clear" w:color="000000" w:fill="FFFFFF"/>
            <w:vAlign w:val="center"/>
          </w:tcPr>
          <w:p w14:paraId="411A4AC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323</w:t>
            </w:r>
          </w:p>
        </w:tc>
        <w:tc>
          <w:tcPr>
            <w:tcW w:w="1246" w:type="dxa"/>
            <w:tcBorders>
              <w:top w:val="nil"/>
              <w:left w:val="nil"/>
              <w:bottom w:val="single" w:sz="8" w:space="0" w:color="0093D0"/>
              <w:right w:val="single" w:sz="8" w:space="0" w:color="0093D0"/>
            </w:tcBorders>
            <w:shd w:val="clear" w:color="000000" w:fill="FFFFFF"/>
            <w:vAlign w:val="center"/>
          </w:tcPr>
          <w:p w14:paraId="411A4AC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344</w:t>
            </w:r>
          </w:p>
        </w:tc>
      </w:tr>
    </w:tbl>
    <w:p w14:paraId="411A4AC8" w14:textId="77777777" w:rsidR="00B74B51" w:rsidRPr="00B74B51" w:rsidRDefault="00B74B51" w:rsidP="00B74B51">
      <w:pPr>
        <w:spacing w:before="120" w:after="120" w:line="280" w:lineRule="atLeast"/>
        <w:rPr>
          <w:rFonts w:eastAsia="Times New Roman" w:cs="Arial"/>
          <w:szCs w:val="22"/>
          <w:lang w:val="en-AU" w:eastAsia="en-US"/>
        </w:rPr>
      </w:pPr>
    </w:p>
    <w:p w14:paraId="411A4AC9" w14:textId="77777777" w:rsidR="00B74B51" w:rsidRPr="00B74B51" w:rsidRDefault="00B74B51" w:rsidP="00B74B51">
      <w:pPr>
        <w:keepNext/>
        <w:keepLines/>
        <w:spacing w:after="0" w:line="240" w:lineRule="auto"/>
        <w:rPr>
          <w:rFonts w:eastAsia="Times New Roman" w:cs="Arial"/>
          <w:b/>
          <w:color w:val="000000"/>
          <w:sz w:val="20"/>
          <w:szCs w:val="20"/>
          <w:lang w:val="en-AU" w:eastAsia="en-AU"/>
        </w:rPr>
      </w:pPr>
      <w:r w:rsidRPr="00B74B51">
        <w:rPr>
          <w:rFonts w:eastAsia="Times New Roman" w:cs="Arial"/>
          <w:b/>
          <w:color w:val="000000"/>
          <w:sz w:val="20"/>
          <w:szCs w:val="20"/>
          <w:lang w:val="en-AU" w:eastAsia="en-AU"/>
        </w:rPr>
        <w:t>Legend</w:t>
      </w:r>
      <w:r w:rsidRPr="00B74B51">
        <w:rPr>
          <w:rFonts w:eastAsia="Times New Roman" w:cs="Arial"/>
          <w:b/>
          <w:color w:val="000000"/>
          <w:sz w:val="20"/>
          <w:szCs w:val="20"/>
          <w:lang w:val="en-AU" w:eastAsia="en-AU"/>
        </w:rPr>
        <w:tab/>
      </w:r>
      <w:r w:rsidRPr="00B74B51">
        <w:rPr>
          <w:rFonts w:eastAsia="Times New Roman" w:cs="Arial"/>
          <w:b/>
          <w:color w:val="000000"/>
          <w:sz w:val="20"/>
          <w:szCs w:val="20"/>
          <w:lang w:val="en-AU" w:eastAsia="en-AU"/>
        </w:rPr>
        <w:tab/>
      </w:r>
      <w:r w:rsidRPr="00B74B51">
        <w:rPr>
          <w:rFonts w:eastAsia="Times New Roman" w:cs="Arial"/>
          <w:b/>
          <w:color w:val="000000"/>
          <w:sz w:val="20"/>
          <w:szCs w:val="20"/>
          <w:lang w:val="en-AU" w:eastAsia="en-AU"/>
        </w:rPr>
        <w:tab/>
      </w:r>
    </w:p>
    <w:p w14:paraId="411A4ACA"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Standard</w:t>
      </w:r>
      <w:r w:rsidRPr="00B74B51">
        <w:rPr>
          <w:rFonts w:eastAsia="Times New Roman" w:cs="Arial"/>
          <w:color w:val="000000"/>
          <w:sz w:val="20"/>
          <w:szCs w:val="20"/>
          <w:lang w:val="en-AU" w:eastAsia="en-AU"/>
        </w:rPr>
        <w:tab/>
        <w:t>Design features to enhance liveability but otherwise comparable to non-SDA housing.</w:t>
      </w:r>
    </w:p>
    <w:p w14:paraId="411A4ACB"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Platinum level</w:t>
      </w:r>
      <w:r w:rsidRPr="00B74B51">
        <w:rPr>
          <w:rFonts w:eastAsia="Times New Roman" w:cs="Arial"/>
          <w:color w:val="000000"/>
          <w:sz w:val="20"/>
          <w:szCs w:val="20"/>
          <w:lang w:val="en-AU" w:eastAsia="en-AU"/>
        </w:rPr>
        <w:tab/>
        <w:t>Designed to meet platinum level design standards. Fully accessible with adjustable kitchen</w:t>
      </w:r>
    </w:p>
    <w:p w14:paraId="411A4ACC"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Robust design</w:t>
      </w:r>
      <w:r w:rsidRPr="00B74B51">
        <w:rPr>
          <w:rFonts w:eastAsia="Times New Roman" w:cs="Arial"/>
          <w:color w:val="000000"/>
          <w:sz w:val="20"/>
          <w:szCs w:val="20"/>
          <w:lang w:val="en-AU" w:eastAsia="en-AU"/>
        </w:rPr>
        <w:tab/>
        <w:t xml:space="preserve">More robust materials, security and privacy features to cater for challenging behaviours. </w:t>
      </w:r>
    </w:p>
    <w:p w14:paraId="411A4ACD"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High support</w:t>
      </w:r>
      <w:r w:rsidRPr="00B74B51">
        <w:rPr>
          <w:rFonts w:eastAsia="Times New Roman" w:cs="Arial"/>
          <w:color w:val="000000"/>
          <w:sz w:val="20"/>
          <w:szCs w:val="20"/>
          <w:lang w:val="en-AU" w:eastAsia="en-AU"/>
        </w:rPr>
        <w:tab/>
        <w:t>Additional structural allowances for more intensive medical equipment.</w:t>
      </w:r>
    </w:p>
    <w:p w14:paraId="411A4ACE"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OOA</w:t>
      </w:r>
      <w:r w:rsidRPr="00B74B51">
        <w:rPr>
          <w:rFonts w:eastAsia="Times New Roman" w:cs="Arial"/>
          <w:color w:val="000000"/>
          <w:sz w:val="20"/>
          <w:szCs w:val="20"/>
          <w:lang w:val="en-AU" w:eastAsia="en-AU"/>
        </w:rPr>
        <w:tab/>
        <w:t>On-site Overnight Assistance</w:t>
      </w:r>
    </w:p>
    <w:p w14:paraId="411A4ACF"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+1 Room</w:t>
      </w:r>
      <w:r w:rsidRPr="00B74B51">
        <w:rPr>
          <w:rFonts w:eastAsia="Times New Roman" w:cs="Arial"/>
          <w:color w:val="000000"/>
          <w:sz w:val="20"/>
          <w:szCs w:val="20"/>
          <w:lang w:val="en-AU" w:eastAsia="en-AU"/>
        </w:rPr>
        <w:tab/>
        <w:t>Additional breakout or sensory room</w:t>
      </w:r>
    </w:p>
    <w:p w14:paraId="411A4AD0" w14:textId="77777777" w:rsidR="00B74B51" w:rsidRPr="00B74B51" w:rsidRDefault="00B74B51" w:rsidP="00B74B51">
      <w:pPr>
        <w:spacing w:before="120" w:after="120" w:line="280" w:lineRule="atLeast"/>
        <w:rPr>
          <w:rFonts w:eastAsia="Times New Roman" w:cs="Arial"/>
          <w:szCs w:val="22"/>
          <w:lang w:val="en-AU" w:eastAsia="en-US"/>
        </w:rPr>
      </w:pPr>
    </w:p>
    <w:p w14:paraId="411A4AD1"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pgSz w:w="16838" w:h="11906" w:orient="landscape" w:code="9"/>
          <w:pgMar w:top="1276" w:right="1701" w:bottom="1134" w:left="1247" w:header="680" w:footer="113" w:gutter="0"/>
          <w:cols w:space="708"/>
          <w:docGrid w:linePitch="360"/>
        </w:sectPr>
      </w:pPr>
    </w:p>
    <w:p w14:paraId="411A4AD2"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651" w:name="_Toc447030088"/>
      <w:bookmarkStart w:id="652" w:name="_Toc447036040"/>
      <w:bookmarkStart w:id="653" w:name="_Toc447036147"/>
      <w:bookmarkStart w:id="654" w:name="_Toc447036249"/>
      <w:bookmarkStart w:id="655" w:name="_Toc447056888"/>
      <w:bookmarkStart w:id="656" w:name="_Toc447198758"/>
      <w:bookmarkStart w:id="657" w:name="_Toc447225501"/>
      <w:bookmarkStart w:id="658" w:name="_Toc447447145"/>
      <w:bookmarkStart w:id="659" w:name="_Toc447448904"/>
      <w:bookmarkStart w:id="660" w:name="_Toc447450197"/>
      <w:bookmarkStart w:id="661" w:name="_Toc447450444"/>
      <w:r w:rsidRPr="00B74B51">
        <w:rPr>
          <w:rFonts w:eastAsia="Times New Roman" w:cs="Arial"/>
          <w:b/>
          <w:color w:val="6A2875"/>
          <w:sz w:val="30"/>
          <w:szCs w:val="30"/>
        </w:rPr>
        <w:lastRenderedPageBreak/>
        <w:t>Specifications for levels of SDA</w:t>
      </w:r>
      <w:bookmarkEnd w:id="651"/>
      <w:bookmarkEnd w:id="652"/>
      <w:bookmarkEnd w:id="653"/>
      <w:bookmarkEnd w:id="654"/>
      <w:bookmarkEnd w:id="655"/>
      <w:bookmarkEnd w:id="656"/>
      <w:bookmarkEnd w:id="657"/>
      <w:bookmarkEnd w:id="658"/>
      <w:bookmarkEnd w:id="659"/>
      <w:bookmarkEnd w:id="660"/>
      <w:bookmarkEnd w:id="661"/>
    </w:p>
    <w:p w14:paraId="411A4AD3" w14:textId="77777777" w:rsidR="00B74B51" w:rsidRPr="00B74B51" w:rsidRDefault="00B74B51" w:rsidP="003F3925">
      <w:pPr>
        <w:pStyle w:val="BodyText1"/>
        <w:rPr>
          <w:lang w:val="en-AU"/>
        </w:rPr>
      </w:pPr>
      <w:r w:rsidRPr="00B74B51">
        <w:rPr>
          <w:lang w:val="en-AU"/>
        </w:rPr>
        <w:t>In addition to the property sizes, the differing levels of SDA will also require differing levels of specification.  The differing specifications also impact on the costs estimates for each level of SDA.</w:t>
      </w:r>
    </w:p>
    <w:p w14:paraId="411A4AD4"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62" w:name="_Toc447030089"/>
      <w:bookmarkStart w:id="663" w:name="_Toc447036041"/>
      <w:bookmarkStart w:id="664" w:name="_Toc447036148"/>
      <w:bookmarkStart w:id="665" w:name="_Toc447036250"/>
      <w:bookmarkStart w:id="666" w:name="_Toc447056889"/>
      <w:bookmarkStart w:id="667" w:name="_Toc447198759"/>
      <w:bookmarkStart w:id="668" w:name="_Toc447225502"/>
      <w:bookmarkStart w:id="669" w:name="_Toc447447146"/>
      <w:bookmarkStart w:id="670" w:name="_Toc447448905"/>
      <w:r w:rsidRPr="00B74B51">
        <w:rPr>
          <w:rFonts w:eastAsia="Times New Roman" w:cs="Arial"/>
          <w:b/>
          <w:sz w:val="24"/>
        </w:rPr>
        <w:t>Summary Specifications</w:t>
      </w:r>
      <w:bookmarkEnd w:id="662"/>
      <w:bookmarkEnd w:id="663"/>
      <w:bookmarkEnd w:id="664"/>
      <w:bookmarkEnd w:id="665"/>
      <w:bookmarkEnd w:id="666"/>
      <w:bookmarkEnd w:id="667"/>
      <w:bookmarkEnd w:id="668"/>
      <w:bookmarkEnd w:id="669"/>
      <w:bookmarkEnd w:id="670"/>
    </w:p>
    <w:tbl>
      <w:tblPr>
        <w:tblW w:w="14732" w:type="dxa"/>
        <w:tblLayout w:type="fixed"/>
        <w:tblCellMar>
          <w:left w:w="0" w:type="dxa"/>
          <w:right w:w="0" w:type="dxa"/>
        </w:tblCellMar>
        <w:tblLook w:val="04A0" w:firstRow="1" w:lastRow="0" w:firstColumn="1" w:lastColumn="0" w:noHBand="0" w:noVBand="1"/>
      </w:tblPr>
      <w:tblGrid>
        <w:gridCol w:w="1550"/>
        <w:gridCol w:w="2600"/>
        <w:gridCol w:w="2645"/>
        <w:gridCol w:w="2646"/>
        <w:gridCol w:w="2645"/>
        <w:gridCol w:w="2646"/>
      </w:tblGrid>
      <w:tr w:rsidR="00B74B51" w:rsidRPr="00B74B51" w14:paraId="411A4AD7" w14:textId="77777777" w:rsidTr="003F3925">
        <w:trPr>
          <w:trHeight w:val="319"/>
        </w:trPr>
        <w:tc>
          <w:tcPr>
            <w:tcW w:w="1550" w:type="dxa"/>
            <w:tcBorders>
              <w:top w:val="single" w:sz="8" w:space="0" w:color="auto"/>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tcPr>
          <w:p w14:paraId="411A4AD5" w14:textId="77777777" w:rsidR="00B74B51" w:rsidRPr="00B74B51" w:rsidRDefault="00B74B51" w:rsidP="003F3925">
            <w:pPr>
              <w:spacing w:after="160" w:line="259" w:lineRule="auto"/>
              <w:jc w:val="center"/>
              <w:rPr>
                <w:rFonts w:eastAsia="Calibri" w:cs="Arial"/>
                <w:b/>
                <w:sz w:val="20"/>
                <w:szCs w:val="20"/>
                <w:lang w:val="en-AU" w:eastAsia="en-US"/>
              </w:rPr>
            </w:pPr>
          </w:p>
        </w:tc>
        <w:tc>
          <w:tcPr>
            <w:tcW w:w="13182" w:type="dxa"/>
            <w:gridSpan w:val="5"/>
            <w:tcBorders>
              <w:top w:val="single" w:sz="8" w:space="0" w:color="auto"/>
              <w:left w:val="nil"/>
              <w:bottom w:val="single" w:sz="8" w:space="0" w:color="auto"/>
              <w:right w:val="single" w:sz="8" w:space="0" w:color="auto"/>
            </w:tcBorders>
            <w:shd w:val="clear" w:color="auto" w:fill="7030A0"/>
          </w:tcPr>
          <w:p w14:paraId="411A4AD6"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Build standard</w:t>
            </w:r>
          </w:p>
        </w:tc>
      </w:tr>
      <w:tr w:rsidR="00B74B51" w:rsidRPr="00B74B51" w14:paraId="411A4ADE" w14:textId="77777777" w:rsidTr="003F3925">
        <w:trPr>
          <w:trHeight w:val="241"/>
        </w:trPr>
        <w:tc>
          <w:tcPr>
            <w:tcW w:w="1550" w:type="dxa"/>
            <w:tcBorders>
              <w:top w:val="single" w:sz="8" w:space="0" w:color="auto"/>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hideMark/>
          </w:tcPr>
          <w:p w14:paraId="411A4AD8" w14:textId="77777777" w:rsidR="00B74B51" w:rsidRPr="00B74B51" w:rsidRDefault="00B74B51" w:rsidP="003F3925">
            <w:pPr>
              <w:spacing w:after="160" w:line="259" w:lineRule="auto"/>
              <w:jc w:val="center"/>
              <w:rPr>
                <w:rFonts w:eastAsia="Calibri" w:cs="Arial"/>
                <w:b/>
                <w:sz w:val="20"/>
                <w:szCs w:val="20"/>
                <w:lang w:val="en-AU" w:eastAsia="en-US"/>
              </w:rPr>
            </w:pPr>
          </w:p>
        </w:tc>
        <w:tc>
          <w:tcPr>
            <w:tcW w:w="2600" w:type="dxa"/>
            <w:tcBorders>
              <w:top w:val="single" w:sz="8" w:space="0" w:color="auto"/>
              <w:left w:val="nil"/>
              <w:bottom w:val="single" w:sz="8" w:space="0" w:color="auto"/>
              <w:right w:val="single" w:sz="8" w:space="0" w:color="auto"/>
            </w:tcBorders>
            <w:shd w:val="clear" w:color="auto" w:fill="7030A0"/>
            <w:hideMark/>
          </w:tcPr>
          <w:p w14:paraId="411A4AD9"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Standard</w:t>
            </w:r>
          </w:p>
        </w:tc>
        <w:tc>
          <w:tcPr>
            <w:tcW w:w="2645"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A"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Improved Liveability</w:t>
            </w:r>
          </w:p>
        </w:tc>
        <w:tc>
          <w:tcPr>
            <w:tcW w:w="2646"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B"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Fully Accessible</w:t>
            </w:r>
          </w:p>
        </w:tc>
        <w:tc>
          <w:tcPr>
            <w:tcW w:w="2645"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C"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Robust construction</w:t>
            </w:r>
          </w:p>
        </w:tc>
        <w:tc>
          <w:tcPr>
            <w:tcW w:w="2646"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D"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High Support</w:t>
            </w:r>
          </w:p>
        </w:tc>
      </w:tr>
      <w:tr w:rsidR="00B74B51" w:rsidRPr="00B74B51" w14:paraId="411A4AE5" w14:textId="77777777" w:rsidTr="003F3925">
        <w:trPr>
          <w:trHeight w:val="1020"/>
        </w:trPr>
        <w:tc>
          <w:tcPr>
            <w:tcW w:w="1550" w:type="dxa"/>
            <w:tcBorders>
              <w:top w:val="nil"/>
              <w:left w:val="single" w:sz="8" w:space="0" w:color="auto"/>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DF" w14:textId="17312DCB"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Basic Description</w:t>
            </w:r>
          </w:p>
        </w:tc>
        <w:tc>
          <w:tcPr>
            <w:tcW w:w="2600" w:type="dxa"/>
            <w:tcBorders>
              <w:top w:val="nil"/>
              <w:left w:val="nil"/>
              <w:bottom w:val="single" w:sz="8" w:space="0" w:color="auto"/>
              <w:right w:val="single" w:sz="8" w:space="0" w:color="auto"/>
            </w:tcBorders>
            <w:shd w:val="clear" w:color="auto" w:fill="D5B8EA"/>
            <w:vAlign w:val="center"/>
            <w:hideMark/>
          </w:tcPr>
          <w:p w14:paraId="411A4AE0" w14:textId="54B68FC0"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Based on Social housing</w:t>
            </w:r>
          </w:p>
        </w:tc>
        <w:tc>
          <w:tcPr>
            <w:tcW w:w="2645"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Architect design and layout for improved wayfinding and lines of sight</w:t>
            </w:r>
          </w:p>
        </w:tc>
        <w:tc>
          <w:tcPr>
            <w:tcW w:w="2646"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2" w14:textId="7AB58BC4"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Platinum standard under Liveable Housing Guidelines &amp; AS 1428.1</w:t>
            </w:r>
          </w:p>
        </w:tc>
        <w:tc>
          <w:tcPr>
            <w:tcW w:w="2645"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3" w14:textId="5A3F7C75"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Specific design and construction for behaviours of concern/ challenging behaviours</w:t>
            </w:r>
          </w:p>
        </w:tc>
        <w:tc>
          <w:tcPr>
            <w:tcW w:w="2646"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Based on Quadriplegic requirements</w:t>
            </w:r>
          </w:p>
        </w:tc>
      </w:tr>
      <w:tr w:rsidR="00B74B51" w:rsidRPr="00B74B51" w14:paraId="411A4AEC"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E6"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External building fabric</w:t>
            </w:r>
          </w:p>
        </w:tc>
        <w:tc>
          <w:tcPr>
            <w:tcW w:w="2600" w:type="dxa"/>
            <w:tcBorders>
              <w:top w:val="nil"/>
              <w:left w:val="nil"/>
              <w:bottom w:val="single" w:sz="8" w:space="0" w:color="auto"/>
              <w:right w:val="single" w:sz="8" w:space="0" w:color="auto"/>
            </w:tcBorders>
            <w:vAlign w:val="center"/>
            <w:hideMark/>
          </w:tcPr>
          <w:p w14:paraId="411A4AE7" w14:textId="50966DF8"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8" w14:textId="3605984A"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9" w14:textId="0FB01684"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A" w14:textId="715C924D"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B" w14:textId="076597B3"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r>
      <w:tr w:rsidR="00B74B51" w:rsidRPr="00B74B51" w14:paraId="411A4AF3" w14:textId="77777777" w:rsidTr="003F3925">
        <w:trPr>
          <w:trHeight w:val="834"/>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ED"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Windows</w:t>
            </w:r>
          </w:p>
        </w:tc>
        <w:tc>
          <w:tcPr>
            <w:tcW w:w="2600" w:type="dxa"/>
            <w:tcBorders>
              <w:top w:val="nil"/>
              <w:left w:val="nil"/>
              <w:bottom w:val="single" w:sz="8" w:space="0" w:color="auto"/>
              <w:right w:val="single" w:sz="8" w:space="0" w:color="auto"/>
            </w:tcBorders>
            <w:vAlign w:val="center"/>
            <w:hideMark/>
          </w:tcPr>
          <w:p w14:paraId="411A4AE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E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 xml:space="preserve">Double glazed </w:t>
            </w:r>
            <w:r w:rsidRPr="003F3925">
              <w:rPr>
                <w:rFonts w:asciiTheme="minorHAnsi" w:eastAsia="Calibri" w:hAnsiTheme="minorHAnsi" w:cs="Arial"/>
                <w:sz w:val="20"/>
                <w:szCs w:val="20"/>
                <w:lang w:val="en-AU" w:eastAsia="en-US"/>
              </w:rPr>
              <w:br/>
              <w:t>Laminated glass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r w:rsidRPr="003F3925">
              <w:rPr>
                <w:rFonts w:asciiTheme="minorHAnsi" w:eastAsia="Calibri" w:hAnsiTheme="minorHAnsi" w:cs="Arial"/>
                <w:sz w:val="20"/>
                <w:szCs w:val="20"/>
                <w:lang w:val="en-AU" w:eastAsia="en-US"/>
              </w:rPr>
              <w:br/>
              <w:t>Laminated glass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r w:rsidRPr="003F3925">
              <w:rPr>
                <w:rFonts w:asciiTheme="minorHAnsi" w:eastAsia="Calibri" w:hAnsiTheme="minorHAnsi" w:cs="Arial"/>
                <w:sz w:val="20"/>
                <w:szCs w:val="20"/>
                <w:lang w:val="en-AU" w:eastAsia="en-US"/>
              </w:rPr>
              <w:br/>
              <w:t>Laminated glass</w:t>
            </w:r>
          </w:p>
        </w:tc>
      </w:tr>
      <w:tr w:rsidR="00B74B51" w:rsidRPr="00B74B51" w14:paraId="411A4AFA"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F4"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Blinds</w:t>
            </w:r>
          </w:p>
        </w:tc>
        <w:tc>
          <w:tcPr>
            <w:tcW w:w="2600" w:type="dxa"/>
            <w:tcBorders>
              <w:top w:val="nil"/>
              <w:left w:val="nil"/>
              <w:bottom w:val="single" w:sz="8" w:space="0" w:color="auto"/>
              <w:right w:val="single" w:sz="8" w:space="0" w:color="auto"/>
            </w:tcBorders>
            <w:vAlign w:val="center"/>
            <w:hideMark/>
          </w:tcPr>
          <w:p w14:paraId="411A4AF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Motorised roller blinds</w:t>
            </w:r>
          </w:p>
        </w:tc>
      </w:tr>
      <w:tr w:rsidR="00B74B51" w:rsidRPr="00B74B51" w14:paraId="411A4B01" w14:textId="77777777" w:rsidTr="003F3925">
        <w:trPr>
          <w:trHeight w:val="76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FB"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doors</w:t>
            </w:r>
          </w:p>
        </w:tc>
        <w:tc>
          <w:tcPr>
            <w:tcW w:w="2600" w:type="dxa"/>
            <w:tcBorders>
              <w:top w:val="nil"/>
              <w:left w:val="nil"/>
              <w:bottom w:val="single" w:sz="8" w:space="0" w:color="auto"/>
              <w:right w:val="single" w:sz="8" w:space="0" w:color="auto"/>
            </w:tcBorders>
            <w:vAlign w:val="center"/>
            <w:hideMark/>
          </w:tcPr>
          <w:p w14:paraId="411A4AF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Residential hardware</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Residential hardware</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r>
      <w:tr w:rsidR="00B74B51" w:rsidRPr="00B74B51" w14:paraId="411A4B08"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02"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walls</w:t>
            </w:r>
          </w:p>
        </w:tc>
        <w:tc>
          <w:tcPr>
            <w:tcW w:w="2600" w:type="dxa"/>
            <w:tcBorders>
              <w:top w:val="nil"/>
              <w:left w:val="nil"/>
              <w:bottom w:val="single" w:sz="8" w:space="0" w:color="auto"/>
              <w:right w:val="single" w:sz="8" w:space="0" w:color="auto"/>
            </w:tcBorders>
            <w:vAlign w:val="center"/>
            <w:hideMark/>
          </w:tcPr>
          <w:p w14:paraId="411A4B0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w:t>
            </w:r>
          </w:p>
        </w:tc>
      </w:tr>
      <w:tr w:rsidR="00B74B51" w:rsidRPr="00B74B51" w14:paraId="411A4B0F" w14:textId="77777777" w:rsidTr="003F3925">
        <w:trPr>
          <w:trHeight w:val="53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09"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wall finishes</w:t>
            </w:r>
          </w:p>
        </w:tc>
        <w:tc>
          <w:tcPr>
            <w:tcW w:w="2600" w:type="dxa"/>
            <w:tcBorders>
              <w:top w:val="nil"/>
              <w:left w:val="nil"/>
              <w:bottom w:val="single" w:sz="8" w:space="0" w:color="auto"/>
              <w:right w:val="single" w:sz="8" w:space="0" w:color="auto"/>
            </w:tcBorders>
            <w:vAlign w:val="center"/>
            <w:hideMark/>
          </w:tcPr>
          <w:p w14:paraId="411A4B0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r w:rsidRPr="003F3925">
              <w:rPr>
                <w:rFonts w:asciiTheme="minorHAnsi" w:eastAsia="Calibri" w:hAnsiTheme="minorHAnsi" w:cs="Arial"/>
                <w:sz w:val="20"/>
                <w:szCs w:val="20"/>
                <w:lang w:val="en-AU" w:eastAsia="en-US"/>
              </w:rPr>
              <w:br/>
              <w:t>Tiles to wet areas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Tiles to wet areas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r>
      <w:tr w:rsidR="00B74B51" w:rsidRPr="00B74B51" w14:paraId="411A4B16"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10"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Floor finishes</w:t>
            </w:r>
          </w:p>
        </w:tc>
        <w:tc>
          <w:tcPr>
            <w:tcW w:w="2600" w:type="dxa"/>
            <w:tcBorders>
              <w:top w:val="nil"/>
              <w:left w:val="nil"/>
              <w:bottom w:val="single" w:sz="8" w:space="0" w:color="auto"/>
              <w:right w:val="single" w:sz="8" w:space="0" w:color="auto"/>
            </w:tcBorders>
            <w:vAlign w:val="center"/>
            <w:hideMark/>
          </w:tcPr>
          <w:p w14:paraId="411A4B1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carpet and tiles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carpet and tiles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r>
      <w:tr w:rsidR="00B74B51" w:rsidRPr="00B74B51" w14:paraId="411A4B24"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1E"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Ceiling finishes</w:t>
            </w:r>
          </w:p>
        </w:tc>
        <w:tc>
          <w:tcPr>
            <w:tcW w:w="2600" w:type="dxa"/>
            <w:tcBorders>
              <w:top w:val="nil"/>
              <w:left w:val="nil"/>
              <w:bottom w:val="single" w:sz="8" w:space="0" w:color="auto"/>
              <w:right w:val="single" w:sz="8" w:space="0" w:color="auto"/>
            </w:tcBorders>
            <w:vAlign w:val="center"/>
            <w:hideMark/>
          </w:tcPr>
          <w:p w14:paraId="411A4B1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r>
    </w:tbl>
    <w:p w14:paraId="03A03F70" w14:textId="77777777" w:rsidR="003F3925" w:rsidRDefault="003F3925"/>
    <w:tbl>
      <w:tblPr>
        <w:tblW w:w="14732" w:type="dxa"/>
        <w:tblLayout w:type="fixed"/>
        <w:tblCellMar>
          <w:left w:w="0" w:type="dxa"/>
          <w:right w:w="0" w:type="dxa"/>
        </w:tblCellMar>
        <w:tblLook w:val="04A0" w:firstRow="1" w:lastRow="0" w:firstColumn="1" w:lastColumn="0" w:noHBand="0" w:noVBand="1"/>
      </w:tblPr>
      <w:tblGrid>
        <w:gridCol w:w="1550"/>
        <w:gridCol w:w="2600"/>
        <w:gridCol w:w="2645"/>
        <w:gridCol w:w="2646"/>
        <w:gridCol w:w="2645"/>
        <w:gridCol w:w="2646"/>
      </w:tblGrid>
      <w:tr w:rsidR="003F3925" w:rsidRPr="00B74B51" w14:paraId="7573B3CC" w14:textId="77777777" w:rsidTr="003F3925">
        <w:trPr>
          <w:trHeight w:val="510"/>
        </w:trPr>
        <w:tc>
          <w:tcPr>
            <w:tcW w:w="1550" w:type="dxa"/>
            <w:tcBorders>
              <w:top w:val="nil"/>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vAlign w:val="center"/>
          </w:tcPr>
          <w:p w14:paraId="585064DD" w14:textId="77777777" w:rsidR="003F3925" w:rsidRPr="003F3925" w:rsidRDefault="003F3925" w:rsidP="003F3925">
            <w:pPr>
              <w:spacing w:before="40" w:after="40" w:line="240" w:lineRule="auto"/>
              <w:rPr>
                <w:rFonts w:asciiTheme="minorHAnsi" w:eastAsia="Calibri" w:hAnsiTheme="minorHAnsi" w:cs="Arial"/>
                <w:b/>
                <w:szCs w:val="20"/>
                <w:lang w:val="en-AU" w:eastAsia="en-US"/>
              </w:rPr>
            </w:pPr>
          </w:p>
        </w:tc>
        <w:tc>
          <w:tcPr>
            <w:tcW w:w="2600" w:type="dxa"/>
            <w:tcBorders>
              <w:top w:val="nil"/>
              <w:left w:val="nil"/>
              <w:bottom w:val="single" w:sz="8" w:space="0" w:color="auto"/>
              <w:right w:val="single" w:sz="8" w:space="0" w:color="auto"/>
            </w:tcBorders>
            <w:shd w:val="clear" w:color="auto" w:fill="7030A0"/>
            <w:vAlign w:val="center"/>
          </w:tcPr>
          <w:p w14:paraId="1F3A5E69" w14:textId="76977CE0"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Standard</w:t>
            </w:r>
          </w:p>
        </w:tc>
        <w:tc>
          <w:tcPr>
            <w:tcW w:w="2645"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1D4499BE" w14:textId="2C9E9FE7"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Improved Liveability</w:t>
            </w:r>
          </w:p>
        </w:tc>
        <w:tc>
          <w:tcPr>
            <w:tcW w:w="2646"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6BCADF51" w14:textId="5C692494"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Fully Accessible</w:t>
            </w:r>
          </w:p>
        </w:tc>
        <w:tc>
          <w:tcPr>
            <w:tcW w:w="2645"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60E629B3" w14:textId="48AD1C6E"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Robust construction</w:t>
            </w:r>
          </w:p>
        </w:tc>
        <w:tc>
          <w:tcPr>
            <w:tcW w:w="2646"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78DA9ADB" w14:textId="3428798F"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High Support</w:t>
            </w:r>
          </w:p>
        </w:tc>
      </w:tr>
      <w:tr w:rsidR="00B74B51" w:rsidRPr="00B74B51" w14:paraId="411A4B2B"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25"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Joinery</w:t>
            </w:r>
          </w:p>
        </w:tc>
        <w:tc>
          <w:tcPr>
            <w:tcW w:w="2600" w:type="dxa"/>
            <w:tcBorders>
              <w:top w:val="nil"/>
              <w:left w:val="nil"/>
              <w:bottom w:val="single" w:sz="8" w:space="0" w:color="auto"/>
              <w:right w:val="single" w:sz="8" w:space="0" w:color="auto"/>
            </w:tcBorders>
            <w:vAlign w:val="center"/>
            <w:hideMark/>
          </w:tcPr>
          <w:p w14:paraId="411A4B2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r>
      <w:tr w:rsidR="00B74B51" w:rsidRPr="00B74B51" w14:paraId="411A4B32"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2C"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Fittings/ appliances</w:t>
            </w:r>
          </w:p>
        </w:tc>
        <w:tc>
          <w:tcPr>
            <w:tcW w:w="2600" w:type="dxa"/>
            <w:tcBorders>
              <w:top w:val="nil"/>
              <w:left w:val="nil"/>
              <w:bottom w:val="single" w:sz="8" w:space="0" w:color="auto"/>
              <w:right w:val="single" w:sz="8" w:space="0" w:color="auto"/>
            </w:tcBorders>
            <w:vAlign w:val="center"/>
            <w:hideMark/>
          </w:tcPr>
          <w:p w14:paraId="411A4B2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Accessible</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0" w14:textId="5F796E1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1" w14:textId="50814DCF"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39"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33"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Sanitary fittings/taps</w:t>
            </w:r>
          </w:p>
        </w:tc>
        <w:tc>
          <w:tcPr>
            <w:tcW w:w="2600" w:type="dxa"/>
            <w:tcBorders>
              <w:top w:val="nil"/>
              <w:left w:val="nil"/>
              <w:bottom w:val="single" w:sz="8" w:space="0" w:color="auto"/>
              <w:right w:val="single" w:sz="8" w:space="0" w:color="auto"/>
            </w:tcBorders>
            <w:vAlign w:val="center"/>
            <w:hideMark/>
          </w:tcPr>
          <w:p w14:paraId="411A4B3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3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3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Accessible</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7" w14:textId="0B92D5CB"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8" w14:textId="1B208D30"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40"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3A"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Heating</w:t>
            </w:r>
          </w:p>
        </w:tc>
        <w:tc>
          <w:tcPr>
            <w:tcW w:w="2600" w:type="dxa"/>
            <w:tcBorders>
              <w:top w:val="nil"/>
              <w:left w:val="nil"/>
              <w:bottom w:val="single" w:sz="8" w:space="0" w:color="auto"/>
              <w:right w:val="single" w:sz="8" w:space="0" w:color="auto"/>
            </w:tcBorders>
            <w:vAlign w:val="center"/>
            <w:hideMark/>
          </w:tcPr>
          <w:p w14:paraId="411A4B3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r>
      <w:tr w:rsidR="00B74B51" w:rsidRPr="00B74B51" w14:paraId="411A4B47" w14:textId="77777777" w:rsidTr="003F3925">
        <w:trPr>
          <w:trHeight w:val="76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1"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Cooling</w:t>
            </w:r>
          </w:p>
        </w:tc>
        <w:tc>
          <w:tcPr>
            <w:tcW w:w="2600" w:type="dxa"/>
            <w:tcBorders>
              <w:top w:val="nil"/>
              <w:left w:val="nil"/>
              <w:bottom w:val="single" w:sz="8" w:space="0" w:color="auto"/>
              <w:right w:val="single" w:sz="8" w:space="0" w:color="auto"/>
            </w:tcBorders>
            <w:vAlign w:val="center"/>
            <w:hideMark/>
          </w:tcPr>
          <w:p w14:paraId="411A4B4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common areas only</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common areas only</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all rooms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Ducted air conditioning, not zoned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Ducted air conditioning, zoned</w:t>
            </w:r>
          </w:p>
        </w:tc>
      </w:tr>
      <w:tr w:rsidR="00B74B51" w:rsidRPr="00B74B51" w14:paraId="411A4B4E"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8"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Electrical</w:t>
            </w:r>
          </w:p>
        </w:tc>
        <w:tc>
          <w:tcPr>
            <w:tcW w:w="2600" w:type="dxa"/>
            <w:tcBorders>
              <w:top w:val="nil"/>
              <w:left w:val="nil"/>
              <w:bottom w:val="single" w:sz="8" w:space="0" w:color="auto"/>
              <w:right w:val="single" w:sz="8" w:space="0" w:color="auto"/>
            </w:tcBorders>
            <w:vAlign w:val="center"/>
            <w:hideMark/>
          </w:tcPr>
          <w:p w14:paraId="411A4B4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4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 (ready for assistive technology)</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4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 (ready for assistive technology)</w:t>
            </w:r>
          </w:p>
        </w:tc>
      </w:tr>
      <w:tr w:rsidR="00B74B51" w:rsidRPr="00B74B51" w14:paraId="411A4B55"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F"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Communications/ data</w:t>
            </w:r>
          </w:p>
        </w:tc>
        <w:tc>
          <w:tcPr>
            <w:tcW w:w="2600" w:type="dxa"/>
            <w:tcBorders>
              <w:top w:val="nil"/>
              <w:left w:val="nil"/>
              <w:bottom w:val="single" w:sz="8" w:space="0" w:color="auto"/>
              <w:right w:val="single" w:sz="8" w:space="0" w:color="auto"/>
            </w:tcBorders>
            <w:vAlign w:val="center"/>
            <w:hideMark/>
          </w:tcPr>
          <w:p w14:paraId="411A4B5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3" w14:textId="4AD52601"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4" w14:textId="6E1FDDB6"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5C" w14:textId="77777777" w:rsidTr="003F3925">
        <w:trPr>
          <w:trHeight w:val="283"/>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56"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Nurse call</w:t>
            </w:r>
          </w:p>
        </w:tc>
        <w:tc>
          <w:tcPr>
            <w:tcW w:w="2600" w:type="dxa"/>
            <w:tcBorders>
              <w:top w:val="nil"/>
              <w:left w:val="nil"/>
              <w:bottom w:val="single" w:sz="8" w:space="0" w:color="auto"/>
              <w:right w:val="single" w:sz="8" w:space="0" w:color="auto"/>
            </w:tcBorders>
            <w:vAlign w:val="center"/>
            <w:hideMark/>
          </w:tcPr>
          <w:p w14:paraId="411A4B5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Patient/staff distress system</w:t>
            </w:r>
          </w:p>
        </w:tc>
      </w:tr>
      <w:tr w:rsidR="00B74B51" w:rsidRPr="00B74B51" w14:paraId="411A4B63" w14:textId="77777777" w:rsidTr="003F3925">
        <w:trPr>
          <w:trHeight w:val="205"/>
        </w:trPr>
        <w:tc>
          <w:tcPr>
            <w:tcW w:w="1550"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411A4B5D"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Fire services</w:t>
            </w:r>
          </w:p>
        </w:tc>
        <w:tc>
          <w:tcPr>
            <w:tcW w:w="2600" w:type="dxa"/>
            <w:tcBorders>
              <w:top w:val="single" w:sz="8" w:space="0" w:color="auto"/>
              <w:left w:val="nil"/>
              <w:bottom w:val="single" w:sz="4" w:space="0" w:color="auto"/>
              <w:right w:val="single" w:sz="8" w:space="0" w:color="auto"/>
            </w:tcBorders>
            <w:vAlign w:val="center"/>
            <w:hideMark/>
          </w:tcPr>
          <w:p w14:paraId="411A4B5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5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Monitored smoke alarms</w:t>
            </w:r>
          </w:p>
        </w:tc>
        <w:tc>
          <w:tcPr>
            <w:tcW w:w="264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Monitored smoke alarms</w:t>
            </w:r>
          </w:p>
        </w:tc>
      </w:tr>
      <w:tr w:rsidR="00B74B51" w:rsidRPr="00B74B51" w14:paraId="411A4B6A" w14:textId="77777777" w:rsidTr="003F3925">
        <w:trPr>
          <w:trHeight w:val="1421"/>
        </w:trPr>
        <w:tc>
          <w:tcPr>
            <w:tcW w:w="155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11A4B64"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Optional</w:t>
            </w:r>
          </w:p>
        </w:tc>
        <w:tc>
          <w:tcPr>
            <w:tcW w:w="2600" w:type="dxa"/>
            <w:tcBorders>
              <w:top w:val="single" w:sz="4" w:space="0" w:color="auto"/>
              <w:left w:val="nil"/>
              <w:bottom w:val="single" w:sz="8" w:space="0" w:color="auto"/>
              <w:right w:val="single" w:sz="8" w:space="0" w:color="auto"/>
            </w:tcBorders>
            <w:vAlign w:val="center"/>
          </w:tcPr>
          <w:p w14:paraId="411A4B6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r>
    </w:tbl>
    <w:p w14:paraId="411A4B6B" w14:textId="77777777" w:rsidR="00B74B51" w:rsidRPr="00B74B51" w:rsidRDefault="00B74B51" w:rsidP="00B74B51">
      <w:pPr>
        <w:keepNext/>
        <w:keepLines/>
        <w:tabs>
          <w:tab w:val="left" w:pos="709"/>
        </w:tabs>
        <w:spacing w:before="360" w:after="240" w:line="240" w:lineRule="auto"/>
        <w:ind w:left="709"/>
        <w:outlineLvl w:val="1"/>
        <w:rPr>
          <w:rFonts w:eastAsia="Calibri" w:cs="Arial"/>
          <w:color w:val="0093D0"/>
          <w:sz w:val="32"/>
          <w:szCs w:val="22"/>
          <w:lang w:val="en-AU" w:eastAsia="en-US"/>
        </w:rPr>
        <w:sectPr w:rsidR="00B74B51" w:rsidRPr="00B74B51" w:rsidSect="00B74B51">
          <w:pgSz w:w="16838" w:h="11906" w:orient="landscape" w:code="9"/>
          <w:pgMar w:top="1276" w:right="1701" w:bottom="993" w:left="1247" w:header="680" w:footer="113" w:gutter="0"/>
          <w:cols w:space="708"/>
          <w:docGrid w:linePitch="360"/>
        </w:sectPr>
      </w:pPr>
    </w:p>
    <w:p w14:paraId="411A4B6C"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71" w:name="_Toc447030090"/>
      <w:bookmarkStart w:id="672" w:name="_Toc447036042"/>
      <w:bookmarkStart w:id="673" w:name="_Toc447036149"/>
      <w:bookmarkStart w:id="674" w:name="_Toc447036251"/>
      <w:bookmarkStart w:id="675" w:name="_Toc447056890"/>
      <w:bookmarkStart w:id="676" w:name="_Toc447198760"/>
      <w:bookmarkStart w:id="677" w:name="_Toc447225503"/>
      <w:bookmarkStart w:id="678" w:name="_Toc447447147"/>
      <w:bookmarkStart w:id="679" w:name="_Toc447448906"/>
      <w:r w:rsidRPr="00B74B51">
        <w:rPr>
          <w:rFonts w:eastAsia="Times New Roman" w:cs="Arial"/>
          <w:b/>
          <w:sz w:val="24"/>
        </w:rPr>
        <w:lastRenderedPageBreak/>
        <w:t>Further detailed specifications</w:t>
      </w:r>
      <w:bookmarkEnd w:id="671"/>
      <w:bookmarkEnd w:id="672"/>
      <w:bookmarkEnd w:id="673"/>
      <w:bookmarkEnd w:id="674"/>
      <w:bookmarkEnd w:id="675"/>
      <w:bookmarkEnd w:id="676"/>
      <w:bookmarkEnd w:id="677"/>
      <w:bookmarkEnd w:id="678"/>
      <w:bookmarkEnd w:id="679"/>
    </w:p>
    <w:p w14:paraId="411A4B6D"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80" w:name="_Toc447030091"/>
      <w:bookmarkStart w:id="681" w:name="_Toc447036043"/>
      <w:bookmarkStart w:id="682" w:name="_Toc447036150"/>
      <w:bookmarkStart w:id="683" w:name="_Toc447036252"/>
      <w:bookmarkStart w:id="684" w:name="_Toc447056891"/>
      <w:bookmarkStart w:id="685" w:name="_Toc447198761"/>
      <w:bookmarkStart w:id="686" w:name="_Toc447225504"/>
      <w:bookmarkStart w:id="687" w:name="_Toc447447148"/>
      <w:bookmarkStart w:id="688" w:name="_Toc447448907"/>
      <w:r w:rsidRPr="00B74B51">
        <w:rPr>
          <w:rFonts w:eastAsia="Times New Roman" w:cs="Arial"/>
          <w:b/>
          <w:sz w:val="24"/>
        </w:rPr>
        <w:t xml:space="preserve">Improved </w:t>
      </w:r>
      <w:r w:rsidR="00BD7DD6" w:rsidRPr="00B74B51">
        <w:rPr>
          <w:rFonts w:eastAsia="Times New Roman" w:cs="Arial"/>
          <w:b/>
          <w:sz w:val="24"/>
        </w:rPr>
        <w:t>livability</w:t>
      </w:r>
      <w:bookmarkEnd w:id="680"/>
      <w:bookmarkEnd w:id="681"/>
      <w:bookmarkEnd w:id="682"/>
      <w:bookmarkEnd w:id="683"/>
      <w:bookmarkEnd w:id="684"/>
      <w:bookmarkEnd w:id="685"/>
      <w:bookmarkEnd w:id="686"/>
      <w:bookmarkEnd w:id="687"/>
      <w:bookmarkEnd w:id="688"/>
    </w:p>
    <w:p w14:paraId="411A4B6E" w14:textId="77777777" w:rsidR="00B74B51" w:rsidRPr="00B74B51" w:rsidRDefault="00B74B51" w:rsidP="00FD3134">
      <w:pPr>
        <w:pStyle w:val="BodyText1"/>
        <w:rPr>
          <w:lang w:val="en-AU"/>
        </w:rPr>
      </w:pPr>
      <w:r w:rsidRPr="00B74B51">
        <w:rPr>
          <w:lang w:val="en-AU"/>
        </w:rPr>
        <w:t>The building specification is assumed to be in line with social housing.  In addition, the design and layout should support wayfinding and clear lines of sight for participants and staff.</w:t>
      </w:r>
    </w:p>
    <w:p w14:paraId="411A4B6F"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89" w:name="_Toc447030092"/>
      <w:bookmarkStart w:id="690" w:name="_Toc447036044"/>
      <w:bookmarkStart w:id="691" w:name="_Toc447036151"/>
      <w:bookmarkStart w:id="692" w:name="_Toc447036253"/>
      <w:bookmarkStart w:id="693" w:name="_Toc447056892"/>
      <w:bookmarkStart w:id="694" w:name="_Toc447198762"/>
      <w:bookmarkStart w:id="695" w:name="_Toc447225505"/>
      <w:bookmarkStart w:id="696" w:name="_Toc447447149"/>
      <w:bookmarkStart w:id="697" w:name="_Toc447448908"/>
      <w:r w:rsidRPr="00B74B51">
        <w:rPr>
          <w:rFonts w:eastAsia="Times New Roman" w:cs="Arial"/>
          <w:b/>
          <w:sz w:val="24"/>
        </w:rPr>
        <w:t>Fully accessible</w:t>
      </w:r>
      <w:bookmarkEnd w:id="689"/>
      <w:bookmarkEnd w:id="690"/>
      <w:bookmarkEnd w:id="691"/>
      <w:bookmarkEnd w:id="692"/>
      <w:bookmarkEnd w:id="693"/>
      <w:bookmarkEnd w:id="694"/>
      <w:bookmarkEnd w:id="695"/>
      <w:bookmarkEnd w:id="696"/>
      <w:bookmarkEnd w:id="697"/>
    </w:p>
    <w:p w14:paraId="411A4B70" w14:textId="77777777" w:rsidR="00B74B51" w:rsidRPr="00B74B51" w:rsidRDefault="00B74B51" w:rsidP="00FD3134">
      <w:pPr>
        <w:pStyle w:val="BodyText1"/>
        <w:rPr>
          <w:lang w:val="en-AU"/>
        </w:rPr>
      </w:pPr>
      <w:r w:rsidRPr="00B74B51">
        <w:rPr>
          <w:lang w:val="en-AU"/>
        </w:rPr>
        <w:t>The building specification is assumed to be in line with social housing.  In addition, the dwelling requires:</w:t>
      </w:r>
    </w:p>
    <w:p w14:paraId="411A4B7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Strengthened walls in bathrooms to support railings</w:t>
      </w:r>
    </w:p>
    <w:p w14:paraId="411A4B7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Fully accessible bathroom</w:t>
      </w:r>
    </w:p>
    <w:p w14:paraId="411A4B7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Kitchen with modular adjustable units to allow adaptation to the resident’s requirements</w:t>
      </w:r>
    </w:p>
    <w:p w14:paraId="411A4B74"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Protection for areas likely to be in contact with wheelchairs (lower door, door frame, wall and cabinetwork) in accordance with AS1428.1</w:t>
      </w:r>
    </w:p>
    <w:p w14:paraId="411A4B75"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door thresholds and Bathroom showers should be fitted with linear grates to facilitate flush thresholds and continuous even ‘falls’ which ensure ease of access/use by persons with disabilities and effective localized water capture and disposal.</w:t>
      </w:r>
    </w:p>
    <w:p w14:paraId="411A4B76"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98" w:name="_Toc447030093"/>
      <w:bookmarkStart w:id="699" w:name="_Toc447036045"/>
      <w:bookmarkStart w:id="700" w:name="_Toc447036152"/>
      <w:bookmarkStart w:id="701" w:name="_Toc447036254"/>
      <w:bookmarkStart w:id="702" w:name="_Toc447056893"/>
      <w:bookmarkStart w:id="703" w:name="_Toc447198763"/>
      <w:bookmarkStart w:id="704" w:name="_Toc447225506"/>
      <w:bookmarkStart w:id="705" w:name="_Toc447447150"/>
      <w:bookmarkStart w:id="706" w:name="_Toc447448909"/>
      <w:r w:rsidRPr="00B74B51">
        <w:rPr>
          <w:rFonts w:eastAsia="Times New Roman" w:cs="Arial"/>
          <w:b/>
          <w:sz w:val="24"/>
        </w:rPr>
        <w:t>Resilient construction</w:t>
      </w:r>
      <w:bookmarkEnd w:id="698"/>
      <w:bookmarkEnd w:id="699"/>
      <w:bookmarkEnd w:id="700"/>
      <w:bookmarkEnd w:id="701"/>
      <w:bookmarkEnd w:id="702"/>
      <w:bookmarkEnd w:id="703"/>
      <w:bookmarkEnd w:id="704"/>
      <w:bookmarkEnd w:id="705"/>
      <w:bookmarkEnd w:id="706"/>
      <w:r w:rsidRPr="00B74B51">
        <w:rPr>
          <w:rFonts w:eastAsia="Times New Roman" w:cs="Arial"/>
          <w:b/>
          <w:sz w:val="24"/>
        </w:rPr>
        <w:t xml:space="preserve"> </w:t>
      </w:r>
    </w:p>
    <w:p w14:paraId="411A4B77"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szCs w:val="22"/>
          <w:lang w:val="en-AU" w:eastAsia="en-US"/>
        </w:rPr>
        <w:t>Draft specification for resilient construction are set out in dot point below.</w:t>
      </w:r>
    </w:p>
    <w:p w14:paraId="411A4B78"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Wall construction</w:t>
      </w:r>
    </w:p>
    <w:p w14:paraId="411A4B79"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Masonry core with impact resistant facings (hard-wall plaster does not comply) or 92mm metal studwork with impact/moisture/noise/fire resistant plasterboard facings to satisfy codes.</w:t>
      </w:r>
    </w:p>
    <w:p w14:paraId="411A4B7A"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Designed to receive elevated point loads where necessary (overhead cupboards, etcetera).</w:t>
      </w:r>
    </w:p>
    <w:p w14:paraId="411A4B7B"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 xml:space="preserve">Cabinetwork </w:t>
      </w:r>
    </w:p>
    <w:p w14:paraId="411A4B7C"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Benchtops – 26mm HMR</w:t>
      </w:r>
      <w:r w:rsidRPr="00FD3134">
        <w:rPr>
          <w:rFonts w:asciiTheme="minorHAnsi" w:eastAsia="Times New Roman" w:hAnsiTheme="minorHAnsi" w:cs="Arial"/>
          <w:sz w:val="24"/>
          <w:szCs w:val="22"/>
          <w:lang w:val="en-AU" w:eastAsia="en-US"/>
        </w:rPr>
        <w:footnoteReference w:id="8"/>
      </w:r>
      <w:r w:rsidRPr="00FD3134">
        <w:rPr>
          <w:rFonts w:asciiTheme="minorHAnsi" w:eastAsia="Times New Roman" w:hAnsiTheme="minorHAnsi" w:cs="Arial"/>
          <w:sz w:val="24"/>
          <w:szCs w:val="22"/>
          <w:lang w:val="en-AU" w:eastAsia="en-US"/>
        </w:rPr>
        <w:t xml:space="preserve"> particleboard with applied laminate, square edged, fully post-formed or 2mm ABS edged.</w:t>
      </w:r>
    </w:p>
    <w:p w14:paraId="411A4B7D"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Carcass Units are to be constructed in 18mm HMR particleboard or MDF core material, pre- laminated. Includes backs. Edgings to be 2mm ABS or equal.</w:t>
      </w:r>
    </w:p>
    <w:p w14:paraId="411A4B7E"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4 sides of adjustable shelving are to have 2mm ABS edging or equal.</w:t>
      </w:r>
    </w:p>
    <w:p w14:paraId="411A4B7F"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Laminated plastic surfaces are to be fully adhered and post-formed (as required/detailed).</w:t>
      </w:r>
    </w:p>
    <w:p w14:paraId="411A4B80"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Hardware is to be commercial grade (medium duty). Handles to be suitable for use by persons with disabilities.</w:t>
      </w:r>
    </w:p>
    <w:p w14:paraId="411A4B8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drawers are to have high sides unless noted otherwise.</w:t>
      </w:r>
    </w:p>
    <w:p w14:paraId="411A4B8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detailing is to be easy clean with exposed sharp corners eliminated or detailed to minimise injury risk.</w:t>
      </w:r>
    </w:p>
    <w:p w14:paraId="411A4B8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lastRenderedPageBreak/>
        <w:t>Detailing is to utilize commercially available storage systems which maximise storage capacity and access by persons with a potential range of incapacities.</w:t>
      </w:r>
    </w:p>
    <w:p w14:paraId="411A4B84"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Doors</w:t>
      </w:r>
    </w:p>
    <w:p w14:paraId="411A4B85"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Solid core doors (min. 40mm thick) or equal approved with impact resistant finishes as required. Alternative lightweight systems will be considered but must have acceptable impact resistance and whole of life performance.</w:t>
      </w:r>
    </w:p>
    <w:p w14:paraId="411A4B86"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Minimum door width for Platinum is 950mm (10mm door stops, 40mm thick door, 900mm clearance at 90degrees open. Wider for fire rated entry doors (as required).</w:t>
      </w:r>
    </w:p>
    <w:p w14:paraId="411A4B87"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4 hinges per door, 2 together at the top. Reduce for alternative lightweight systems as noted above.</w:t>
      </w:r>
    </w:p>
    <w:p w14:paraId="411A4B88"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Commercial grade lever type door hardware to facilitate use by persons with a range of dexterity limitations are required.</w:t>
      </w:r>
    </w:p>
    <w:p w14:paraId="411A4B89"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Top mounted door-stops fitted where necessary to minimise wall damage. Floor mounted or low level wall mounted door stops are not recommended.</w:t>
      </w:r>
    </w:p>
    <w:p w14:paraId="411A4B8A"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Door frames (internal) should be steel to resist impact, especially at low level. In Bathrooms, Laundries and Toilets, special consideration must be given to effective rust protection.</w:t>
      </w:r>
    </w:p>
    <w:p w14:paraId="411A4B8B"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Glazing</w:t>
      </w:r>
    </w:p>
    <w:p w14:paraId="411A4B8C"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Glazing generally (external and internal) to be impact resistant (including point load) - 10.38mm laminated glass is recommended.</w:t>
      </w:r>
    </w:p>
    <w:p w14:paraId="411A4B8D"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Mirrors to be framed laminated glass/mirror construction with closed cell impact absorbing backing. Anti-tamper fixings. Acrylic or stainless steel not acceptable.</w:t>
      </w:r>
    </w:p>
    <w:p w14:paraId="411A4B8E"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window frames shall be semi commercial aluminium or better to accommodate thicker glass and regular impact (where applicable).</w:t>
      </w:r>
    </w:p>
    <w:p w14:paraId="411A4B8F"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Sliding door thresholds shall be as flush as possible to facilitate wheelchair and walking frame access without hindrance.</w:t>
      </w:r>
    </w:p>
    <w:p w14:paraId="411A4B90"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Disability compliance</w:t>
      </w:r>
    </w:p>
    <w:p w14:paraId="411A4B9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If the building is planned to be fully accessible as well as robust construction – such as for wheelchair for mobility, lower door, frame, wall and cabinetwork protection should be included (in accordance with AS1428.1).</w:t>
      </w:r>
    </w:p>
    <w:p w14:paraId="411A4B9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Assistance rails and the like may also be required. This extends to external accessible spaces.</w:t>
      </w:r>
    </w:p>
    <w:p w14:paraId="411A4B9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door thresholds and Bathroom showers should be fitted with linear grates to facilitate flush thresholds and continuous even ‘falls’ which ensure ease of access/use by persons with disabilities and effective localized water capture and disposal.</w:t>
      </w:r>
    </w:p>
    <w:p w14:paraId="411A4B94"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07" w:name="_Toc447030094"/>
      <w:bookmarkStart w:id="708" w:name="_Toc447036046"/>
      <w:bookmarkStart w:id="709" w:name="_Toc447036153"/>
      <w:bookmarkStart w:id="710" w:name="_Toc447036255"/>
      <w:bookmarkStart w:id="711" w:name="_Toc447056894"/>
      <w:bookmarkStart w:id="712" w:name="_Toc447198764"/>
      <w:bookmarkStart w:id="713" w:name="_Toc447225507"/>
      <w:bookmarkStart w:id="714" w:name="_Toc447447151"/>
      <w:bookmarkStart w:id="715" w:name="_Toc447448910"/>
      <w:r w:rsidRPr="00B74B51">
        <w:rPr>
          <w:rFonts w:eastAsia="Times New Roman" w:cs="Arial"/>
          <w:b/>
          <w:sz w:val="24"/>
        </w:rPr>
        <w:t>High Care</w:t>
      </w:r>
      <w:bookmarkEnd w:id="707"/>
      <w:bookmarkEnd w:id="708"/>
      <w:bookmarkEnd w:id="709"/>
      <w:bookmarkEnd w:id="710"/>
      <w:bookmarkEnd w:id="711"/>
      <w:bookmarkEnd w:id="712"/>
      <w:bookmarkEnd w:id="713"/>
      <w:bookmarkEnd w:id="714"/>
      <w:bookmarkEnd w:id="715"/>
    </w:p>
    <w:p w14:paraId="411A4B97" w14:textId="185372F1" w:rsidR="00FD3134" w:rsidRDefault="00B74B51" w:rsidP="00FD3134">
      <w:pPr>
        <w:pStyle w:val="BodyText1"/>
        <w:rPr>
          <w:lang w:val="en-AU"/>
        </w:rPr>
      </w:pPr>
      <w:r w:rsidRPr="00B74B51">
        <w:rPr>
          <w:lang w:val="en-AU"/>
        </w:rPr>
        <w:t>It is assumed that the building specification will be the same as for F</w:t>
      </w:r>
      <w:r w:rsidR="00FD3134">
        <w:rPr>
          <w:lang w:val="en-AU"/>
        </w:rPr>
        <w:t>ully Accessible but also with s</w:t>
      </w:r>
      <w:r w:rsidRPr="00B74B51">
        <w:rPr>
          <w:lang w:val="en-AU"/>
        </w:rPr>
        <w:t>trengthened ceilings and floors to support hoists; and</w:t>
      </w:r>
      <w:r w:rsidR="00BD7DD6">
        <w:rPr>
          <w:lang w:val="en-AU"/>
        </w:rPr>
        <w:t xml:space="preserve"> </w:t>
      </w:r>
      <w:r w:rsidRPr="00B74B51">
        <w:rPr>
          <w:lang w:val="en-AU"/>
        </w:rPr>
        <w:t>Remote control blinds and lights.</w:t>
      </w:r>
    </w:p>
    <w:p w14:paraId="546D3CD3" w14:textId="77777777" w:rsidR="00FD3134" w:rsidRDefault="00FD3134">
      <w:pPr>
        <w:spacing w:line="276" w:lineRule="auto"/>
        <w:rPr>
          <w:rFonts w:asciiTheme="minorHAnsi" w:eastAsia="MS Mincho" w:hAnsiTheme="minorHAnsi" w:cs="FSMe-Bold"/>
          <w:spacing w:val="-2"/>
          <w:sz w:val="24"/>
          <w:szCs w:val="20"/>
          <w:lang w:val="en-AU" w:eastAsia="en-US"/>
        </w:rPr>
      </w:pPr>
      <w:r>
        <w:rPr>
          <w:lang w:val="en-AU"/>
        </w:rPr>
        <w:br w:type="page"/>
      </w:r>
    </w:p>
    <w:p w14:paraId="411A4B98" w14:textId="77777777" w:rsidR="00B74B51" w:rsidRPr="00B74B51" w:rsidRDefault="00B74B51" w:rsidP="00FD3134">
      <w:pPr>
        <w:pStyle w:val="BodyText1"/>
        <w:rPr>
          <w:b/>
          <w:color w:val="6A2875"/>
          <w:sz w:val="30"/>
          <w:szCs w:val="30"/>
        </w:rPr>
      </w:pPr>
      <w:bookmarkStart w:id="716" w:name="_Toc447030095"/>
      <w:bookmarkStart w:id="717" w:name="_Toc447036047"/>
      <w:bookmarkStart w:id="718" w:name="_Toc447036154"/>
      <w:bookmarkStart w:id="719" w:name="_Toc447036256"/>
      <w:bookmarkStart w:id="720" w:name="_Toc447056895"/>
      <w:bookmarkStart w:id="721" w:name="_Toc447198765"/>
      <w:bookmarkStart w:id="722" w:name="_Toc447225508"/>
      <w:bookmarkStart w:id="723" w:name="_Toc447447152"/>
      <w:bookmarkStart w:id="724" w:name="_Toc447448911"/>
      <w:bookmarkStart w:id="725" w:name="_Toc447450198"/>
      <w:bookmarkStart w:id="726" w:name="_Toc447450445"/>
      <w:r w:rsidRPr="00B74B51">
        <w:rPr>
          <w:b/>
          <w:color w:val="6A2875"/>
          <w:sz w:val="30"/>
          <w:szCs w:val="30"/>
        </w:rPr>
        <w:lastRenderedPageBreak/>
        <w:t>Building type groupings</w:t>
      </w:r>
      <w:bookmarkEnd w:id="716"/>
      <w:bookmarkEnd w:id="717"/>
      <w:bookmarkEnd w:id="718"/>
      <w:bookmarkEnd w:id="719"/>
      <w:bookmarkEnd w:id="720"/>
      <w:bookmarkEnd w:id="721"/>
      <w:bookmarkEnd w:id="722"/>
      <w:bookmarkEnd w:id="723"/>
      <w:bookmarkEnd w:id="724"/>
      <w:bookmarkEnd w:id="725"/>
      <w:bookmarkEnd w:id="726"/>
    </w:p>
    <w:p w14:paraId="411A4B99" w14:textId="77777777" w:rsidR="00B74B51" w:rsidRPr="00B74B51" w:rsidRDefault="00B74B51" w:rsidP="00FD3134">
      <w:pPr>
        <w:pStyle w:val="BodyText1"/>
        <w:rPr>
          <w:lang w:val="en-AU"/>
        </w:rPr>
      </w:pPr>
      <w:r w:rsidRPr="00B74B51">
        <w:rPr>
          <w:lang w:val="en-AU"/>
        </w:rPr>
        <w:t>In developing the cost estimates, it is necessary to stipulate the total size of a development in order to estimate the unit cost.</w:t>
      </w:r>
    </w:p>
    <w:p w14:paraId="411A4B9A" w14:textId="77777777" w:rsidR="00B74B51" w:rsidRPr="00B74B51" w:rsidRDefault="00B74B51" w:rsidP="00FD3134">
      <w:pPr>
        <w:pStyle w:val="BodyText1"/>
        <w:rPr>
          <w:lang w:val="en-AU"/>
        </w:rPr>
      </w:pPr>
      <w:r w:rsidRPr="00B74B51">
        <w:rPr>
          <w:lang w:val="en-AU"/>
        </w:rPr>
        <w:t xml:space="preserve">The assumed groupings of each of the building types are summarised in </w:t>
      </w:r>
      <w:r w:rsidRPr="00B74B51">
        <w:rPr>
          <w:lang w:val="en-AU"/>
        </w:rPr>
        <w:fldChar w:fldCharType="begin"/>
      </w:r>
      <w:r w:rsidRPr="00B74B51">
        <w:rPr>
          <w:lang w:val="en-AU"/>
        </w:rPr>
        <w:instrText xml:space="preserve"> REF _Ref445931786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14</w:t>
      </w:r>
      <w:r w:rsidRPr="00B74B51">
        <w:rPr>
          <w:lang w:val="en-AU"/>
        </w:rPr>
        <w:fldChar w:fldCharType="end"/>
      </w:r>
      <w:r w:rsidRPr="00B74B51">
        <w:rPr>
          <w:lang w:val="en-AU"/>
        </w:rPr>
        <w:t>.</w:t>
      </w:r>
    </w:p>
    <w:p w14:paraId="411A4B9B" w14:textId="77777777" w:rsidR="00B74B51" w:rsidRPr="00FD3134" w:rsidRDefault="001E2292" w:rsidP="00FD3134">
      <w:pPr>
        <w:pStyle w:val="Caption"/>
      </w:pPr>
      <w:bookmarkStart w:id="727" w:name="_Ref445931786"/>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14</w:t>
      </w:r>
      <w:r w:rsidRPr="00FD3134">
        <w:fldChar w:fldCharType="end"/>
      </w:r>
      <w:bookmarkEnd w:id="727"/>
      <w:r w:rsidR="00B74B51" w:rsidRPr="00FD3134">
        <w:t>: Assumed building type groupings</w:t>
      </w:r>
    </w:p>
    <w:tbl>
      <w:tblPr>
        <w:tblStyle w:val="MJATable11"/>
        <w:tblW w:w="9214" w:type="dxa"/>
        <w:tblBorders>
          <w:bottom w:val="single" w:sz="4" w:space="0" w:color="0093D0"/>
          <w:insideH w:val="single" w:sz="4" w:space="0" w:color="0093D0"/>
        </w:tblBorders>
        <w:tblLayout w:type="fixed"/>
        <w:tblLook w:val="04A0" w:firstRow="1" w:lastRow="0" w:firstColumn="1" w:lastColumn="0" w:noHBand="0" w:noVBand="1"/>
      </w:tblPr>
      <w:tblGrid>
        <w:gridCol w:w="1701"/>
        <w:gridCol w:w="2268"/>
        <w:gridCol w:w="5245"/>
      </w:tblGrid>
      <w:tr w:rsidR="00B74B51" w:rsidRPr="00B74B51" w14:paraId="411A4B9F" w14:textId="77777777" w:rsidTr="00B74B5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701" w:type="dxa"/>
            <w:shd w:val="clear" w:color="auto" w:fill="7030A0"/>
            <w:noWrap/>
            <w:hideMark/>
          </w:tcPr>
          <w:p w14:paraId="411A4B9C"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Building type</w:t>
            </w:r>
          </w:p>
        </w:tc>
        <w:tc>
          <w:tcPr>
            <w:tcW w:w="2268" w:type="dxa"/>
            <w:shd w:val="clear" w:color="auto" w:fill="7030A0"/>
            <w:noWrap/>
            <w:hideMark/>
          </w:tcPr>
          <w:p w14:paraId="411A4B9D"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Bedrooms</w:t>
            </w:r>
          </w:p>
        </w:tc>
        <w:tc>
          <w:tcPr>
            <w:tcW w:w="5245" w:type="dxa"/>
            <w:shd w:val="clear" w:color="auto" w:fill="7030A0"/>
            <w:hideMark/>
          </w:tcPr>
          <w:p w14:paraId="411A4B9E"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Assumed grouping</w:t>
            </w:r>
          </w:p>
        </w:tc>
      </w:tr>
      <w:tr w:rsidR="00B74B51" w:rsidRPr="00B74B51" w14:paraId="411A4BA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A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Apartment</w:t>
            </w:r>
          </w:p>
        </w:tc>
        <w:tc>
          <w:tcPr>
            <w:tcW w:w="2268" w:type="dxa"/>
            <w:shd w:val="clear" w:color="auto" w:fill="D5B8EA"/>
            <w:hideMark/>
          </w:tcPr>
          <w:p w14:paraId="411A4BA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5245" w:type="dxa"/>
            <w:hideMark/>
          </w:tcPr>
          <w:p w14:paraId="411A4BA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40 apartments</w:t>
            </w:r>
          </w:p>
        </w:tc>
      </w:tr>
      <w:tr w:rsidR="00B74B51" w:rsidRPr="00B74B51" w14:paraId="411A4BA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A4"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A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5245" w:type="dxa"/>
            <w:hideMark/>
          </w:tcPr>
          <w:p w14:paraId="411A4BA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40 apartments</w:t>
            </w:r>
          </w:p>
        </w:tc>
      </w:tr>
      <w:tr w:rsidR="00B74B51" w:rsidRPr="00B74B51" w14:paraId="411A4BAB"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A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Villa/ Townhouse/ Duplex</w:t>
            </w:r>
          </w:p>
        </w:tc>
        <w:tc>
          <w:tcPr>
            <w:tcW w:w="2268" w:type="dxa"/>
            <w:shd w:val="clear" w:color="auto" w:fill="D5B8EA"/>
            <w:hideMark/>
          </w:tcPr>
          <w:p w14:paraId="411A4BA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5245" w:type="dxa"/>
            <w:hideMark/>
          </w:tcPr>
          <w:p w14:paraId="411A4BA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5 villas or townhouses</w:t>
            </w:r>
          </w:p>
        </w:tc>
      </w:tr>
      <w:tr w:rsidR="00B74B51" w:rsidRPr="00B74B51" w14:paraId="411A4BA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AC"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A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5245" w:type="dxa"/>
            <w:hideMark/>
          </w:tcPr>
          <w:p w14:paraId="411A4BA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2 duplexes</w:t>
            </w:r>
          </w:p>
        </w:tc>
      </w:tr>
      <w:tr w:rsidR="00B74B51" w:rsidRPr="00B74B51" w14:paraId="411A4BB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B0"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B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5245" w:type="dxa"/>
            <w:hideMark/>
          </w:tcPr>
          <w:p w14:paraId="411A4BB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2 duplexes</w:t>
            </w:r>
          </w:p>
        </w:tc>
      </w:tr>
      <w:tr w:rsidR="00B74B51" w:rsidRPr="00B74B51" w14:paraId="411A4BB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shd w:val="clear" w:color="auto" w:fill="D5B8EA"/>
            <w:noWrap/>
            <w:hideMark/>
          </w:tcPr>
          <w:p w14:paraId="411A4BB4"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House</w:t>
            </w:r>
          </w:p>
        </w:tc>
        <w:tc>
          <w:tcPr>
            <w:tcW w:w="2268" w:type="dxa"/>
            <w:shd w:val="clear" w:color="auto" w:fill="D5B8EA"/>
            <w:hideMark/>
          </w:tcPr>
          <w:p w14:paraId="411A4BB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5245" w:type="dxa"/>
            <w:hideMark/>
          </w:tcPr>
          <w:p w14:paraId="411A4BB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BB"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B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Group home</w:t>
            </w:r>
          </w:p>
        </w:tc>
        <w:tc>
          <w:tcPr>
            <w:tcW w:w="2268" w:type="dxa"/>
            <w:shd w:val="clear" w:color="auto" w:fill="D5B8EA"/>
            <w:hideMark/>
          </w:tcPr>
          <w:p w14:paraId="411A4BB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c>
          <w:tcPr>
            <w:tcW w:w="5245" w:type="dxa"/>
            <w:hideMark/>
          </w:tcPr>
          <w:p w14:paraId="411A4BB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B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BC"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B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c>
          <w:tcPr>
            <w:tcW w:w="5245" w:type="dxa"/>
            <w:hideMark/>
          </w:tcPr>
          <w:p w14:paraId="411A4BB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C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C0"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C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c>
          <w:tcPr>
            <w:tcW w:w="5245" w:type="dxa"/>
            <w:hideMark/>
          </w:tcPr>
          <w:p w14:paraId="411A4BC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bl>
    <w:p w14:paraId="411A4BC4" w14:textId="77777777" w:rsidR="00B74B51" w:rsidRPr="00B74B51" w:rsidRDefault="00B74B51" w:rsidP="00B74B51">
      <w:pPr>
        <w:spacing w:before="120" w:after="120" w:line="280" w:lineRule="atLeast"/>
        <w:rPr>
          <w:rFonts w:eastAsia="Times New Roman" w:cs="Arial"/>
          <w:szCs w:val="22"/>
          <w:lang w:val="en-AU" w:eastAsia="en-US"/>
        </w:rPr>
      </w:pPr>
    </w:p>
    <w:p w14:paraId="411A4BC5" w14:textId="77777777" w:rsidR="00B74B51" w:rsidRPr="00FD3134" w:rsidRDefault="00B74B51" w:rsidP="00B74B51">
      <w:pPr>
        <w:keepNext/>
        <w:tabs>
          <w:tab w:val="left" w:pos="709"/>
        </w:tabs>
        <w:spacing w:before="360" w:after="120" w:line="240" w:lineRule="auto"/>
        <w:ind w:left="426" w:hanging="360"/>
        <w:outlineLvl w:val="2"/>
        <w:rPr>
          <w:rFonts w:eastAsia="Times New Roman" w:cs="Arial"/>
          <w:b/>
          <w:sz w:val="24"/>
          <w:szCs w:val="22"/>
          <w:lang w:val="en-AU" w:eastAsia="en-US"/>
        </w:rPr>
      </w:pPr>
      <w:bookmarkStart w:id="728" w:name="_Toc447030096"/>
      <w:bookmarkStart w:id="729" w:name="_Toc447036048"/>
      <w:bookmarkStart w:id="730" w:name="_Toc447036155"/>
      <w:bookmarkStart w:id="731" w:name="_Toc447036257"/>
      <w:bookmarkStart w:id="732" w:name="_Toc447056896"/>
      <w:bookmarkStart w:id="733" w:name="_Toc447198766"/>
      <w:bookmarkStart w:id="734" w:name="_Toc447225509"/>
      <w:bookmarkStart w:id="735" w:name="_Toc447447153"/>
      <w:bookmarkStart w:id="736" w:name="_Toc447448912"/>
      <w:bookmarkStart w:id="737" w:name="_Toc447450199"/>
      <w:bookmarkStart w:id="738" w:name="_Toc447450446"/>
      <w:r w:rsidRPr="00FD3134">
        <w:rPr>
          <w:rFonts w:eastAsia="Times New Roman" w:cs="Arial"/>
          <w:b/>
          <w:sz w:val="24"/>
          <w:szCs w:val="22"/>
          <w:lang w:val="en-AU" w:eastAsia="en-US"/>
        </w:rPr>
        <w:t>Apartments</w:t>
      </w:r>
      <w:bookmarkEnd w:id="728"/>
      <w:bookmarkEnd w:id="729"/>
      <w:bookmarkEnd w:id="730"/>
      <w:bookmarkEnd w:id="731"/>
      <w:bookmarkEnd w:id="732"/>
      <w:bookmarkEnd w:id="733"/>
      <w:bookmarkEnd w:id="734"/>
      <w:bookmarkEnd w:id="735"/>
      <w:bookmarkEnd w:id="736"/>
      <w:bookmarkEnd w:id="737"/>
      <w:bookmarkEnd w:id="738"/>
    </w:p>
    <w:p w14:paraId="411A4BC6" w14:textId="77777777" w:rsidR="00B74B51" w:rsidRPr="00B74B51" w:rsidRDefault="00B74B51" w:rsidP="00FD3134">
      <w:pPr>
        <w:pStyle w:val="BodyText1"/>
        <w:rPr>
          <w:lang w:val="en-AU"/>
        </w:rPr>
      </w:pPr>
      <w:r w:rsidRPr="00B74B51">
        <w:rPr>
          <w:lang w:val="en-AU"/>
        </w:rPr>
        <w:t>As apartments have a large amount of communal area (corridors, stairs, lifts etc.) it is necessary to develop further detail on the assumed nature of the development</w:t>
      </w:r>
      <w:r w:rsidRPr="00B74B51">
        <w:rPr>
          <w:vertAlign w:val="superscript"/>
          <w:lang w:val="en-AU"/>
        </w:rPr>
        <w:footnoteReference w:id="9"/>
      </w:r>
      <w:r w:rsidRPr="00B74B51">
        <w:rPr>
          <w:lang w:val="en-AU"/>
        </w:rPr>
        <w:t>.  Apartments are scoped as a 2 to 4 storey apartment block services provided on the roof.</w:t>
      </w:r>
    </w:p>
    <w:p w14:paraId="411A4BC7" w14:textId="77777777" w:rsidR="00B74B51" w:rsidRPr="00B74B51" w:rsidRDefault="00B74B51" w:rsidP="00FD3134">
      <w:pPr>
        <w:pStyle w:val="BodyText1"/>
        <w:rPr>
          <w:lang w:val="en-AU"/>
        </w:rPr>
      </w:pPr>
      <w:r w:rsidRPr="00B74B51">
        <w:rPr>
          <w:lang w:val="en-AU"/>
        </w:rPr>
        <w:t xml:space="preserve">The architects have developed a modular format that has 10 apartments per floor.  A concept design for a single floor is shown in </w:t>
      </w:r>
      <w:r w:rsidRPr="00B74B51">
        <w:rPr>
          <w:lang w:val="en-AU"/>
        </w:rPr>
        <w:fldChar w:fldCharType="begin"/>
      </w:r>
      <w:r w:rsidRPr="00B74B51">
        <w:rPr>
          <w:lang w:val="en-AU"/>
        </w:rPr>
        <w:instrText xml:space="preserve"> REF _Ref442860039 \h  \* MERGEFORMAT </w:instrText>
      </w:r>
      <w:r w:rsidRPr="00B74B51">
        <w:rPr>
          <w:lang w:val="en-AU"/>
        </w:rPr>
        <w:fldChar w:fldCharType="separate"/>
      </w:r>
      <w:r w:rsidR="00607084">
        <w:rPr>
          <w:b/>
          <w:bCs/>
        </w:rPr>
        <w:t>Error! Reference source not found.</w:t>
      </w:r>
      <w:r w:rsidRPr="00B74B51">
        <w:rPr>
          <w:lang w:val="en-AU"/>
        </w:rPr>
        <w:fldChar w:fldCharType="end"/>
      </w:r>
      <w:r w:rsidRPr="00B74B51">
        <w:rPr>
          <w:lang w:val="en-AU"/>
        </w:rPr>
        <w:t>.  This is illustrative only – but is useful for consideration of the external common on each floor.</w:t>
      </w:r>
    </w:p>
    <w:p w14:paraId="411A4BC8" w14:textId="77777777" w:rsidR="00B74B51" w:rsidRPr="00B74B51" w:rsidRDefault="00B74B51" w:rsidP="00B85F8A">
      <w:pPr>
        <w:spacing w:after="120" w:line="259" w:lineRule="auto"/>
        <w:ind w:left="1440"/>
        <w:outlineLvl w:val="3"/>
        <w:rPr>
          <w:rFonts w:eastAsia="Times New Roman" w:cs="Arial"/>
          <w:i/>
          <w:sz w:val="24"/>
          <w:szCs w:val="20"/>
          <w:lang w:eastAsia="en-US"/>
        </w:rPr>
      </w:pPr>
      <w:bookmarkStart w:id="739" w:name="_Toc447030097"/>
      <w:bookmarkStart w:id="740" w:name="_Toc447036049"/>
      <w:bookmarkStart w:id="741" w:name="_Toc447036156"/>
      <w:bookmarkStart w:id="742" w:name="_Toc447036258"/>
      <w:bookmarkStart w:id="743" w:name="_Toc447056897"/>
      <w:bookmarkEnd w:id="739"/>
      <w:bookmarkEnd w:id="740"/>
      <w:bookmarkEnd w:id="741"/>
      <w:bookmarkEnd w:id="742"/>
      <w:bookmarkEnd w:id="743"/>
    </w:p>
    <w:p w14:paraId="411A4BC9" w14:textId="77777777" w:rsidR="00B74B51" w:rsidRPr="00B74B51" w:rsidRDefault="00B74B51" w:rsidP="00B74B51">
      <w:pPr>
        <w:spacing w:after="160" w:line="259" w:lineRule="auto"/>
        <w:rPr>
          <w:rFonts w:ascii="Calibri" w:eastAsia="Calibri" w:hAnsi="Calibri" w:cs="Times New Roman"/>
          <w:szCs w:val="22"/>
          <w:lang w:eastAsia="en-US"/>
        </w:rPr>
      </w:pPr>
    </w:p>
    <w:p w14:paraId="411A4BCA" w14:textId="77777777" w:rsidR="00B74B51" w:rsidRPr="00B74B51" w:rsidRDefault="00B74B51" w:rsidP="00B74B51">
      <w:pPr>
        <w:spacing w:after="160" w:line="259" w:lineRule="auto"/>
        <w:rPr>
          <w:rFonts w:ascii="Calibri" w:eastAsia="Calibri" w:hAnsi="Calibri" w:cs="Times New Roman"/>
          <w:szCs w:val="22"/>
          <w:lang w:eastAsia="en-US"/>
        </w:rPr>
      </w:pPr>
    </w:p>
    <w:p w14:paraId="29864A13" w14:textId="77777777" w:rsidR="00FD3134" w:rsidRDefault="00FD3134" w:rsidP="00B74B51">
      <w:pPr>
        <w:tabs>
          <w:tab w:val="left" w:pos="6420"/>
        </w:tabs>
        <w:spacing w:after="160" w:line="259" w:lineRule="auto"/>
        <w:rPr>
          <w:rFonts w:ascii="Calibri" w:eastAsia="Calibri" w:hAnsi="Calibri" w:cs="Times New Roman"/>
          <w:szCs w:val="22"/>
          <w:lang w:eastAsia="en-US"/>
        </w:rPr>
      </w:pPr>
    </w:p>
    <w:p w14:paraId="1FD47D37" w14:textId="77777777" w:rsidR="00FD3134" w:rsidRDefault="00FD3134" w:rsidP="00B74B51">
      <w:pPr>
        <w:tabs>
          <w:tab w:val="left" w:pos="6420"/>
        </w:tabs>
        <w:spacing w:after="160" w:line="259" w:lineRule="auto"/>
        <w:rPr>
          <w:rFonts w:ascii="Calibri" w:eastAsia="Calibri" w:hAnsi="Calibri" w:cs="Times New Roman"/>
          <w:szCs w:val="22"/>
          <w:lang w:eastAsia="en-US"/>
        </w:rPr>
      </w:pPr>
    </w:p>
    <w:p w14:paraId="411A4BCB" w14:textId="77777777" w:rsidR="00B74B51" w:rsidRPr="00B74B51" w:rsidRDefault="00B74B51" w:rsidP="00B74B51">
      <w:pPr>
        <w:tabs>
          <w:tab w:val="left" w:pos="6420"/>
        </w:tabs>
        <w:spacing w:after="160" w:line="259" w:lineRule="auto"/>
        <w:rPr>
          <w:rFonts w:ascii="Calibri" w:eastAsia="Calibri" w:hAnsi="Calibri" w:cs="Times New Roman"/>
          <w:szCs w:val="22"/>
          <w:lang w:eastAsia="en-US"/>
        </w:rPr>
      </w:pPr>
      <w:r w:rsidRPr="00B74B51">
        <w:rPr>
          <w:rFonts w:ascii="Calibri" w:eastAsia="Calibri" w:hAnsi="Calibri" w:cs="Times New Roman"/>
          <w:szCs w:val="22"/>
          <w:lang w:eastAsia="en-US"/>
        </w:rPr>
        <w:tab/>
      </w:r>
    </w:p>
    <w:p w14:paraId="411A4BCC" w14:textId="76D0C32E" w:rsidR="00B74B51" w:rsidRPr="00FD3134" w:rsidRDefault="004117F9" w:rsidP="004117F9">
      <w:pPr>
        <w:pStyle w:val="Caption"/>
      </w:pPr>
      <w:r>
        <w:lastRenderedPageBreak/>
        <w:t xml:space="preserve">Figure </w:t>
      </w:r>
      <w:r>
        <w:fldChar w:fldCharType="begin"/>
      </w:r>
      <w:r>
        <w:instrText xml:space="preserve"> SEQ Figure \* ARABIC </w:instrText>
      </w:r>
      <w:r>
        <w:fldChar w:fldCharType="separate"/>
      </w:r>
      <w:r w:rsidR="00607084">
        <w:rPr>
          <w:noProof/>
        </w:rPr>
        <w:t>7</w:t>
      </w:r>
      <w:r>
        <w:fldChar w:fldCharType="end"/>
      </w:r>
      <w:r w:rsidR="00F76BC7">
        <w:t>:</w:t>
      </w:r>
      <w:r>
        <w:t xml:space="preserve"> </w:t>
      </w:r>
      <w:r w:rsidRPr="00CF62A4">
        <w:t>Plan of apartment showing external areas (shaded green)</w:t>
      </w:r>
    </w:p>
    <w:p w14:paraId="411A4BCD"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0" wp14:editId="411A4FB1">
            <wp:extent cx="6029959" cy="3962328"/>
            <wp:effectExtent l="19050" t="19050" r="952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artment-external area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29959" cy="3962328"/>
                    </a:xfrm>
                    <a:prstGeom prst="rect">
                      <a:avLst/>
                    </a:prstGeom>
                    <a:ln>
                      <a:solidFill>
                        <a:srgbClr val="4F81BD"/>
                      </a:solidFill>
                    </a:ln>
                  </pic:spPr>
                </pic:pic>
              </a:graphicData>
            </a:graphic>
          </wp:inline>
        </w:drawing>
      </w:r>
    </w:p>
    <w:p w14:paraId="411A4BCE" w14:textId="77777777" w:rsidR="00B74B51" w:rsidRPr="00B74B51" w:rsidRDefault="00B74B51" w:rsidP="00FD3134">
      <w:pPr>
        <w:pStyle w:val="BodyText1"/>
        <w:rPr>
          <w:lang w:val="en-AU"/>
        </w:rPr>
      </w:pPr>
      <w:r w:rsidRPr="00B74B51">
        <w:rPr>
          <w:lang w:val="en-AU"/>
        </w:rPr>
        <w:t>The common areas within the plan are as follows:</w:t>
      </w:r>
    </w:p>
    <w:p w14:paraId="411A4BCF" w14:textId="77777777" w:rsidR="00B74B51" w:rsidRPr="00B74B51" w:rsidRDefault="00B74B51" w:rsidP="00FD3134">
      <w:pPr>
        <w:pStyle w:val="BodyText1"/>
        <w:rPr>
          <w:lang w:val="en-AU"/>
        </w:rPr>
      </w:pPr>
      <w:r w:rsidRPr="00B74B51">
        <w:rPr>
          <w:lang w:val="en-AU"/>
        </w:rPr>
        <w:t>Corridor widths are 2.1 metres and corridor lengths are assumed to be 50 metres per 10-unit module</w:t>
      </w:r>
    </w:p>
    <w:p w14:paraId="411A4BD0" w14:textId="77777777" w:rsidR="00B74B51" w:rsidRPr="00B74B51" w:rsidRDefault="00B74B51" w:rsidP="00FD3134">
      <w:pPr>
        <w:pStyle w:val="BodyText1"/>
        <w:rPr>
          <w:lang w:val="en-AU"/>
        </w:rPr>
      </w:pPr>
      <w:r w:rsidRPr="00B74B51">
        <w:rPr>
          <w:lang w:val="en-AU"/>
        </w:rPr>
        <w:t xml:space="preserve">Lifts – 2 per 10-unit module </w:t>
      </w:r>
    </w:p>
    <w:p w14:paraId="411A4BD1" w14:textId="77777777" w:rsidR="00B74B51" w:rsidRPr="00B74B51" w:rsidRDefault="00B74B51" w:rsidP="00FD3134">
      <w:pPr>
        <w:pStyle w:val="BodyText1"/>
        <w:rPr>
          <w:lang w:val="en-AU"/>
        </w:rPr>
      </w:pPr>
      <w:r w:rsidRPr="00B74B51">
        <w:rPr>
          <w:lang w:val="en-AU"/>
        </w:rPr>
        <w:t>Stairs – 2 per 10-unit module</w:t>
      </w:r>
    </w:p>
    <w:p w14:paraId="411A4BD2" w14:textId="77777777" w:rsidR="00B74B51" w:rsidRPr="00B74B51" w:rsidRDefault="00B74B51" w:rsidP="00FD3134">
      <w:pPr>
        <w:pStyle w:val="BodyText1"/>
        <w:rPr>
          <w:lang w:val="en-AU"/>
        </w:rPr>
      </w:pPr>
      <w:r w:rsidRPr="00B74B51">
        <w:rPr>
          <w:lang w:val="en-AU"/>
        </w:rPr>
        <w:t>A four storey apartment module would have a total of 40 units.   We have nominally we have assumed that 8 units within a module would be SDA and 1 unit would be for support.</w:t>
      </w:r>
    </w:p>
    <w:p w14:paraId="411A4BD3" w14:textId="77777777" w:rsidR="00B74B51" w:rsidRPr="00B74B51" w:rsidRDefault="00B74B51" w:rsidP="00B74B51">
      <w:pPr>
        <w:spacing w:before="120" w:after="120" w:line="280" w:lineRule="atLeast"/>
        <w:rPr>
          <w:rFonts w:eastAsia="Times New Roman" w:cs="Arial"/>
          <w:szCs w:val="22"/>
          <w:lang w:val="en-AU" w:eastAsia="en-US"/>
        </w:rPr>
      </w:pPr>
    </w:p>
    <w:p w14:paraId="411A4BD4" w14:textId="77777777" w:rsidR="00B74B51" w:rsidRPr="00B74B51" w:rsidRDefault="00B74B51" w:rsidP="00B74B51">
      <w:pPr>
        <w:spacing w:after="160" w:line="259" w:lineRule="auto"/>
        <w:rPr>
          <w:rFonts w:eastAsia="Calibri" w:cs="Arial"/>
          <w:color w:val="0093D0"/>
          <w:sz w:val="32"/>
          <w:szCs w:val="22"/>
          <w:lang w:val="en-AU" w:eastAsia="en-US"/>
        </w:rPr>
      </w:pPr>
      <w:r w:rsidRPr="00B74B51">
        <w:rPr>
          <w:rFonts w:eastAsia="Calibri" w:cs="Arial"/>
          <w:szCs w:val="22"/>
          <w:lang w:val="en-AU" w:eastAsia="en-US"/>
        </w:rPr>
        <w:br w:type="page"/>
      </w:r>
    </w:p>
    <w:p w14:paraId="411A4BD5" w14:textId="77777777" w:rsidR="00B74B51" w:rsidRPr="00B74B51" w:rsidRDefault="00B74B51" w:rsidP="00B74B51">
      <w:pPr>
        <w:keepNext/>
        <w:keepLines/>
        <w:numPr>
          <w:ilvl w:val="1"/>
          <w:numId w:val="0"/>
        </w:numPr>
        <w:tabs>
          <w:tab w:val="left" w:pos="709"/>
        </w:tabs>
        <w:spacing w:before="360" w:after="240" w:line="240" w:lineRule="auto"/>
        <w:ind w:left="709" w:hanging="709"/>
        <w:outlineLvl w:val="1"/>
        <w:rPr>
          <w:rFonts w:eastAsia="Calibri" w:cs="Arial"/>
          <w:color w:val="0093D0"/>
          <w:sz w:val="32"/>
          <w:szCs w:val="22"/>
          <w:lang w:val="en-AU" w:eastAsia="en-US"/>
        </w:rPr>
        <w:sectPr w:rsidR="00B74B51" w:rsidRPr="00B74B51" w:rsidSect="00B74B51">
          <w:pgSz w:w="11906" w:h="16838" w:code="9"/>
          <w:pgMar w:top="1701" w:right="1134" w:bottom="1247" w:left="1276" w:header="680" w:footer="113" w:gutter="0"/>
          <w:cols w:space="708"/>
          <w:docGrid w:linePitch="360"/>
        </w:sectPr>
      </w:pPr>
    </w:p>
    <w:p w14:paraId="411A4BD6" w14:textId="77777777" w:rsidR="00B74B51" w:rsidRPr="00080CA5" w:rsidRDefault="00080CA5" w:rsidP="00B74B51">
      <w:pPr>
        <w:numPr>
          <w:ilvl w:val="1"/>
          <w:numId w:val="2"/>
        </w:numPr>
        <w:spacing w:after="160" w:line="259" w:lineRule="auto"/>
        <w:ind w:left="709" w:hanging="709"/>
        <w:outlineLvl w:val="2"/>
        <w:rPr>
          <w:rFonts w:eastAsia="Times New Roman" w:cs="Arial"/>
          <w:b/>
          <w:color w:val="6A2875"/>
          <w:sz w:val="30"/>
          <w:szCs w:val="30"/>
        </w:rPr>
      </w:pPr>
      <w:bookmarkStart w:id="744" w:name="_Toc447030098"/>
      <w:bookmarkStart w:id="745" w:name="_Toc447036050"/>
      <w:bookmarkStart w:id="746" w:name="_Toc447036157"/>
      <w:bookmarkStart w:id="747" w:name="_Toc447036259"/>
      <w:bookmarkStart w:id="748" w:name="_Toc447056898"/>
      <w:bookmarkStart w:id="749" w:name="_Toc447198767"/>
      <w:bookmarkStart w:id="750" w:name="_Toc447225510"/>
      <w:bookmarkStart w:id="751" w:name="_Toc447447154"/>
      <w:bookmarkStart w:id="752" w:name="_Toc447448913"/>
      <w:bookmarkStart w:id="753" w:name="_Toc447450200"/>
      <w:bookmarkStart w:id="754" w:name="_Toc447450447"/>
      <w:r>
        <w:rPr>
          <w:rFonts w:eastAsia="Times New Roman" w:cs="Arial"/>
          <w:b/>
          <w:color w:val="6A2875"/>
          <w:sz w:val="30"/>
          <w:szCs w:val="30"/>
        </w:rPr>
        <w:lastRenderedPageBreak/>
        <w:t>Construction cost</w:t>
      </w:r>
      <w:r w:rsidR="00B74B51" w:rsidRPr="00080CA5">
        <w:rPr>
          <w:rFonts w:eastAsia="Times New Roman" w:cs="Arial"/>
          <w:b/>
          <w:color w:val="6A2875"/>
          <w:sz w:val="30"/>
          <w:szCs w:val="30"/>
        </w:rPr>
        <w:t xml:space="preserve"> estimates</w:t>
      </w:r>
      <w:bookmarkEnd w:id="744"/>
      <w:bookmarkEnd w:id="745"/>
      <w:bookmarkEnd w:id="746"/>
      <w:bookmarkEnd w:id="747"/>
      <w:bookmarkEnd w:id="748"/>
      <w:bookmarkEnd w:id="749"/>
      <w:bookmarkEnd w:id="750"/>
      <w:bookmarkEnd w:id="751"/>
      <w:bookmarkEnd w:id="752"/>
      <w:bookmarkEnd w:id="753"/>
      <w:bookmarkEnd w:id="754"/>
    </w:p>
    <w:p w14:paraId="411A4BD8" w14:textId="4F2C114B" w:rsidR="00B74B51" w:rsidRDefault="00B74B51" w:rsidP="00F76BC7">
      <w:pPr>
        <w:pStyle w:val="BodyText1"/>
        <w:rPr>
          <w:lang w:val="en-AU"/>
        </w:rPr>
      </w:pPr>
      <w:r w:rsidRPr="0009478E">
        <w:rPr>
          <w:lang w:val="en-AU"/>
        </w:rPr>
        <w:t>Using all of the details set out above the total cost estimate for each of the benchmark properties was estimated by a Quantity Surveyor that specialises in disability accommodation.  These cost estimates for construction in Melbourne metropolitan area are set out in</w:t>
      </w:r>
      <w:r w:rsidR="00F76BC7">
        <w:rPr>
          <w:lang w:val="en-AU"/>
        </w:rPr>
        <w:t xml:space="preserve"> </w:t>
      </w:r>
      <w:r w:rsidR="00F76BC7">
        <w:rPr>
          <w:lang w:val="en-AU"/>
        </w:rPr>
        <w:fldChar w:fldCharType="begin"/>
      </w:r>
      <w:r w:rsidR="00F76BC7">
        <w:rPr>
          <w:lang w:val="en-AU"/>
        </w:rPr>
        <w:instrText xml:space="preserve"> REF _Ref447483929 \h </w:instrText>
      </w:r>
      <w:r w:rsidR="00F76BC7">
        <w:rPr>
          <w:lang w:val="en-AU"/>
        </w:rPr>
      </w:r>
      <w:r w:rsidR="00F76BC7">
        <w:rPr>
          <w:lang w:val="en-AU"/>
        </w:rPr>
        <w:fldChar w:fldCharType="separate"/>
      </w:r>
      <w:r w:rsidR="00607084">
        <w:t xml:space="preserve">Table </w:t>
      </w:r>
      <w:r w:rsidR="00607084">
        <w:rPr>
          <w:noProof/>
        </w:rPr>
        <w:t>15</w:t>
      </w:r>
      <w:r w:rsidR="00F76BC7">
        <w:rPr>
          <w:lang w:val="en-AU"/>
        </w:rPr>
        <w:fldChar w:fldCharType="end"/>
      </w:r>
      <w:r w:rsidR="00F76BC7">
        <w:rPr>
          <w:lang w:val="en-AU"/>
        </w:rPr>
        <w:t xml:space="preserve">. </w:t>
      </w:r>
      <w:r w:rsidRPr="0009478E">
        <w:rPr>
          <w:lang w:val="en-AU"/>
        </w:rPr>
        <w:t>Variations in construction cost based on locality are considered in detail in the following section.</w:t>
      </w:r>
    </w:p>
    <w:p w14:paraId="32B76C1B" w14:textId="7C5755B1" w:rsidR="00F76BC7" w:rsidRPr="00F76BC7" w:rsidRDefault="00F76BC7" w:rsidP="00F76BC7">
      <w:pPr>
        <w:pStyle w:val="Caption"/>
        <w:rPr>
          <w:lang w:val="en-AU"/>
        </w:rPr>
      </w:pPr>
      <w:bookmarkStart w:id="755" w:name="_Ref447483929"/>
      <w:bookmarkStart w:id="756" w:name="_Ref447483848"/>
      <w:r>
        <w:t xml:space="preserve">Table </w:t>
      </w:r>
      <w:r>
        <w:fldChar w:fldCharType="begin"/>
      </w:r>
      <w:r>
        <w:instrText xml:space="preserve"> SEQ Table \* ARABIC </w:instrText>
      </w:r>
      <w:r>
        <w:fldChar w:fldCharType="separate"/>
      </w:r>
      <w:r w:rsidR="00607084">
        <w:rPr>
          <w:noProof/>
        </w:rPr>
        <w:t>15</w:t>
      </w:r>
      <w:r>
        <w:fldChar w:fldCharType="end"/>
      </w:r>
      <w:bookmarkEnd w:id="755"/>
      <w:r>
        <w:t xml:space="preserve"> – </w:t>
      </w:r>
      <w:bookmarkEnd w:id="756"/>
      <w:r>
        <w:t>Location allowances for each capitalcity</w:t>
      </w:r>
    </w:p>
    <w:tbl>
      <w:tblPr>
        <w:tblW w:w="13516" w:type="dxa"/>
        <w:tblInd w:w="-2" w:type="dxa"/>
        <w:tblLook w:val="04A0" w:firstRow="1" w:lastRow="0" w:firstColumn="1" w:lastColumn="0" w:noHBand="0" w:noVBand="1"/>
      </w:tblPr>
      <w:tblGrid>
        <w:gridCol w:w="1306"/>
        <w:gridCol w:w="1183"/>
        <w:gridCol w:w="1083"/>
        <w:gridCol w:w="1077"/>
        <w:gridCol w:w="1077"/>
        <w:gridCol w:w="1077"/>
        <w:gridCol w:w="1077"/>
        <w:gridCol w:w="1106"/>
        <w:gridCol w:w="1106"/>
        <w:gridCol w:w="1106"/>
        <w:gridCol w:w="1159"/>
        <w:gridCol w:w="1159"/>
      </w:tblGrid>
      <w:tr w:rsidR="00B74B51" w:rsidRPr="00B74B51" w14:paraId="411A4BE0" w14:textId="77777777" w:rsidTr="00151244">
        <w:trPr>
          <w:trHeight w:val="420"/>
        </w:trPr>
        <w:tc>
          <w:tcPr>
            <w:tcW w:w="1306" w:type="dxa"/>
            <w:vMerge w:val="restart"/>
            <w:tcBorders>
              <w:top w:val="single" w:sz="8" w:space="0" w:color="0093D0"/>
              <w:left w:val="single" w:sz="8" w:space="0" w:color="0093D0"/>
              <w:bottom w:val="single" w:sz="8" w:space="0" w:color="0093D0"/>
              <w:right w:val="single" w:sz="8" w:space="0" w:color="0093D0"/>
            </w:tcBorders>
            <w:shd w:val="clear" w:color="auto" w:fill="7030A0"/>
            <w:noWrap/>
            <w:vAlign w:val="center"/>
            <w:hideMark/>
          </w:tcPr>
          <w:p w14:paraId="411A4BD9"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Dwelling type</w:t>
            </w:r>
          </w:p>
        </w:tc>
        <w:tc>
          <w:tcPr>
            <w:tcW w:w="1183" w:type="dxa"/>
            <w:vMerge w:val="restart"/>
            <w:tcBorders>
              <w:top w:val="single" w:sz="8" w:space="0" w:color="0093D0"/>
              <w:left w:val="single" w:sz="8" w:space="0" w:color="0093D0"/>
              <w:right w:val="single" w:sz="8" w:space="0" w:color="0093D0"/>
            </w:tcBorders>
            <w:shd w:val="clear" w:color="auto" w:fill="7030A0"/>
            <w:vAlign w:val="center"/>
            <w:hideMark/>
          </w:tcPr>
          <w:p w14:paraId="411A4BDA"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Number of bedrooms</w:t>
            </w:r>
          </w:p>
        </w:tc>
        <w:tc>
          <w:tcPr>
            <w:tcW w:w="1083" w:type="dxa"/>
            <w:vMerge w:val="restart"/>
            <w:tcBorders>
              <w:top w:val="single" w:sz="8" w:space="0" w:color="0093D0"/>
              <w:left w:val="single" w:sz="8" w:space="0" w:color="0093D0"/>
              <w:right w:val="single" w:sz="8" w:space="0" w:color="0093D0"/>
            </w:tcBorders>
            <w:shd w:val="clear" w:color="auto" w:fill="7030A0"/>
            <w:vAlign w:val="center"/>
            <w:hideMark/>
          </w:tcPr>
          <w:p w14:paraId="411A4BDB"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Standard</w:t>
            </w:r>
          </w:p>
        </w:tc>
        <w:tc>
          <w:tcPr>
            <w:tcW w:w="2154"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BDC"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Improved liveability</w:t>
            </w:r>
          </w:p>
        </w:tc>
        <w:tc>
          <w:tcPr>
            <w:tcW w:w="2154"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BDD"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Fully accessible</w:t>
            </w:r>
          </w:p>
        </w:tc>
        <w:tc>
          <w:tcPr>
            <w:tcW w:w="3318" w:type="dxa"/>
            <w:gridSpan w:val="3"/>
            <w:tcBorders>
              <w:top w:val="single" w:sz="8" w:space="0" w:color="0093D0"/>
              <w:left w:val="nil"/>
              <w:bottom w:val="single" w:sz="8" w:space="0" w:color="0093D0"/>
              <w:right w:val="single" w:sz="8" w:space="0" w:color="0093D0"/>
            </w:tcBorders>
            <w:shd w:val="clear" w:color="auto" w:fill="7030A0"/>
            <w:noWrap/>
            <w:vAlign w:val="center"/>
            <w:hideMark/>
          </w:tcPr>
          <w:p w14:paraId="411A4BDE"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Robust design</w:t>
            </w:r>
          </w:p>
        </w:tc>
        <w:tc>
          <w:tcPr>
            <w:tcW w:w="2318" w:type="dxa"/>
            <w:gridSpan w:val="2"/>
            <w:tcBorders>
              <w:top w:val="single" w:sz="8" w:space="0" w:color="0093D0"/>
              <w:left w:val="nil"/>
              <w:bottom w:val="single" w:sz="4" w:space="0" w:color="0093D0"/>
              <w:right w:val="single" w:sz="8" w:space="0" w:color="0093D0"/>
            </w:tcBorders>
            <w:shd w:val="clear" w:color="auto" w:fill="7030A0"/>
            <w:noWrap/>
            <w:vAlign w:val="center"/>
            <w:hideMark/>
          </w:tcPr>
          <w:p w14:paraId="411A4BDF"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High support</w:t>
            </w:r>
          </w:p>
        </w:tc>
      </w:tr>
      <w:tr w:rsidR="00B74B51" w:rsidRPr="00B74B51" w14:paraId="411A4BED" w14:textId="77777777" w:rsidTr="00151244">
        <w:trPr>
          <w:trHeight w:val="420"/>
        </w:trPr>
        <w:tc>
          <w:tcPr>
            <w:tcW w:w="1306" w:type="dxa"/>
            <w:vMerge/>
            <w:tcBorders>
              <w:top w:val="single" w:sz="8" w:space="0" w:color="0093D0"/>
              <w:left w:val="single" w:sz="8" w:space="0" w:color="0093D0"/>
              <w:bottom w:val="single" w:sz="8" w:space="0" w:color="0093D0"/>
              <w:right w:val="single" w:sz="8" w:space="0" w:color="0093D0"/>
            </w:tcBorders>
            <w:shd w:val="clear" w:color="auto" w:fill="7030A0"/>
            <w:vAlign w:val="center"/>
            <w:hideMark/>
          </w:tcPr>
          <w:p w14:paraId="411A4BE1"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83" w:type="dxa"/>
            <w:vMerge/>
            <w:tcBorders>
              <w:left w:val="single" w:sz="8" w:space="0" w:color="0093D0"/>
              <w:bottom w:val="single" w:sz="8" w:space="0" w:color="0093D0"/>
              <w:right w:val="single" w:sz="8" w:space="0" w:color="0093D0"/>
            </w:tcBorders>
            <w:shd w:val="clear" w:color="auto" w:fill="7030A0"/>
            <w:vAlign w:val="center"/>
            <w:hideMark/>
          </w:tcPr>
          <w:p w14:paraId="411A4BE2"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083" w:type="dxa"/>
            <w:vMerge/>
            <w:tcBorders>
              <w:left w:val="single" w:sz="8" w:space="0" w:color="0093D0"/>
              <w:bottom w:val="single" w:sz="8" w:space="0" w:color="0093D0"/>
              <w:right w:val="single" w:sz="8" w:space="0" w:color="0093D0"/>
            </w:tcBorders>
            <w:shd w:val="clear" w:color="auto" w:fill="7030A0"/>
            <w:vAlign w:val="center"/>
            <w:hideMark/>
          </w:tcPr>
          <w:p w14:paraId="411A4BE3"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077" w:type="dxa"/>
            <w:tcBorders>
              <w:top w:val="nil"/>
              <w:left w:val="nil"/>
              <w:bottom w:val="single" w:sz="8" w:space="0" w:color="0093D0"/>
              <w:right w:val="single" w:sz="8" w:space="0" w:color="0093D0"/>
            </w:tcBorders>
            <w:shd w:val="clear" w:color="auto" w:fill="7030A0"/>
            <w:noWrap/>
            <w:vAlign w:val="center"/>
            <w:hideMark/>
          </w:tcPr>
          <w:p w14:paraId="411A4BE4"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5"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6"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7"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8"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9"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A"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+1 Room</w:t>
            </w:r>
          </w:p>
        </w:tc>
        <w:tc>
          <w:tcPr>
            <w:tcW w:w="1159" w:type="dxa"/>
            <w:tcBorders>
              <w:top w:val="single" w:sz="4" w:space="0" w:color="0093D0"/>
              <w:left w:val="nil"/>
              <w:bottom w:val="single" w:sz="8" w:space="0" w:color="0093D0"/>
              <w:right w:val="single" w:sz="8" w:space="0" w:color="0093D0"/>
            </w:tcBorders>
            <w:shd w:val="clear" w:color="auto" w:fill="7030A0"/>
            <w:noWrap/>
            <w:vAlign w:val="center"/>
            <w:hideMark/>
          </w:tcPr>
          <w:p w14:paraId="411A4BEB"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9" w:type="dxa"/>
            <w:tcBorders>
              <w:top w:val="single" w:sz="4" w:space="0" w:color="0093D0"/>
              <w:left w:val="nil"/>
              <w:bottom w:val="single" w:sz="8" w:space="0" w:color="0093D0"/>
              <w:right w:val="single" w:sz="8" w:space="0" w:color="0093D0"/>
            </w:tcBorders>
            <w:shd w:val="clear" w:color="auto" w:fill="7030A0"/>
            <w:vAlign w:val="center"/>
          </w:tcPr>
          <w:p w14:paraId="411A4BEC"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r>
      <w:tr w:rsidR="00151244" w:rsidRPr="00B74B51" w14:paraId="411A4BFA" w14:textId="77777777" w:rsidTr="00151244">
        <w:trPr>
          <w:trHeight w:val="315"/>
        </w:trPr>
        <w:tc>
          <w:tcPr>
            <w:tcW w:w="1306"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BEE"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Apartment</w:t>
            </w:r>
          </w:p>
        </w:tc>
        <w:tc>
          <w:tcPr>
            <w:tcW w:w="1183" w:type="dxa"/>
            <w:tcBorders>
              <w:top w:val="nil"/>
              <w:left w:val="nil"/>
              <w:bottom w:val="single" w:sz="8" w:space="0" w:color="0093D0"/>
              <w:right w:val="nil"/>
            </w:tcBorders>
            <w:shd w:val="clear" w:color="auto" w:fill="D5B8EA"/>
            <w:vAlign w:val="center"/>
            <w:hideMark/>
          </w:tcPr>
          <w:p w14:paraId="411A4BEF"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BF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384,900</w:t>
            </w:r>
          </w:p>
        </w:tc>
        <w:tc>
          <w:tcPr>
            <w:tcW w:w="1077" w:type="dxa"/>
            <w:tcBorders>
              <w:top w:val="nil"/>
              <w:left w:val="nil"/>
              <w:bottom w:val="single" w:sz="8" w:space="0" w:color="0093D0"/>
              <w:right w:val="single" w:sz="8" w:space="0" w:color="0093D0"/>
            </w:tcBorders>
            <w:shd w:val="clear" w:color="000000" w:fill="FFFFFF"/>
            <w:vAlign w:val="bottom"/>
            <w:hideMark/>
          </w:tcPr>
          <w:p w14:paraId="411A4BF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391,250</w:t>
            </w:r>
          </w:p>
        </w:tc>
        <w:tc>
          <w:tcPr>
            <w:tcW w:w="1077" w:type="dxa"/>
            <w:tcBorders>
              <w:top w:val="nil"/>
              <w:left w:val="nil"/>
              <w:bottom w:val="single" w:sz="8" w:space="0" w:color="0093D0"/>
              <w:right w:val="single" w:sz="8" w:space="0" w:color="0093D0"/>
            </w:tcBorders>
            <w:shd w:val="clear" w:color="000000" w:fill="FFFFFF"/>
            <w:vAlign w:val="bottom"/>
            <w:hideMark/>
          </w:tcPr>
          <w:p w14:paraId="411A4BF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077" w:type="dxa"/>
            <w:tcBorders>
              <w:top w:val="nil"/>
              <w:left w:val="nil"/>
              <w:bottom w:val="single" w:sz="8" w:space="0" w:color="0093D0"/>
              <w:right w:val="single" w:sz="8" w:space="0" w:color="0093D0"/>
            </w:tcBorders>
            <w:shd w:val="clear" w:color="000000" w:fill="FFFFFF"/>
            <w:vAlign w:val="bottom"/>
            <w:hideMark/>
          </w:tcPr>
          <w:p w14:paraId="411A4BF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526,900</w:t>
            </w:r>
          </w:p>
        </w:tc>
        <w:tc>
          <w:tcPr>
            <w:tcW w:w="1077" w:type="dxa"/>
            <w:tcBorders>
              <w:top w:val="nil"/>
              <w:left w:val="nil"/>
              <w:bottom w:val="single" w:sz="8" w:space="0" w:color="0093D0"/>
              <w:right w:val="single" w:sz="8" w:space="0" w:color="0093D0"/>
            </w:tcBorders>
            <w:shd w:val="clear" w:color="000000" w:fill="FFFFFF"/>
            <w:vAlign w:val="bottom"/>
            <w:hideMark/>
          </w:tcPr>
          <w:p w14:paraId="411A4BF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59" w:type="dxa"/>
            <w:tcBorders>
              <w:top w:val="nil"/>
              <w:left w:val="nil"/>
              <w:bottom w:val="single" w:sz="8" w:space="0" w:color="0093D0"/>
              <w:right w:val="single" w:sz="8" w:space="0" w:color="0093D0"/>
            </w:tcBorders>
            <w:shd w:val="clear" w:color="000000" w:fill="FFFFFF"/>
            <w:vAlign w:val="bottom"/>
            <w:hideMark/>
          </w:tcPr>
          <w:p w14:paraId="411A4BF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785,300</w:t>
            </w:r>
          </w:p>
        </w:tc>
        <w:tc>
          <w:tcPr>
            <w:tcW w:w="1159" w:type="dxa"/>
            <w:tcBorders>
              <w:top w:val="nil"/>
              <w:left w:val="nil"/>
              <w:bottom w:val="single" w:sz="8" w:space="0" w:color="0093D0"/>
              <w:right w:val="single" w:sz="8" w:space="0" w:color="0093D0"/>
            </w:tcBorders>
            <w:shd w:val="clear" w:color="000000" w:fill="FFFFFF"/>
            <w:vAlign w:val="bottom"/>
          </w:tcPr>
          <w:p w14:paraId="411A4BF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r>
      <w:tr w:rsidR="00151244" w:rsidRPr="00B74B51" w14:paraId="411A4C07"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BFB"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BFC"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BF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487,900</w:t>
            </w:r>
          </w:p>
        </w:tc>
        <w:tc>
          <w:tcPr>
            <w:tcW w:w="1077" w:type="dxa"/>
            <w:tcBorders>
              <w:top w:val="nil"/>
              <w:left w:val="nil"/>
              <w:bottom w:val="single" w:sz="8" w:space="0" w:color="0093D0"/>
              <w:right w:val="single" w:sz="8" w:space="0" w:color="0093D0"/>
            </w:tcBorders>
            <w:shd w:val="clear" w:color="000000" w:fill="FFFFFF"/>
            <w:vAlign w:val="bottom"/>
            <w:hideMark/>
          </w:tcPr>
          <w:p w14:paraId="411A4BF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495,700</w:t>
            </w:r>
          </w:p>
        </w:tc>
        <w:tc>
          <w:tcPr>
            <w:tcW w:w="1077" w:type="dxa"/>
            <w:tcBorders>
              <w:top w:val="nil"/>
              <w:left w:val="nil"/>
              <w:bottom w:val="single" w:sz="8" w:space="0" w:color="0093D0"/>
              <w:right w:val="single" w:sz="8" w:space="0" w:color="0093D0"/>
            </w:tcBorders>
            <w:shd w:val="clear" w:color="000000" w:fill="FFFFFF"/>
            <w:vAlign w:val="bottom"/>
            <w:hideMark/>
          </w:tcPr>
          <w:p w14:paraId="411A4BF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077" w:type="dxa"/>
            <w:tcBorders>
              <w:top w:val="nil"/>
              <w:left w:val="nil"/>
              <w:bottom w:val="single" w:sz="8" w:space="0" w:color="0093D0"/>
              <w:right w:val="single" w:sz="8" w:space="0" w:color="0093D0"/>
            </w:tcBorders>
            <w:shd w:val="clear" w:color="000000" w:fill="FFFFFF"/>
            <w:vAlign w:val="bottom"/>
            <w:hideMark/>
          </w:tcPr>
          <w:p w14:paraId="411A4C0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632,800</w:t>
            </w:r>
          </w:p>
        </w:tc>
        <w:tc>
          <w:tcPr>
            <w:tcW w:w="1077" w:type="dxa"/>
            <w:tcBorders>
              <w:top w:val="nil"/>
              <w:left w:val="nil"/>
              <w:bottom w:val="single" w:sz="8" w:space="0" w:color="0093D0"/>
              <w:right w:val="single" w:sz="8" w:space="0" w:color="0093D0"/>
            </w:tcBorders>
            <w:shd w:val="clear" w:color="000000" w:fill="FFFFFF"/>
            <w:vAlign w:val="bottom"/>
            <w:hideMark/>
          </w:tcPr>
          <w:p w14:paraId="411A4C0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59" w:type="dxa"/>
            <w:tcBorders>
              <w:top w:val="nil"/>
              <w:left w:val="nil"/>
              <w:bottom w:val="single" w:sz="8" w:space="0" w:color="0093D0"/>
              <w:right w:val="single" w:sz="8" w:space="0" w:color="0093D0"/>
            </w:tcBorders>
            <w:shd w:val="clear" w:color="000000" w:fill="FFFFFF"/>
            <w:vAlign w:val="bottom"/>
            <w:hideMark/>
          </w:tcPr>
          <w:p w14:paraId="411A4C0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973,300</w:t>
            </w:r>
          </w:p>
        </w:tc>
        <w:tc>
          <w:tcPr>
            <w:tcW w:w="1159" w:type="dxa"/>
            <w:tcBorders>
              <w:top w:val="nil"/>
              <w:left w:val="nil"/>
              <w:bottom w:val="single" w:sz="8" w:space="0" w:color="0093D0"/>
              <w:right w:val="single" w:sz="8" w:space="0" w:color="0093D0"/>
            </w:tcBorders>
            <w:shd w:val="clear" w:color="000000" w:fill="FFFFFF"/>
            <w:vAlign w:val="bottom"/>
          </w:tcPr>
          <w:p w14:paraId="411A4C0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r>
      <w:tr w:rsidR="00151244" w:rsidRPr="00B74B51" w14:paraId="411A4C14" w14:textId="77777777" w:rsidTr="00151244">
        <w:trPr>
          <w:trHeight w:val="315"/>
        </w:trPr>
        <w:tc>
          <w:tcPr>
            <w:tcW w:w="1306"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C08"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Villa/ Townhouse/ Duplex</w:t>
            </w:r>
          </w:p>
        </w:tc>
        <w:tc>
          <w:tcPr>
            <w:tcW w:w="1183" w:type="dxa"/>
            <w:tcBorders>
              <w:top w:val="nil"/>
              <w:left w:val="nil"/>
              <w:bottom w:val="single" w:sz="8" w:space="0" w:color="0093D0"/>
              <w:right w:val="single" w:sz="8" w:space="0" w:color="0093D0"/>
            </w:tcBorders>
            <w:shd w:val="clear" w:color="auto" w:fill="D5B8EA"/>
            <w:vAlign w:val="center"/>
            <w:hideMark/>
          </w:tcPr>
          <w:p w14:paraId="411A4C09"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083" w:type="dxa"/>
            <w:tcBorders>
              <w:top w:val="nil"/>
              <w:left w:val="nil"/>
              <w:bottom w:val="single" w:sz="8" w:space="0" w:color="0093D0"/>
              <w:right w:val="single" w:sz="8" w:space="0" w:color="0093D0"/>
            </w:tcBorders>
            <w:shd w:val="clear" w:color="000000" w:fill="FFFFFF"/>
            <w:vAlign w:val="bottom"/>
            <w:hideMark/>
          </w:tcPr>
          <w:p w14:paraId="411A4C0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251,700</w:t>
            </w:r>
          </w:p>
        </w:tc>
        <w:tc>
          <w:tcPr>
            <w:tcW w:w="1077" w:type="dxa"/>
            <w:tcBorders>
              <w:top w:val="nil"/>
              <w:left w:val="nil"/>
              <w:bottom w:val="single" w:sz="8" w:space="0" w:color="0093D0"/>
              <w:right w:val="single" w:sz="8" w:space="0" w:color="0093D0"/>
            </w:tcBorders>
            <w:shd w:val="clear" w:color="000000" w:fill="FFFFFF"/>
            <w:vAlign w:val="bottom"/>
            <w:hideMark/>
          </w:tcPr>
          <w:p w14:paraId="411A4C0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255,900</w:t>
            </w:r>
          </w:p>
        </w:tc>
        <w:tc>
          <w:tcPr>
            <w:tcW w:w="1077" w:type="dxa"/>
            <w:tcBorders>
              <w:top w:val="nil"/>
              <w:left w:val="nil"/>
              <w:bottom w:val="single" w:sz="8" w:space="0" w:color="0093D0"/>
              <w:right w:val="single" w:sz="8" w:space="0" w:color="0093D0"/>
            </w:tcBorders>
            <w:shd w:val="clear" w:color="000000" w:fill="FFFFFF"/>
            <w:vAlign w:val="bottom"/>
            <w:hideMark/>
          </w:tcPr>
          <w:p w14:paraId="411A4C0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286,243</w:t>
            </w:r>
          </w:p>
        </w:tc>
        <w:tc>
          <w:tcPr>
            <w:tcW w:w="1077" w:type="dxa"/>
            <w:tcBorders>
              <w:top w:val="nil"/>
              <w:left w:val="nil"/>
              <w:bottom w:val="single" w:sz="8" w:space="0" w:color="0093D0"/>
              <w:right w:val="single" w:sz="8" w:space="0" w:color="0093D0"/>
            </w:tcBorders>
            <w:shd w:val="clear" w:color="000000" w:fill="FFFFFF"/>
            <w:vAlign w:val="bottom"/>
            <w:hideMark/>
          </w:tcPr>
          <w:p w14:paraId="411A4C0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326,600</w:t>
            </w:r>
          </w:p>
        </w:tc>
        <w:tc>
          <w:tcPr>
            <w:tcW w:w="1077" w:type="dxa"/>
            <w:tcBorders>
              <w:top w:val="nil"/>
              <w:left w:val="nil"/>
              <w:bottom w:val="single" w:sz="8" w:space="0" w:color="0093D0"/>
              <w:right w:val="single" w:sz="8" w:space="0" w:color="0093D0"/>
            </w:tcBorders>
            <w:shd w:val="clear" w:color="000000" w:fill="FFFFFF"/>
            <w:vAlign w:val="bottom"/>
            <w:hideMark/>
          </w:tcPr>
          <w:p w14:paraId="411A4C0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358,400</w:t>
            </w:r>
          </w:p>
        </w:tc>
        <w:tc>
          <w:tcPr>
            <w:tcW w:w="1106" w:type="dxa"/>
            <w:tcBorders>
              <w:top w:val="nil"/>
              <w:left w:val="nil"/>
              <w:bottom w:val="single" w:sz="8" w:space="0" w:color="0093D0"/>
              <w:right w:val="single" w:sz="8" w:space="0" w:color="0093D0"/>
            </w:tcBorders>
            <w:shd w:val="clear" w:color="000000" w:fill="FFFFFF"/>
            <w:vAlign w:val="bottom"/>
            <w:hideMark/>
          </w:tcPr>
          <w:p w14:paraId="411A4C0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399,900</w:t>
            </w:r>
          </w:p>
        </w:tc>
        <w:tc>
          <w:tcPr>
            <w:tcW w:w="1106" w:type="dxa"/>
            <w:tcBorders>
              <w:top w:val="nil"/>
              <w:left w:val="nil"/>
              <w:bottom w:val="single" w:sz="8" w:space="0" w:color="0093D0"/>
              <w:right w:val="single" w:sz="8" w:space="0" w:color="0093D0"/>
            </w:tcBorders>
            <w:shd w:val="clear" w:color="000000" w:fill="FFFFFF"/>
            <w:vAlign w:val="bottom"/>
            <w:hideMark/>
          </w:tcPr>
          <w:p w14:paraId="411A4C1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439,300</w:t>
            </w:r>
          </w:p>
        </w:tc>
        <w:tc>
          <w:tcPr>
            <w:tcW w:w="1106" w:type="dxa"/>
            <w:tcBorders>
              <w:top w:val="nil"/>
              <w:left w:val="nil"/>
              <w:bottom w:val="single" w:sz="8" w:space="0" w:color="0093D0"/>
              <w:right w:val="single" w:sz="8" w:space="0" w:color="0093D0"/>
            </w:tcBorders>
            <w:shd w:val="clear" w:color="000000" w:fill="FFFFFF"/>
            <w:vAlign w:val="bottom"/>
            <w:hideMark/>
          </w:tcPr>
          <w:p w14:paraId="411A4C1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474,500</w:t>
            </w:r>
          </w:p>
        </w:tc>
        <w:tc>
          <w:tcPr>
            <w:tcW w:w="1159" w:type="dxa"/>
            <w:tcBorders>
              <w:top w:val="nil"/>
              <w:left w:val="nil"/>
              <w:bottom w:val="single" w:sz="8" w:space="0" w:color="0093D0"/>
              <w:right w:val="single" w:sz="8" w:space="0" w:color="0093D0"/>
            </w:tcBorders>
            <w:shd w:val="clear" w:color="000000" w:fill="FFFFFF"/>
            <w:vAlign w:val="bottom"/>
            <w:hideMark/>
          </w:tcPr>
          <w:p w14:paraId="411A4C1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508,900</w:t>
            </w:r>
          </w:p>
        </w:tc>
        <w:tc>
          <w:tcPr>
            <w:tcW w:w="1159" w:type="dxa"/>
            <w:tcBorders>
              <w:top w:val="nil"/>
              <w:left w:val="nil"/>
              <w:bottom w:val="single" w:sz="8" w:space="0" w:color="0093D0"/>
              <w:right w:val="single" w:sz="8" w:space="0" w:color="0093D0"/>
            </w:tcBorders>
            <w:shd w:val="clear" w:color="000000" w:fill="FFFFFF"/>
            <w:vAlign w:val="bottom"/>
          </w:tcPr>
          <w:p w14:paraId="411A4C1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550,300</w:t>
            </w:r>
          </w:p>
        </w:tc>
      </w:tr>
      <w:tr w:rsidR="00151244" w:rsidRPr="00B74B51" w14:paraId="411A4C21"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C15"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single" w:sz="8" w:space="0" w:color="0093D0"/>
            </w:tcBorders>
            <w:shd w:val="clear" w:color="auto" w:fill="D5B8EA"/>
            <w:vAlign w:val="center"/>
            <w:hideMark/>
          </w:tcPr>
          <w:p w14:paraId="411A4C16"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083" w:type="dxa"/>
            <w:tcBorders>
              <w:top w:val="nil"/>
              <w:left w:val="nil"/>
              <w:bottom w:val="single" w:sz="8" w:space="0" w:color="0093D0"/>
              <w:right w:val="single" w:sz="8" w:space="0" w:color="0093D0"/>
            </w:tcBorders>
            <w:shd w:val="clear" w:color="000000" w:fill="FFFFFF"/>
            <w:vAlign w:val="bottom"/>
            <w:hideMark/>
          </w:tcPr>
          <w:p w14:paraId="411A4C1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315,700</w:t>
            </w:r>
          </w:p>
        </w:tc>
        <w:tc>
          <w:tcPr>
            <w:tcW w:w="1077" w:type="dxa"/>
            <w:tcBorders>
              <w:top w:val="nil"/>
              <w:left w:val="nil"/>
              <w:bottom w:val="single" w:sz="8" w:space="0" w:color="0093D0"/>
              <w:right w:val="single" w:sz="8" w:space="0" w:color="0093D0"/>
            </w:tcBorders>
            <w:shd w:val="clear" w:color="000000" w:fill="FFFFFF"/>
            <w:vAlign w:val="bottom"/>
            <w:hideMark/>
          </w:tcPr>
          <w:p w14:paraId="411A4C1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321,700</w:t>
            </w:r>
          </w:p>
        </w:tc>
        <w:tc>
          <w:tcPr>
            <w:tcW w:w="1077" w:type="dxa"/>
            <w:tcBorders>
              <w:top w:val="nil"/>
              <w:left w:val="nil"/>
              <w:bottom w:val="single" w:sz="8" w:space="0" w:color="0093D0"/>
              <w:right w:val="single" w:sz="8" w:space="0" w:color="0093D0"/>
            </w:tcBorders>
            <w:shd w:val="clear" w:color="000000" w:fill="FFFFFF"/>
            <w:vAlign w:val="bottom"/>
            <w:hideMark/>
          </w:tcPr>
          <w:p w14:paraId="411A4C1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350,400</w:t>
            </w:r>
          </w:p>
        </w:tc>
        <w:tc>
          <w:tcPr>
            <w:tcW w:w="1077" w:type="dxa"/>
            <w:tcBorders>
              <w:top w:val="nil"/>
              <w:left w:val="nil"/>
              <w:bottom w:val="single" w:sz="8" w:space="0" w:color="0093D0"/>
              <w:right w:val="single" w:sz="8" w:space="0" w:color="0093D0"/>
            </w:tcBorders>
            <w:shd w:val="clear" w:color="000000" w:fill="FFFFFF"/>
            <w:vAlign w:val="bottom"/>
            <w:hideMark/>
          </w:tcPr>
          <w:p w14:paraId="411A4C1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412,100</w:t>
            </w:r>
          </w:p>
        </w:tc>
        <w:tc>
          <w:tcPr>
            <w:tcW w:w="1077" w:type="dxa"/>
            <w:tcBorders>
              <w:top w:val="nil"/>
              <w:left w:val="nil"/>
              <w:bottom w:val="single" w:sz="8" w:space="0" w:color="0093D0"/>
              <w:right w:val="single" w:sz="8" w:space="0" w:color="0093D0"/>
            </w:tcBorders>
            <w:shd w:val="clear" w:color="000000" w:fill="FFFFFF"/>
            <w:vAlign w:val="bottom"/>
            <w:hideMark/>
          </w:tcPr>
          <w:p w14:paraId="411A4C1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442,400</w:t>
            </w:r>
          </w:p>
        </w:tc>
        <w:tc>
          <w:tcPr>
            <w:tcW w:w="1106" w:type="dxa"/>
            <w:tcBorders>
              <w:top w:val="nil"/>
              <w:left w:val="nil"/>
              <w:bottom w:val="single" w:sz="8" w:space="0" w:color="0093D0"/>
              <w:right w:val="single" w:sz="8" w:space="0" w:color="0093D0"/>
            </w:tcBorders>
            <w:shd w:val="clear" w:color="000000" w:fill="FFFFFF"/>
            <w:vAlign w:val="bottom"/>
            <w:hideMark/>
          </w:tcPr>
          <w:p w14:paraId="411A4C1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506,200</w:t>
            </w:r>
          </w:p>
        </w:tc>
        <w:tc>
          <w:tcPr>
            <w:tcW w:w="1106" w:type="dxa"/>
            <w:tcBorders>
              <w:top w:val="nil"/>
              <w:left w:val="nil"/>
              <w:bottom w:val="single" w:sz="8" w:space="0" w:color="0093D0"/>
              <w:right w:val="single" w:sz="8" w:space="0" w:color="0093D0"/>
            </w:tcBorders>
            <w:shd w:val="clear" w:color="000000" w:fill="FFFFFF"/>
            <w:vAlign w:val="bottom"/>
            <w:hideMark/>
          </w:tcPr>
          <w:p w14:paraId="411A4C1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543,400</w:t>
            </w:r>
          </w:p>
        </w:tc>
        <w:tc>
          <w:tcPr>
            <w:tcW w:w="1106" w:type="dxa"/>
            <w:tcBorders>
              <w:top w:val="nil"/>
              <w:left w:val="nil"/>
              <w:bottom w:val="single" w:sz="8" w:space="0" w:color="0093D0"/>
              <w:right w:val="single" w:sz="8" w:space="0" w:color="0093D0"/>
            </w:tcBorders>
            <w:shd w:val="clear" w:color="000000" w:fill="FFFFFF"/>
            <w:vAlign w:val="bottom"/>
            <w:hideMark/>
          </w:tcPr>
          <w:p w14:paraId="411A4C1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576,700</w:t>
            </w:r>
          </w:p>
        </w:tc>
        <w:tc>
          <w:tcPr>
            <w:tcW w:w="1159" w:type="dxa"/>
            <w:tcBorders>
              <w:top w:val="nil"/>
              <w:left w:val="nil"/>
              <w:bottom w:val="single" w:sz="8" w:space="0" w:color="0093D0"/>
              <w:right w:val="single" w:sz="8" w:space="0" w:color="0093D0"/>
            </w:tcBorders>
            <w:shd w:val="clear" w:color="000000" w:fill="FFFFFF"/>
            <w:vAlign w:val="bottom"/>
            <w:hideMark/>
          </w:tcPr>
          <w:p w14:paraId="411A4C1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651,700</w:t>
            </w:r>
          </w:p>
        </w:tc>
        <w:tc>
          <w:tcPr>
            <w:tcW w:w="1159" w:type="dxa"/>
            <w:tcBorders>
              <w:top w:val="nil"/>
              <w:left w:val="nil"/>
              <w:bottom w:val="single" w:sz="8" w:space="0" w:color="0093D0"/>
              <w:right w:val="single" w:sz="8" w:space="0" w:color="0093D0"/>
            </w:tcBorders>
            <w:shd w:val="clear" w:color="000000" w:fill="FFFFFF"/>
            <w:vAlign w:val="bottom"/>
          </w:tcPr>
          <w:p w14:paraId="411A4C2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690,700</w:t>
            </w:r>
          </w:p>
        </w:tc>
      </w:tr>
      <w:tr w:rsidR="00151244" w:rsidRPr="00B74B51" w14:paraId="411A4C2E"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C22"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C23"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2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410,400</w:t>
            </w:r>
          </w:p>
        </w:tc>
        <w:tc>
          <w:tcPr>
            <w:tcW w:w="1077" w:type="dxa"/>
            <w:tcBorders>
              <w:top w:val="nil"/>
              <w:left w:val="nil"/>
              <w:bottom w:val="single" w:sz="8" w:space="0" w:color="0093D0"/>
              <w:right w:val="single" w:sz="8" w:space="0" w:color="0093D0"/>
            </w:tcBorders>
            <w:shd w:val="clear" w:color="000000" w:fill="FFFFFF"/>
            <w:vAlign w:val="bottom"/>
            <w:hideMark/>
          </w:tcPr>
          <w:p w14:paraId="411A4C2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417,400</w:t>
            </w:r>
          </w:p>
        </w:tc>
        <w:tc>
          <w:tcPr>
            <w:tcW w:w="1077" w:type="dxa"/>
            <w:tcBorders>
              <w:top w:val="nil"/>
              <w:left w:val="nil"/>
              <w:bottom w:val="single" w:sz="8" w:space="0" w:color="0093D0"/>
              <w:right w:val="single" w:sz="8" w:space="0" w:color="0093D0"/>
            </w:tcBorders>
            <w:shd w:val="clear" w:color="000000" w:fill="FFFFFF"/>
            <w:vAlign w:val="bottom"/>
            <w:hideMark/>
          </w:tcPr>
          <w:p w14:paraId="411A4C2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442,200</w:t>
            </w:r>
          </w:p>
        </w:tc>
        <w:tc>
          <w:tcPr>
            <w:tcW w:w="1077" w:type="dxa"/>
            <w:tcBorders>
              <w:top w:val="nil"/>
              <w:left w:val="nil"/>
              <w:bottom w:val="single" w:sz="8" w:space="0" w:color="0093D0"/>
              <w:right w:val="single" w:sz="8" w:space="0" w:color="0093D0"/>
            </w:tcBorders>
            <w:shd w:val="clear" w:color="000000" w:fill="FFFFFF"/>
            <w:vAlign w:val="bottom"/>
            <w:hideMark/>
          </w:tcPr>
          <w:p w14:paraId="411A4C2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529,500</w:t>
            </w:r>
          </w:p>
        </w:tc>
        <w:tc>
          <w:tcPr>
            <w:tcW w:w="1077" w:type="dxa"/>
            <w:tcBorders>
              <w:top w:val="nil"/>
              <w:left w:val="nil"/>
              <w:bottom w:val="single" w:sz="8" w:space="0" w:color="0093D0"/>
              <w:right w:val="single" w:sz="8" w:space="0" w:color="0093D0"/>
            </w:tcBorders>
            <w:shd w:val="clear" w:color="000000" w:fill="FFFFFF"/>
            <w:vAlign w:val="bottom"/>
            <w:hideMark/>
          </w:tcPr>
          <w:p w14:paraId="411A4C2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566,800</w:t>
            </w:r>
          </w:p>
        </w:tc>
        <w:tc>
          <w:tcPr>
            <w:tcW w:w="1106" w:type="dxa"/>
            <w:tcBorders>
              <w:top w:val="nil"/>
              <w:left w:val="nil"/>
              <w:bottom w:val="single" w:sz="8" w:space="0" w:color="0093D0"/>
              <w:right w:val="single" w:sz="8" w:space="0" w:color="0093D0"/>
            </w:tcBorders>
            <w:shd w:val="clear" w:color="000000" w:fill="FFFFFF"/>
            <w:vAlign w:val="bottom"/>
            <w:hideMark/>
          </w:tcPr>
          <w:p w14:paraId="411A4C2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651,000</w:t>
            </w:r>
          </w:p>
        </w:tc>
        <w:tc>
          <w:tcPr>
            <w:tcW w:w="1106" w:type="dxa"/>
            <w:tcBorders>
              <w:top w:val="nil"/>
              <w:left w:val="nil"/>
              <w:bottom w:val="single" w:sz="8" w:space="0" w:color="0093D0"/>
              <w:right w:val="single" w:sz="8" w:space="0" w:color="0093D0"/>
            </w:tcBorders>
            <w:shd w:val="clear" w:color="000000" w:fill="FFFFFF"/>
            <w:vAlign w:val="bottom"/>
            <w:hideMark/>
          </w:tcPr>
          <w:p w14:paraId="411A4C2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687,874</w:t>
            </w:r>
          </w:p>
        </w:tc>
        <w:tc>
          <w:tcPr>
            <w:tcW w:w="1106" w:type="dxa"/>
            <w:tcBorders>
              <w:top w:val="nil"/>
              <w:left w:val="nil"/>
              <w:bottom w:val="single" w:sz="8" w:space="0" w:color="0093D0"/>
              <w:right w:val="single" w:sz="8" w:space="0" w:color="0093D0"/>
            </w:tcBorders>
            <w:shd w:val="clear" w:color="000000" w:fill="FFFFFF"/>
            <w:vAlign w:val="bottom"/>
            <w:hideMark/>
          </w:tcPr>
          <w:p w14:paraId="411A4C2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721,400</w:t>
            </w:r>
          </w:p>
        </w:tc>
        <w:tc>
          <w:tcPr>
            <w:tcW w:w="1159" w:type="dxa"/>
            <w:tcBorders>
              <w:top w:val="nil"/>
              <w:left w:val="nil"/>
              <w:bottom w:val="single" w:sz="8" w:space="0" w:color="0093D0"/>
              <w:right w:val="single" w:sz="8" w:space="0" w:color="0093D0"/>
            </w:tcBorders>
            <w:shd w:val="clear" w:color="000000" w:fill="FFFFFF"/>
            <w:vAlign w:val="bottom"/>
            <w:hideMark/>
          </w:tcPr>
          <w:p w14:paraId="411A4C2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859,200</w:t>
            </w:r>
          </w:p>
        </w:tc>
        <w:tc>
          <w:tcPr>
            <w:tcW w:w="1159" w:type="dxa"/>
            <w:tcBorders>
              <w:top w:val="nil"/>
              <w:left w:val="nil"/>
              <w:bottom w:val="single" w:sz="8" w:space="0" w:color="0093D0"/>
              <w:right w:val="single" w:sz="8" w:space="0" w:color="0093D0"/>
            </w:tcBorders>
            <w:shd w:val="clear" w:color="000000" w:fill="FFFFFF"/>
            <w:vAlign w:val="bottom"/>
          </w:tcPr>
          <w:p w14:paraId="411A4C2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897,000</w:t>
            </w:r>
          </w:p>
        </w:tc>
      </w:tr>
      <w:tr w:rsidR="00151244" w:rsidRPr="00B74B51" w14:paraId="411A4C3B" w14:textId="77777777" w:rsidTr="00151244">
        <w:trPr>
          <w:trHeight w:val="315"/>
        </w:trPr>
        <w:tc>
          <w:tcPr>
            <w:tcW w:w="1306" w:type="dxa"/>
            <w:tcBorders>
              <w:top w:val="nil"/>
              <w:left w:val="single" w:sz="8" w:space="0" w:color="0093D0"/>
              <w:bottom w:val="nil"/>
              <w:right w:val="single" w:sz="8" w:space="0" w:color="0093D0"/>
            </w:tcBorders>
            <w:shd w:val="clear" w:color="auto" w:fill="D5B8EA"/>
            <w:noWrap/>
            <w:vAlign w:val="center"/>
            <w:hideMark/>
          </w:tcPr>
          <w:p w14:paraId="411A4C2F"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House</w:t>
            </w:r>
          </w:p>
        </w:tc>
        <w:tc>
          <w:tcPr>
            <w:tcW w:w="1183" w:type="dxa"/>
            <w:tcBorders>
              <w:top w:val="nil"/>
              <w:left w:val="nil"/>
              <w:bottom w:val="single" w:sz="8" w:space="0" w:color="0093D0"/>
              <w:right w:val="nil"/>
            </w:tcBorders>
            <w:shd w:val="clear" w:color="auto" w:fill="D5B8EA"/>
            <w:vAlign w:val="center"/>
            <w:hideMark/>
          </w:tcPr>
          <w:p w14:paraId="411A4C30"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3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529,500</w:t>
            </w:r>
          </w:p>
        </w:tc>
        <w:tc>
          <w:tcPr>
            <w:tcW w:w="1077" w:type="dxa"/>
            <w:tcBorders>
              <w:top w:val="nil"/>
              <w:left w:val="nil"/>
              <w:bottom w:val="single" w:sz="8" w:space="0" w:color="0093D0"/>
              <w:right w:val="single" w:sz="8" w:space="0" w:color="0093D0"/>
            </w:tcBorders>
            <w:shd w:val="clear" w:color="000000" w:fill="FFFFFF"/>
            <w:vAlign w:val="bottom"/>
            <w:hideMark/>
          </w:tcPr>
          <w:p w14:paraId="411A4C3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539,500</w:t>
            </w:r>
          </w:p>
        </w:tc>
        <w:tc>
          <w:tcPr>
            <w:tcW w:w="1077" w:type="dxa"/>
            <w:tcBorders>
              <w:top w:val="nil"/>
              <w:left w:val="nil"/>
              <w:bottom w:val="single" w:sz="8" w:space="0" w:color="0093D0"/>
              <w:right w:val="single" w:sz="8" w:space="0" w:color="0093D0"/>
            </w:tcBorders>
            <w:shd w:val="clear" w:color="000000" w:fill="FFFFFF"/>
            <w:vAlign w:val="bottom"/>
            <w:hideMark/>
          </w:tcPr>
          <w:p w14:paraId="411A4C3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569,200</w:t>
            </w:r>
          </w:p>
        </w:tc>
        <w:tc>
          <w:tcPr>
            <w:tcW w:w="1077" w:type="dxa"/>
            <w:tcBorders>
              <w:top w:val="nil"/>
              <w:left w:val="nil"/>
              <w:bottom w:val="single" w:sz="8" w:space="0" w:color="0093D0"/>
              <w:right w:val="single" w:sz="8" w:space="0" w:color="0093D0"/>
            </w:tcBorders>
            <w:shd w:val="clear" w:color="000000" w:fill="FFFFFF"/>
            <w:vAlign w:val="bottom"/>
            <w:hideMark/>
          </w:tcPr>
          <w:p w14:paraId="411A4C3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688,400</w:t>
            </w:r>
          </w:p>
        </w:tc>
        <w:tc>
          <w:tcPr>
            <w:tcW w:w="1077" w:type="dxa"/>
            <w:tcBorders>
              <w:top w:val="nil"/>
              <w:left w:val="nil"/>
              <w:bottom w:val="single" w:sz="8" w:space="0" w:color="0093D0"/>
              <w:right w:val="single" w:sz="8" w:space="0" w:color="0093D0"/>
            </w:tcBorders>
            <w:shd w:val="clear" w:color="000000" w:fill="FFFFFF"/>
            <w:vAlign w:val="bottom"/>
            <w:hideMark/>
          </w:tcPr>
          <w:p w14:paraId="411A4C3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731,100</w:t>
            </w:r>
          </w:p>
        </w:tc>
        <w:tc>
          <w:tcPr>
            <w:tcW w:w="1106" w:type="dxa"/>
            <w:tcBorders>
              <w:top w:val="nil"/>
              <w:left w:val="nil"/>
              <w:bottom w:val="single" w:sz="8" w:space="0" w:color="0093D0"/>
              <w:right w:val="single" w:sz="8" w:space="0" w:color="0093D0"/>
            </w:tcBorders>
            <w:shd w:val="clear" w:color="000000" w:fill="FFFFFF"/>
            <w:vAlign w:val="bottom"/>
            <w:hideMark/>
          </w:tcPr>
          <w:p w14:paraId="411A4C3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837,500</w:t>
            </w:r>
          </w:p>
        </w:tc>
        <w:tc>
          <w:tcPr>
            <w:tcW w:w="1106" w:type="dxa"/>
            <w:tcBorders>
              <w:top w:val="nil"/>
              <w:left w:val="nil"/>
              <w:bottom w:val="single" w:sz="8" w:space="0" w:color="0093D0"/>
              <w:right w:val="single" w:sz="8" w:space="0" w:color="0093D0"/>
            </w:tcBorders>
            <w:shd w:val="clear" w:color="000000" w:fill="FFFFFF"/>
            <w:vAlign w:val="bottom"/>
            <w:hideMark/>
          </w:tcPr>
          <w:p w14:paraId="411A4C3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879,600</w:t>
            </w:r>
          </w:p>
        </w:tc>
        <w:tc>
          <w:tcPr>
            <w:tcW w:w="1106" w:type="dxa"/>
            <w:tcBorders>
              <w:top w:val="nil"/>
              <w:left w:val="nil"/>
              <w:bottom w:val="single" w:sz="8" w:space="0" w:color="0093D0"/>
              <w:right w:val="single" w:sz="8" w:space="0" w:color="0093D0"/>
            </w:tcBorders>
            <w:shd w:val="clear" w:color="000000" w:fill="FFFFFF"/>
            <w:vAlign w:val="bottom"/>
            <w:hideMark/>
          </w:tcPr>
          <w:p w14:paraId="411A4C3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917,700</w:t>
            </w:r>
          </w:p>
        </w:tc>
        <w:tc>
          <w:tcPr>
            <w:tcW w:w="1159" w:type="dxa"/>
            <w:tcBorders>
              <w:top w:val="nil"/>
              <w:left w:val="nil"/>
              <w:bottom w:val="single" w:sz="8" w:space="0" w:color="0093D0"/>
              <w:right w:val="single" w:sz="8" w:space="0" w:color="0093D0"/>
            </w:tcBorders>
            <w:shd w:val="clear" w:color="000000" w:fill="FFFFFF"/>
            <w:vAlign w:val="bottom"/>
            <w:hideMark/>
          </w:tcPr>
          <w:p w14:paraId="411A4C3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1,181,700</w:t>
            </w:r>
          </w:p>
        </w:tc>
        <w:tc>
          <w:tcPr>
            <w:tcW w:w="1159" w:type="dxa"/>
            <w:tcBorders>
              <w:top w:val="nil"/>
              <w:left w:val="nil"/>
              <w:bottom w:val="single" w:sz="8" w:space="0" w:color="0093D0"/>
              <w:right w:val="single" w:sz="8" w:space="0" w:color="0093D0"/>
            </w:tcBorders>
            <w:shd w:val="clear" w:color="000000" w:fill="FFFFFF"/>
            <w:vAlign w:val="bottom"/>
          </w:tcPr>
          <w:p w14:paraId="411A4C3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1,230,000</w:t>
            </w:r>
          </w:p>
        </w:tc>
      </w:tr>
      <w:tr w:rsidR="00151244" w:rsidRPr="00B74B51" w14:paraId="411A4C48" w14:textId="77777777" w:rsidTr="00151244">
        <w:trPr>
          <w:trHeight w:val="315"/>
        </w:trPr>
        <w:tc>
          <w:tcPr>
            <w:tcW w:w="1306" w:type="dxa"/>
            <w:vMerge w:val="restart"/>
            <w:tcBorders>
              <w:top w:val="single" w:sz="8" w:space="0" w:color="0093D0"/>
              <w:left w:val="single" w:sz="8" w:space="0" w:color="0093D0"/>
              <w:bottom w:val="single" w:sz="8" w:space="0" w:color="0093D0"/>
              <w:right w:val="single" w:sz="8" w:space="0" w:color="0093D0"/>
            </w:tcBorders>
            <w:shd w:val="clear" w:color="auto" w:fill="D5B8EA"/>
            <w:noWrap/>
            <w:vAlign w:val="center"/>
            <w:hideMark/>
          </w:tcPr>
          <w:p w14:paraId="411A4C3C"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Group home</w:t>
            </w:r>
          </w:p>
        </w:tc>
        <w:tc>
          <w:tcPr>
            <w:tcW w:w="1183" w:type="dxa"/>
            <w:tcBorders>
              <w:top w:val="nil"/>
              <w:left w:val="nil"/>
              <w:bottom w:val="single" w:sz="8" w:space="0" w:color="0093D0"/>
              <w:right w:val="nil"/>
            </w:tcBorders>
            <w:shd w:val="clear" w:color="auto" w:fill="D5B8EA"/>
            <w:vAlign w:val="center"/>
            <w:hideMark/>
          </w:tcPr>
          <w:p w14:paraId="411A4C3D"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4</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3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652,200</w:t>
            </w:r>
          </w:p>
        </w:tc>
        <w:tc>
          <w:tcPr>
            <w:tcW w:w="1077" w:type="dxa"/>
            <w:tcBorders>
              <w:top w:val="nil"/>
              <w:left w:val="nil"/>
              <w:bottom w:val="single" w:sz="8" w:space="0" w:color="0093D0"/>
              <w:right w:val="single" w:sz="8" w:space="0" w:color="0093D0"/>
            </w:tcBorders>
            <w:shd w:val="clear" w:color="000000" w:fill="FFFFFF"/>
            <w:vAlign w:val="bottom"/>
            <w:hideMark/>
          </w:tcPr>
          <w:p w14:paraId="411A4C3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663,200</w:t>
            </w:r>
          </w:p>
        </w:tc>
        <w:tc>
          <w:tcPr>
            <w:tcW w:w="1077" w:type="dxa"/>
            <w:tcBorders>
              <w:top w:val="nil"/>
              <w:left w:val="nil"/>
              <w:bottom w:val="single" w:sz="8" w:space="0" w:color="0093D0"/>
              <w:right w:val="single" w:sz="8" w:space="0" w:color="0093D0"/>
            </w:tcBorders>
            <w:shd w:val="clear" w:color="000000" w:fill="FFFFFF"/>
            <w:vAlign w:val="bottom"/>
            <w:hideMark/>
          </w:tcPr>
          <w:p w14:paraId="411A4C4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694,900</w:t>
            </w:r>
          </w:p>
        </w:tc>
        <w:tc>
          <w:tcPr>
            <w:tcW w:w="1077" w:type="dxa"/>
            <w:tcBorders>
              <w:top w:val="nil"/>
              <w:left w:val="nil"/>
              <w:bottom w:val="single" w:sz="8" w:space="0" w:color="0093D0"/>
              <w:right w:val="single" w:sz="8" w:space="0" w:color="0093D0"/>
            </w:tcBorders>
            <w:shd w:val="clear" w:color="000000" w:fill="FFFFFF"/>
            <w:vAlign w:val="bottom"/>
            <w:hideMark/>
          </w:tcPr>
          <w:p w14:paraId="411A4C4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807,500</w:t>
            </w:r>
          </w:p>
        </w:tc>
        <w:tc>
          <w:tcPr>
            <w:tcW w:w="1077" w:type="dxa"/>
            <w:tcBorders>
              <w:top w:val="nil"/>
              <w:left w:val="nil"/>
              <w:bottom w:val="single" w:sz="8" w:space="0" w:color="0093D0"/>
              <w:right w:val="single" w:sz="8" w:space="0" w:color="0093D0"/>
            </w:tcBorders>
            <w:shd w:val="clear" w:color="000000" w:fill="FFFFFF"/>
            <w:vAlign w:val="bottom"/>
            <w:hideMark/>
          </w:tcPr>
          <w:p w14:paraId="411A4C4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841,044</w:t>
            </w:r>
          </w:p>
        </w:tc>
        <w:tc>
          <w:tcPr>
            <w:tcW w:w="1106" w:type="dxa"/>
            <w:tcBorders>
              <w:top w:val="nil"/>
              <w:left w:val="nil"/>
              <w:bottom w:val="single" w:sz="8" w:space="0" w:color="0093D0"/>
              <w:right w:val="single" w:sz="8" w:space="0" w:color="0093D0"/>
            </w:tcBorders>
            <w:shd w:val="clear" w:color="000000" w:fill="FFFFFF"/>
            <w:vAlign w:val="bottom"/>
            <w:hideMark/>
          </w:tcPr>
          <w:p w14:paraId="411A4C4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977,600</w:t>
            </w:r>
          </w:p>
        </w:tc>
        <w:tc>
          <w:tcPr>
            <w:tcW w:w="1106" w:type="dxa"/>
            <w:tcBorders>
              <w:top w:val="nil"/>
              <w:left w:val="nil"/>
              <w:bottom w:val="single" w:sz="8" w:space="0" w:color="0093D0"/>
              <w:right w:val="single" w:sz="8" w:space="0" w:color="0093D0"/>
            </w:tcBorders>
            <w:shd w:val="clear" w:color="000000" w:fill="FFFFFF"/>
            <w:vAlign w:val="bottom"/>
            <w:hideMark/>
          </w:tcPr>
          <w:p w14:paraId="411A4C4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1,017,900</w:t>
            </w:r>
          </w:p>
        </w:tc>
        <w:tc>
          <w:tcPr>
            <w:tcW w:w="1106" w:type="dxa"/>
            <w:tcBorders>
              <w:top w:val="nil"/>
              <w:left w:val="nil"/>
              <w:bottom w:val="single" w:sz="8" w:space="0" w:color="0093D0"/>
              <w:right w:val="single" w:sz="8" w:space="0" w:color="0093D0"/>
            </w:tcBorders>
            <w:shd w:val="clear" w:color="000000" w:fill="FFFFFF"/>
            <w:vAlign w:val="bottom"/>
            <w:hideMark/>
          </w:tcPr>
          <w:p w14:paraId="411A4C4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1,053,996</w:t>
            </w:r>
          </w:p>
        </w:tc>
        <w:tc>
          <w:tcPr>
            <w:tcW w:w="1159" w:type="dxa"/>
            <w:tcBorders>
              <w:top w:val="nil"/>
              <w:left w:val="nil"/>
              <w:bottom w:val="single" w:sz="8" w:space="0" w:color="0093D0"/>
              <w:right w:val="single" w:sz="8" w:space="0" w:color="0093D0"/>
            </w:tcBorders>
            <w:shd w:val="clear" w:color="000000" w:fill="FFFFFF"/>
            <w:vAlign w:val="bottom"/>
            <w:hideMark/>
          </w:tcPr>
          <w:p w14:paraId="411A4C4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1,339,000</w:t>
            </w:r>
          </w:p>
        </w:tc>
        <w:tc>
          <w:tcPr>
            <w:tcW w:w="1159" w:type="dxa"/>
            <w:tcBorders>
              <w:top w:val="nil"/>
              <w:left w:val="nil"/>
              <w:bottom w:val="single" w:sz="8" w:space="0" w:color="0093D0"/>
              <w:right w:val="single" w:sz="8" w:space="0" w:color="0093D0"/>
            </w:tcBorders>
            <w:shd w:val="clear" w:color="000000" w:fill="FFFFFF"/>
            <w:vAlign w:val="bottom"/>
          </w:tcPr>
          <w:p w14:paraId="411A4C4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1,384,900</w:t>
            </w:r>
          </w:p>
        </w:tc>
      </w:tr>
      <w:tr w:rsidR="00151244" w:rsidRPr="00B74B51" w14:paraId="411A4C55" w14:textId="77777777" w:rsidTr="00151244">
        <w:trPr>
          <w:trHeight w:val="315"/>
        </w:trPr>
        <w:tc>
          <w:tcPr>
            <w:tcW w:w="1306"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C49"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C4A"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4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707,400</w:t>
            </w:r>
          </w:p>
        </w:tc>
        <w:tc>
          <w:tcPr>
            <w:tcW w:w="1077" w:type="dxa"/>
            <w:tcBorders>
              <w:top w:val="nil"/>
              <w:left w:val="nil"/>
              <w:bottom w:val="single" w:sz="8" w:space="0" w:color="0093D0"/>
              <w:right w:val="single" w:sz="8" w:space="0" w:color="0093D0"/>
            </w:tcBorders>
            <w:shd w:val="clear" w:color="000000" w:fill="FFFFFF"/>
            <w:vAlign w:val="bottom"/>
            <w:hideMark/>
          </w:tcPr>
          <w:p w14:paraId="411A4C4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721,400</w:t>
            </w:r>
          </w:p>
        </w:tc>
        <w:tc>
          <w:tcPr>
            <w:tcW w:w="1077" w:type="dxa"/>
            <w:tcBorders>
              <w:top w:val="nil"/>
              <w:left w:val="nil"/>
              <w:bottom w:val="single" w:sz="8" w:space="0" w:color="0093D0"/>
              <w:right w:val="single" w:sz="8" w:space="0" w:color="0093D0"/>
            </w:tcBorders>
            <w:shd w:val="clear" w:color="000000" w:fill="FFFFFF"/>
            <w:vAlign w:val="bottom"/>
            <w:hideMark/>
          </w:tcPr>
          <w:p w14:paraId="411A4C4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752,359</w:t>
            </w:r>
          </w:p>
        </w:tc>
        <w:tc>
          <w:tcPr>
            <w:tcW w:w="1077" w:type="dxa"/>
            <w:tcBorders>
              <w:top w:val="nil"/>
              <w:left w:val="nil"/>
              <w:bottom w:val="single" w:sz="8" w:space="0" w:color="0093D0"/>
              <w:right w:val="single" w:sz="8" w:space="0" w:color="0093D0"/>
            </w:tcBorders>
            <w:shd w:val="clear" w:color="000000" w:fill="FFFFFF"/>
            <w:vAlign w:val="bottom"/>
            <w:hideMark/>
          </w:tcPr>
          <w:p w14:paraId="411A4C4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885,300</w:t>
            </w:r>
          </w:p>
        </w:tc>
        <w:tc>
          <w:tcPr>
            <w:tcW w:w="1077" w:type="dxa"/>
            <w:tcBorders>
              <w:top w:val="nil"/>
              <w:left w:val="nil"/>
              <w:bottom w:val="single" w:sz="8" w:space="0" w:color="0093D0"/>
              <w:right w:val="single" w:sz="8" w:space="0" w:color="0093D0"/>
            </w:tcBorders>
            <w:shd w:val="clear" w:color="000000" w:fill="FFFFFF"/>
            <w:vAlign w:val="bottom"/>
            <w:hideMark/>
          </w:tcPr>
          <w:p w14:paraId="411A4C4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917,875</w:t>
            </w:r>
          </w:p>
        </w:tc>
        <w:tc>
          <w:tcPr>
            <w:tcW w:w="1106" w:type="dxa"/>
            <w:tcBorders>
              <w:top w:val="nil"/>
              <w:left w:val="nil"/>
              <w:bottom w:val="single" w:sz="8" w:space="0" w:color="0093D0"/>
              <w:right w:val="single" w:sz="8" w:space="0" w:color="0093D0"/>
            </w:tcBorders>
            <w:shd w:val="clear" w:color="000000" w:fill="FFFFFF"/>
            <w:vAlign w:val="bottom"/>
            <w:hideMark/>
          </w:tcPr>
          <w:p w14:paraId="411A4C5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1,071,100</w:t>
            </w:r>
          </w:p>
        </w:tc>
        <w:tc>
          <w:tcPr>
            <w:tcW w:w="1106" w:type="dxa"/>
            <w:tcBorders>
              <w:top w:val="nil"/>
              <w:left w:val="nil"/>
              <w:bottom w:val="single" w:sz="8" w:space="0" w:color="0093D0"/>
              <w:right w:val="single" w:sz="8" w:space="0" w:color="0093D0"/>
            </w:tcBorders>
            <w:shd w:val="clear" w:color="000000" w:fill="FFFFFF"/>
            <w:vAlign w:val="bottom"/>
            <w:hideMark/>
          </w:tcPr>
          <w:p w14:paraId="411A4C5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1,110,300</w:t>
            </w:r>
          </w:p>
        </w:tc>
        <w:tc>
          <w:tcPr>
            <w:tcW w:w="1106" w:type="dxa"/>
            <w:tcBorders>
              <w:top w:val="nil"/>
              <w:left w:val="nil"/>
              <w:bottom w:val="single" w:sz="8" w:space="0" w:color="0093D0"/>
              <w:right w:val="single" w:sz="8" w:space="0" w:color="0093D0"/>
            </w:tcBorders>
            <w:shd w:val="clear" w:color="000000" w:fill="FFFFFF"/>
            <w:vAlign w:val="bottom"/>
            <w:hideMark/>
          </w:tcPr>
          <w:p w14:paraId="411A4C5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1,145,279</w:t>
            </w:r>
          </w:p>
        </w:tc>
        <w:tc>
          <w:tcPr>
            <w:tcW w:w="1159" w:type="dxa"/>
            <w:tcBorders>
              <w:top w:val="nil"/>
              <w:left w:val="nil"/>
              <w:bottom w:val="single" w:sz="8" w:space="0" w:color="0093D0"/>
              <w:right w:val="single" w:sz="8" w:space="0" w:color="0093D0"/>
            </w:tcBorders>
            <w:shd w:val="clear" w:color="000000" w:fill="FFFFFF"/>
            <w:vAlign w:val="bottom"/>
            <w:hideMark/>
          </w:tcPr>
          <w:p w14:paraId="411A4C5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1,480,000</w:t>
            </w:r>
          </w:p>
        </w:tc>
        <w:tc>
          <w:tcPr>
            <w:tcW w:w="1159" w:type="dxa"/>
            <w:tcBorders>
              <w:top w:val="nil"/>
              <w:left w:val="nil"/>
              <w:bottom w:val="single" w:sz="8" w:space="0" w:color="0093D0"/>
              <w:right w:val="single" w:sz="8" w:space="0" w:color="0093D0"/>
            </w:tcBorders>
            <w:shd w:val="clear" w:color="000000" w:fill="FFFFFF"/>
            <w:vAlign w:val="bottom"/>
          </w:tcPr>
          <w:p w14:paraId="411A4C5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1,524,600</w:t>
            </w:r>
          </w:p>
        </w:tc>
      </w:tr>
    </w:tbl>
    <w:p w14:paraId="411A4C56"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Cost estimates generated by Plancost</w:t>
      </w:r>
    </w:p>
    <w:p w14:paraId="411A4C57" w14:textId="77777777" w:rsidR="00B74B51" w:rsidRPr="00B74B51" w:rsidRDefault="00B74B51" w:rsidP="00B74B51">
      <w:pPr>
        <w:spacing w:before="120" w:after="120" w:line="280" w:lineRule="atLeast"/>
        <w:rPr>
          <w:rFonts w:eastAsia="Times New Roman" w:cs="Arial"/>
          <w:szCs w:val="22"/>
          <w:lang w:val="en-AU" w:eastAsia="en-US"/>
        </w:rPr>
      </w:pPr>
    </w:p>
    <w:p w14:paraId="411A4C58"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pgSz w:w="16838" w:h="11906" w:orient="landscape" w:code="9"/>
          <w:pgMar w:top="1276" w:right="1701" w:bottom="1134" w:left="1247" w:header="680" w:footer="113" w:gutter="0"/>
          <w:cols w:space="708"/>
          <w:docGrid w:linePitch="360"/>
        </w:sectPr>
      </w:pPr>
    </w:p>
    <w:p w14:paraId="411A4C59"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757" w:name="_Toc447030099"/>
      <w:bookmarkStart w:id="758" w:name="_Toc447036051"/>
      <w:bookmarkStart w:id="759" w:name="_Toc447036158"/>
      <w:bookmarkStart w:id="760" w:name="_Toc447036260"/>
      <w:bookmarkStart w:id="761" w:name="_Toc447056899"/>
      <w:bookmarkStart w:id="762" w:name="_Toc447198768"/>
      <w:bookmarkStart w:id="763" w:name="_Toc447225511"/>
      <w:bookmarkStart w:id="764" w:name="_Toc447447155"/>
      <w:bookmarkStart w:id="765" w:name="_Toc447448914"/>
      <w:bookmarkStart w:id="766" w:name="_Toc447450201"/>
      <w:bookmarkStart w:id="767" w:name="_Toc447450448"/>
      <w:r w:rsidRPr="00B74B51">
        <w:rPr>
          <w:rFonts w:eastAsia="Times New Roman" w:cs="Arial"/>
          <w:b/>
          <w:color w:val="6A2875"/>
          <w:sz w:val="30"/>
          <w:szCs w:val="30"/>
        </w:rPr>
        <w:lastRenderedPageBreak/>
        <w:t>Regional cost variations</w:t>
      </w:r>
      <w:bookmarkEnd w:id="757"/>
      <w:bookmarkEnd w:id="758"/>
      <w:bookmarkEnd w:id="759"/>
      <w:bookmarkEnd w:id="760"/>
      <w:bookmarkEnd w:id="761"/>
      <w:bookmarkEnd w:id="762"/>
      <w:bookmarkEnd w:id="763"/>
      <w:bookmarkEnd w:id="764"/>
      <w:bookmarkEnd w:id="765"/>
      <w:bookmarkEnd w:id="766"/>
      <w:bookmarkEnd w:id="767"/>
    </w:p>
    <w:p w14:paraId="411A4C5A" w14:textId="77777777" w:rsidR="00B74B51" w:rsidRPr="00B74B51" w:rsidRDefault="00B74B51" w:rsidP="00FD3134">
      <w:pPr>
        <w:pStyle w:val="BodyText1"/>
        <w:rPr>
          <w:lang w:val="en-AU"/>
        </w:rPr>
      </w:pPr>
      <w:r w:rsidRPr="00B74B51">
        <w:rPr>
          <w:lang w:val="en-AU"/>
        </w:rPr>
        <w:t>The team’s Quantity Surveyor (Plancost) outlined that the Cost Estimates are priced at rates applicable to the Melbourne Metropolitan area and noted that costs may vary depending on the location and building market at the time as well as the type of building.</w:t>
      </w:r>
    </w:p>
    <w:p w14:paraId="411A4C5B" w14:textId="77777777" w:rsidR="00B74B51" w:rsidRPr="00B74B51" w:rsidRDefault="00B74B51" w:rsidP="00FD3134">
      <w:pPr>
        <w:pStyle w:val="BodyText1"/>
        <w:rPr>
          <w:lang w:val="en-AU"/>
        </w:rPr>
      </w:pPr>
      <w:r w:rsidRPr="00B74B51">
        <w:rPr>
          <w:lang w:val="en-AU"/>
        </w:rPr>
        <w:t>The following factors should be taken into account when establishing cost estimates for areas other than the Melbourne Metropolitan area:</w:t>
      </w:r>
    </w:p>
    <w:p w14:paraId="411A4C5C"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68" w:name="_Toc447030100"/>
      <w:bookmarkStart w:id="769" w:name="_Toc447036052"/>
      <w:bookmarkStart w:id="770" w:name="_Toc447036159"/>
      <w:bookmarkStart w:id="771" w:name="_Toc447036261"/>
      <w:bookmarkStart w:id="772" w:name="_Toc447056900"/>
      <w:bookmarkStart w:id="773" w:name="_Toc447198769"/>
      <w:bookmarkStart w:id="774" w:name="_Toc447225512"/>
      <w:bookmarkStart w:id="775" w:name="_Toc447447156"/>
      <w:bookmarkStart w:id="776" w:name="_Toc447448915"/>
      <w:r w:rsidRPr="00B74B51">
        <w:rPr>
          <w:rFonts w:eastAsia="Times New Roman" w:cs="Arial"/>
          <w:b/>
          <w:sz w:val="24"/>
        </w:rPr>
        <w:t>Other Capital Cities</w:t>
      </w:r>
      <w:bookmarkEnd w:id="768"/>
      <w:bookmarkEnd w:id="769"/>
      <w:bookmarkEnd w:id="770"/>
      <w:bookmarkEnd w:id="771"/>
      <w:bookmarkEnd w:id="772"/>
      <w:bookmarkEnd w:id="773"/>
      <w:bookmarkEnd w:id="774"/>
      <w:bookmarkEnd w:id="775"/>
      <w:bookmarkEnd w:id="776"/>
    </w:p>
    <w:p w14:paraId="411A4C5D" w14:textId="77777777" w:rsidR="00B74B51" w:rsidRPr="00B74B51" w:rsidRDefault="00B74B51" w:rsidP="00FD3134">
      <w:pPr>
        <w:pStyle w:val="BodyText1"/>
        <w:rPr>
          <w:lang w:val="en-AU"/>
        </w:rPr>
      </w:pPr>
      <w:r w:rsidRPr="00B74B51">
        <w:rPr>
          <w:lang w:val="en-AU"/>
        </w:rPr>
        <w:t xml:space="preserve">Building costs will vary between the capital cities in each state due to different design standards and varying market conditions. For the purposes of this Cost Report we refer to the indices from "Rawlinsons Australian Construction Handbook", International Construction Costs, Regional variation Indices, 2016. These costs are set out in </w:t>
      </w:r>
      <w:r w:rsidRPr="00B74B51">
        <w:rPr>
          <w:lang w:val="en-AU"/>
        </w:rPr>
        <w:fldChar w:fldCharType="begin"/>
      </w:r>
      <w:r w:rsidRPr="00B74B51">
        <w:rPr>
          <w:lang w:val="en-AU"/>
        </w:rPr>
        <w:instrText xml:space="preserve"> REF _Ref445980245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16</w:t>
      </w:r>
      <w:r w:rsidRPr="00B74B51">
        <w:rPr>
          <w:lang w:val="en-AU"/>
        </w:rPr>
        <w:fldChar w:fldCharType="end"/>
      </w:r>
      <w:r w:rsidRPr="00B74B51">
        <w:rPr>
          <w:lang w:val="en-AU"/>
        </w:rPr>
        <w:t>.</w:t>
      </w:r>
    </w:p>
    <w:p w14:paraId="411A4C5E" w14:textId="77777777" w:rsidR="00B74B51" w:rsidRPr="00B74B51" w:rsidRDefault="001E2292" w:rsidP="00FD3134">
      <w:pPr>
        <w:pStyle w:val="Caption"/>
        <w:rPr>
          <w:rFonts w:eastAsia="Calibri" w:cs="Arial"/>
          <w:b w:val="0"/>
          <w:bCs w:val="0"/>
          <w:sz w:val="20"/>
          <w:lang w:val="en-AU" w:eastAsia="en-US"/>
        </w:rPr>
      </w:pPr>
      <w:bookmarkStart w:id="777" w:name="_Ref445980245"/>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16</w:t>
      </w:r>
      <w:r w:rsidRPr="00FD3134">
        <w:fldChar w:fldCharType="end"/>
      </w:r>
      <w:bookmarkEnd w:id="777"/>
      <w:r w:rsidR="00B74B51" w:rsidRPr="00FD3134">
        <w:t>: Locality allowances for each capital city</w:t>
      </w:r>
    </w:p>
    <w:tbl>
      <w:tblPr>
        <w:tblStyle w:val="MJATable11"/>
        <w:tblW w:w="9356" w:type="dxa"/>
        <w:tblBorders>
          <w:bottom w:val="single" w:sz="4" w:space="0" w:color="0093D0"/>
          <w:insideH w:val="single" w:sz="4" w:space="0" w:color="0093D0"/>
        </w:tblBorders>
        <w:tblLook w:val="04A0" w:firstRow="1" w:lastRow="0" w:firstColumn="1" w:lastColumn="0" w:noHBand="0" w:noVBand="1"/>
      </w:tblPr>
      <w:tblGrid>
        <w:gridCol w:w="2694"/>
        <w:gridCol w:w="2220"/>
        <w:gridCol w:w="2221"/>
        <w:gridCol w:w="2221"/>
      </w:tblGrid>
      <w:tr w:rsidR="00B74B51" w:rsidRPr="00B74B51" w14:paraId="411A4C63"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tcPr>
          <w:p w14:paraId="411A4C5F"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State / Territory</w:t>
            </w:r>
          </w:p>
        </w:tc>
        <w:tc>
          <w:tcPr>
            <w:tcW w:w="2220" w:type="dxa"/>
            <w:shd w:val="clear" w:color="auto" w:fill="7030A0"/>
          </w:tcPr>
          <w:p w14:paraId="411A4C60"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Capital city</w:t>
            </w:r>
          </w:p>
        </w:tc>
        <w:tc>
          <w:tcPr>
            <w:tcW w:w="2221" w:type="dxa"/>
            <w:shd w:val="clear" w:color="auto" w:fill="7030A0"/>
          </w:tcPr>
          <w:p w14:paraId="411A4C61"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Rawlinson Index</w:t>
            </w:r>
          </w:p>
        </w:tc>
        <w:tc>
          <w:tcPr>
            <w:tcW w:w="2221" w:type="dxa"/>
            <w:shd w:val="clear" w:color="auto" w:fill="7030A0"/>
          </w:tcPr>
          <w:p w14:paraId="411A4C62"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Index to be applied to cost estimates (Melbourne =100)</w:t>
            </w:r>
          </w:p>
        </w:tc>
      </w:tr>
      <w:tr w:rsidR="00B74B51" w:rsidRPr="00B74B51" w14:paraId="411A4C68"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4"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Victoria</w:t>
            </w:r>
          </w:p>
        </w:tc>
        <w:tc>
          <w:tcPr>
            <w:tcW w:w="2220" w:type="dxa"/>
          </w:tcPr>
          <w:p w14:paraId="411A4C6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Melbourne</w:t>
            </w:r>
          </w:p>
        </w:tc>
        <w:tc>
          <w:tcPr>
            <w:tcW w:w="2221" w:type="dxa"/>
          </w:tcPr>
          <w:p w14:paraId="411A4C66"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0.97</w:t>
            </w:r>
          </w:p>
        </w:tc>
        <w:tc>
          <w:tcPr>
            <w:tcW w:w="2221" w:type="dxa"/>
          </w:tcPr>
          <w:p w14:paraId="411A4C67"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100</w:t>
            </w:r>
          </w:p>
        </w:tc>
      </w:tr>
      <w:tr w:rsidR="00B74B51" w:rsidRPr="00B74B51" w14:paraId="411A4C6D"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9"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New South Wales</w:t>
            </w:r>
          </w:p>
        </w:tc>
        <w:tc>
          <w:tcPr>
            <w:tcW w:w="2220" w:type="dxa"/>
          </w:tcPr>
          <w:p w14:paraId="411A4C6A"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Sydney</w:t>
            </w:r>
          </w:p>
        </w:tc>
        <w:tc>
          <w:tcPr>
            <w:tcW w:w="2221" w:type="dxa"/>
          </w:tcPr>
          <w:p w14:paraId="411A4C6B"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1.00</w:t>
            </w:r>
          </w:p>
        </w:tc>
        <w:tc>
          <w:tcPr>
            <w:tcW w:w="2221" w:type="dxa"/>
          </w:tcPr>
          <w:p w14:paraId="411A4C6C"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103</w:t>
            </w:r>
          </w:p>
        </w:tc>
      </w:tr>
      <w:tr w:rsidR="00B74B51" w:rsidRPr="00B74B51" w14:paraId="411A4C72"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E"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South Australia</w:t>
            </w:r>
          </w:p>
        </w:tc>
        <w:tc>
          <w:tcPr>
            <w:tcW w:w="2220" w:type="dxa"/>
          </w:tcPr>
          <w:p w14:paraId="411A4C6F"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Adelaide</w:t>
            </w:r>
          </w:p>
        </w:tc>
        <w:tc>
          <w:tcPr>
            <w:tcW w:w="2221" w:type="dxa"/>
          </w:tcPr>
          <w:p w14:paraId="411A4C70"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0.99</w:t>
            </w:r>
          </w:p>
        </w:tc>
        <w:tc>
          <w:tcPr>
            <w:tcW w:w="2221" w:type="dxa"/>
          </w:tcPr>
          <w:p w14:paraId="411A4C71"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102</w:t>
            </w:r>
          </w:p>
        </w:tc>
      </w:tr>
      <w:tr w:rsidR="00B74B51" w:rsidRPr="00B74B51" w14:paraId="411A4C77"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3"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Queensland</w:t>
            </w:r>
          </w:p>
        </w:tc>
        <w:tc>
          <w:tcPr>
            <w:tcW w:w="2220" w:type="dxa"/>
          </w:tcPr>
          <w:p w14:paraId="411A4C74"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Brisbane</w:t>
            </w:r>
          </w:p>
        </w:tc>
        <w:tc>
          <w:tcPr>
            <w:tcW w:w="2221" w:type="dxa"/>
          </w:tcPr>
          <w:p w14:paraId="411A4C7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0.94</w:t>
            </w:r>
          </w:p>
        </w:tc>
        <w:tc>
          <w:tcPr>
            <w:tcW w:w="2221" w:type="dxa"/>
          </w:tcPr>
          <w:p w14:paraId="411A4C76"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97</w:t>
            </w:r>
          </w:p>
        </w:tc>
      </w:tr>
      <w:tr w:rsidR="00B74B51" w:rsidRPr="00B74B51" w14:paraId="411A4C7C"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8"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Australian Capital Territory</w:t>
            </w:r>
          </w:p>
        </w:tc>
        <w:tc>
          <w:tcPr>
            <w:tcW w:w="2220" w:type="dxa"/>
          </w:tcPr>
          <w:p w14:paraId="411A4C79"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Canberra</w:t>
            </w:r>
          </w:p>
        </w:tc>
        <w:tc>
          <w:tcPr>
            <w:tcW w:w="2221" w:type="dxa"/>
          </w:tcPr>
          <w:p w14:paraId="411A4C7A"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1.03</w:t>
            </w:r>
          </w:p>
        </w:tc>
        <w:tc>
          <w:tcPr>
            <w:tcW w:w="2221" w:type="dxa"/>
          </w:tcPr>
          <w:p w14:paraId="411A4C7B"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106</w:t>
            </w:r>
          </w:p>
        </w:tc>
      </w:tr>
      <w:tr w:rsidR="00B74B51" w:rsidRPr="00B74B51" w14:paraId="411A4C81"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D"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Northern Territory</w:t>
            </w:r>
          </w:p>
        </w:tc>
        <w:tc>
          <w:tcPr>
            <w:tcW w:w="2220" w:type="dxa"/>
          </w:tcPr>
          <w:p w14:paraId="411A4C7E"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Darwin</w:t>
            </w:r>
          </w:p>
        </w:tc>
        <w:tc>
          <w:tcPr>
            <w:tcW w:w="2221" w:type="dxa"/>
          </w:tcPr>
          <w:p w14:paraId="411A4C7F"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1.22</w:t>
            </w:r>
          </w:p>
        </w:tc>
        <w:tc>
          <w:tcPr>
            <w:tcW w:w="2221" w:type="dxa"/>
          </w:tcPr>
          <w:p w14:paraId="411A4C80"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126</w:t>
            </w:r>
          </w:p>
        </w:tc>
      </w:tr>
      <w:tr w:rsidR="00B74B51" w:rsidRPr="00B74B51" w14:paraId="411A4C86"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82"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Tasmania</w:t>
            </w:r>
          </w:p>
        </w:tc>
        <w:tc>
          <w:tcPr>
            <w:tcW w:w="2220" w:type="dxa"/>
          </w:tcPr>
          <w:p w14:paraId="411A4C83"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Hobart</w:t>
            </w:r>
          </w:p>
        </w:tc>
        <w:tc>
          <w:tcPr>
            <w:tcW w:w="2221" w:type="dxa"/>
          </w:tcPr>
          <w:p w14:paraId="411A4C84"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1.01</w:t>
            </w:r>
          </w:p>
        </w:tc>
        <w:tc>
          <w:tcPr>
            <w:tcW w:w="2221" w:type="dxa"/>
          </w:tcPr>
          <w:p w14:paraId="411A4C8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104</w:t>
            </w:r>
          </w:p>
        </w:tc>
      </w:tr>
      <w:tr w:rsidR="00B74B51" w:rsidRPr="00B74B51" w14:paraId="411A4C8B"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87" w14:textId="77777777" w:rsidR="00B74B51" w:rsidRPr="00B74B51" w:rsidRDefault="00B74B51" w:rsidP="00B74B51">
            <w:pPr>
              <w:spacing w:before="120" w:after="120" w:line="280" w:lineRule="atLeast"/>
              <w:rPr>
                <w:rFonts w:eastAsia="Times New Roman" w:cs="Arial"/>
                <w:sz w:val="18"/>
                <w:szCs w:val="18"/>
                <w:lang w:val="en-AU" w:eastAsia="en-US"/>
              </w:rPr>
            </w:pPr>
            <w:r w:rsidRPr="00B74B51">
              <w:rPr>
                <w:rFonts w:eastAsia="Times New Roman" w:cs="Arial"/>
                <w:sz w:val="18"/>
                <w:szCs w:val="18"/>
                <w:lang w:val="en-AU" w:eastAsia="en-US"/>
              </w:rPr>
              <w:t>Western Australia</w:t>
            </w:r>
          </w:p>
        </w:tc>
        <w:tc>
          <w:tcPr>
            <w:tcW w:w="2220" w:type="dxa"/>
          </w:tcPr>
          <w:p w14:paraId="411A4C88"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AU" w:eastAsia="en-US"/>
              </w:rPr>
            </w:pPr>
            <w:r w:rsidRPr="00B74B51">
              <w:rPr>
                <w:rFonts w:eastAsia="Times New Roman" w:cs="Arial"/>
                <w:sz w:val="18"/>
                <w:szCs w:val="18"/>
                <w:lang w:val="en-AU" w:eastAsia="en-US"/>
              </w:rPr>
              <w:t>Perth</w:t>
            </w:r>
          </w:p>
        </w:tc>
        <w:tc>
          <w:tcPr>
            <w:tcW w:w="2221" w:type="dxa"/>
          </w:tcPr>
          <w:p w14:paraId="411A4C89"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AU" w:eastAsia="en-US"/>
              </w:rPr>
            </w:pPr>
            <w:r w:rsidRPr="00B74B51">
              <w:rPr>
                <w:rFonts w:eastAsia="Times New Roman" w:cs="Arial"/>
                <w:sz w:val="18"/>
                <w:szCs w:val="18"/>
                <w:lang w:val="en-AU" w:eastAsia="en-US"/>
              </w:rPr>
              <w:t>1.04</w:t>
            </w:r>
          </w:p>
        </w:tc>
        <w:tc>
          <w:tcPr>
            <w:tcW w:w="2221" w:type="dxa"/>
          </w:tcPr>
          <w:p w14:paraId="411A4C8A"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2"/>
                <w:lang w:val="en-AU" w:eastAsia="en-US"/>
              </w:rPr>
            </w:pPr>
            <w:r w:rsidRPr="00B74B51">
              <w:rPr>
                <w:rFonts w:eastAsia="Times New Roman" w:cs="Arial"/>
                <w:sz w:val="18"/>
                <w:szCs w:val="18"/>
                <w:lang w:val="en-AU" w:eastAsia="en-US"/>
              </w:rPr>
              <w:t>107</w:t>
            </w:r>
          </w:p>
        </w:tc>
      </w:tr>
    </w:tbl>
    <w:p w14:paraId="411A4C8C"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Indices generated by Plancost based on analysis of Rawlinsons data</w:t>
      </w:r>
    </w:p>
    <w:p w14:paraId="411A4C8D"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78" w:name="_Toc447030101"/>
      <w:bookmarkStart w:id="779" w:name="_Toc447036053"/>
      <w:bookmarkStart w:id="780" w:name="_Toc447036160"/>
      <w:bookmarkStart w:id="781" w:name="_Toc447036262"/>
      <w:bookmarkStart w:id="782" w:name="_Toc447056901"/>
      <w:bookmarkStart w:id="783" w:name="_Toc447198770"/>
      <w:bookmarkStart w:id="784" w:name="_Toc447225513"/>
      <w:bookmarkStart w:id="785" w:name="_Toc447447157"/>
      <w:bookmarkStart w:id="786" w:name="_Toc447448916"/>
      <w:r w:rsidRPr="00B74B51">
        <w:rPr>
          <w:rFonts w:eastAsia="Times New Roman" w:cs="Arial"/>
          <w:b/>
          <w:sz w:val="24"/>
        </w:rPr>
        <w:t>Remoteness indices</w:t>
      </w:r>
      <w:bookmarkEnd w:id="778"/>
      <w:bookmarkEnd w:id="779"/>
      <w:bookmarkEnd w:id="780"/>
      <w:bookmarkEnd w:id="781"/>
      <w:bookmarkEnd w:id="782"/>
      <w:bookmarkEnd w:id="783"/>
      <w:bookmarkEnd w:id="784"/>
      <w:bookmarkEnd w:id="785"/>
      <w:bookmarkEnd w:id="786"/>
    </w:p>
    <w:p w14:paraId="411A4C8E" w14:textId="77777777" w:rsidR="00B74B51" w:rsidRPr="00B74B51" w:rsidRDefault="00B74B51" w:rsidP="00FD3134">
      <w:pPr>
        <w:pStyle w:val="BodyText1"/>
        <w:rPr>
          <w:lang w:val="en-AU"/>
        </w:rPr>
      </w:pPr>
      <w:r w:rsidRPr="00B74B51">
        <w:rPr>
          <w:lang w:val="en-AU"/>
        </w:rPr>
        <w:t>Building costs may increase in areas that are remote from capital cities or major regional centres due to additional transport costs, increase labour costs and reduced market competition. The rate of increase will vary depending on the location and the type of buildings being constructed.</w:t>
      </w:r>
    </w:p>
    <w:p w14:paraId="4E766815" w14:textId="0F6E941A" w:rsidR="00FD3134" w:rsidRPr="00FD3134" w:rsidRDefault="00B74B51" w:rsidP="00FD3134">
      <w:pPr>
        <w:pStyle w:val="BodyText1"/>
      </w:pPr>
      <w:r w:rsidRPr="00FD3134">
        <w:t>Plancost aligned the estimated cost increases to measures of remoteness developed by the Australian Bureau of Statistics.  The Remoteness index assigns one of five categories to all of Australia based on the distance travelled to local centres.  A summary map of remoteness is shown in</w:t>
      </w:r>
      <w:r w:rsidR="00FD3134" w:rsidRPr="00FD3134">
        <w:t xml:space="preserve"> </w:t>
      </w:r>
      <w:r w:rsidR="00FD3134" w:rsidRPr="00FD3134">
        <w:fldChar w:fldCharType="begin"/>
      </w:r>
      <w:r w:rsidR="00FD3134" w:rsidRPr="00FD3134">
        <w:instrText xml:space="preserve"> REF _Ref447460725 \h </w:instrText>
      </w:r>
      <w:r w:rsidR="00FD3134">
        <w:instrText xml:space="preserve"> \* MERGEFORMAT </w:instrText>
      </w:r>
      <w:r w:rsidR="00FD3134" w:rsidRPr="00FD3134">
        <w:fldChar w:fldCharType="separate"/>
      </w:r>
      <w:r w:rsidR="00607084">
        <w:rPr>
          <w:b/>
          <w:bCs/>
        </w:rPr>
        <w:t>Error! Reference source not found.</w:t>
      </w:r>
      <w:r w:rsidR="00FD3134" w:rsidRPr="00FD3134">
        <w:fldChar w:fldCharType="end"/>
      </w:r>
    </w:p>
    <w:p w14:paraId="6BC1ECB2" w14:textId="77777777" w:rsidR="00FD3134" w:rsidRDefault="00FD3134" w:rsidP="00FD3134">
      <w:pPr>
        <w:pStyle w:val="BodyText1"/>
        <w:rPr>
          <w:lang w:val="en-AU"/>
        </w:rPr>
      </w:pPr>
    </w:p>
    <w:p w14:paraId="09A2675F" w14:textId="77777777" w:rsidR="00FD3134" w:rsidRDefault="00FD3134" w:rsidP="00FD3134">
      <w:pPr>
        <w:pStyle w:val="BodyText1"/>
        <w:rPr>
          <w:lang w:val="en-AU"/>
        </w:rPr>
      </w:pPr>
    </w:p>
    <w:p w14:paraId="411A4C91" w14:textId="0E1ECD11" w:rsidR="00B74B51" w:rsidRPr="00F76BC7" w:rsidRDefault="00B74B51" w:rsidP="00F76BC7">
      <w:pPr>
        <w:pStyle w:val="BodyText1"/>
        <w:rPr>
          <w:lang w:val="en-AU"/>
        </w:rPr>
      </w:pPr>
    </w:p>
    <w:p w14:paraId="4EADC5FD" w14:textId="77777777" w:rsidR="00F76BC7" w:rsidRDefault="00F76BC7" w:rsidP="00B74B51">
      <w:pPr>
        <w:spacing w:before="120" w:after="120" w:line="280" w:lineRule="atLeast"/>
        <w:rPr>
          <w:rFonts w:eastAsia="Times New Roman" w:cs="Arial"/>
          <w:szCs w:val="22"/>
          <w:lang w:val="en-AU" w:eastAsia="en-US"/>
        </w:rPr>
      </w:pPr>
    </w:p>
    <w:p w14:paraId="7B915951" w14:textId="56DA3A02" w:rsidR="00F76BC7" w:rsidRDefault="00F76BC7" w:rsidP="00F76BC7">
      <w:pPr>
        <w:pStyle w:val="Caption"/>
        <w:rPr>
          <w:rFonts w:eastAsia="Times New Roman" w:cs="Arial"/>
          <w:szCs w:val="22"/>
          <w:lang w:val="en-AU" w:eastAsia="en-US"/>
        </w:rPr>
      </w:pPr>
      <w:r>
        <w:t xml:space="preserve">Figure </w:t>
      </w:r>
      <w:r>
        <w:fldChar w:fldCharType="begin"/>
      </w:r>
      <w:r>
        <w:instrText xml:space="preserve"> SEQ Figure \* ARABIC </w:instrText>
      </w:r>
      <w:r>
        <w:fldChar w:fldCharType="separate"/>
      </w:r>
      <w:r w:rsidR="00607084">
        <w:rPr>
          <w:noProof/>
        </w:rPr>
        <w:t>8</w:t>
      </w:r>
      <w:r>
        <w:fldChar w:fldCharType="end"/>
      </w:r>
      <w:r>
        <w:t xml:space="preserve">: </w:t>
      </w:r>
      <w:r w:rsidRPr="001C6888">
        <w:t>Map of remoteness areas</w:t>
      </w:r>
    </w:p>
    <w:p w14:paraId="411A4C92"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2" wp14:editId="411A4FB3">
            <wp:extent cx="6029960" cy="4544060"/>
            <wp:effectExtent l="19050" t="19050" r="27940" b="279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moteness.png"/>
                    <pic:cNvPicPr/>
                  </pic:nvPicPr>
                  <pic:blipFill>
                    <a:blip r:embed="rId35">
                      <a:extLst>
                        <a:ext uri="{28A0092B-C50C-407E-A947-70E740481C1C}">
                          <a14:useLocalDpi xmlns:a14="http://schemas.microsoft.com/office/drawing/2010/main" val="0"/>
                        </a:ext>
                      </a:extLst>
                    </a:blip>
                    <a:stretch>
                      <a:fillRect/>
                    </a:stretch>
                  </pic:blipFill>
                  <pic:spPr>
                    <a:xfrm>
                      <a:off x="0" y="0"/>
                      <a:ext cx="6029960" cy="4544060"/>
                    </a:xfrm>
                    <a:prstGeom prst="rect">
                      <a:avLst/>
                    </a:prstGeom>
                    <a:ln>
                      <a:solidFill>
                        <a:srgbClr val="4F81BD"/>
                      </a:solidFill>
                    </a:ln>
                  </pic:spPr>
                </pic:pic>
              </a:graphicData>
            </a:graphic>
          </wp:inline>
        </w:drawing>
      </w:r>
    </w:p>
    <w:p w14:paraId="411A4C93"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 xml:space="preserve">Source: </w:t>
      </w:r>
      <w:hyperlink r:id="rId36" w:history="1">
        <w:r w:rsidRPr="00B74B51">
          <w:rPr>
            <w:rFonts w:eastAsia="Calibri" w:cs="Arial"/>
            <w:i/>
            <w:color w:val="0000FF"/>
            <w:sz w:val="18"/>
            <w:szCs w:val="22"/>
            <w:u w:val="single"/>
            <w:lang w:val="en-AU" w:eastAsia="en-US"/>
          </w:rPr>
          <w:t>Australian Statistical Geography Standard (ASGS) Volume 5 – Remoteness Areas, July 2011</w:t>
        </w:r>
      </w:hyperlink>
    </w:p>
    <w:p w14:paraId="411A4C94" w14:textId="77777777" w:rsidR="00B74B51" w:rsidRPr="00B74B51" w:rsidRDefault="00B74B51" w:rsidP="00B74B51">
      <w:pPr>
        <w:spacing w:before="120" w:after="120" w:line="280" w:lineRule="atLeast"/>
        <w:rPr>
          <w:rFonts w:eastAsia="Times New Roman" w:cs="Arial"/>
          <w:szCs w:val="22"/>
          <w:lang w:val="en-AU" w:eastAsia="en-US"/>
        </w:rPr>
      </w:pPr>
    </w:p>
    <w:p w14:paraId="411A4C95" w14:textId="77777777" w:rsidR="00B74B51" w:rsidRPr="00B74B51" w:rsidRDefault="00B74B51" w:rsidP="00FD3134">
      <w:pPr>
        <w:pStyle w:val="BodyText1"/>
        <w:rPr>
          <w:lang w:val="en-AU"/>
        </w:rPr>
      </w:pPr>
      <w:r w:rsidRPr="00B74B51">
        <w:rPr>
          <w:lang w:val="en-AU"/>
        </w:rPr>
        <w:t xml:space="preserve">Using the remoteness classifications, the Quantity Surveyor has allocated the indices set out in </w:t>
      </w:r>
      <w:r w:rsidRPr="00B74B51">
        <w:rPr>
          <w:lang w:val="en-AU"/>
        </w:rPr>
        <w:fldChar w:fldCharType="begin"/>
      </w:r>
      <w:r w:rsidRPr="00B74B51">
        <w:rPr>
          <w:lang w:val="en-AU"/>
        </w:rPr>
        <w:instrText xml:space="preserve"> REF _Ref445981987 \h  \* MERGEFORMAT </w:instrText>
      </w:r>
      <w:r w:rsidRPr="00B74B51">
        <w:rPr>
          <w:lang w:val="en-AU"/>
        </w:rPr>
      </w:r>
      <w:r w:rsidRPr="00B74B51">
        <w:rPr>
          <w:lang w:val="en-AU"/>
        </w:rPr>
        <w:fldChar w:fldCharType="separate"/>
      </w:r>
      <w:r w:rsidR="00607084" w:rsidRPr="00607084">
        <w:rPr>
          <w:rFonts w:eastAsiaTheme="minorEastAsia" w:cstheme="minorBidi"/>
          <w:sz w:val="22"/>
          <w:szCs w:val="24"/>
          <w:lang w:val="en-AU" w:eastAsia="ja-JP"/>
        </w:rPr>
        <w:t>Table</w:t>
      </w:r>
      <w:r w:rsidR="00607084" w:rsidRPr="00607084">
        <w:rPr>
          <w:sz w:val="22"/>
          <w:lang w:val="en-AU"/>
        </w:rPr>
        <w:t xml:space="preserve"> </w:t>
      </w:r>
      <w:r w:rsidR="00607084" w:rsidRPr="00607084">
        <w:rPr>
          <w:noProof/>
          <w:sz w:val="22"/>
          <w:lang w:val="en-AU"/>
        </w:rPr>
        <w:t>17</w:t>
      </w:r>
      <w:r w:rsidRPr="00B74B51">
        <w:rPr>
          <w:lang w:val="en-AU"/>
        </w:rPr>
        <w:fldChar w:fldCharType="end"/>
      </w:r>
      <w:r w:rsidRPr="00B74B51">
        <w:rPr>
          <w:lang w:val="en-AU"/>
        </w:rPr>
        <w:t xml:space="preserve">. </w:t>
      </w:r>
    </w:p>
    <w:p w14:paraId="411A4C96" w14:textId="77777777" w:rsidR="00B74B51" w:rsidRPr="00FD3134" w:rsidRDefault="001E2292" w:rsidP="00FD3134">
      <w:pPr>
        <w:pStyle w:val="Caption"/>
      </w:pPr>
      <w:bookmarkStart w:id="787" w:name="_Ref445981987"/>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17</w:t>
      </w:r>
      <w:r w:rsidRPr="00FD3134">
        <w:fldChar w:fldCharType="end"/>
      </w:r>
      <w:bookmarkEnd w:id="787"/>
      <w:r w:rsidR="00B74B51" w:rsidRPr="00FD3134">
        <w:t>: Remoteness indices</w:t>
      </w:r>
    </w:p>
    <w:tbl>
      <w:tblPr>
        <w:tblStyle w:val="MJATable11"/>
        <w:tblW w:w="0" w:type="auto"/>
        <w:tblBorders>
          <w:bottom w:val="single" w:sz="4" w:space="0" w:color="0093D0"/>
          <w:insideH w:val="single" w:sz="4" w:space="0" w:color="0093D0"/>
        </w:tblBorders>
        <w:tblLook w:val="04A0" w:firstRow="1" w:lastRow="0" w:firstColumn="1" w:lastColumn="0" w:noHBand="0" w:noVBand="1"/>
      </w:tblPr>
      <w:tblGrid>
        <w:gridCol w:w="4527"/>
        <w:gridCol w:w="4499"/>
      </w:tblGrid>
      <w:tr w:rsidR="00B74B51" w:rsidRPr="00B74B51" w14:paraId="411A4C99"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shd w:val="clear" w:color="auto" w:fill="7030A0"/>
          </w:tcPr>
          <w:p w14:paraId="411A4C97"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Cs w:val="22"/>
                <w:lang w:val="en-AU" w:eastAsia="en-US"/>
              </w:rPr>
              <w:t>Remoteness</w:t>
            </w:r>
          </w:p>
        </w:tc>
        <w:tc>
          <w:tcPr>
            <w:tcW w:w="4743" w:type="dxa"/>
            <w:shd w:val="clear" w:color="auto" w:fill="7030A0"/>
          </w:tcPr>
          <w:p w14:paraId="411A4C98"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Relative index</w:t>
            </w:r>
          </w:p>
        </w:tc>
      </w:tr>
      <w:tr w:rsidR="00B74B51" w:rsidRPr="00B74B51" w14:paraId="411A4C9C"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9A"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Major cities</w:t>
            </w:r>
          </w:p>
        </w:tc>
        <w:tc>
          <w:tcPr>
            <w:tcW w:w="4743" w:type="dxa"/>
          </w:tcPr>
          <w:p w14:paraId="411A4C9B"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100</w:t>
            </w:r>
          </w:p>
        </w:tc>
      </w:tr>
      <w:tr w:rsidR="00B74B51" w:rsidRPr="00B74B51" w14:paraId="411A4C9F"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9D"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Inner regional</w:t>
            </w:r>
          </w:p>
        </w:tc>
        <w:tc>
          <w:tcPr>
            <w:tcW w:w="4743" w:type="dxa"/>
          </w:tcPr>
          <w:p w14:paraId="411A4C9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105</w:t>
            </w:r>
          </w:p>
        </w:tc>
      </w:tr>
      <w:tr w:rsidR="00B74B51" w:rsidRPr="00B74B51" w14:paraId="411A4CA2"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0"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Outer regional</w:t>
            </w:r>
          </w:p>
        </w:tc>
        <w:tc>
          <w:tcPr>
            <w:tcW w:w="4743" w:type="dxa"/>
          </w:tcPr>
          <w:p w14:paraId="411A4CA1"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110</w:t>
            </w:r>
          </w:p>
        </w:tc>
      </w:tr>
      <w:tr w:rsidR="00B74B51" w:rsidRPr="00B74B51" w14:paraId="411A4CA5"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3"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Remote</w:t>
            </w:r>
          </w:p>
        </w:tc>
        <w:tc>
          <w:tcPr>
            <w:tcW w:w="4743" w:type="dxa"/>
          </w:tcPr>
          <w:p w14:paraId="411A4CA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120</w:t>
            </w:r>
          </w:p>
        </w:tc>
      </w:tr>
      <w:tr w:rsidR="00B74B51" w:rsidRPr="00B74B51" w14:paraId="411A4CA8"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6" w14:textId="77777777" w:rsidR="00B74B51" w:rsidRPr="00B74B51" w:rsidRDefault="00B74B51" w:rsidP="00B74B51">
            <w:pPr>
              <w:spacing w:line="240" w:lineRule="auto"/>
              <w:rPr>
                <w:rFonts w:eastAsia="Calibri" w:cs="Arial"/>
                <w:szCs w:val="22"/>
                <w:lang w:val="en-AU" w:eastAsia="en-US"/>
              </w:rPr>
            </w:pPr>
            <w:r w:rsidRPr="00B74B51">
              <w:rPr>
                <w:rFonts w:eastAsia="Calibri" w:cs="Arial"/>
                <w:sz w:val="18"/>
                <w:szCs w:val="18"/>
                <w:lang w:val="en-AU" w:eastAsia="en-US"/>
              </w:rPr>
              <w:t>Very remote</w:t>
            </w:r>
          </w:p>
        </w:tc>
        <w:tc>
          <w:tcPr>
            <w:tcW w:w="4743" w:type="dxa"/>
          </w:tcPr>
          <w:p w14:paraId="411A4CA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in excess of 120</w:t>
            </w:r>
          </w:p>
        </w:tc>
      </w:tr>
    </w:tbl>
    <w:p w14:paraId="411A4CA9" w14:textId="77777777" w:rsidR="00B74B51" w:rsidRPr="00B74B51" w:rsidRDefault="00B74B51" w:rsidP="00B74B51">
      <w:pPr>
        <w:tabs>
          <w:tab w:val="left" w:pos="425"/>
        </w:tabs>
        <w:spacing w:after="60" w:line="240" w:lineRule="auto"/>
        <w:ind w:left="425" w:hanging="425"/>
        <w:rPr>
          <w:rFonts w:eastAsia="Times New Roman" w:cs="Arial"/>
          <w:i/>
          <w:sz w:val="20"/>
          <w:szCs w:val="22"/>
          <w:lang w:val="en-AU" w:eastAsia="en-US"/>
        </w:rPr>
      </w:pPr>
      <w:r w:rsidRPr="00B74B51">
        <w:rPr>
          <w:rFonts w:eastAsia="Times New Roman" w:cs="Arial"/>
          <w:i/>
          <w:sz w:val="20"/>
          <w:szCs w:val="22"/>
          <w:lang w:val="en-AU" w:eastAsia="en-US"/>
        </w:rPr>
        <w:t>Source: Indices generated by Plancost based on analysis of Rawlinsons data</w:t>
      </w:r>
    </w:p>
    <w:p w14:paraId="411A4CAA" w14:textId="77777777" w:rsidR="00B74B51" w:rsidRPr="00B74B51" w:rsidRDefault="00B74B51" w:rsidP="00B74B51">
      <w:pPr>
        <w:tabs>
          <w:tab w:val="left" w:pos="425"/>
        </w:tabs>
        <w:spacing w:after="60" w:line="240" w:lineRule="auto"/>
        <w:ind w:left="425" w:hanging="425"/>
        <w:rPr>
          <w:rFonts w:eastAsia="Times New Roman" w:cs="Arial"/>
          <w:i/>
          <w:sz w:val="20"/>
          <w:szCs w:val="22"/>
          <w:lang w:val="en-AU" w:eastAsia="en-US"/>
        </w:rPr>
      </w:pPr>
      <w:r w:rsidRPr="00B74B51">
        <w:rPr>
          <w:rFonts w:eastAsia="Times New Roman" w:cs="Arial"/>
          <w:i/>
          <w:sz w:val="20"/>
          <w:szCs w:val="22"/>
          <w:lang w:val="en-AU" w:eastAsia="en-US"/>
        </w:rPr>
        <w:t>Note: These remoteness indices are a broad guide only, and in each of the regions there will be areas that are atypical to the general remoteness index. For example, Mount Hotham is located in an Outer Regional zone and the additional costs for building there would be significantly higher than the index of 110.</w:t>
      </w:r>
    </w:p>
    <w:p w14:paraId="411A4CAB" w14:textId="77777777" w:rsidR="00B74B51" w:rsidRPr="00B74B51" w:rsidRDefault="00B74B51" w:rsidP="00B74B51">
      <w:pPr>
        <w:spacing w:before="120" w:after="120" w:line="280" w:lineRule="atLeast"/>
        <w:rPr>
          <w:rFonts w:eastAsia="Times New Roman" w:cs="Arial"/>
          <w:szCs w:val="22"/>
          <w:lang w:val="en-AU" w:eastAsia="en-US"/>
        </w:rPr>
      </w:pPr>
    </w:p>
    <w:p w14:paraId="411A4CAC" w14:textId="77777777" w:rsidR="00B74B51" w:rsidRPr="00B74B51" w:rsidRDefault="00B74B51" w:rsidP="00B74B51">
      <w:pPr>
        <w:spacing w:before="120" w:after="120" w:line="280" w:lineRule="atLeast"/>
        <w:rPr>
          <w:rFonts w:eastAsia="Times New Roman" w:cs="Arial"/>
          <w:szCs w:val="22"/>
          <w:lang w:val="en-AU" w:eastAsia="en-US"/>
        </w:rPr>
      </w:pPr>
    </w:p>
    <w:p w14:paraId="411A4CAD" w14:textId="77777777" w:rsidR="00B74B51" w:rsidRPr="00FD3134" w:rsidRDefault="00B74B51" w:rsidP="00FD3134">
      <w:pPr>
        <w:pStyle w:val="BodyText1"/>
      </w:pPr>
      <w:bookmarkStart w:id="788" w:name="_Toc447030102"/>
      <w:bookmarkStart w:id="789" w:name="_Toc447036054"/>
      <w:bookmarkStart w:id="790" w:name="_Toc447036161"/>
      <w:bookmarkStart w:id="791" w:name="_Toc447036263"/>
      <w:r w:rsidRPr="00FD3134">
        <w:t xml:space="preserve">It should be noted that the remoteness index and the state capital index are multiplicative.  As such remote location in the Northern Territory has a higher cost increase than a remote area in New South Wales.  The impact of combined state and remoteness indices is set out in </w:t>
      </w:r>
      <w:r w:rsidRPr="00FD3134">
        <w:fldChar w:fldCharType="begin"/>
      </w:r>
      <w:r w:rsidRPr="00FD3134">
        <w:instrText xml:space="preserve"> REF _Ref445982645 \h  \* MERGEFORMAT </w:instrText>
      </w:r>
      <w:r w:rsidRPr="00FD3134">
        <w:fldChar w:fldCharType="separate"/>
      </w:r>
      <w:r w:rsidR="00607084" w:rsidRPr="00FD3134">
        <w:t xml:space="preserve">Table </w:t>
      </w:r>
      <w:r w:rsidR="00607084">
        <w:t>18</w:t>
      </w:r>
      <w:r w:rsidRPr="00FD3134">
        <w:fldChar w:fldCharType="end"/>
      </w:r>
      <w:r w:rsidRPr="00FD3134">
        <w:t>.</w:t>
      </w:r>
      <w:bookmarkEnd w:id="788"/>
      <w:bookmarkEnd w:id="789"/>
      <w:bookmarkEnd w:id="790"/>
      <w:bookmarkEnd w:id="791"/>
    </w:p>
    <w:p w14:paraId="411A4CAE" w14:textId="77777777" w:rsidR="00B74B51" w:rsidRPr="00FD3134" w:rsidRDefault="001E2292" w:rsidP="00FD3134">
      <w:pPr>
        <w:pStyle w:val="Caption"/>
      </w:pPr>
      <w:bookmarkStart w:id="792" w:name="_Ref445982645"/>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18</w:t>
      </w:r>
      <w:r w:rsidRPr="00FD3134">
        <w:fldChar w:fldCharType="end"/>
      </w:r>
      <w:bookmarkEnd w:id="792"/>
      <w:r w:rsidR="00B74B51" w:rsidRPr="00FD3134">
        <w:t>: Combined impact of state and remoteness indices</w:t>
      </w:r>
    </w:p>
    <w:tbl>
      <w:tblPr>
        <w:tblStyle w:val="MJATable11"/>
        <w:tblW w:w="8855" w:type="dxa"/>
        <w:tblLook w:val="04A0" w:firstRow="1" w:lastRow="0" w:firstColumn="1" w:lastColumn="0" w:noHBand="0" w:noVBand="1"/>
      </w:tblPr>
      <w:tblGrid>
        <w:gridCol w:w="2708"/>
        <w:gridCol w:w="1704"/>
        <w:gridCol w:w="1124"/>
        <w:gridCol w:w="1124"/>
        <w:gridCol w:w="1097"/>
        <w:gridCol w:w="1098"/>
      </w:tblGrid>
      <w:tr w:rsidR="00B74B51" w:rsidRPr="00B74B51" w14:paraId="411A4CB1" w14:textId="77777777" w:rsidTr="00B74B5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708" w:type="dxa"/>
            <w:shd w:val="clear" w:color="auto" w:fill="7030A0"/>
            <w:noWrap/>
            <w:hideMark/>
          </w:tcPr>
          <w:p w14:paraId="411A4CAF" w14:textId="77777777" w:rsidR="00B74B51" w:rsidRPr="00B74B51" w:rsidRDefault="00B74B51" w:rsidP="00B74B51">
            <w:pPr>
              <w:spacing w:line="240" w:lineRule="auto"/>
              <w:rPr>
                <w:rFonts w:eastAsia="Calibri" w:cs="Arial"/>
                <w:szCs w:val="22"/>
                <w:lang w:val="en-AU" w:eastAsia="en-AU"/>
              </w:rPr>
            </w:pPr>
          </w:p>
        </w:tc>
        <w:tc>
          <w:tcPr>
            <w:tcW w:w="6147" w:type="dxa"/>
            <w:gridSpan w:val="5"/>
            <w:shd w:val="clear" w:color="auto" w:fill="7030A0"/>
            <w:hideMark/>
          </w:tcPr>
          <w:p w14:paraId="411A4CB0"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bCs/>
                <w:szCs w:val="20"/>
                <w:lang w:val="en-AU" w:eastAsia="en-AU"/>
              </w:rPr>
            </w:pPr>
            <w:r w:rsidRPr="00B74B51">
              <w:rPr>
                <w:rFonts w:eastAsia="Calibri" w:cs="Arial"/>
                <w:bCs/>
                <w:szCs w:val="20"/>
                <w:lang w:val="en-AU" w:eastAsia="en-AU"/>
              </w:rPr>
              <w:t>Remoteness indices</w:t>
            </w:r>
          </w:p>
        </w:tc>
      </w:tr>
      <w:tr w:rsidR="00B74B51" w:rsidRPr="00B74B51" w14:paraId="411A4CB8" w14:textId="77777777" w:rsidTr="00B74B51">
        <w:trPr>
          <w:trHeight w:val="466"/>
        </w:trPr>
        <w:tc>
          <w:tcPr>
            <w:cnfStyle w:val="001000000000" w:firstRow="0" w:lastRow="0" w:firstColumn="1" w:lastColumn="0" w:oddVBand="0" w:evenVBand="0" w:oddHBand="0" w:evenHBand="0" w:firstRowFirstColumn="0" w:firstRowLastColumn="0" w:lastRowFirstColumn="0" w:lastRowLastColumn="0"/>
            <w:tcW w:w="2708" w:type="dxa"/>
            <w:shd w:val="clear" w:color="auto" w:fill="7030A0"/>
            <w:noWrap/>
            <w:hideMark/>
          </w:tcPr>
          <w:p w14:paraId="411A4CB2" w14:textId="77777777" w:rsidR="00B74B51" w:rsidRPr="00B74B51" w:rsidRDefault="00B74B51" w:rsidP="00B74B51">
            <w:pPr>
              <w:spacing w:line="240" w:lineRule="auto"/>
              <w:rPr>
                <w:rFonts w:eastAsia="Calibri" w:cs="Arial"/>
                <w:b/>
                <w:color w:val="FFFFFF"/>
                <w:szCs w:val="20"/>
                <w:lang w:val="en-AU" w:eastAsia="en-AU"/>
              </w:rPr>
            </w:pPr>
            <w:r w:rsidRPr="00B74B51">
              <w:rPr>
                <w:rFonts w:eastAsia="Calibri" w:cs="Arial"/>
                <w:b/>
                <w:color w:val="FFFFFF"/>
                <w:szCs w:val="20"/>
                <w:lang w:val="en-AU" w:eastAsia="en-AU"/>
              </w:rPr>
              <w:t>State / Territory</w:t>
            </w:r>
          </w:p>
        </w:tc>
        <w:tc>
          <w:tcPr>
            <w:tcW w:w="1704" w:type="dxa"/>
            <w:shd w:val="clear" w:color="auto" w:fill="7030A0"/>
            <w:hideMark/>
          </w:tcPr>
          <w:p w14:paraId="411A4CB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Major cities</w:t>
            </w:r>
          </w:p>
        </w:tc>
        <w:tc>
          <w:tcPr>
            <w:tcW w:w="1124" w:type="dxa"/>
            <w:shd w:val="clear" w:color="auto" w:fill="7030A0"/>
            <w:hideMark/>
          </w:tcPr>
          <w:p w14:paraId="411A4CB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Inner regional</w:t>
            </w:r>
          </w:p>
        </w:tc>
        <w:tc>
          <w:tcPr>
            <w:tcW w:w="1124" w:type="dxa"/>
            <w:shd w:val="clear" w:color="auto" w:fill="7030A0"/>
            <w:hideMark/>
          </w:tcPr>
          <w:p w14:paraId="411A4CB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Outer regional</w:t>
            </w:r>
          </w:p>
        </w:tc>
        <w:tc>
          <w:tcPr>
            <w:tcW w:w="1097" w:type="dxa"/>
            <w:shd w:val="clear" w:color="auto" w:fill="7030A0"/>
            <w:hideMark/>
          </w:tcPr>
          <w:p w14:paraId="411A4CB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Remote</w:t>
            </w:r>
          </w:p>
        </w:tc>
        <w:tc>
          <w:tcPr>
            <w:tcW w:w="1097" w:type="dxa"/>
            <w:shd w:val="clear" w:color="auto" w:fill="7030A0"/>
            <w:hideMark/>
          </w:tcPr>
          <w:p w14:paraId="411A4CB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Very remote</w:t>
            </w:r>
          </w:p>
        </w:tc>
      </w:tr>
      <w:tr w:rsidR="00B74B51" w:rsidRPr="00B74B51" w14:paraId="411A4CBF" w14:textId="77777777" w:rsidTr="00B74B51">
        <w:trPr>
          <w:trHeight w:val="316"/>
        </w:trPr>
        <w:tc>
          <w:tcPr>
            <w:cnfStyle w:val="001000000000" w:firstRow="0" w:lastRow="0" w:firstColumn="1" w:lastColumn="0" w:oddVBand="0" w:evenVBand="0" w:oddHBand="0" w:evenHBand="0" w:firstRowFirstColumn="0" w:firstRowLastColumn="0" w:lastRowFirstColumn="0" w:lastRowLastColumn="0"/>
            <w:tcW w:w="2708" w:type="dxa"/>
            <w:tcBorders>
              <w:bottom w:val="single" w:sz="4" w:space="0" w:color="0093D0"/>
            </w:tcBorders>
            <w:hideMark/>
          </w:tcPr>
          <w:p w14:paraId="411A4CB9"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Victoria</w:t>
            </w:r>
          </w:p>
        </w:tc>
        <w:tc>
          <w:tcPr>
            <w:tcW w:w="1704" w:type="dxa"/>
            <w:tcBorders>
              <w:bottom w:val="single" w:sz="4" w:space="0" w:color="0093D0"/>
            </w:tcBorders>
            <w:noWrap/>
            <w:hideMark/>
          </w:tcPr>
          <w:p w14:paraId="411A4CB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100</w:t>
            </w:r>
          </w:p>
        </w:tc>
        <w:tc>
          <w:tcPr>
            <w:tcW w:w="1124" w:type="dxa"/>
            <w:tcBorders>
              <w:bottom w:val="single" w:sz="4" w:space="0" w:color="0093D0"/>
            </w:tcBorders>
            <w:noWrap/>
            <w:hideMark/>
          </w:tcPr>
          <w:p w14:paraId="411A4CB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105</w:t>
            </w:r>
          </w:p>
        </w:tc>
        <w:tc>
          <w:tcPr>
            <w:tcW w:w="1124" w:type="dxa"/>
            <w:tcBorders>
              <w:bottom w:val="single" w:sz="4" w:space="0" w:color="0093D0"/>
            </w:tcBorders>
            <w:noWrap/>
            <w:hideMark/>
          </w:tcPr>
          <w:p w14:paraId="411A4CB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110</w:t>
            </w:r>
          </w:p>
        </w:tc>
        <w:tc>
          <w:tcPr>
            <w:tcW w:w="1097" w:type="dxa"/>
            <w:tcBorders>
              <w:bottom w:val="single" w:sz="4" w:space="0" w:color="0093D0"/>
            </w:tcBorders>
            <w:noWrap/>
            <w:hideMark/>
          </w:tcPr>
          <w:p w14:paraId="411A4CB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120</w:t>
            </w:r>
          </w:p>
        </w:tc>
        <w:tc>
          <w:tcPr>
            <w:tcW w:w="1097" w:type="dxa"/>
            <w:tcBorders>
              <w:bottom w:val="single" w:sz="4" w:space="0" w:color="0093D0"/>
            </w:tcBorders>
            <w:noWrap/>
            <w:hideMark/>
          </w:tcPr>
          <w:p w14:paraId="411A4CB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120+</w:t>
            </w:r>
          </w:p>
        </w:tc>
      </w:tr>
      <w:tr w:rsidR="00B74B51" w:rsidRPr="00B74B51" w14:paraId="411A4CC6"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0"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New South Wales</w:t>
            </w:r>
          </w:p>
        </w:tc>
        <w:tc>
          <w:tcPr>
            <w:tcW w:w="1704" w:type="dxa"/>
            <w:tcBorders>
              <w:top w:val="single" w:sz="4" w:space="0" w:color="0093D0"/>
              <w:bottom w:val="single" w:sz="4" w:space="0" w:color="0093D0"/>
            </w:tcBorders>
            <w:noWrap/>
            <w:hideMark/>
          </w:tcPr>
          <w:p w14:paraId="411A4CC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103</w:t>
            </w:r>
          </w:p>
        </w:tc>
        <w:tc>
          <w:tcPr>
            <w:tcW w:w="1124" w:type="dxa"/>
            <w:tcBorders>
              <w:top w:val="single" w:sz="4" w:space="0" w:color="0093D0"/>
              <w:bottom w:val="single" w:sz="4" w:space="0" w:color="0093D0"/>
            </w:tcBorders>
            <w:noWrap/>
            <w:hideMark/>
          </w:tcPr>
          <w:p w14:paraId="411A4CC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108</w:t>
            </w:r>
          </w:p>
        </w:tc>
        <w:tc>
          <w:tcPr>
            <w:tcW w:w="1124" w:type="dxa"/>
            <w:tcBorders>
              <w:top w:val="single" w:sz="4" w:space="0" w:color="0093D0"/>
              <w:bottom w:val="single" w:sz="4" w:space="0" w:color="0093D0"/>
            </w:tcBorders>
            <w:noWrap/>
            <w:hideMark/>
          </w:tcPr>
          <w:p w14:paraId="411A4CC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113</w:t>
            </w:r>
          </w:p>
        </w:tc>
        <w:tc>
          <w:tcPr>
            <w:tcW w:w="1097" w:type="dxa"/>
            <w:tcBorders>
              <w:top w:val="single" w:sz="4" w:space="0" w:color="0093D0"/>
              <w:bottom w:val="single" w:sz="4" w:space="0" w:color="0093D0"/>
            </w:tcBorders>
            <w:noWrap/>
            <w:hideMark/>
          </w:tcPr>
          <w:p w14:paraId="411A4CC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124</w:t>
            </w:r>
          </w:p>
        </w:tc>
        <w:tc>
          <w:tcPr>
            <w:tcW w:w="1097" w:type="dxa"/>
            <w:tcBorders>
              <w:top w:val="single" w:sz="4" w:space="0" w:color="0093D0"/>
              <w:bottom w:val="single" w:sz="4" w:space="0" w:color="0093D0"/>
            </w:tcBorders>
            <w:noWrap/>
            <w:hideMark/>
          </w:tcPr>
          <w:p w14:paraId="411A4CC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124+</w:t>
            </w:r>
          </w:p>
        </w:tc>
      </w:tr>
      <w:tr w:rsidR="00B74B51" w:rsidRPr="00B74B51" w14:paraId="411A4CCD"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7"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South Australia</w:t>
            </w:r>
          </w:p>
        </w:tc>
        <w:tc>
          <w:tcPr>
            <w:tcW w:w="1704" w:type="dxa"/>
            <w:tcBorders>
              <w:top w:val="single" w:sz="4" w:space="0" w:color="0093D0"/>
              <w:bottom w:val="single" w:sz="4" w:space="0" w:color="0093D0"/>
            </w:tcBorders>
            <w:noWrap/>
            <w:hideMark/>
          </w:tcPr>
          <w:p w14:paraId="411A4CC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102</w:t>
            </w:r>
          </w:p>
        </w:tc>
        <w:tc>
          <w:tcPr>
            <w:tcW w:w="1124" w:type="dxa"/>
            <w:tcBorders>
              <w:top w:val="single" w:sz="4" w:space="0" w:color="0093D0"/>
              <w:bottom w:val="single" w:sz="4" w:space="0" w:color="0093D0"/>
            </w:tcBorders>
            <w:noWrap/>
            <w:hideMark/>
          </w:tcPr>
          <w:p w14:paraId="411A4CC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124" w:type="dxa"/>
            <w:tcBorders>
              <w:top w:val="single" w:sz="4" w:space="0" w:color="0093D0"/>
              <w:bottom w:val="single" w:sz="4" w:space="0" w:color="0093D0"/>
            </w:tcBorders>
            <w:noWrap/>
            <w:hideMark/>
          </w:tcPr>
          <w:p w14:paraId="411A4CC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112</w:t>
            </w:r>
          </w:p>
        </w:tc>
        <w:tc>
          <w:tcPr>
            <w:tcW w:w="1097" w:type="dxa"/>
            <w:tcBorders>
              <w:top w:val="single" w:sz="4" w:space="0" w:color="0093D0"/>
              <w:bottom w:val="single" w:sz="4" w:space="0" w:color="0093D0"/>
            </w:tcBorders>
            <w:noWrap/>
            <w:hideMark/>
          </w:tcPr>
          <w:p w14:paraId="411A4CC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122</w:t>
            </w:r>
          </w:p>
        </w:tc>
        <w:tc>
          <w:tcPr>
            <w:tcW w:w="1097" w:type="dxa"/>
            <w:tcBorders>
              <w:top w:val="single" w:sz="4" w:space="0" w:color="0093D0"/>
              <w:bottom w:val="single" w:sz="4" w:space="0" w:color="0093D0"/>
            </w:tcBorders>
            <w:noWrap/>
            <w:hideMark/>
          </w:tcPr>
          <w:p w14:paraId="411A4CC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122+</w:t>
            </w:r>
          </w:p>
        </w:tc>
      </w:tr>
      <w:tr w:rsidR="00B74B51" w:rsidRPr="00B74B51" w14:paraId="411A4CD4"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E"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Queensland</w:t>
            </w:r>
          </w:p>
        </w:tc>
        <w:tc>
          <w:tcPr>
            <w:tcW w:w="1704" w:type="dxa"/>
            <w:tcBorders>
              <w:top w:val="single" w:sz="4" w:space="0" w:color="0093D0"/>
              <w:bottom w:val="single" w:sz="4" w:space="0" w:color="0093D0"/>
            </w:tcBorders>
            <w:noWrap/>
            <w:hideMark/>
          </w:tcPr>
          <w:p w14:paraId="411A4CC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97</w:t>
            </w:r>
          </w:p>
        </w:tc>
        <w:tc>
          <w:tcPr>
            <w:tcW w:w="1124" w:type="dxa"/>
            <w:tcBorders>
              <w:top w:val="single" w:sz="4" w:space="0" w:color="0093D0"/>
              <w:bottom w:val="single" w:sz="4" w:space="0" w:color="0093D0"/>
            </w:tcBorders>
            <w:noWrap/>
            <w:hideMark/>
          </w:tcPr>
          <w:p w14:paraId="411A4CD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102</w:t>
            </w:r>
          </w:p>
        </w:tc>
        <w:tc>
          <w:tcPr>
            <w:tcW w:w="1124" w:type="dxa"/>
            <w:tcBorders>
              <w:top w:val="single" w:sz="4" w:space="0" w:color="0093D0"/>
              <w:bottom w:val="single" w:sz="4" w:space="0" w:color="0093D0"/>
            </w:tcBorders>
            <w:noWrap/>
            <w:hideMark/>
          </w:tcPr>
          <w:p w14:paraId="411A4CD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097" w:type="dxa"/>
            <w:tcBorders>
              <w:top w:val="single" w:sz="4" w:space="0" w:color="0093D0"/>
              <w:bottom w:val="single" w:sz="4" w:space="0" w:color="0093D0"/>
            </w:tcBorders>
            <w:noWrap/>
            <w:hideMark/>
          </w:tcPr>
          <w:p w14:paraId="411A4CD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116</w:t>
            </w:r>
          </w:p>
        </w:tc>
        <w:tc>
          <w:tcPr>
            <w:tcW w:w="1097" w:type="dxa"/>
            <w:tcBorders>
              <w:top w:val="single" w:sz="4" w:space="0" w:color="0093D0"/>
              <w:bottom w:val="single" w:sz="4" w:space="0" w:color="0093D0"/>
            </w:tcBorders>
            <w:noWrap/>
            <w:hideMark/>
          </w:tcPr>
          <w:p w14:paraId="411A4CD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116+</w:t>
            </w:r>
          </w:p>
        </w:tc>
      </w:tr>
      <w:tr w:rsidR="00B74B51" w:rsidRPr="00B74B51" w14:paraId="411A4CDB"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D5"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Australian Capital Territory</w:t>
            </w:r>
          </w:p>
        </w:tc>
        <w:tc>
          <w:tcPr>
            <w:tcW w:w="1704" w:type="dxa"/>
            <w:tcBorders>
              <w:top w:val="single" w:sz="4" w:space="0" w:color="0093D0"/>
              <w:bottom w:val="single" w:sz="4" w:space="0" w:color="0093D0"/>
            </w:tcBorders>
            <w:noWrap/>
            <w:hideMark/>
          </w:tcPr>
          <w:p w14:paraId="411A4CD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106</w:t>
            </w:r>
          </w:p>
        </w:tc>
        <w:tc>
          <w:tcPr>
            <w:tcW w:w="1124" w:type="dxa"/>
            <w:tcBorders>
              <w:top w:val="single" w:sz="4" w:space="0" w:color="0093D0"/>
              <w:bottom w:val="single" w:sz="4" w:space="0" w:color="0093D0"/>
            </w:tcBorders>
            <w:noWrap/>
            <w:hideMark/>
          </w:tcPr>
          <w:p w14:paraId="411A4CD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111</w:t>
            </w:r>
          </w:p>
        </w:tc>
        <w:tc>
          <w:tcPr>
            <w:tcW w:w="1124" w:type="dxa"/>
            <w:tcBorders>
              <w:top w:val="single" w:sz="4" w:space="0" w:color="0093D0"/>
              <w:bottom w:val="single" w:sz="4" w:space="0" w:color="0093D0"/>
            </w:tcBorders>
            <w:noWrap/>
            <w:hideMark/>
          </w:tcPr>
          <w:p w14:paraId="411A4CD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117</w:t>
            </w:r>
          </w:p>
        </w:tc>
        <w:tc>
          <w:tcPr>
            <w:tcW w:w="1097" w:type="dxa"/>
            <w:tcBorders>
              <w:top w:val="single" w:sz="4" w:space="0" w:color="0093D0"/>
              <w:bottom w:val="single" w:sz="4" w:space="0" w:color="0093D0"/>
            </w:tcBorders>
            <w:noWrap/>
            <w:hideMark/>
          </w:tcPr>
          <w:p w14:paraId="411A4CD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127</w:t>
            </w:r>
          </w:p>
        </w:tc>
        <w:tc>
          <w:tcPr>
            <w:tcW w:w="1097" w:type="dxa"/>
            <w:tcBorders>
              <w:top w:val="single" w:sz="4" w:space="0" w:color="0093D0"/>
              <w:bottom w:val="single" w:sz="4" w:space="0" w:color="0093D0"/>
            </w:tcBorders>
            <w:noWrap/>
            <w:hideMark/>
          </w:tcPr>
          <w:p w14:paraId="411A4CD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127+</w:t>
            </w:r>
          </w:p>
        </w:tc>
      </w:tr>
      <w:tr w:rsidR="00B74B51" w:rsidRPr="00B74B51" w14:paraId="411A4CE2"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DC"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Northern Territory</w:t>
            </w:r>
          </w:p>
        </w:tc>
        <w:tc>
          <w:tcPr>
            <w:tcW w:w="1704" w:type="dxa"/>
            <w:tcBorders>
              <w:top w:val="single" w:sz="4" w:space="0" w:color="0093D0"/>
              <w:bottom w:val="single" w:sz="4" w:space="0" w:color="0093D0"/>
            </w:tcBorders>
            <w:noWrap/>
            <w:hideMark/>
          </w:tcPr>
          <w:p w14:paraId="411A4CD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126</w:t>
            </w:r>
          </w:p>
        </w:tc>
        <w:tc>
          <w:tcPr>
            <w:tcW w:w="1124" w:type="dxa"/>
            <w:tcBorders>
              <w:top w:val="single" w:sz="4" w:space="0" w:color="0093D0"/>
              <w:bottom w:val="single" w:sz="4" w:space="0" w:color="0093D0"/>
            </w:tcBorders>
            <w:noWrap/>
            <w:hideMark/>
          </w:tcPr>
          <w:p w14:paraId="411A4CD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132</w:t>
            </w:r>
          </w:p>
        </w:tc>
        <w:tc>
          <w:tcPr>
            <w:tcW w:w="1124" w:type="dxa"/>
            <w:tcBorders>
              <w:top w:val="single" w:sz="4" w:space="0" w:color="0093D0"/>
              <w:bottom w:val="single" w:sz="4" w:space="0" w:color="0093D0"/>
            </w:tcBorders>
            <w:noWrap/>
            <w:hideMark/>
          </w:tcPr>
          <w:p w14:paraId="411A4CD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139</w:t>
            </w:r>
          </w:p>
        </w:tc>
        <w:tc>
          <w:tcPr>
            <w:tcW w:w="1097" w:type="dxa"/>
            <w:tcBorders>
              <w:top w:val="single" w:sz="4" w:space="0" w:color="0093D0"/>
              <w:bottom w:val="single" w:sz="4" w:space="0" w:color="0093D0"/>
            </w:tcBorders>
            <w:noWrap/>
            <w:hideMark/>
          </w:tcPr>
          <w:p w14:paraId="411A4CE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151</w:t>
            </w:r>
          </w:p>
        </w:tc>
        <w:tc>
          <w:tcPr>
            <w:tcW w:w="1097" w:type="dxa"/>
            <w:tcBorders>
              <w:top w:val="single" w:sz="4" w:space="0" w:color="0093D0"/>
              <w:bottom w:val="single" w:sz="4" w:space="0" w:color="0093D0"/>
            </w:tcBorders>
            <w:noWrap/>
            <w:hideMark/>
          </w:tcPr>
          <w:p w14:paraId="411A4CE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151+</w:t>
            </w:r>
          </w:p>
        </w:tc>
      </w:tr>
      <w:tr w:rsidR="00B74B51" w:rsidRPr="00B74B51" w14:paraId="411A4CE9"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E3"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Tasmania</w:t>
            </w:r>
          </w:p>
        </w:tc>
        <w:tc>
          <w:tcPr>
            <w:tcW w:w="1704" w:type="dxa"/>
            <w:tcBorders>
              <w:top w:val="single" w:sz="4" w:space="0" w:color="0093D0"/>
              <w:bottom w:val="single" w:sz="4" w:space="0" w:color="0093D0"/>
            </w:tcBorders>
            <w:noWrap/>
            <w:hideMark/>
          </w:tcPr>
          <w:p w14:paraId="411A4CE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104</w:t>
            </w:r>
          </w:p>
        </w:tc>
        <w:tc>
          <w:tcPr>
            <w:tcW w:w="1124" w:type="dxa"/>
            <w:tcBorders>
              <w:top w:val="single" w:sz="4" w:space="0" w:color="0093D0"/>
              <w:bottom w:val="single" w:sz="4" w:space="0" w:color="0093D0"/>
            </w:tcBorders>
            <w:noWrap/>
            <w:hideMark/>
          </w:tcPr>
          <w:p w14:paraId="411A4CE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109</w:t>
            </w:r>
          </w:p>
        </w:tc>
        <w:tc>
          <w:tcPr>
            <w:tcW w:w="1124" w:type="dxa"/>
            <w:tcBorders>
              <w:top w:val="single" w:sz="4" w:space="0" w:color="0093D0"/>
              <w:bottom w:val="single" w:sz="4" w:space="0" w:color="0093D0"/>
            </w:tcBorders>
            <w:noWrap/>
            <w:hideMark/>
          </w:tcPr>
          <w:p w14:paraId="411A4CE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114</w:t>
            </w:r>
          </w:p>
        </w:tc>
        <w:tc>
          <w:tcPr>
            <w:tcW w:w="1097" w:type="dxa"/>
            <w:tcBorders>
              <w:top w:val="single" w:sz="4" w:space="0" w:color="0093D0"/>
              <w:bottom w:val="single" w:sz="4" w:space="0" w:color="0093D0"/>
            </w:tcBorders>
            <w:noWrap/>
            <w:hideMark/>
          </w:tcPr>
          <w:p w14:paraId="411A4CE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125</w:t>
            </w:r>
          </w:p>
        </w:tc>
        <w:tc>
          <w:tcPr>
            <w:tcW w:w="1097" w:type="dxa"/>
            <w:tcBorders>
              <w:top w:val="single" w:sz="4" w:space="0" w:color="0093D0"/>
              <w:bottom w:val="single" w:sz="4" w:space="0" w:color="0093D0"/>
            </w:tcBorders>
            <w:noWrap/>
            <w:hideMark/>
          </w:tcPr>
          <w:p w14:paraId="411A4CE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125+</w:t>
            </w:r>
          </w:p>
        </w:tc>
      </w:tr>
      <w:tr w:rsidR="00B74B51" w:rsidRPr="00B74B51" w14:paraId="411A4CF0"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EA"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Western Australia</w:t>
            </w:r>
          </w:p>
        </w:tc>
        <w:tc>
          <w:tcPr>
            <w:tcW w:w="1704" w:type="dxa"/>
            <w:tcBorders>
              <w:top w:val="single" w:sz="4" w:space="0" w:color="0093D0"/>
              <w:bottom w:val="single" w:sz="4" w:space="0" w:color="0093D0"/>
            </w:tcBorders>
            <w:noWrap/>
            <w:hideMark/>
          </w:tcPr>
          <w:p w14:paraId="411A4CE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124" w:type="dxa"/>
            <w:tcBorders>
              <w:top w:val="single" w:sz="4" w:space="0" w:color="0093D0"/>
              <w:bottom w:val="single" w:sz="4" w:space="0" w:color="0093D0"/>
            </w:tcBorders>
            <w:noWrap/>
            <w:hideMark/>
          </w:tcPr>
          <w:p w14:paraId="411A4CE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112</w:t>
            </w:r>
          </w:p>
        </w:tc>
        <w:tc>
          <w:tcPr>
            <w:tcW w:w="1124" w:type="dxa"/>
            <w:tcBorders>
              <w:top w:val="single" w:sz="4" w:space="0" w:color="0093D0"/>
              <w:bottom w:val="single" w:sz="4" w:space="0" w:color="0093D0"/>
            </w:tcBorders>
            <w:noWrap/>
            <w:hideMark/>
          </w:tcPr>
          <w:p w14:paraId="411A4CE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118</w:t>
            </w:r>
          </w:p>
        </w:tc>
        <w:tc>
          <w:tcPr>
            <w:tcW w:w="1097" w:type="dxa"/>
            <w:tcBorders>
              <w:top w:val="single" w:sz="4" w:space="0" w:color="0093D0"/>
              <w:bottom w:val="single" w:sz="4" w:space="0" w:color="0093D0"/>
            </w:tcBorders>
            <w:noWrap/>
            <w:hideMark/>
          </w:tcPr>
          <w:p w14:paraId="411A4CE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128</w:t>
            </w:r>
          </w:p>
        </w:tc>
        <w:tc>
          <w:tcPr>
            <w:tcW w:w="1097" w:type="dxa"/>
            <w:tcBorders>
              <w:top w:val="single" w:sz="4" w:space="0" w:color="0093D0"/>
              <w:bottom w:val="single" w:sz="4" w:space="0" w:color="0093D0"/>
            </w:tcBorders>
            <w:noWrap/>
            <w:hideMark/>
          </w:tcPr>
          <w:p w14:paraId="411A4CE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128+</w:t>
            </w:r>
          </w:p>
        </w:tc>
      </w:tr>
    </w:tbl>
    <w:p w14:paraId="411A4CF1" w14:textId="77777777" w:rsidR="00B74B51" w:rsidRPr="00B74B51" w:rsidRDefault="00B74B51" w:rsidP="00B74B51">
      <w:pPr>
        <w:keepNext/>
        <w:keepLines/>
        <w:tabs>
          <w:tab w:val="left" w:pos="709"/>
        </w:tabs>
        <w:spacing w:before="360" w:after="240" w:line="240" w:lineRule="auto"/>
        <w:ind w:left="709" w:hanging="709"/>
        <w:outlineLvl w:val="1"/>
        <w:rPr>
          <w:rFonts w:eastAsia="Calibri" w:cs="Arial"/>
          <w:color w:val="0093D0"/>
          <w:sz w:val="32"/>
          <w:szCs w:val="22"/>
          <w:lang w:val="en-AU" w:eastAsia="en-US"/>
        </w:rPr>
      </w:pPr>
    </w:p>
    <w:p w14:paraId="411A4CF2" w14:textId="77777777" w:rsidR="00B74B51" w:rsidRPr="00B74B51" w:rsidRDefault="00B74B51" w:rsidP="00B74B51">
      <w:pPr>
        <w:keepNext/>
        <w:keepLines/>
        <w:tabs>
          <w:tab w:val="left" w:pos="709"/>
        </w:tabs>
        <w:spacing w:before="360" w:after="240" w:line="240" w:lineRule="auto"/>
        <w:outlineLvl w:val="1"/>
        <w:rPr>
          <w:rFonts w:eastAsia="Calibri" w:cs="Arial"/>
          <w:color w:val="0093D0"/>
          <w:sz w:val="32"/>
          <w:szCs w:val="22"/>
          <w:lang w:val="en-AU" w:eastAsia="en-US"/>
        </w:rPr>
      </w:pPr>
      <w:r w:rsidRPr="00B74B51">
        <w:rPr>
          <w:rFonts w:eastAsia="Calibri" w:cs="Arial"/>
          <w:color w:val="0093D0"/>
          <w:sz w:val="32"/>
          <w:szCs w:val="22"/>
          <w:lang w:val="en-AU" w:eastAsia="en-US"/>
        </w:rPr>
        <w:br w:type="page"/>
      </w:r>
    </w:p>
    <w:p w14:paraId="411A4CF3"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793" w:name="_Toc447030103"/>
      <w:bookmarkStart w:id="794" w:name="_Toc447036055"/>
      <w:bookmarkStart w:id="795" w:name="_Toc447036162"/>
      <w:bookmarkStart w:id="796" w:name="_Toc447036264"/>
      <w:bookmarkStart w:id="797" w:name="_Toc447056902"/>
      <w:bookmarkStart w:id="798" w:name="_Toc447198771"/>
      <w:bookmarkStart w:id="799" w:name="_Toc447225514"/>
      <w:bookmarkStart w:id="800" w:name="_Toc447447158"/>
      <w:bookmarkStart w:id="801" w:name="_Toc447448917"/>
      <w:bookmarkStart w:id="802" w:name="_Toc447450202"/>
      <w:bookmarkStart w:id="803" w:name="_Toc447450449"/>
      <w:r w:rsidRPr="00B74B51">
        <w:rPr>
          <w:rFonts w:eastAsia="Times New Roman" w:cs="Arial"/>
          <w:b/>
          <w:color w:val="6A2875"/>
          <w:sz w:val="30"/>
          <w:szCs w:val="30"/>
        </w:rPr>
        <w:lastRenderedPageBreak/>
        <w:t>Additional accommodation options and factors</w:t>
      </w:r>
      <w:bookmarkEnd w:id="793"/>
      <w:bookmarkEnd w:id="794"/>
      <w:bookmarkEnd w:id="795"/>
      <w:bookmarkEnd w:id="796"/>
      <w:bookmarkEnd w:id="797"/>
      <w:bookmarkEnd w:id="798"/>
      <w:bookmarkEnd w:id="799"/>
      <w:bookmarkEnd w:id="800"/>
      <w:bookmarkEnd w:id="801"/>
      <w:bookmarkEnd w:id="802"/>
      <w:bookmarkEnd w:id="803"/>
      <w:r w:rsidRPr="00B74B51">
        <w:rPr>
          <w:rFonts w:eastAsia="Times New Roman" w:cs="Arial"/>
          <w:b/>
          <w:color w:val="6A2875"/>
          <w:sz w:val="30"/>
          <w:szCs w:val="30"/>
        </w:rPr>
        <w:t xml:space="preserve"> </w:t>
      </w:r>
    </w:p>
    <w:p w14:paraId="411A4CF4" w14:textId="77777777" w:rsidR="00B74B51" w:rsidRPr="00B74B51" w:rsidRDefault="00B74B51" w:rsidP="00EF5921">
      <w:pPr>
        <w:pStyle w:val="BodyText1"/>
        <w:rPr>
          <w:lang w:val="en-AU"/>
        </w:rPr>
      </w:pPr>
      <w:r w:rsidRPr="00B74B51">
        <w:rPr>
          <w:lang w:val="en-AU"/>
        </w:rPr>
        <w:t>Based on discussions with a broad range of stakeholders, Marsden Jacob have identified three additional specifications that may be desirable in some forms of SDA, or in some regions – but do not form part of the minimum standard across Australia.</w:t>
      </w:r>
    </w:p>
    <w:p w14:paraId="411A4CF5" w14:textId="77777777" w:rsidR="00B74B51" w:rsidRPr="00B74B51" w:rsidRDefault="00B74B51" w:rsidP="00EF5921">
      <w:pPr>
        <w:pStyle w:val="BodyText1"/>
        <w:rPr>
          <w:lang w:val="en-AU"/>
        </w:rPr>
      </w:pPr>
      <w:r w:rsidRPr="00B74B51">
        <w:rPr>
          <w:lang w:val="en-AU"/>
        </w:rPr>
        <w:t>These additive factors are:</w:t>
      </w:r>
    </w:p>
    <w:p w14:paraId="411A4CF6" w14:textId="77777777" w:rsidR="00B74B51" w:rsidRPr="00EF5921" w:rsidRDefault="00B74B51" w:rsidP="00797FB2">
      <w:pPr>
        <w:pStyle w:val="ListParagraph"/>
        <w:numPr>
          <w:ilvl w:val="0"/>
          <w:numId w:val="31"/>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fire sprinklers;</w:t>
      </w:r>
    </w:p>
    <w:p w14:paraId="411A4CF7" w14:textId="77777777" w:rsidR="00B74B51" w:rsidRPr="00EF5921" w:rsidRDefault="00B74B51" w:rsidP="00797FB2">
      <w:pPr>
        <w:pStyle w:val="ListParagraph"/>
        <w:numPr>
          <w:ilvl w:val="0"/>
          <w:numId w:val="31"/>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 xml:space="preserve">communications and technology to support assistive technology; and </w:t>
      </w:r>
    </w:p>
    <w:p w14:paraId="411A4CF8" w14:textId="77777777" w:rsidR="00B74B51" w:rsidRPr="004B2B34" w:rsidRDefault="00B74B51" w:rsidP="00797FB2">
      <w:pPr>
        <w:pStyle w:val="ListParagraph"/>
        <w:numPr>
          <w:ilvl w:val="0"/>
          <w:numId w:val="31"/>
        </w:numPr>
        <w:tabs>
          <w:tab w:val="left" w:pos="567"/>
        </w:tabs>
        <w:spacing w:before="120" w:after="120" w:line="280" w:lineRule="atLeast"/>
        <w:rPr>
          <w:rFonts w:eastAsia="Times New Roman" w:cs="Arial"/>
          <w:szCs w:val="22"/>
          <w:lang w:val="en-AU" w:eastAsia="en-US"/>
        </w:rPr>
      </w:pPr>
      <w:r w:rsidRPr="00EF5921">
        <w:rPr>
          <w:rFonts w:asciiTheme="minorHAnsi" w:eastAsia="Times New Roman" w:hAnsiTheme="minorHAnsi" w:cs="Arial"/>
          <w:sz w:val="24"/>
          <w:lang w:val="en-AU" w:eastAsia="en-US"/>
        </w:rPr>
        <w:t>cyclone rated construction</w:t>
      </w:r>
      <w:r w:rsidRPr="004B2B34">
        <w:rPr>
          <w:rFonts w:eastAsia="Times New Roman" w:cs="Arial"/>
          <w:szCs w:val="22"/>
          <w:lang w:val="en-AU" w:eastAsia="en-US"/>
        </w:rPr>
        <w:t>.</w:t>
      </w:r>
    </w:p>
    <w:p w14:paraId="411A4CF9" w14:textId="77777777" w:rsidR="00B74B51" w:rsidRPr="00B74B51" w:rsidRDefault="00B74B51" w:rsidP="00EF5921">
      <w:pPr>
        <w:pStyle w:val="BodyText1"/>
        <w:rPr>
          <w:lang w:val="en-AU"/>
        </w:rPr>
      </w:pPr>
      <w:r w:rsidRPr="00B74B51">
        <w:rPr>
          <w:lang w:val="en-AU"/>
        </w:rPr>
        <w:t>Each of these topics are considered in turn below.</w:t>
      </w:r>
    </w:p>
    <w:p w14:paraId="411A4CFA"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04" w:name="_Toc447030104"/>
      <w:bookmarkStart w:id="805" w:name="_Toc447036056"/>
      <w:bookmarkStart w:id="806" w:name="_Toc447036163"/>
      <w:bookmarkStart w:id="807" w:name="_Toc447036265"/>
      <w:bookmarkStart w:id="808" w:name="_Toc447056903"/>
      <w:bookmarkStart w:id="809" w:name="_Toc447198772"/>
      <w:bookmarkStart w:id="810" w:name="_Toc447225515"/>
      <w:bookmarkStart w:id="811" w:name="_Toc447447159"/>
      <w:bookmarkStart w:id="812" w:name="_Toc447448918"/>
      <w:r w:rsidRPr="00B74B51">
        <w:rPr>
          <w:rFonts w:eastAsia="Times New Roman" w:cs="Arial"/>
          <w:b/>
          <w:sz w:val="24"/>
        </w:rPr>
        <w:t>Fire Sprinklers</w:t>
      </w:r>
      <w:bookmarkEnd w:id="804"/>
      <w:bookmarkEnd w:id="805"/>
      <w:bookmarkEnd w:id="806"/>
      <w:bookmarkEnd w:id="807"/>
      <w:bookmarkEnd w:id="808"/>
      <w:bookmarkEnd w:id="809"/>
      <w:bookmarkEnd w:id="810"/>
      <w:bookmarkEnd w:id="811"/>
      <w:bookmarkEnd w:id="812"/>
    </w:p>
    <w:p w14:paraId="411A4CFB" w14:textId="77777777" w:rsidR="00B74B51" w:rsidRPr="00EF5921" w:rsidRDefault="00B74B51" w:rsidP="00B74B51">
      <w:pPr>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 xml:space="preserve">The National Construction Code (a COAG initiative) indicates that fire sprinklers should be included in dwellings considered Class 3 buildings or above. Class 3 buildings include: </w:t>
      </w:r>
    </w:p>
    <w:p w14:paraId="411A4CFC"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a residential building, other than a building of Class 1 or 2, which is a common place of long term or transient living for a number of unrelated persons, including— </w:t>
      </w:r>
    </w:p>
    <w:p w14:paraId="411A4CFD"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(c) a boarding house, guest house, hostel, lodging house or backpackers accommodation; or </w:t>
      </w:r>
    </w:p>
    <w:p w14:paraId="411A4CFE"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(d) a residential part of a hotel or motel; or </w:t>
      </w:r>
    </w:p>
    <w:p w14:paraId="411A4CFF"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(e) a residential part of a school; or </w:t>
      </w:r>
    </w:p>
    <w:p w14:paraId="411A4D00"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(f) accommodation for the aged, children or people with disabilities; or</w:t>
      </w:r>
    </w:p>
    <w:p w14:paraId="411A4D01"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(g) a residential part of a health-care building which accommodates members of staff; or </w:t>
      </w:r>
    </w:p>
    <w:p w14:paraId="411A4D02"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(h) a residential part of a detention centre.</w:t>
      </w:r>
    </w:p>
    <w:p w14:paraId="411A4D03" w14:textId="77777777" w:rsidR="00B74B51" w:rsidRPr="00EF5921" w:rsidRDefault="00B74B51" w:rsidP="00B74B51">
      <w:pPr>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However, while some of the homes being considered for SDA might fall under this category, most would be considered Class 1, which includes:</w:t>
      </w:r>
    </w:p>
    <w:p w14:paraId="411A4D04"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(a)</w:t>
      </w:r>
      <w:r w:rsidRPr="00EF5921">
        <w:rPr>
          <w:rFonts w:asciiTheme="minorHAnsi" w:eastAsia="Times New Roman" w:hAnsiTheme="minorHAnsi" w:cs="Arial"/>
          <w:i/>
          <w:sz w:val="24"/>
          <w:lang w:val="en-AU" w:eastAsia="en-US"/>
        </w:rPr>
        <w:tab/>
        <w:t>Class 1a — a single dwelling being—</w:t>
      </w:r>
    </w:p>
    <w:p w14:paraId="411A4D05" w14:textId="77777777" w:rsidR="00B74B51" w:rsidRPr="00EF5921" w:rsidRDefault="00B74B51" w:rsidP="00B74B51">
      <w:pPr>
        <w:spacing w:before="120" w:after="120" w:line="280" w:lineRule="atLeast"/>
        <w:ind w:left="720"/>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w:t>
      </w:r>
      <w:r w:rsidRPr="00EF5921">
        <w:rPr>
          <w:rFonts w:asciiTheme="minorHAnsi" w:eastAsia="Times New Roman" w:hAnsiTheme="minorHAnsi" w:cs="Arial"/>
          <w:i/>
          <w:sz w:val="24"/>
          <w:lang w:val="en-AU" w:eastAsia="en-US"/>
        </w:rPr>
        <w:tab/>
        <w:t xml:space="preserve">a detached house; or </w:t>
      </w:r>
    </w:p>
    <w:p w14:paraId="411A4D06" w14:textId="77777777" w:rsidR="00B74B51" w:rsidRPr="00EF5921" w:rsidRDefault="00B74B51" w:rsidP="00B74B51">
      <w:pPr>
        <w:spacing w:before="120" w:after="120" w:line="280" w:lineRule="atLeast"/>
        <w:ind w:left="1418" w:hanging="698"/>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(ii)</w:t>
      </w:r>
      <w:r w:rsidRPr="00EF5921">
        <w:rPr>
          <w:rFonts w:asciiTheme="minorHAnsi" w:eastAsia="Times New Roman" w:hAnsiTheme="minorHAnsi" w:cs="Arial"/>
          <w:i/>
          <w:sz w:val="24"/>
          <w:lang w:val="en-AU" w:eastAsia="en-US"/>
        </w:rPr>
        <w:tab/>
        <w:t>one of a group of two or more attached dwellings, each being a building, separated by a fire-resisting wall, including a row house, terrace house, town house or villa unit; or</w:t>
      </w:r>
    </w:p>
    <w:p w14:paraId="411A4D07"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(b)</w:t>
      </w:r>
      <w:r w:rsidRPr="00EF5921">
        <w:rPr>
          <w:rFonts w:asciiTheme="minorHAnsi" w:eastAsia="Times New Roman" w:hAnsiTheme="minorHAnsi" w:cs="Arial"/>
          <w:i/>
          <w:sz w:val="24"/>
          <w:lang w:val="en-AU" w:eastAsia="en-US"/>
        </w:rPr>
        <w:tab/>
        <w:t xml:space="preserve">Class 1b — </w:t>
      </w:r>
    </w:p>
    <w:p w14:paraId="411A4D08" w14:textId="77777777" w:rsidR="00B74B51" w:rsidRPr="00EF5921" w:rsidRDefault="00B74B51" w:rsidP="00B74B51">
      <w:pPr>
        <w:spacing w:before="120" w:after="120" w:line="280" w:lineRule="atLeast"/>
        <w:ind w:left="720"/>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w:t>
      </w:r>
      <w:r w:rsidRPr="00EF5921">
        <w:rPr>
          <w:rFonts w:asciiTheme="minorHAnsi" w:eastAsia="Times New Roman" w:hAnsiTheme="minorHAnsi" w:cs="Arial"/>
          <w:i/>
          <w:sz w:val="24"/>
          <w:lang w:val="en-AU" w:eastAsia="en-US"/>
        </w:rPr>
        <w:tab/>
        <w:t xml:space="preserve">a boarding house, guest house, hostel or the like— </w:t>
      </w:r>
    </w:p>
    <w:p w14:paraId="411A4D09" w14:textId="77777777" w:rsidR="00B74B51" w:rsidRPr="00EF5921" w:rsidRDefault="00B74B51" w:rsidP="00B74B51">
      <w:pPr>
        <w:spacing w:before="120" w:after="120" w:line="280" w:lineRule="atLeast"/>
        <w:ind w:left="1843" w:hanging="425"/>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A.</w:t>
      </w:r>
      <w:r w:rsidRPr="00EF5921">
        <w:rPr>
          <w:rFonts w:asciiTheme="minorHAnsi" w:eastAsia="Times New Roman" w:hAnsiTheme="minorHAnsi" w:cs="Arial"/>
          <w:i/>
          <w:sz w:val="24"/>
          <w:lang w:val="en-AU" w:eastAsia="en-US"/>
        </w:rPr>
        <w:tab/>
        <w:t xml:space="preserve">with a total area of all floors not exceeding 300 m2 measured over the enclosing walls of the Class 1b; and </w:t>
      </w:r>
    </w:p>
    <w:p w14:paraId="411A4D0A" w14:textId="77777777" w:rsidR="00B74B51" w:rsidRPr="00EF5921" w:rsidRDefault="00B74B51" w:rsidP="00B74B51">
      <w:pPr>
        <w:spacing w:before="120" w:after="120" w:line="280" w:lineRule="atLeast"/>
        <w:ind w:left="1843" w:hanging="425"/>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B.</w:t>
      </w:r>
      <w:r w:rsidRPr="00EF5921">
        <w:rPr>
          <w:rFonts w:asciiTheme="minorHAnsi" w:eastAsia="Times New Roman" w:hAnsiTheme="minorHAnsi" w:cs="Arial"/>
          <w:i/>
          <w:sz w:val="24"/>
          <w:lang w:val="en-AU" w:eastAsia="en-US"/>
        </w:rPr>
        <w:tab/>
        <w:t xml:space="preserve">in which not more than 12 persons would ordinarily be resident; or </w:t>
      </w:r>
    </w:p>
    <w:p w14:paraId="411A4D0B" w14:textId="77777777" w:rsidR="00B74B51" w:rsidRPr="00EF5921" w:rsidRDefault="00B74B51" w:rsidP="00B74B51">
      <w:pPr>
        <w:spacing w:before="120" w:after="120" w:line="280" w:lineRule="atLeast"/>
        <w:ind w:left="1418" w:hanging="698"/>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(ii)</w:t>
      </w:r>
      <w:r w:rsidRPr="00EF5921">
        <w:rPr>
          <w:rFonts w:asciiTheme="minorHAnsi" w:eastAsia="Times New Roman" w:hAnsiTheme="minorHAnsi" w:cs="Arial"/>
          <w:i/>
          <w:sz w:val="24"/>
          <w:lang w:val="en-AU" w:eastAsia="en-US"/>
        </w:rPr>
        <w:tab/>
        <w:t xml:space="preserve">4 or more single dwellings located on one allotment and used for short-term holiday accommodation, which are not located above or below another dwelling or another Class of building other than a private garage. </w:t>
      </w:r>
    </w:p>
    <w:p w14:paraId="411A4D0C" w14:textId="77777777" w:rsidR="00B74B51" w:rsidRPr="00B74B51" w:rsidRDefault="00B74B51" w:rsidP="00EF5921">
      <w:pPr>
        <w:pStyle w:val="BodyText1"/>
        <w:rPr>
          <w:lang w:val="en-AU"/>
        </w:rPr>
      </w:pPr>
      <w:r w:rsidRPr="00B74B51">
        <w:rPr>
          <w:lang w:val="en-AU"/>
        </w:rPr>
        <w:lastRenderedPageBreak/>
        <w:t xml:space="preserve">Some jurisdictions encourage the installation of fire sprinklers as part of the duty of care for people with disability, including those with both mobility issues and intellectual disabilities. </w:t>
      </w:r>
    </w:p>
    <w:p w14:paraId="411A4D0D" w14:textId="77777777" w:rsidR="00B74B51" w:rsidRPr="00B74B51" w:rsidRDefault="00B74B51" w:rsidP="00EF5921">
      <w:pPr>
        <w:pStyle w:val="BodyText1"/>
        <w:rPr>
          <w:lang w:val="en-AU"/>
        </w:rPr>
      </w:pPr>
      <w:r w:rsidRPr="00B74B51">
        <w:rPr>
          <w:lang w:val="en-AU"/>
        </w:rPr>
        <w:t xml:space="preserve">Therefore, Marsden Jacob have included fire sprinklers as a separate additive factor in the benchmark price, allowing the </w:t>
      </w:r>
      <w:r w:rsidR="004D4B94">
        <w:rPr>
          <w:lang w:val="en-AU"/>
        </w:rPr>
        <w:t>Agency</w:t>
      </w:r>
      <w:r w:rsidRPr="00B74B51">
        <w:rPr>
          <w:lang w:val="en-AU"/>
        </w:rPr>
        <w:t xml:space="preserve"> to consider whether fire sprinklers will be considered ‘reasonable and necessary’ in either some or all SDA.</w:t>
      </w:r>
    </w:p>
    <w:p w14:paraId="411A4D0E" w14:textId="77777777" w:rsidR="00B74B51" w:rsidRPr="00B74B51" w:rsidRDefault="00B74B51" w:rsidP="00EF5921">
      <w:pPr>
        <w:pStyle w:val="BodyText1"/>
        <w:rPr>
          <w:lang w:val="en-AU"/>
        </w:rPr>
      </w:pPr>
      <w:r w:rsidRPr="00B74B51">
        <w:rPr>
          <w:lang w:val="en-AU"/>
        </w:rPr>
        <w:t>The Quantity Surveyor (Plancost) estimated that installation of fire suppression sprinklers at the time of construction would cost around $70/m</w:t>
      </w:r>
      <w:r w:rsidRPr="00B74B51">
        <w:rPr>
          <w:vertAlign w:val="superscript"/>
          <w:lang w:val="en-AU"/>
        </w:rPr>
        <w:t>2</w:t>
      </w:r>
      <w:r w:rsidRPr="00B74B51">
        <w:rPr>
          <w:lang w:val="en-AU"/>
        </w:rPr>
        <w:t xml:space="preserve"> for standard, improved liveability and fully accessible housing and would cost $84/m</w:t>
      </w:r>
      <w:r w:rsidRPr="00B74B51">
        <w:rPr>
          <w:vertAlign w:val="superscript"/>
          <w:lang w:val="en-AU"/>
        </w:rPr>
        <w:t>2</w:t>
      </w:r>
      <w:r w:rsidRPr="00B74B51">
        <w:rPr>
          <w:lang w:val="en-AU"/>
        </w:rPr>
        <w:t xml:space="preserve"> for robust construction and high support housing.</w:t>
      </w:r>
      <w:r w:rsidRPr="00B74B51">
        <w:rPr>
          <w:vertAlign w:val="superscript"/>
          <w:lang w:val="en-AU"/>
        </w:rPr>
        <w:footnoteReference w:id="10"/>
      </w:r>
      <w:r w:rsidRPr="00B74B51">
        <w:rPr>
          <w:lang w:val="en-AU"/>
        </w:rPr>
        <w:t xml:space="preserve">   </w:t>
      </w:r>
    </w:p>
    <w:p w14:paraId="411A4D0F"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13" w:name="_Toc447030105"/>
      <w:bookmarkStart w:id="814" w:name="_Toc447036057"/>
      <w:bookmarkStart w:id="815" w:name="_Toc447036164"/>
      <w:bookmarkStart w:id="816" w:name="_Toc447036266"/>
      <w:bookmarkStart w:id="817" w:name="_Toc447056904"/>
      <w:bookmarkStart w:id="818" w:name="_Toc447198773"/>
      <w:bookmarkStart w:id="819" w:name="_Toc447225516"/>
      <w:bookmarkStart w:id="820" w:name="_Toc447447160"/>
      <w:bookmarkStart w:id="821" w:name="_Toc447448919"/>
      <w:r w:rsidRPr="00B74B51">
        <w:rPr>
          <w:rFonts w:eastAsia="Times New Roman" w:cs="Arial"/>
          <w:b/>
          <w:sz w:val="24"/>
        </w:rPr>
        <w:t>Technology</w:t>
      </w:r>
      <w:bookmarkEnd w:id="813"/>
      <w:bookmarkEnd w:id="814"/>
      <w:bookmarkEnd w:id="815"/>
      <w:bookmarkEnd w:id="816"/>
      <w:bookmarkEnd w:id="817"/>
      <w:bookmarkEnd w:id="818"/>
      <w:bookmarkEnd w:id="819"/>
      <w:bookmarkEnd w:id="820"/>
      <w:bookmarkEnd w:id="821"/>
    </w:p>
    <w:p w14:paraId="411A4D10" w14:textId="77777777" w:rsidR="00B74B51" w:rsidRPr="00B74B51" w:rsidRDefault="00B74B51" w:rsidP="00EF5921">
      <w:pPr>
        <w:pStyle w:val="BodyText1"/>
        <w:rPr>
          <w:lang w:val="en-AU"/>
        </w:rPr>
      </w:pPr>
      <w:r w:rsidRPr="00B74B51">
        <w:rPr>
          <w:lang w:val="en-AU"/>
        </w:rPr>
        <w:t>A number of stakeholders have noted that some NDIS participants would benefit from SDA that includes a high level of technology such as:</w:t>
      </w:r>
    </w:p>
    <w:p w14:paraId="411A4D11"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high speed internet connection;</w:t>
      </w:r>
    </w:p>
    <w:p w14:paraId="411A4D12"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remotely operated lights and blinds;</w:t>
      </w:r>
    </w:p>
    <w:p w14:paraId="411A4D13" w14:textId="77777777" w:rsidR="00B74B51" w:rsidRPr="00EF5921" w:rsidRDefault="00302A64"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smart locks</w:t>
      </w:r>
      <w:r w:rsidR="00B74B51" w:rsidRPr="00EF5921">
        <w:rPr>
          <w:rFonts w:asciiTheme="minorHAnsi" w:eastAsia="Times New Roman" w:hAnsiTheme="minorHAnsi" w:cs="Arial"/>
          <w:sz w:val="24"/>
          <w:lang w:val="en-AU" w:eastAsia="en-US"/>
        </w:rPr>
        <w:t xml:space="preserve"> on doors; or</w:t>
      </w:r>
    </w:p>
    <w:p w14:paraId="411A4D14"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remotely operated gates and garages.</w:t>
      </w:r>
    </w:p>
    <w:p w14:paraId="411A4D15" w14:textId="77777777" w:rsidR="00B74B51" w:rsidRPr="00B74B51" w:rsidRDefault="00B74B51" w:rsidP="00EF5921">
      <w:pPr>
        <w:pStyle w:val="BodyText1"/>
        <w:rPr>
          <w:lang w:val="en-AU"/>
        </w:rPr>
      </w:pPr>
      <w:r w:rsidRPr="00B74B51">
        <w:rPr>
          <w:lang w:val="en-AU"/>
        </w:rPr>
        <w:t>As these forms of technology will not be suitable for all participants and will not be present in most legacy properties, Marsden Jacob have not included a high level of technology in benchmark SDA prices but note that they may be included on a case by case basis if it can be demonstrated that the additional cost of the technology is required for a participant or will offset service costs.</w:t>
      </w:r>
    </w:p>
    <w:p w14:paraId="411A4D16" w14:textId="77777777" w:rsidR="00B74B51" w:rsidRPr="00B74B51" w:rsidRDefault="00B74B51" w:rsidP="00EF5921">
      <w:pPr>
        <w:pStyle w:val="BodyText1"/>
        <w:rPr>
          <w:lang w:val="en-AU"/>
        </w:rPr>
      </w:pPr>
      <w:r w:rsidRPr="00B74B51">
        <w:rPr>
          <w:lang w:val="en-AU"/>
        </w:rPr>
        <w:t>The Quantity Surveyor (Plancost) estimated that installation of cabling and technology at the time of construction would cost around $100/m</w:t>
      </w:r>
      <w:r w:rsidRPr="00B74B51">
        <w:rPr>
          <w:vertAlign w:val="superscript"/>
          <w:lang w:val="en-AU"/>
        </w:rPr>
        <w:t>2</w:t>
      </w:r>
      <w:r w:rsidRPr="00B74B51">
        <w:rPr>
          <w:lang w:val="en-AU"/>
        </w:rPr>
        <w:t xml:space="preserve"> for standard, improved liveability and fully accessible housing and would cost $120/m</w:t>
      </w:r>
      <w:r w:rsidRPr="00B74B51">
        <w:rPr>
          <w:vertAlign w:val="superscript"/>
          <w:lang w:val="en-AU"/>
        </w:rPr>
        <w:t>2</w:t>
      </w:r>
      <w:r w:rsidRPr="00B74B51">
        <w:rPr>
          <w:lang w:val="en-AU"/>
        </w:rPr>
        <w:t xml:space="preserve"> for robust construction and high support housing.</w:t>
      </w:r>
      <w:r w:rsidRPr="00B74B51">
        <w:rPr>
          <w:vertAlign w:val="superscript"/>
          <w:lang w:val="en-AU"/>
        </w:rPr>
        <w:footnoteReference w:id="11"/>
      </w:r>
      <w:r w:rsidRPr="00B74B51">
        <w:rPr>
          <w:lang w:val="en-AU"/>
        </w:rPr>
        <w:t xml:space="preserve"> </w:t>
      </w:r>
    </w:p>
    <w:p w14:paraId="411A4D17"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22" w:name="_Toc447030106"/>
      <w:bookmarkStart w:id="823" w:name="_Toc447036058"/>
      <w:bookmarkStart w:id="824" w:name="_Toc447036165"/>
      <w:bookmarkStart w:id="825" w:name="_Toc447036267"/>
      <w:bookmarkStart w:id="826" w:name="_Toc447056905"/>
      <w:bookmarkStart w:id="827" w:name="_Toc447198774"/>
      <w:bookmarkStart w:id="828" w:name="_Toc447225517"/>
      <w:bookmarkStart w:id="829" w:name="_Toc447447161"/>
      <w:bookmarkStart w:id="830" w:name="_Toc447448920"/>
      <w:r w:rsidRPr="00B74B51">
        <w:rPr>
          <w:rFonts w:eastAsia="Times New Roman" w:cs="Arial"/>
          <w:b/>
          <w:sz w:val="24"/>
        </w:rPr>
        <w:t>Cyclone rated construction</w:t>
      </w:r>
      <w:bookmarkEnd w:id="822"/>
      <w:bookmarkEnd w:id="823"/>
      <w:bookmarkEnd w:id="824"/>
      <w:bookmarkEnd w:id="825"/>
      <w:bookmarkEnd w:id="826"/>
      <w:bookmarkEnd w:id="827"/>
      <w:bookmarkEnd w:id="828"/>
      <w:bookmarkEnd w:id="829"/>
      <w:bookmarkEnd w:id="830"/>
    </w:p>
    <w:p w14:paraId="411A4D18" w14:textId="77777777" w:rsidR="00B74B51" w:rsidRPr="00B74B51" w:rsidRDefault="00B74B51" w:rsidP="00EF5921">
      <w:pPr>
        <w:pStyle w:val="BodyText1"/>
        <w:rPr>
          <w:lang w:val="en-AU"/>
        </w:rPr>
      </w:pPr>
      <w:r w:rsidRPr="00B74B51">
        <w:rPr>
          <w:lang w:val="en-AU"/>
        </w:rPr>
        <w:t>In northern communities of Australia, particularly in coastal areas, buildings must be constructed to a standard that can withstand cyclonic conditions.</w:t>
      </w:r>
    </w:p>
    <w:p w14:paraId="411A4D19" w14:textId="77777777" w:rsidR="00B74B51" w:rsidRPr="00B74B51" w:rsidRDefault="00B74B51" w:rsidP="00EF5921">
      <w:pPr>
        <w:pStyle w:val="BodyText1"/>
        <w:rPr>
          <w:lang w:val="en-AU"/>
        </w:rPr>
      </w:pPr>
      <w:r w:rsidRPr="00B74B51">
        <w:rPr>
          <w:lang w:val="en-AU"/>
        </w:rPr>
        <w:t xml:space="preserve">The Building Code of Australia refers to Australian Standard AS/NZS1170.2:2011 (Structural Design Actions - Part 2 - Wind actions).  The standard defines Australia into four regions (A to D) and specifies additional building requirements in Regions C (Tropical cyclones) and Region D (Severe Tropical Cyclones).  </w:t>
      </w:r>
    </w:p>
    <w:p w14:paraId="411A4D1A" w14:textId="77777777" w:rsidR="00B74B51" w:rsidRPr="00B74B51" w:rsidRDefault="00B74B51" w:rsidP="00EF5921">
      <w:pPr>
        <w:pStyle w:val="BodyText1"/>
        <w:rPr>
          <w:lang w:val="en-AU"/>
        </w:rPr>
      </w:pPr>
      <w:r w:rsidRPr="00B74B51">
        <w:rPr>
          <w:lang w:val="en-AU"/>
        </w:rPr>
        <w:lastRenderedPageBreak/>
        <w:t xml:space="preserve">Regions C and D only apply within 50 kilometres of the coast and so impact on a small part of a large number of local government areas.  The location of these areas are illustrated in </w:t>
      </w:r>
      <w:r w:rsidRPr="00B74B51">
        <w:rPr>
          <w:lang w:val="en-AU"/>
        </w:rPr>
        <w:fldChar w:fldCharType="begin"/>
      </w:r>
      <w:r w:rsidRPr="00B74B51">
        <w:rPr>
          <w:lang w:val="en-AU"/>
        </w:rPr>
        <w:instrText xml:space="preserve"> REF _Ref444784778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19</w:t>
      </w:r>
      <w:r w:rsidRPr="00B74B51">
        <w:rPr>
          <w:lang w:val="en-AU"/>
        </w:rPr>
        <w:fldChar w:fldCharType="end"/>
      </w:r>
      <w:r w:rsidRPr="00B74B51">
        <w:rPr>
          <w:lang w:val="en-AU"/>
        </w:rPr>
        <w:t>.</w:t>
      </w:r>
    </w:p>
    <w:p w14:paraId="411A4D1B" w14:textId="77777777" w:rsidR="00B74B51" w:rsidRPr="000B6F7C" w:rsidRDefault="001E2292" w:rsidP="000B6F7C">
      <w:pPr>
        <w:pStyle w:val="Caption"/>
      </w:pPr>
      <w:bookmarkStart w:id="831" w:name="_Ref444784778"/>
      <w:r w:rsidRPr="000B6F7C">
        <w:t>Table</w:t>
      </w:r>
      <w:r w:rsidR="00B74B51" w:rsidRPr="000B6F7C">
        <w:t xml:space="preserve"> </w:t>
      </w:r>
      <w:r w:rsidRPr="000B6F7C">
        <w:fldChar w:fldCharType="begin"/>
      </w:r>
      <w:r w:rsidRPr="000B6F7C">
        <w:instrText xml:space="preserve"> SEQ Table \* ARABIC </w:instrText>
      </w:r>
      <w:r w:rsidRPr="000B6F7C">
        <w:fldChar w:fldCharType="separate"/>
      </w:r>
      <w:r w:rsidR="00607084">
        <w:rPr>
          <w:noProof/>
        </w:rPr>
        <w:t>19</w:t>
      </w:r>
      <w:r w:rsidRPr="000B6F7C">
        <w:fldChar w:fldCharType="end"/>
      </w:r>
      <w:bookmarkEnd w:id="831"/>
      <w:r w:rsidR="00B74B51" w:rsidRPr="000B6F7C">
        <w:t>:  Map indicating the cyclonic and strong wind regions of Australia</w:t>
      </w:r>
    </w:p>
    <w:p w14:paraId="411A4D1C"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4" wp14:editId="411A4FB5">
            <wp:extent cx="3819525" cy="381000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_001_wind_regions.gif"/>
                    <pic:cNvPicPr/>
                  </pic:nvPicPr>
                  <pic:blipFill>
                    <a:blip r:embed="rId37">
                      <a:extLst>
                        <a:ext uri="{28A0092B-C50C-407E-A947-70E740481C1C}">
                          <a14:useLocalDpi xmlns:a14="http://schemas.microsoft.com/office/drawing/2010/main" val="0"/>
                        </a:ext>
                      </a:extLst>
                    </a:blip>
                    <a:stretch>
                      <a:fillRect/>
                    </a:stretch>
                  </pic:blipFill>
                  <pic:spPr>
                    <a:xfrm>
                      <a:off x="0" y="0"/>
                      <a:ext cx="3819525" cy="3810000"/>
                    </a:xfrm>
                    <a:prstGeom prst="rect">
                      <a:avLst/>
                    </a:prstGeom>
                    <a:ln>
                      <a:solidFill>
                        <a:srgbClr val="4F81BD"/>
                      </a:solidFill>
                    </a:ln>
                  </pic:spPr>
                </pic:pic>
              </a:graphicData>
            </a:graphic>
          </wp:inline>
        </w:drawing>
      </w:r>
    </w:p>
    <w:p w14:paraId="411A4D1D"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 xml:space="preserve">Source: </w:t>
      </w:r>
      <w:hyperlink r:id="rId38" w:history="1">
        <w:r w:rsidRPr="00B74B51">
          <w:rPr>
            <w:rFonts w:eastAsia="Calibri" w:cs="Arial"/>
            <w:i/>
            <w:color w:val="0000FF"/>
            <w:sz w:val="18"/>
            <w:szCs w:val="22"/>
            <w:u w:val="single"/>
            <w:lang w:val="en-AU" w:eastAsia="en-US"/>
          </w:rPr>
          <w:t>www.dlsweb.rmit.edu.au</w:t>
        </w:r>
      </w:hyperlink>
      <w:r w:rsidRPr="00B74B51">
        <w:rPr>
          <w:rFonts w:eastAsia="Calibri" w:cs="Arial"/>
          <w:i/>
          <w:sz w:val="18"/>
          <w:szCs w:val="22"/>
          <w:lang w:val="en-AU" w:eastAsia="en-US"/>
        </w:rPr>
        <w:t xml:space="preserve"> </w:t>
      </w:r>
    </w:p>
    <w:p w14:paraId="411A4D1E" w14:textId="77777777" w:rsidR="00114D53" w:rsidRDefault="00B74B51" w:rsidP="00EF5921">
      <w:pPr>
        <w:pStyle w:val="BodyText1"/>
        <w:rPr>
          <w:lang w:val="en-AU"/>
        </w:rPr>
      </w:pPr>
      <w:r w:rsidRPr="00B74B51">
        <w:rPr>
          <w:lang w:val="en-AU"/>
        </w:rPr>
        <w:t>Advice from a Quantity Surveyor indicates that in regions C and D the additional building requirements are estimated to increase construction costs by 15%.</w:t>
      </w:r>
    </w:p>
    <w:p w14:paraId="411A4D1F" w14:textId="77777777" w:rsidR="009D2B15" w:rsidRDefault="009D2B15">
      <w:pPr>
        <w:spacing w:line="276" w:lineRule="auto"/>
        <w:rPr>
          <w:rFonts w:eastAsia="Times New Roman" w:cs="Arial"/>
          <w:szCs w:val="22"/>
          <w:lang w:val="en-AU" w:eastAsia="en-US"/>
        </w:rPr>
        <w:sectPr w:rsidR="009D2B15" w:rsidSect="00EC709B">
          <w:pgSz w:w="11906" w:h="16838"/>
          <w:pgMar w:top="1440" w:right="1440" w:bottom="1440" w:left="1440" w:header="708" w:footer="0" w:gutter="0"/>
          <w:cols w:space="708"/>
          <w:docGrid w:linePitch="360"/>
        </w:sectPr>
      </w:pPr>
    </w:p>
    <w:p w14:paraId="411A4D20" w14:textId="77777777" w:rsidR="00740CF7" w:rsidRDefault="00740CF7" w:rsidP="00740CF7">
      <w:pPr>
        <w:pStyle w:val="Heading3"/>
        <w:numPr>
          <w:ilvl w:val="1"/>
          <w:numId w:val="45"/>
        </w:numPr>
        <w:ind w:left="720"/>
      </w:pPr>
      <w:bookmarkStart w:id="832" w:name="_Toc447447162"/>
      <w:bookmarkStart w:id="833" w:name="_Toc447450450"/>
      <w:r w:rsidRPr="00F904DE">
        <w:lastRenderedPageBreak/>
        <w:t xml:space="preserve">Appendix </w:t>
      </w:r>
      <w:r>
        <w:t>C</w:t>
      </w:r>
      <w:r w:rsidRPr="00F904DE">
        <w:t xml:space="preserve">: </w:t>
      </w:r>
      <w:r w:rsidR="009D2B15">
        <w:t>Location Factors</w:t>
      </w:r>
      <w:bookmarkEnd w:id="832"/>
      <w:bookmarkEnd w:id="833"/>
    </w:p>
    <w:p w14:paraId="411A4D22" w14:textId="4C417068" w:rsidR="009D2B15" w:rsidRDefault="009D2B15" w:rsidP="00F76BC7">
      <w:pPr>
        <w:pStyle w:val="BodyText1"/>
      </w:pPr>
      <w:r>
        <w:t xml:space="preserve">To derive an SDA Benchmark Price for a particular property, the Base Price must be multiplied by the Location Factor </w:t>
      </w:r>
      <w:r w:rsidRPr="00B51482">
        <w:t xml:space="preserve">relevant to </w:t>
      </w:r>
      <w:r>
        <w:t>the</w:t>
      </w:r>
      <w:r w:rsidRPr="00B51482">
        <w:t xml:space="preserve"> property’s location</w:t>
      </w:r>
      <w:r>
        <w:t xml:space="preserve"> and build type, as shown in the table below</w:t>
      </w:r>
      <w:r w:rsidRPr="00B51482">
        <w:t>.</w:t>
      </w:r>
      <w:r>
        <w:t xml:space="preserve"> The Location Factor geographic areas are based on Australian Bureau of Statistics, Statistical Areas Level 4 regions.</w:t>
      </w:r>
      <w:r>
        <w:rPr>
          <w:rStyle w:val="FootnoteReference"/>
        </w:rPr>
        <w:footnoteReference w:id="12"/>
      </w:r>
      <w:r>
        <w:t xml:space="preserve"> </w:t>
      </w:r>
      <w:bookmarkStart w:id="834" w:name="_GoBack"/>
      <w:bookmarkEnd w:id="834"/>
    </w:p>
    <w:p w14:paraId="05822625" w14:textId="01F462DE" w:rsidR="00F76BC7" w:rsidRDefault="00F76BC7" w:rsidP="00F76BC7">
      <w:pPr>
        <w:pStyle w:val="Caption"/>
      </w:pPr>
      <w:r>
        <w:t xml:space="preserve">Table </w:t>
      </w:r>
      <w:r>
        <w:fldChar w:fldCharType="begin"/>
      </w:r>
      <w:r>
        <w:instrText xml:space="preserve"> SEQ Table \* ARABIC </w:instrText>
      </w:r>
      <w:r>
        <w:fldChar w:fldCharType="separate"/>
      </w:r>
      <w:r w:rsidR="00607084">
        <w:rPr>
          <w:noProof/>
        </w:rPr>
        <w:t>20</w:t>
      </w:r>
      <w:r>
        <w:fldChar w:fldCharType="end"/>
      </w:r>
      <w:r>
        <w:t>: Location factors</w:t>
      </w:r>
    </w:p>
    <w:tbl>
      <w:tblPr>
        <w:tblW w:w="14459" w:type="dxa"/>
        <w:tblLayout w:type="fixed"/>
        <w:tblLook w:val="04A0" w:firstRow="1" w:lastRow="0" w:firstColumn="1" w:lastColumn="0" w:noHBand="0" w:noVBand="1"/>
      </w:tblPr>
      <w:tblGrid>
        <w:gridCol w:w="3681"/>
        <w:gridCol w:w="1347"/>
        <w:gridCol w:w="1488"/>
        <w:gridCol w:w="1276"/>
        <w:gridCol w:w="1278"/>
        <w:gridCol w:w="1347"/>
        <w:gridCol w:w="1347"/>
        <w:gridCol w:w="1347"/>
        <w:gridCol w:w="1348"/>
      </w:tblGrid>
      <w:tr w:rsidR="005751F5" w:rsidRPr="00675E74" w14:paraId="4AE76AB6" w14:textId="77777777" w:rsidTr="00E06C05">
        <w:trPr>
          <w:cantSplit/>
          <w:trHeight w:val="540"/>
          <w:tblHeader/>
        </w:trPr>
        <w:tc>
          <w:tcPr>
            <w:tcW w:w="3681" w:type="dxa"/>
            <w:tcBorders>
              <w:top w:val="single" w:sz="4" w:space="0" w:color="7030A0"/>
              <w:left w:val="single" w:sz="4" w:space="0" w:color="7030A0"/>
              <w:bottom w:val="single" w:sz="4" w:space="0" w:color="7030A0"/>
            </w:tcBorders>
            <w:shd w:val="clear" w:color="auto" w:fill="7030A0"/>
            <w:noWrap/>
            <w:vAlign w:val="bottom"/>
            <w:hideMark/>
          </w:tcPr>
          <w:p w14:paraId="6D678D31"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p>
        </w:tc>
        <w:tc>
          <w:tcPr>
            <w:tcW w:w="1347" w:type="dxa"/>
            <w:tcBorders>
              <w:top w:val="single" w:sz="4" w:space="0" w:color="7030A0"/>
              <w:bottom w:val="single" w:sz="4" w:space="0" w:color="7030A0"/>
            </w:tcBorders>
            <w:shd w:val="clear" w:color="auto" w:fill="7030A0"/>
            <w:hideMark/>
          </w:tcPr>
          <w:p w14:paraId="38A072CF"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Apartment, 1 bedroom, 1 resident</w:t>
            </w:r>
          </w:p>
        </w:tc>
        <w:tc>
          <w:tcPr>
            <w:tcW w:w="1488" w:type="dxa"/>
            <w:tcBorders>
              <w:top w:val="single" w:sz="4" w:space="0" w:color="7030A0"/>
              <w:bottom w:val="single" w:sz="4" w:space="0" w:color="7030A0"/>
            </w:tcBorders>
            <w:shd w:val="clear" w:color="auto" w:fill="7030A0"/>
            <w:hideMark/>
          </w:tcPr>
          <w:p w14:paraId="7E613926"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Apartment, 2 bedrooms, 1 resident</w:t>
            </w:r>
          </w:p>
        </w:tc>
        <w:tc>
          <w:tcPr>
            <w:tcW w:w="1276" w:type="dxa"/>
            <w:tcBorders>
              <w:top w:val="single" w:sz="4" w:space="0" w:color="7030A0"/>
              <w:bottom w:val="single" w:sz="4" w:space="0" w:color="7030A0"/>
            </w:tcBorders>
            <w:shd w:val="clear" w:color="auto" w:fill="7030A0"/>
            <w:hideMark/>
          </w:tcPr>
          <w:p w14:paraId="72DA71B8"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Villa, 1 bedrooms, 1 resident</w:t>
            </w:r>
          </w:p>
        </w:tc>
        <w:tc>
          <w:tcPr>
            <w:tcW w:w="1278" w:type="dxa"/>
            <w:tcBorders>
              <w:top w:val="single" w:sz="4" w:space="0" w:color="7030A0"/>
              <w:bottom w:val="single" w:sz="4" w:space="0" w:color="7030A0"/>
            </w:tcBorders>
            <w:shd w:val="clear" w:color="auto" w:fill="7030A0"/>
            <w:hideMark/>
          </w:tcPr>
          <w:p w14:paraId="4149970E"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Duplex, 2 residents</w:t>
            </w:r>
          </w:p>
        </w:tc>
        <w:tc>
          <w:tcPr>
            <w:tcW w:w="1347" w:type="dxa"/>
            <w:tcBorders>
              <w:top w:val="single" w:sz="4" w:space="0" w:color="7030A0"/>
              <w:bottom w:val="single" w:sz="4" w:space="0" w:color="7030A0"/>
            </w:tcBorders>
            <w:shd w:val="clear" w:color="auto" w:fill="7030A0"/>
            <w:hideMark/>
          </w:tcPr>
          <w:p w14:paraId="3F34CDA0"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Duplex, 3 residents</w:t>
            </w:r>
          </w:p>
        </w:tc>
        <w:tc>
          <w:tcPr>
            <w:tcW w:w="1347" w:type="dxa"/>
            <w:tcBorders>
              <w:top w:val="single" w:sz="4" w:space="0" w:color="7030A0"/>
              <w:bottom w:val="single" w:sz="4" w:space="0" w:color="7030A0"/>
            </w:tcBorders>
            <w:shd w:val="clear" w:color="auto" w:fill="7030A0"/>
            <w:hideMark/>
          </w:tcPr>
          <w:p w14:paraId="67C14F49"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House, 3 people</w:t>
            </w:r>
          </w:p>
        </w:tc>
        <w:tc>
          <w:tcPr>
            <w:tcW w:w="1347" w:type="dxa"/>
            <w:tcBorders>
              <w:top w:val="single" w:sz="4" w:space="0" w:color="7030A0"/>
              <w:bottom w:val="single" w:sz="4" w:space="0" w:color="7030A0"/>
            </w:tcBorders>
            <w:shd w:val="clear" w:color="auto" w:fill="7030A0"/>
            <w:hideMark/>
          </w:tcPr>
          <w:p w14:paraId="7E0B8D64"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House, 4 people</w:t>
            </w:r>
          </w:p>
        </w:tc>
        <w:tc>
          <w:tcPr>
            <w:tcW w:w="1348" w:type="dxa"/>
            <w:tcBorders>
              <w:top w:val="single" w:sz="4" w:space="0" w:color="7030A0"/>
              <w:bottom w:val="single" w:sz="4" w:space="0" w:color="7030A0"/>
              <w:right w:val="single" w:sz="4" w:space="0" w:color="7030A0"/>
            </w:tcBorders>
            <w:shd w:val="clear" w:color="auto" w:fill="7030A0"/>
            <w:hideMark/>
          </w:tcPr>
          <w:p w14:paraId="1C3C286C"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Group Accomm, 5 residents</w:t>
            </w:r>
          </w:p>
        </w:tc>
      </w:tr>
      <w:tr w:rsidR="005751F5" w:rsidRPr="00675E74" w14:paraId="35E8D1A3" w14:textId="77777777" w:rsidTr="00E06C05">
        <w:trPr>
          <w:trHeight w:val="283"/>
        </w:trPr>
        <w:tc>
          <w:tcPr>
            <w:tcW w:w="3681"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AF599C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Median capital city</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B19B3C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141281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4F1A7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5AB67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7BAE54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9DA185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EE470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CCB7F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r>
      <w:tr w:rsidR="005751F5" w:rsidRPr="00675E74" w14:paraId="5CFF7D56" w14:textId="77777777" w:rsidTr="00E06C05">
        <w:trPr>
          <w:trHeight w:val="283"/>
        </w:trPr>
        <w:tc>
          <w:tcPr>
            <w:tcW w:w="3681" w:type="dxa"/>
            <w:tcBorders>
              <w:top w:val="single" w:sz="4" w:space="0" w:color="7030A0"/>
              <w:left w:val="single" w:sz="4" w:space="0" w:color="7030A0"/>
              <w:bottom w:val="single" w:sz="4" w:space="0" w:color="7030A0"/>
              <w:right w:val="single" w:sz="4" w:space="0" w:color="7030A0"/>
            </w:tcBorders>
            <w:shd w:val="clear" w:color="000000" w:fill="FFFFFF"/>
            <w:noWrap/>
            <w:vAlign w:val="center"/>
            <w:hideMark/>
          </w:tcPr>
          <w:p w14:paraId="3FBF216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ACT - Australian Capital Territory</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2710E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657C3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FE42D6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7FADF5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FA65A4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3BE197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587372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5FFF37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248168EC"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078336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Capital Region</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E596E4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7E894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70A526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0AB3988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6EF27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3FD94B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E386E5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25ED87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r>
      <w:tr w:rsidR="005751F5" w:rsidRPr="00675E74" w14:paraId="4D4DECA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3A2FE7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Central Coast</w:t>
            </w:r>
          </w:p>
        </w:tc>
        <w:tc>
          <w:tcPr>
            <w:tcW w:w="1347" w:type="dxa"/>
            <w:tcBorders>
              <w:top w:val="nil"/>
              <w:left w:val="single" w:sz="4" w:space="0" w:color="7030A0"/>
              <w:bottom w:val="nil"/>
              <w:right w:val="single" w:sz="4" w:space="0" w:color="7030A0"/>
            </w:tcBorders>
            <w:shd w:val="clear" w:color="auto" w:fill="auto"/>
            <w:noWrap/>
            <w:vAlign w:val="center"/>
            <w:hideMark/>
          </w:tcPr>
          <w:p w14:paraId="6F085E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2F0B89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68B75E9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5DB43BE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666B6C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4225CB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3F040E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19A796B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76C803F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17BC9E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Central West</w:t>
            </w:r>
          </w:p>
        </w:tc>
        <w:tc>
          <w:tcPr>
            <w:tcW w:w="1347" w:type="dxa"/>
            <w:tcBorders>
              <w:top w:val="nil"/>
              <w:left w:val="single" w:sz="4" w:space="0" w:color="7030A0"/>
              <w:bottom w:val="nil"/>
              <w:right w:val="single" w:sz="4" w:space="0" w:color="7030A0"/>
            </w:tcBorders>
            <w:shd w:val="clear" w:color="auto" w:fill="auto"/>
            <w:noWrap/>
            <w:vAlign w:val="center"/>
            <w:hideMark/>
          </w:tcPr>
          <w:p w14:paraId="44FCC4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008AE4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581330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732B88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6823A7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3AD7FE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B583B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52E0026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60D251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24D654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Coffs Harbour - Grafton</w:t>
            </w:r>
          </w:p>
        </w:tc>
        <w:tc>
          <w:tcPr>
            <w:tcW w:w="1347" w:type="dxa"/>
            <w:tcBorders>
              <w:top w:val="nil"/>
              <w:left w:val="single" w:sz="4" w:space="0" w:color="7030A0"/>
              <w:bottom w:val="nil"/>
              <w:right w:val="single" w:sz="4" w:space="0" w:color="7030A0"/>
            </w:tcBorders>
            <w:shd w:val="clear" w:color="auto" w:fill="auto"/>
            <w:noWrap/>
            <w:vAlign w:val="center"/>
            <w:hideMark/>
          </w:tcPr>
          <w:p w14:paraId="1E32944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56F59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BB68D2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5552BC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227D3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2CDA6C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5292A4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nil"/>
              <w:left w:val="single" w:sz="4" w:space="0" w:color="7030A0"/>
              <w:bottom w:val="nil"/>
              <w:right w:val="single" w:sz="4" w:space="0" w:color="7030A0"/>
            </w:tcBorders>
            <w:shd w:val="clear" w:color="auto" w:fill="auto"/>
            <w:noWrap/>
            <w:vAlign w:val="center"/>
            <w:hideMark/>
          </w:tcPr>
          <w:p w14:paraId="5EC491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3FFAA42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1540F2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Far West and Orana</w:t>
            </w:r>
          </w:p>
        </w:tc>
        <w:tc>
          <w:tcPr>
            <w:tcW w:w="1347" w:type="dxa"/>
            <w:tcBorders>
              <w:top w:val="nil"/>
              <w:left w:val="single" w:sz="4" w:space="0" w:color="7030A0"/>
              <w:bottom w:val="nil"/>
              <w:right w:val="single" w:sz="4" w:space="0" w:color="7030A0"/>
            </w:tcBorders>
            <w:shd w:val="clear" w:color="auto" w:fill="auto"/>
            <w:noWrap/>
            <w:vAlign w:val="center"/>
            <w:hideMark/>
          </w:tcPr>
          <w:p w14:paraId="00D585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488" w:type="dxa"/>
            <w:tcBorders>
              <w:top w:val="nil"/>
              <w:left w:val="single" w:sz="4" w:space="0" w:color="7030A0"/>
              <w:bottom w:val="nil"/>
              <w:right w:val="single" w:sz="4" w:space="0" w:color="7030A0"/>
            </w:tcBorders>
            <w:shd w:val="clear" w:color="auto" w:fill="auto"/>
            <w:noWrap/>
            <w:vAlign w:val="center"/>
            <w:hideMark/>
          </w:tcPr>
          <w:p w14:paraId="1A6623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276" w:type="dxa"/>
            <w:tcBorders>
              <w:top w:val="nil"/>
              <w:left w:val="single" w:sz="4" w:space="0" w:color="7030A0"/>
              <w:bottom w:val="nil"/>
              <w:right w:val="single" w:sz="4" w:space="0" w:color="7030A0"/>
            </w:tcBorders>
            <w:shd w:val="clear" w:color="auto" w:fill="auto"/>
            <w:noWrap/>
            <w:vAlign w:val="center"/>
            <w:hideMark/>
          </w:tcPr>
          <w:p w14:paraId="5B5E36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485F9FD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1783F0B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3BB789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0B26DE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nil"/>
              <w:left w:val="single" w:sz="4" w:space="0" w:color="7030A0"/>
              <w:bottom w:val="nil"/>
              <w:right w:val="single" w:sz="4" w:space="0" w:color="7030A0"/>
            </w:tcBorders>
            <w:shd w:val="clear" w:color="auto" w:fill="auto"/>
            <w:noWrap/>
            <w:vAlign w:val="center"/>
            <w:hideMark/>
          </w:tcPr>
          <w:p w14:paraId="6D2BAF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27BB8930"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78C77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Hunter Valley exc Newcastle</w:t>
            </w:r>
          </w:p>
        </w:tc>
        <w:tc>
          <w:tcPr>
            <w:tcW w:w="1347" w:type="dxa"/>
            <w:tcBorders>
              <w:top w:val="nil"/>
              <w:left w:val="single" w:sz="4" w:space="0" w:color="7030A0"/>
              <w:bottom w:val="nil"/>
              <w:right w:val="single" w:sz="4" w:space="0" w:color="7030A0"/>
            </w:tcBorders>
            <w:shd w:val="clear" w:color="auto" w:fill="auto"/>
            <w:noWrap/>
            <w:vAlign w:val="center"/>
            <w:hideMark/>
          </w:tcPr>
          <w:p w14:paraId="6D89AC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55BBC18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1EFB88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2A0E1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104451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7BDAD9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5D89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31E7E15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4911591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08AC91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Illawarra</w:t>
            </w:r>
          </w:p>
        </w:tc>
        <w:tc>
          <w:tcPr>
            <w:tcW w:w="1347" w:type="dxa"/>
            <w:tcBorders>
              <w:top w:val="nil"/>
              <w:left w:val="single" w:sz="4" w:space="0" w:color="7030A0"/>
              <w:bottom w:val="nil"/>
              <w:right w:val="single" w:sz="4" w:space="0" w:color="7030A0"/>
            </w:tcBorders>
            <w:shd w:val="clear" w:color="auto" w:fill="auto"/>
            <w:noWrap/>
            <w:vAlign w:val="center"/>
            <w:hideMark/>
          </w:tcPr>
          <w:p w14:paraId="475111E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0C27CA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6D81B18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238426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1FBBD3C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03B8E0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67EBD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2738CC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r>
      <w:tr w:rsidR="005751F5" w:rsidRPr="00675E74" w14:paraId="7397A72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992FF4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Mid North Coast</w:t>
            </w:r>
          </w:p>
        </w:tc>
        <w:tc>
          <w:tcPr>
            <w:tcW w:w="1347" w:type="dxa"/>
            <w:tcBorders>
              <w:top w:val="nil"/>
              <w:left w:val="single" w:sz="4" w:space="0" w:color="7030A0"/>
              <w:bottom w:val="nil"/>
              <w:right w:val="single" w:sz="4" w:space="0" w:color="7030A0"/>
            </w:tcBorders>
            <w:shd w:val="clear" w:color="auto" w:fill="auto"/>
            <w:noWrap/>
            <w:vAlign w:val="center"/>
            <w:hideMark/>
          </w:tcPr>
          <w:p w14:paraId="5758044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66AA29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29036B6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033C02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302A1F7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5B0658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D7834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2789F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31583B5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BF4B65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Murray</w:t>
            </w:r>
          </w:p>
        </w:tc>
        <w:tc>
          <w:tcPr>
            <w:tcW w:w="1347" w:type="dxa"/>
            <w:tcBorders>
              <w:top w:val="nil"/>
              <w:left w:val="single" w:sz="4" w:space="0" w:color="7030A0"/>
              <w:bottom w:val="nil"/>
              <w:right w:val="single" w:sz="4" w:space="0" w:color="7030A0"/>
            </w:tcBorders>
            <w:shd w:val="clear" w:color="auto" w:fill="auto"/>
            <w:noWrap/>
            <w:vAlign w:val="center"/>
            <w:hideMark/>
          </w:tcPr>
          <w:p w14:paraId="16034D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488" w:type="dxa"/>
            <w:tcBorders>
              <w:top w:val="nil"/>
              <w:left w:val="single" w:sz="4" w:space="0" w:color="7030A0"/>
              <w:bottom w:val="nil"/>
              <w:right w:val="single" w:sz="4" w:space="0" w:color="7030A0"/>
            </w:tcBorders>
            <w:shd w:val="clear" w:color="auto" w:fill="auto"/>
            <w:noWrap/>
            <w:vAlign w:val="center"/>
            <w:hideMark/>
          </w:tcPr>
          <w:p w14:paraId="17B9FAF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54DE78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75B72B6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0F07E7B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3D50B8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5CC438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6EC9088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F467AA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0E969D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New England and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358D88B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1C3804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141CA71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2A42F6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66068B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241CE5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39FDEC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2731DF0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6F330F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DCCB8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Newcastle and Lake Macquarie</w:t>
            </w:r>
          </w:p>
        </w:tc>
        <w:tc>
          <w:tcPr>
            <w:tcW w:w="1347" w:type="dxa"/>
            <w:tcBorders>
              <w:top w:val="nil"/>
              <w:left w:val="single" w:sz="4" w:space="0" w:color="7030A0"/>
              <w:bottom w:val="nil"/>
              <w:right w:val="single" w:sz="4" w:space="0" w:color="7030A0"/>
            </w:tcBorders>
            <w:shd w:val="clear" w:color="auto" w:fill="auto"/>
            <w:noWrap/>
            <w:vAlign w:val="center"/>
            <w:hideMark/>
          </w:tcPr>
          <w:p w14:paraId="6A782ED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1FA8D3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2ACD86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29A1C0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3D5BDE4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086C52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3E9FC5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8" w:type="dxa"/>
            <w:tcBorders>
              <w:top w:val="nil"/>
              <w:left w:val="single" w:sz="4" w:space="0" w:color="7030A0"/>
              <w:bottom w:val="nil"/>
              <w:right w:val="single" w:sz="4" w:space="0" w:color="7030A0"/>
            </w:tcBorders>
            <w:shd w:val="clear" w:color="auto" w:fill="auto"/>
            <w:noWrap/>
            <w:vAlign w:val="center"/>
            <w:hideMark/>
          </w:tcPr>
          <w:p w14:paraId="125737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r>
      <w:tr w:rsidR="005751F5" w:rsidRPr="00675E74" w14:paraId="1F8D60B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AA95EB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Richmond - Tweed</w:t>
            </w:r>
          </w:p>
        </w:tc>
        <w:tc>
          <w:tcPr>
            <w:tcW w:w="1347" w:type="dxa"/>
            <w:tcBorders>
              <w:top w:val="nil"/>
              <w:left w:val="single" w:sz="4" w:space="0" w:color="7030A0"/>
              <w:bottom w:val="nil"/>
              <w:right w:val="single" w:sz="4" w:space="0" w:color="7030A0"/>
            </w:tcBorders>
            <w:shd w:val="clear" w:color="auto" w:fill="auto"/>
            <w:noWrap/>
            <w:vAlign w:val="center"/>
            <w:hideMark/>
          </w:tcPr>
          <w:p w14:paraId="3EA2C80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05DF93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D1A09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8" w:type="dxa"/>
            <w:tcBorders>
              <w:top w:val="nil"/>
              <w:left w:val="single" w:sz="4" w:space="0" w:color="7030A0"/>
              <w:bottom w:val="nil"/>
              <w:right w:val="single" w:sz="4" w:space="0" w:color="7030A0"/>
            </w:tcBorders>
            <w:shd w:val="clear" w:color="auto" w:fill="auto"/>
            <w:noWrap/>
            <w:vAlign w:val="center"/>
            <w:hideMark/>
          </w:tcPr>
          <w:p w14:paraId="1AD95C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1FBFCB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BEF2E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41E993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38C959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1D59C97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C48D0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NSW - Riverina</w:t>
            </w:r>
          </w:p>
        </w:tc>
        <w:tc>
          <w:tcPr>
            <w:tcW w:w="1347" w:type="dxa"/>
            <w:tcBorders>
              <w:top w:val="nil"/>
              <w:left w:val="single" w:sz="4" w:space="0" w:color="7030A0"/>
              <w:bottom w:val="nil"/>
              <w:right w:val="single" w:sz="4" w:space="0" w:color="7030A0"/>
            </w:tcBorders>
            <w:shd w:val="clear" w:color="auto" w:fill="auto"/>
            <w:noWrap/>
            <w:vAlign w:val="center"/>
            <w:hideMark/>
          </w:tcPr>
          <w:p w14:paraId="4863D8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96845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703991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6B83FC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417BF7C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BDE39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275D695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459FC5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116E209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891E11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Southern Highlands and Shoalhaven</w:t>
            </w:r>
          </w:p>
        </w:tc>
        <w:tc>
          <w:tcPr>
            <w:tcW w:w="1347" w:type="dxa"/>
            <w:tcBorders>
              <w:top w:val="nil"/>
              <w:left w:val="single" w:sz="4" w:space="0" w:color="7030A0"/>
              <w:bottom w:val="nil"/>
              <w:right w:val="single" w:sz="4" w:space="0" w:color="7030A0"/>
            </w:tcBorders>
            <w:shd w:val="clear" w:color="auto" w:fill="auto"/>
            <w:noWrap/>
            <w:vAlign w:val="center"/>
            <w:hideMark/>
          </w:tcPr>
          <w:p w14:paraId="2F7454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CD66C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91C94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088B80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AC5E9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58D8B0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621C59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74A24CE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04D8D1E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8E57B3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Baulkham Hills and Hawkesbury</w:t>
            </w:r>
          </w:p>
        </w:tc>
        <w:tc>
          <w:tcPr>
            <w:tcW w:w="1347" w:type="dxa"/>
            <w:tcBorders>
              <w:top w:val="nil"/>
              <w:left w:val="single" w:sz="4" w:space="0" w:color="7030A0"/>
              <w:bottom w:val="nil"/>
              <w:right w:val="single" w:sz="4" w:space="0" w:color="7030A0"/>
            </w:tcBorders>
            <w:shd w:val="clear" w:color="auto" w:fill="auto"/>
            <w:noWrap/>
            <w:vAlign w:val="center"/>
            <w:hideMark/>
          </w:tcPr>
          <w:p w14:paraId="26B449C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488" w:type="dxa"/>
            <w:tcBorders>
              <w:top w:val="nil"/>
              <w:left w:val="single" w:sz="4" w:space="0" w:color="7030A0"/>
              <w:bottom w:val="nil"/>
              <w:right w:val="single" w:sz="4" w:space="0" w:color="7030A0"/>
            </w:tcBorders>
            <w:shd w:val="clear" w:color="auto" w:fill="auto"/>
            <w:noWrap/>
            <w:vAlign w:val="center"/>
            <w:hideMark/>
          </w:tcPr>
          <w:p w14:paraId="6D7EAF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276" w:type="dxa"/>
            <w:tcBorders>
              <w:top w:val="nil"/>
              <w:left w:val="single" w:sz="4" w:space="0" w:color="7030A0"/>
              <w:bottom w:val="nil"/>
              <w:right w:val="single" w:sz="4" w:space="0" w:color="7030A0"/>
            </w:tcBorders>
            <w:shd w:val="clear" w:color="auto" w:fill="auto"/>
            <w:noWrap/>
            <w:vAlign w:val="center"/>
            <w:hideMark/>
          </w:tcPr>
          <w:p w14:paraId="302B56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8" w:type="dxa"/>
            <w:tcBorders>
              <w:top w:val="nil"/>
              <w:left w:val="single" w:sz="4" w:space="0" w:color="7030A0"/>
              <w:bottom w:val="nil"/>
              <w:right w:val="single" w:sz="4" w:space="0" w:color="7030A0"/>
            </w:tcBorders>
            <w:shd w:val="clear" w:color="auto" w:fill="auto"/>
            <w:noWrap/>
            <w:vAlign w:val="center"/>
            <w:hideMark/>
          </w:tcPr>
          <w:p w14:paraId="09984B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328D03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66C40A9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347" w:type="dxa"/>
            <w:tcBorders>
              <w:top w:val="nil"/>
              <w:left w:val="single" w:sz="4" w:space="0" w:color="7030A0"/>
              <w:bottom w:val="nil"/>
              <w:right w:val="single" w:sz="4" w:space="0" w:color="7030A0"/>
            </w:tcBorders>
            <w:shd w:val="clear" w:color="auto" w:fill="auto"/>
            <w:noWrap/>
            <w:vAlign w:val="center"/>
            <w:hideMark/>
          </w:tcPr>
          <w:p w14:paraId="09D650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8" w:type="dxa"/>
            <w:tcBorders>
              <w:top w:val="nil"/>
              <w:left w:val="single" w:sz="4" w:space="0" w:color="7030A0"/>
              <w:bottom w:val="nil"/>
              <w:right w:val="single" w:sz="4" w:space="0" w:color="7030A0"/>
            </w:tcBorders>
            <w:shd w:val="clear" w:color="auto" w:fill="auto"/>
            <w:noWrap/>
            <w:vAlign w:val="center"/>
            <w:hideMark/>
          </w:tcPr>
          <w:p w14:paraId="7DECE9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r>
      <w:tr w:rsidR="005751F5" w:rsidRPr="00675E74" w14:paraId="2E46F95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CFA03E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Blacktown</w:t>
            </w:r>
          </w:p>
        </w:tc>
        <w:tc>
          <w:tcPr>
            <w:tcW w:w="1347" w:type="dxa"/>
            <w:tcBorders>
              <w:top w:val="nil"/>
              <w:left w:val="single" w:sz="4" w:space="0" w:color="7030A0"/>
              <w:bottom w:val="nil"/>
              <w:right w:val="single" w:sz="4" w:space="0" w:color="7030A0"/>
            </w:tcBorders>
            <w:shd w:val="clear" w:color="auto" w:fill="auto"/>
            <w:noWrap/>
            <w:vAlign w:val="center"/>
            <w:hideMark/>
          </w:tcPr>
          <w:p w14:paraId="6E74A5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0BFC72F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6ED332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nil"/>
              <w:right w:val="single" w:sz="4" w:space="0" w:color="7030A0"/>
            </w:tcBorders>
            <w:shd w:val="clear" w:color="auto" w:fill="auto"/>
            <w:noWrap/>
            <w:vAlign w:val="center"/>
            <w:hideMark/>
          </w:tcPr>
          <w:p w14:paraId="373762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nil"/>
              <w:left w:val="single" w:sz="4" w:space="0" w:color="7030A0"/>
              <w:bottom w:val="nil"/>
              <w:right w:val="single" w:sz="4" w:space="0" w:color="7030A0"/>
            </w:tcBorders>
            <w:shd w:val="clear" w:color="auto" w:fill="auto"/>
            <w:noWrap/>
            <w:vAlign w:val="center"/>
            <w:hideMark/>
          </w:tcPr>
          <w:p w14:paraId="62D23BC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nil"/>
              <w:left w:val="single" w:sz="4" w:space="0" w:color="7030A0"/>
              <w:bottom w:val="nil"/>
              <w:right w:val="single" w:sz="4" w:space="0" w:color="7030A0"/>
            </w:tcBorders>
            <w:shd w:val="clear" w:color="auto" w:fill="auto"/>
            <w:noWrap/>
            <w:vAlign w:val="center"/>
            <w:hideMark/>
          </w:tcPr>
          <w:p w14:paraId="364C17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202CDF5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8" w:type="dxa"/>
            <w:tcBorders>
              <w:top w:val="nil"/>
              <w:left w:val="single" w:sz="4" w:space="0" w:color="7030A0"/>
              <w:bottom w:val="nil"/>
              <w:right w:val="single" w:sz="4" w:space="0" w:color="7030A0"/>
            </w:tcBorders>
            <w:shd w:val="clear" w:color="auto" w:fill="auto"/>
            <w:noWrap/>
            <w:vAlign w:val="center"/>
            <w:hideMark/>
          </w:tcPr>
          <w:p w14:paraId="7481AF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r>
      <w:tr w:rsidR="005751F5" w:rsidRPr="00675E74" w14:paraId="3402DBA7"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3D7EA7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City and Inner South</w:t>
            </w:r>
          </w:p>
        </w:tc>
        <w:tc>
          <w:tcPr>
            <w:tcW w:w="1347" w:type="dxa"/>
            <w:tcBorders>
              <w:top w:val="nil"/>
              <w:left w:val="single" w:sz="4" w:space="0" w:color="7030A0"/>
              <w:bottom w:val="nil"/>
              <w:right w:val="single" w:sz="4" w:space="0" w:color="7030A0"/>
            </w:tcBorders>
            <w:shd w:val="clear" w:color="auto" w:fill="auto"/>
            <w:noWrap/>
            <w:vAlign w:val="center"/>
            <w:hideMark/>
          </w:tcPr>
          <w:p w14:paraId="3D4A1C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488" w:type="dxa"/>
            <w:tcBorders>
              <w:top w:val="nil"/>
              <w:left w:val="single" w:sz="4" w:space="0" w:color="7030A0"/>
              <w:bottom w:val="nil"/>
              <w:right w:val="single" w:sz="4" w:space="0" w:color="7030A0"/>
            </w:tcBorders>
            <w:shd w:val="clear" w:color="auto" w:fill="auto"/>
            <w:noWrap/>
            <w:vAlign w:val="center"/>
            <w:hideMark/>
          </w:tcPr>
          <w:p w14:paraId="5F44F1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1.12</w:t>
            </w:r>
          </w:p>
        </w:tc>
        <w:tc>
          <w:tcPr>
            <w:tcW w:w="1276" w:type="dxa"/>
            <w:tcBorders>
              <w:top w:val="nil"/>
              <w:left w:val="single" w:sz="4" w:space="0" w:color="7030A0"/>
              <w:bottom w:val="nil"/>
              <w:right w:val="single" w:sz="4" w:space="0" w:color="7030A0"/>
            </w:tcBorders>
            <w:shd w:val="clear" w:color="auto" w:fill="auto"/>
            <w:noWrap/>
            <w:vAlign w:val="center"/>
            <w:hideMark/>
          </w:tcPr>
          <w:p w14:paraId="72DFDB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1.77</w:t>
            </w:r>
          </w:p>
        </w:tc>
        <w:tc>
          <w:tcPr>
            <w:tcW w:w="1278" w:type="dxa"/>
            <w:tcBorders>
              <w:top w:val="nil"/>
              <w:left w:val="single" w:sz="4" w:space="0" w:color="7030A0"/>
              <w:bottom w:val="nil"/>
              <w:right w:val="single" w:sz="4" w:space="0" w:color="7030A0"/>
            </w:tcBorders>
            <w:shd w:val="clear" w:color="auto" w:fill="auto"/>
            <w:noWrap/>
            <w:vAlign w:val="center"/>
            <w:hideMark/>
          </w:tcPr>
          <w:p w14:paraId="110433D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2.22</w:t>
            </w:r>
          </w:p>
        </w:tc>
        <w:tc>
          <w:tcPr>
            <w:tcW w:w="1347" w:type="dxa"/>
            <w:tcBorders>
              <w:top w:val="nil"/>
              <w:left w:val="single" w:sz="4" w:space="0" w:color="7030A0"/>
              <w:bottom w:val="nil"/>
              <w:right w:val="single" w:sz="4" w:space="0" w:color="7030A0"/>
            </w:tcBorders>
            <w:shd w:val="clear" w:color="auto" w:fill="auto"/>
            <w:noWrap/>
            <w:vAlign w:val="center"/>
            <w:hideMark/>
          </w:tcPr>
          <w:p w14:paraId="694684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2.57</w:t>
            </w:r>
          </w:p>
        </w:tc>
        <w:tc>
          <w:tcPr>
            <w:tcW w:w="1347" w:type="dxa"/>
            <w:tcBorders>
              <w:top w:val="nil"/>
              <w:left w:val="single" w:sz="4" w:space="0" w:color="7030A0"/>
              <w:bottom w:val="nil"/>
              <w:right w:val="single" w:sz="4" w:space="0" w:color="7030A0"/>
            </w:tcBorders>
            <w:shd w:val="clear" w:color="auto" w:fill="auto"/>
            <w:noWrap/>
            <w:vAlign w:val="center"/>
            <w:hideMark/>
          </w:tcPr>
          <w:p w14:paraId="5150F7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2.08</w:t>
            </w:r>
          </w:p>
        </w:tc>
        <w:tc>
          <w:tcPr>
            <w:tcW w:w="1347" w:type="dxa"/>
            <w:tcBorders>
              <w:top w:val="nil"/>
              <w:left w:val="single" w:sz="4" w:space="0" w:color="7030A0"/>
              <w:bottom w:val="nil"/>
              <w:right w:val="single" w:sz="4" w:space="0" w:color="7030A0"/>
            </w:tcBorders>
            <w:shd w:val="clear" w:color="auto" w:fill="auto"/>
            <w:noWrap/>
            <w:vAlign w:val="center"/>
            <w:hideMark/>
          </w:tcPr>
          <w:p w14:paraId="2A29F1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2.31</w:t>
            </w:r>
          </w:p>
        </w:tc>
        <w:tc>
          <w:tcPr>
            <w:tcW w:w="1348" w:type="dxa"/>
            <w:tcBorders>
              <w:top w:val="nil"/>
              <w:left w:val="single" w:sz="4" w:space="0" w:color="7030A0"/>
              <w:bottom w:val="nil"/>
              <w:right w:val="single" w:sz="4" w:space="0" w:color="7030A0"/>
            </w:tcBorders>
            <w:shd w:val="clear" w:color="auto" w:fill="auto"/>
            <w:noWrap/>
            <w:vAlign w:val="center"/>
            <w:hideMark/>
          </w:tcPr>
          <w:p w14:paraId="261CA56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2.52</w:t>
            </w:r>
          </w:p>
        </w:tc>
      </w:tr>
      <w:tr w:rsidR="005751F5" w:rsidRPr="00675E74" w14:paraId="66E5D70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CB1711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Eastern Suburbs</w:t>
            </w:r>
          </w:p>
        </w:tc>
        <w:tc>
          <w:tcPr>
            <w:tcW w:w="1347" w:type="dxa"/>
            <w:tcBorders>
              <w:top w:val="nil"/>
              <w:left w:val="single" w:sz="4" w:space="0" w:color="7030A0"/>
              <w:bottom w:val="nil"/>
              <w:right w:val="single" w:sz="4" w:space="0" w:color="7030A0"/>
            </w:tcBorders>
            <w:shd w:val="clear" w:color="auto" w:fill="auto"/>
            <w:noWrap/>
            <w:vAlign w:val="center"/>
            <w:hideMark/>
          </w:tcPr>
          <w:p w14:paraId="6E4BFD2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1.12</w:t>
            </w:r>
          </w:p>
        </w:tc>
        <w:tc>
          <w:tcPr>
            <w:tcW w:w="1488" w:type="dxa"/>
            <w:tcBorders>
              <w:top w:val="nil"/>
              <w:left w:val="single" w:sz="4" w:space="0" w:color="7030A0"/>
              <w:bottom w:val="nil"/>
              <w:right w:val="single" w:sz="4" w:space="0" w:color="7030A0"/>
            </w:tcBorders>
            <w:shd w:val="clear" w:color="auto" w:fill="auto"/>
            <w:noWrap/>
            <w:vAlign w:val="center"/>
            <w:hideMark/>
          </w:tcPr>
          <w:p w14:paraId="743CC3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276" w:type="dxa"/>
            <w:tcBorders>
              <w:top w:val="nil"/>
              <w:left w:val="single" w:sz="4" w:space="0" w:color="7030A0"/>
              <w:bottom w:val="nil"/>
              <w:right w:val="single" w:sz="4" w:space="0" w:color="7030A0"/>
            </w:tcBorders>
            <w:shd w:val="clear" w:color="auto" w:fill="auto"/>
            <w:noWrap/>
            <w:vAlign w:val="center"/>
            <w:hideMark/>
          </w:tcPr>
          <w:p w14:paraId="5A2D6D5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1.64</w:t>
            </w:r>
          </w:p>
        </w:tc>
        <w:tc>
          <w:tcPr>
            <w:tcW w:w="1278" w:type="dxa"/>
            <w:tcBorders>
              <w:top w:val="nil"/>
              <w:left w:val="single" w:sz="4" w:space="0" w:color="7030A0"/>
              <w:bottom w:val="nil"/>
              <w:right w:val="single" w:sz="4" w:space="0" w:color="7030A0"/>
            </w:tcBorders>
            <w:shd w:val="clear" w:color="auto" w:fill="auto"/>
            <w:noWrap/>
            <w:vAlign w:val="center"/>
            <w:hideMark/>
          </w:tcPr>
          <w:p w14:paraId="1BC89A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2.02</w:t>
            </w:r>
          </w:p>
        </w:tc>
        <w:tc>
          <w:tcPr>
            <w:tcW w:w="1347" w:type="dxa"/>
            <w:tcBorders>
              <w:top w:val="nil"/>
              <w:left w:val="single" w:sz="4" w:space="0" w:color="7030A0"/>
              <w:bottom w:val="nil"/>
              <w:right w:val="single" w:sz="4" w:space="0" w:color="7030A0"/>
            </w:tcBorders>
            <w:shd w:val="clear" w:color="auto" w:fill="auto"/>
            <w:noWrap/>
            <w:vAlign w:val="center"/>
            <w:hideMark/>
          </w:tcPr>
          <w:p w14:paraId="79D8BF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2.31</w:t>
            </w:r>
          </w:p>
        </w:tc>
        <w:tc>
          <w:tcPr>
            <w:tcW w:w="1347" w:type="dxa"/>
            <w:tcBorders>
              <w:top w:val="nil"/>
              <w:left w:val="single" w:sz="4" w:space="0" w:color="7030A0"/>
              <w:bottom w:val="nil"/>
              <w:right w:val="single" w:sz="4" w:space="0" w:color="7030A0"/>
            </w:tcBorders>
            <w:shd w:val="clear" w:color="auto" w:fill="auto"/>
            <w:noWrap/>
            <w:vAlign w:val="center"/>
            <w:hideMark/>
          </w:tcPr>
          <w:p w14:paraId="0B31E0A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1.90</w:t>
            </w:r>
          </w:p>
        </w:tc>
        <w:tc>
          <w:tcPr>
            <w:tcW w:w="1347" w:type="dxa"/>
            <w:tcBorders>
              <w:top w:val="nil"/>
              <w:left w:val="single" w:sz="4" w:space="0" w:color="7030A0"/>
              <w:bottom w:val="nil"/>
              <w:right w:val="single" w:sz="4" w:space="0" w:color="7030A0"/>
            </w:tcBorders>
            <w:shd w:val="clear" w:color="auto" w:fill="auto"/>
            <w:noWrap/>
            <w:vAlign w:val="center"/>
            <w:hideMark/>
          </w:tcPr>
          <w:p w14:paraId="13840B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2.09</w:t>
            </w:r>
          </w:p>
        </w:tc>
        <w:tc>
          <w:tcPr>
            <w:tcW w:w="1348" w:type="dxa"/>
            <w:tcBorders>
              <w:top w:val="nil"/>
              <w:left w:val="single" w:sz="4" w:space="0" w:color="7030A0"/>
              <w:bottom w:val="nil"/>
              <w:right w:val="single" w:sz="4" w:space="0" w:color="7030A0"/>
            </w:tcBorders>
            <w:shd w:val="clear" w:color="auto" w:fill="auto"/>
            <w:noWrap/>
            <w:vAlign w:val="center"/>
            <w:hideMark/>
          </w:tcPr>
          <w:p w14:paraId="4BA729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2.27</w:t>
            </w:r>
          </w:p>
        </w:tc>
      </w:tr>
      <w:tr w:rsidR="005751F5" w:rsidRPr="00675E74" w14:paraId="61C0207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A765D5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Inner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49E899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7B508A2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nil"/>
              <w:left w:val="single" w:sz="4" w:space="0" w:color="7030A0"/>
              <w:bottom w:val="nil"/>
              <w:right w:val="single" w:sz="4" w:space="0" w:color="7030A0"/>
            </w:tcBorders>
            <w:shd w:val="clear" w:color="auto" w:fill="auto"/>
            <w:noWrap/>
            <w:vAlign w:val="center"/>
            <w:hideMark/>
          </w:tcPr>
          <w:p w14:paraId="5BD106A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278" w:type="dxa"/>
            <w:tcBorders>
              <w:top w:val="nil"/>
              <w:left w:val="single" w:sz="4" w:space="0" w:color="7030A0"/>
              <w:bottom w:val="nil"/>
              <w:right w:val="single" w:sz="4" w:space="0" w:color="7030A0"/>
            </w:tcBorders>
            <w:shd w:val="clear" w:color="auto" w:fill="auto"/>
            <w:noWrap/>
            <w:vAlign w:val="center"/>
            <w:hideMark/>
          </w:tcPr>
          <w:p w14:paraId="7CF94B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7" w:type="dxa"/>
            <w:tcBorders>
              <w:top w:val="nil"/>
              <w:left w:val="single" w:sz="4" w:space="0" w:color="7030A0"/>
              <w:bottom w:val="nil"/>
              <w:right w:val="single" w:sz="4" w:space="0" w:color="7030A0"/>
            </w:tcBorders>
            <w:shd w:val="clear" w:color="auto" w:fill="auto"/>
            <w:noWrap/>
            <w:vAlign w:val="center"/>
            <w:hideMark/>
          </w:tcPr>
          <w:p w14:paraId="02C0FA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7" w:type="dxa"/>
            <w:tcBorders>
              <w:top w:val="nil"/>
              <w:left w:val="single" w:sz="4" w:space="0" w:color="7030A0"/>
              <w:bottom w:val="nil"/>
              <w:right w:val="single" w:sz="4" w:space="0" w:color="7030A0"/>
            </w:tcBorders>
            <w:shd w:val="clear" w:color="auto" w:fill="auto"/>
            <w:noWrap/>
            <w:vAlign w:val="center"/>
            <w:hideMark/>
          </w:tcPr>
          <w:p w14:paraId="405322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1.21</w:t>
            </w:r>
          </w:p>
        </w:tc>
        <w:tc>
          <w:tcPr>
            <w:tcW w:w="1347" w:type="dxa"/>
            <w:tcBorders>
              <w:top w:val="nil"/>
              <w:left w:val="single" w:sz="4" w:space="0" w:color="7030A0"/>
              <w:bottom w:val="nil"/>
              <w:right w:val="single" w:sz="4" w:space="0" w:color="7030A0"/>
            </w:tcBorders>
            <w:shd w:val="clear" w:color="auto" w:fill="auto"/>
            <w:noWrap/>
            <w:vAlign w:val="center"/>
            <w:hideMark/>
          </w:tcPr>
          <w:p w14:paraId="5068F7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8" w:type="dxa"/>
            <w:tcBorders>
              <w:top w:val="nil"/>
              <w:left w:val="single" w:sz="4" w:space="0" w:color="7030A0"/>
              <w:bottom w:val="nil"/>
              <w:right w:val="single" w:sz="4" w:space="0" w:color="7030A0"/>
            </w:tcBorders>
            <w:shd w:val="clear" w:color="auto" w:fill="auto"/>
            <w:noWrap/>
            <w:vAlign w:val="center"/>
            <w:hideMark/>
          </w:tcPr>
          <w:p w14:paraId="65F421C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r>
      <w:tr w:rsidR="005751F5" w:rsidRPr="00675E74" w14:paraId="4189C49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2AA3AE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Inner West</w:t>
            </w:r>
          </w:p>
        </w:tc>
        <w:tc>
          <w:tcPr>
            <w:tcW w:w="1347" w:type="dxa"/>
            <w:tcBorders>
              <w:top w:val="nil"/>
              <w:left w:val="single" w:sz="4" w:space="0" w:color="7030A0"/>
              <w:bottom w:val="nil"/>
              <w:right w:val="single" w:sz="4" w:space="0" w:color="7030A0"/>
            </w:tcBorders>
            <w:shd w:val="clear" w:color="auto" w:fill="auto"/>
            <w:noWrap/>
            <w:vAlign w:val="center"/>
            <w:hideMark/>
          </w:tcPr>
          <w:p w14:paraId="77A2F9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425DA7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6" w:type="dxa"/>
            <w:tcBorders>
              <w:top w:val="nil"/>
              <w:left w:val="single" w:sz="4" w:space="0" w:color="7030A0"/>
              <w:bottom w:val="nil"/>
              <w:right w:val="single" w:sz="4" w:space="0" w:color="7030A0"/>
            </w:tcBorders>
            <w:shd w:val="clear" w:color="auto" w:fill="auto"/>
            <w:noWrap/>
            <w:vAlign w:val="center"/>
            <w:hideMark/>
          </w:tcPr>
          <w:p w14:paraId="1DEC90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278" w:type="dxa"/>
            <w:tcBorders>
              <w:top w:val="nil"/>
              <w:left w:val="single" w:sz="4" w:space="0" w:color="7030A0"/>
              <w:bottom w:val="nil"/>
              <w:right w:val="single" w:sz="4" w:space="0" w:color="7030A0"/>
            </w:tcBorders>
            <w:shd w:val="clear" w:color="auto" w:fill="auto"/>
            <w:noWrap/>
            <w:vAlign w:val="center"/>
            <w:hideMark/>
          </w:tcPr>
          <w:p w14:paraId="176CCC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1.57</w:t>
            </w:r>
          </w:p>
        </w:tc>
        <w:tc>
          <w:tcPr>
            <w:tcW w:w="1347" w:type="dxa"/>
            <w:tcBorders>
              <w:top w:val="nil"/>
              <w:left w:val="single" w:sz="4" w:space="0" w:color="7030A0"/>
              <w:bottom w:val="nil"/>
              <w:right w:val="single" w:sz="4" w:space="0" w:color="7030A0"/>
            </w:tcBorders>
            <w:shd w:val="clear" w:color="auto" w:fill="auto"/>
            <w:noWrap/>
            <w:vAlign w:val="center"/>
            <w:hideMark/>
          </w:tcPr>
          <w:p w14:paraId="43E012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1.74</w:t>
            </w:r>
          </w:p>
        </w:tc>
        <w:tc>
          <w:tcPr>
            <w:tcW w:w="1347" w:type="dxa"/>
            <w:tcBorders>
              <w:top w:val="nil"/>
              <w:left w:val="single" w:sz="4" w:space="0" w:color="7030A0"/>
              <w:bottom w:val="nil"/>
              <w:right w:val="single" w:sz="4" w:space="0" w:color="7030A0"/>
            </w:tcBorders>
            <w:shd w:val="clear" w:color="auto" w:fill="auto"/>
            <w:noWrap/>
            <w:vAlign w:val="center"/>
            <w:hideMark/>
          </w:tcPr>
          <w:p w14:paraId="063F77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1.51</w:t>
            </w:r>
          </w:p>
        </w:tc>
        <w:tc>
          <w:tcPr>
            <w:tcW w:w="1347" w:type="dxa"/>
            <w:tcBorders>
              <w:top w:val="nil"/>
              <w:left w:val="single" w:sz="4" w:space="0" w:color="7030A0"/>
              <w:bottom w:val="nil"/>
              <w:right w:val="single" w:sz="4" w:space="0" w:color="7030A0"/>
            </w:tcBorders>
            <w:shd w:val="clear" w:color="auto" w:fill="auto"/>
            <w:noWrap/>
            <w:vAlign w:val="center"/>
            <w:hideMark/>
          </w:tcPr>
          <w:p w14:paraId="4BD6839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1.62</w:t>
            </w:r>
          </w:p>
        </w:tc>
        <w:tc>
          <w:tcPr>
            <w:tcW w:w="1348" w:type="dxa"/>
            <w:tcBorders>
              <w:top w:val="nil"/>
              <w:left w:val="single" w:sz="4" w:space="0" w:color="7030A0"/>
              <w:bottom w:val="nil"/>
              <w:right w:val="single" w:sz="4" w:space="0" w:color="7030A0"/>
            </w:tcBorders>
            <w:shd w:val="clear" w:color="auto" w:fill="auto"/>
            <w:noWrap/>
            <w:vAlign w:val="center"/>
            <w:hideMark/>
          </w:tcPr>
          <w:p w14:paraId="7F8237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1.71</w:t>
            </w:r>
          </w:p>
        </w:tc>
      </w:tr>
      <w:tr w:rsidR="005751F5" w:rsidRPr="00675E74" w14:paraId="3239497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D4748A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North Sydney and Hornsby</w:t>
            </w:r>
          </w:p>
        </w:tc>
        <w:tc>
          <w:tcPr>
            <w:tcW w:w="1347" w:type="dxa"/>
            <w:tcBorders>
              <w:top w:val="nil"/>
              <w:left w:val="single" w:sz="4" w:space="0" w:color="7030A0"/>
              <w:bottom w:val="nil"/>
              <w:right w:val="single" w:sz="4" w:space="0" w:color="7030A0"/>
            </w:tcBorders>
            <w:shd w:val="clear" w:color="auto" w:fill="auto"/>
            <w:noWrap/>
            <w:vAlign w:val="center"/>
            <w:hideMark/>
          </w:tcPr>
          <w:p w14:paraId="12BAA4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1D44C1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71C200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1.26</w:t>
            </w:r>
          </w:p>
        </w:tc>
        <w:tc>
          <w:tcPr>
            <w:tcW w:w="1278" w:type="dxa"/>
            <w:tcBorders>
              <w:top w:val="nil"/>
              <w:left w:val="single" w:sz="4" w:space="0" w:color="7030A0"/>
              <w:bottom w:val="nil"/>
              <w:right w:val="single" w:sz="4" w:space="0" w:color="7030A0"/>
            </w:tcBorders>
            <w:shd w:val="clear" w:color="auto" w:fill="auto"/>
            <w:noWrap/>
            <w:vAlign w:val="center"/>
            <w:hideMark/>
          </w:tcPr>
          <w:p w14:paraId="3AA9B7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1.38</w:t>
            </w:r>
          </w:p>
        </w:tc>
        <w:tc>
          <w:tcPr>
            <w:tcW w:w="1347" w:type="dxa"/>
            <w:tcBorders>
              <w:top w:val="nil"/>
              <w:left w:val="single" w:sz="4" w:space="0" w:color="7030A0"/>
              <w:bottom w:val="nil"/>
              <w:right w:val="single" w:sz="4" w:space="0" w:color="7030A0"/>
            </w:tcBorders>
            <w:shd w:val="clear" w:color="auto" w:fill="auto"/>
            <w:noWrap/>
            <w:vAlign w:val="center"/>
            <w:hideMark/>
          </w:tcPr>
          <w:p w14:paraId="1BEF71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1.48</w:t>
            </w:r>
          </w:p>
        </w:tc>
        <w:tc>
          <w:tcPr>
            <w:tcW w:w="1347" w:type="dxa"/>
            <w:tcBorders>
              <w:top w:val="nil"/>
              <w:left w:val="single" w:sz="4" w:space="0" w:color="7030A0"/>
              <w:bottom w:val="nil"/>
              <w:right w:val="single" w:sz="4" w:space="0" w:color="7030A0"/>
            </w:tcBorders>
            <w:shd w:val="clear" w:color="auto" w:fill="auto"/>
            <w:noWrap/>
            <w:vAlign w:val="center"/>
            <w:hideMark/>
          </w:tcPr>
          <w:p w14:paraId="4BDA45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1.34</w:t>
            </w:r>
          </w:p>
        </w:tc>
        <w:tc>
          <w:tcPr>
            <w:tcW w:w="1347" w:type="dxa"/>
            <w:tcBorders>
              <w:top w:val="nil"/>
              <w:left w:val="single" w:sz="4" w:space="0" w:color="7030A0"/>
              <w:bottom w:val="nil"/>
              <w:right w:val="single" w:sz="4" w:space="0" w:color="7030A0"/>
            </w:tcBorders>
            <w:shd w:val="clear" w:color="auto" w:fill="auto"/>
            <w:noWrap/>
            <w:vAlign w:val="center"/>
            <w:hideMark/>
          </w:tcPr>
          <w:p w14:paraId="0F9AD8A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1.41</w:t>
            </w:r>
          </w:p>
        </w:tc>
        <w:tc>
          <w:tcPr>
            <w:tcW w:w="1348" w:type="dxa"/>
            <w:tcBorders>
              <w:top w:val="nil"/>
              <w:left w:val="single" w:sz="4" w:space="0" w:color="7030A0"/>
              <w:bottom w:val="nil"/>
              <w:right w:val="single" w:sz="4" w:space="0" w:color="7030A0"/>
            </w:tcBorders>
            <w:shd w:val="clear" w:color="auto" w:fill="auto"/>
            <w:noWrap/>
            <w:vAlign w:val="center"/>
            <w:hideMark/>
          </w:tcPr>
          <w:p w14:paraId="427589E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1.47</w:t>
            </w:r>
          </w:p>
        </w:tc>
      </w:tr>
      <w:tr w:rsidR="005751F5" w:rsidRPr="00675E74" w14:paraId="35D5246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AC3A06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Northern Beaches</w:t>
            </w:r>
          </w:p>
        </w:tc>
        <w:tc>
          <w:tcPr>
            <w:tcW w:w="1347" w:type="dxa"/>
            <w:tcBorders>
              <w:top w:val="nil"/>
              <w:left w:val="single" w:sz="4" w:space="0" w:color="7030A0"/>
              <w:bottom w:val="nil"/>
              <w:right w:val="single" w:sz="4" w:space="0" w:color="7030A0"/>
            </w:tcBorders>
            <w:shd w:val="clear" w:color="auto" w:fill="auto"/>
            <w:noWrap/>
            <w:vAlign w:val="center"/>
            <w:hideMark/>
          </w:tcPr>
          <w:p w14:paraId="1DECC7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1F9F72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42F8D0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8" w:type="dxa"/>
            <w:tcBorders>
              <w:top w:val="nil"/>
              <w:left w:val="single" w:sz="4" w:space="0" w:color="7030A0"/>
              <w:bottom w:val="nil"/>
              <w:right w:val="single" w:sz="4" w:space="0" w:color="7030A0"/>
            </w:tcBorders>
            <w:shd w:val="clear" w:color="auto" w:fill="auto"/>
            <w:noWrap/>
            <w:vAlign w:val="center"/>
            <w:hideMark/>
          </w:tcPr>
          <w:p w14:paraId="5E5BE3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c>
          <w:tcPr>
            <w:tcW w:w="1347" w:type="dxa"/>
            <w:tcBorders>
              <w:top w:val="nil"/>
              <w:left w:val="single" w:sz="4" w:space="0" w:color="7030A0"/>
              <w:bottom w:val="nil"/>
              <w:right w:val="single" w:sz="4" w:space="0" w:color="7030A0"/>
            </w:tcBorders>
            <w:shd w:val="clear" w:color="auto" w:fill="auto"/>
            <w:noWrap/>
            <w:vAlign w:val="center"/>
            <w:hideMark/>
          </w:tcPr>
          <w:p w14:paraId="062441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347" w:type="dxa"/>
            <w:tcBorders>
              <w:top w:val="nil"/>
              <w:left w:val="single" w:sz="4" w:space="0" w:color="7030A0"/>
              <w:bottom w:val="nil"/>
              <w:right w:val="single" w:sz="4" w:space="0" w:color="7030A0"/>
            </w:tcBorders>
            <w:shd w:val="clear" w:color="auto" w:fill="auto"/>
            <w:noWrap/>
            <w:vAlign w:val="center"/>
            <w:hideMark/>
          </w:tcPr>
          <w:p w14:paraId="37E14D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7" w:type="dxa"/>
            <w:tcBorders>
              <w:top w:val="nil"/>
              <w:left w:val="single" w:sz="4" w:space="0" w:color="7030A0"/>
              <w:bottom w:val="nil"/>
              <w:right w:val="single" w:sz="4" w:space="0" w:color="7030A0"/>
            </w:tcBorders>
            <w:shd w:val="clear" w:color="auto" w:fill="auto"/>
            <w:noWrap/>
            <w:vAlign w:val="center"/>
            <w:hideMark/>
          </w:tcPr>
          <w:p w14:paraId="5969A1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1.31</w:t>
            </w:r>
          </w:p>
        </w:tc>
        <w:tc>
          <w:tcPr>
            <w:tcW w:w="1348" w:type="dxa"/>
            <w:tcBorders>
              <w:top w:val="nil"/>
              <w:left w:val="single" w:sz="4" w:space="0" w:color="7030A0"/>
              <w:bottom w:val="nil"/>
              <w:right w:val="single" w:sz="4" w:space="0" w:color="7030A0"/>
            </w:tcBorders>
            <w:shd w:val="clear" w:color="auto" w:fill="auto"/>
            <w:noWrap/>
            <w:vAlign w:val="center"/>
            <w:hideMark/>
          </w:tcPr>
          <w:p w14:paraId="4463703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r>
      <w:tr w:rsidR="005751F5" w:rsidRPr="00675E74" w14:paraId="712F518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CE375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Outer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4D10BB9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15FA6D5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4340C33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268E32C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383EEAA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60BD44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7FD1D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2465D1D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3C6CDDA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F58C6D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Outer West and Blue Mountains</w:t>
            </w:r>
          </w:p>
        </w:tc>
        <w:tc>
          <w:tcPr>
            <w:tcW w:w="1347" w:type="dxa"/>
            <w:tcBorders>
              <w:top w:val="nil"/>
              <w:left w:val="single" w:sz="4" w:space="0" w:color="7030A0"/>
              <w:bottom w:val="nil"/>
              <w:right w:val="single" w:sz="4" w:space="0" w:color="7030A0"/>
            </w:tcBorders>
            <w:shd w:val="clear" w:color="auto" w:fill="auto"/>
            <w:noWrap/>
            <w:vAlign w:val="center"/>
            <w:hideMark/>
          </w:tcPr>
          <w:p w14:paraId="4BD13B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34F351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757C14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427ED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7AD0A8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31DBB5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4C322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5D12FC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1B0A128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7809A9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Parramatta</w:t>
            </w:r>
          </w:p>
        </w:tc>
        <w:tc>
          <w:tcPr>
            <w:tcW w:w="1347" w:type="dxa"/>
            <w:tcBorders>
              <w:top w:val="nil"/>
              <w:left w:val="single" w:sz="4" w:space="0" w:color="7030A0"/>
              <w:bottom w:val="nil"/>
              <w:right w:val="single" w:sz="4" w:space="0" w:color="7030A0"/>
            </w:tcBorders>
            <w:shd w:val="clear" w:color="auto" w:fill="auto"/>
            <w:noWrap/>
            <w:vAlign w:val="center"/>
            <w:hideMark/>
          </w:tcPr>
          <w:p w14:paraId="5BB6CEB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top w:val="nil"/>
              <w:left w:val="single" w:sz="4" w:space="0" w:color="7030A0"/>
              <w:bottom w:val="nil"/>
              <w:right w:val="single" w:sz="4" w:space="0" w:color="7030A0"/>
            </w:tcBorders>
            <w:shd w:val="clear" w:color="auto" w:fill="auto"/>
            <w:noWrap/>
            <w:vAlign w:val="center"/>
            <w:hideMark/>
          </w:tcPr>
          <w:p w14:paraId="0F264A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4B165D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8" w:type="dxa"/>
            <w:tcBorders>
              <w:top w:val="nil"/>
              <w:left w:val="single" w:sz="4" w:space="0" w:color="7030A0"/>
              <w:bottom w:val="nil"/>
              <w:right w:val="single" w:sz="4" w:space="0" w:color="7030A0"/>
            </w:tcBorders>
            <w:shd w:val="clear" w:color="auto" w:fill="auto"/>
            <w:noWrap/>
            <w:vAlign w:val="center"/>
            <w:hideMark/>
          </w:tcPr>
          <w:p w14:paraId="33FEFFA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58A23C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1.17</w:t>
            </w:r>
          </w:p>
        </w:tc>
        <w:tc>
          <w:tcPr>
            <w:tcW w:w="1347" w:type="dxa"/>
            <w:tcBorders>
              <w:top w:val="nil"/>
              <w:left w:val="single" w:sz="4" w:space="0" w:color="7030A0"/>
              <w:bottom w:val="nil"/>
              <w:right w:val="single" w:sz="4" w:space="0" w:color="7030A0"/>
            </w:tcBorders>
            <w:shd w:val="clear" w:color="auto" w:fill="auto"/>
            <w:noWrap/>
            <w:vAlign w:val="center"/>
            <w:hideMark/>
          </w:tcPr>
          <w:p w14:paraId="62EB5F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7AA900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348" w:type="dxa"/>
            <w:tcBorders>
              <w:top w:val="nil"/>
              <w:left w:val="single" w:sz="4" w:space="0" w:color="7030A0"/>
              <w:bottom w:val="nil"/>
              <w:right w:val="single" w:sz="4" w:space="0" w:color="7030A0"/>
            </w:tcBorders>
            <w:shd w:val="clear" w:color="auto" w:fill="auto"/>
            <w:noWrap/>
            <w:vAlign w:val="center"/>
            <w:hideMark/>
          </w:tcPr>
          <w:p w14:paraId="40731C1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1.16</w:t>
            </w:r>
          </w:p>
        </w:tc>
      </w:tr>
      <w:tr w:rsidR="005751F5" w:rsidRPr="00675E74" w14:paraId="488CF2E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C765D6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Ryde</w:t>
            </w:r>
          </w:p>
        </w:tc>
        <w:tc>
          <w:tcPr>
            <w:tcW w:w="1347" w:type="dxa"/>
            <w:tcBorders>
              <w:top w:val="nil"/>
              <w:left w:val="single" w:sz="4" w:space="0" w:color="7030A0"/>
              <w:bottom w:val="nil"/>
              <w:right w:val="single" w:sz="4" w:space="0" w:color="7030A0"/>
            </w:tcBorders>
            <w:shd w:val="clear" w:color="auto" w:fill="auto"/>
            <w:noWrap/>
            <w:vAlign w:val="center"/>
            <w:hideMark/>
          </w:tcPr>
          <w:p w14:paraId="13EAEC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368F06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27F379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8" w:type="dxa"/>
            <w:tcBorders>
              <w:top w:val="nil"/>
              <w:left w:val="single" w:sz="4" w:space="0" w:color="7030A0"/>
              <w:bottom w:val="nil"/>
              <w:right w:val="single" w:sz="4" w:space="0" w:color="7030A0"/>
            </w:tcBorders>
            <w:shd w:val="clear" w:color="auto" w:fill="auto"/>
            <w:noWrap/>
            <w:vAlign w:val="center"/>
            <w:hideMark/>
          </w:tcPr>
          <w:p w14:paraId="4289C07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1.28</w:t>
            </w:r>
          </w:p>
        </w:tc>
        <w:tc>
          <w:tcPr>
            <w:tcW w:w="1347" w:type="dxa"/>
            <w:tcBorders>
              <w:top w:val="nil"/>
              <w:left w:val="single" w:sz="4" w:space="0" w:color="7030A0"/>
              <w:bottom w:val="nil"/>
              <w:right w:val="single" w:sz="4" w:space="0" w:color="7030A0"/>
            </w:tcBorders>
            <w:shd w:val="clear" w:color="auto" w:fill="auto"/>
            <w:noWrap/>
            <w:vAlign w:val="center"/>
            <w:hideMark/>
          </w:tcPr>
          <w:p w14:paraId="39A8F3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347" w:type="dxa"/>
            <w:tcBorders>
              <w:top w:val="nil"/>
              <w:left w:val="single" w:sz="4" w:space="0" w:color="7030A0"/>
              <w:bottom w:val="nil"/>
              <w:right w:val="single" w:sz="4" w:space="0" w:color="7030A0"/>
            </w:tcBorders>
            <w:shd w:val="clear" w:color="auto" w:fill="auto"/>
            <w:noWrap/>
            <w:vAlign w:val="center"/>
            <w:hideMark/>
          </w:tcPr>
          <w:p w14:paraId="2192CC7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7" w:type="dxa"/>
            <w:tcBorders>
              <w:top w:val="nil"/>
              <w:left w:val="single" w:sz="4" w:space="0" w:color="7030A0"/>
              <w:bottom w:val="nil"/>
              <w:right w:val="single" w:sz="4" w:space="0" w:color="7030A0"/>
            </w:tcBorders>
            <w:shd w:val="clear" w:color="auto" w:fill="auto"/>
            <w:noWrap/>
            <w:vAlign w:val="center"/>
            <w:hideMark/>
          </w:tcPr>
          <w:p w14:paraId="17BAF6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8" w:type="dxa"/>
            <w:tcBorders>
              <w:top w:val="nil"/>
              <w:left w:val="single" w:sz="4" w:space="0" w:color="7030A0"/>
              <w:bottom w:val="nil"/>
              <w:right w:val="single" w:sz="4" w:space="0" w:color="7030A0"/>
            </w:tcBorders>
            <w:shd w:val="clear" w:color="auto" w:fill="auto"/>
            <w:noWrap/>
            <w:vAlign w:val="center"/>
            <w:hideMark/>
          </w:tcPr>
          <w:p w14:paraId="7A87D8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1.35</w:t>
            </w:r>
          </w:p>
        </w:tc>
      </w:tr>
      <w:tr w:rsidR="005751F5" w:rsidRPr="00675E74" w14:paraId="7DD36FC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250081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335382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25B0CD7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0AC736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8" w:type="dxa"/>
            <w:tcBorders>
              <w:top w:val="nil"/>
              <w:left w:val="single" w:sz="4" w:space="0" w:color="7030A0"/>
              <w:bottom w:val="nil"/>
              <w:right w:val="single" w:sz="4" w:space="0" w:color="7030A0"/>
            </w:tcBorders>
            <w:shd w:val="clear" w:color="auto" w:fill="auto"/>
            <w:noWrap/>
            <w:vAlign w:val="center"/>
            <w:hideMark/>
          </w:tcPr>
          <w:p w14:paraId="1783D3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374C21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7EBD8B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488DA1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7C7DB6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4AE0E16E"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3375633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Sutherland</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96B26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5EB270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7EA0F4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7FD861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1.21</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B12EA4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1.27</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FB1B38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F411BC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6FD49E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1.26</w:t>
            </w:r>
          </w:p>
        </w:tc>
      </w:tr>
      <w:tr w:rsidR="005751F5" w:rsidRPr="00675E74" w14:paraId="1122DBAA"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303506D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NT - Darwin</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D5328D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7A527A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492BA13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9D567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B02618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5640F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AB90F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7887E9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r>
      <w:tr w:rsidR="005751F5" w:rsidRPr="00675E74" w14:paraId="30C30B36"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0151B44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NT - Northern Territory - Outback</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67E692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2A95CB9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4FAF9E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1F69BEC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6C8DD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52EF88C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A5E3F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1CC79C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r>
      <w:tr w:rsidR="005751F5" w:rsidRPr="00675E74" w14:paraId="405B3EB2" w14:textId="77777777" w:rsidTr="00E06C05">
        <w:trPr>
          <w:trHeight w:val="283"/>
        </w:trPr>
        <w:tc>
          <w:tcPr>
            <w:tcW w:w="3681" w:type="dxa"/>
            <w:tcBorders>
              <w:top w:val="single" w:sz="4" w:space="0" w:color="7030A0"/>
              <w:left w:val="single" w:sz="4" w:space="0" w:color="7030A0"/>
              <w:right w:val="single" w:sz="4" w:space="0" w:color="7030A0"/>
            </w:tcBorders>
            <w:shd w:val="clear" w:color="000000" w:fill="FFFFFF"/>
            <w:noWrap/>
            <w:vAlign w:val="center"/>
          </w:tcPr>
          <w:p w14:paraId="4591F20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Brisbane - East</w:t>
            </w:r>
          </w:p>
        </w:tc>
        <w:tc>
          <w:tcPr>
            <w:tcW w:w="1347" w:type="dxa"/>
            <w:tcBorders>
              <w:top w:val="single" w:sz="4" w:space="0" w:color="7030A0"/>
              <w:left w:val="single" w:sz="4" w:space="0" w:color="7030A0"/>
              <w:right w:val="single" w:sz="4" w:space="0" w:color="7030A0"/>
            </w:tcBorders>
            <w:shd w:val="clear" w:color="auto" w:fill="auto"/>
            <w:noWrap/>
            <w:vAlign w:val="center"/>
          </w:tcPr>
          <w:p w14:paraId="0AFEE77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488" w:type="dxa"/>
            <w:tcBorders>
              <w:top w:val="single" w:sz="4" w:space="0" w:color="7030A0"/>
              <w:left w:val="single" w:sz="4" w:space="0" w:color="7030A0"/>
              <w:right w:val="single" w:sz="4" w:space="0" w:color="7030A0"/>
            </w:tcBorders>
            <w:shd w:val="clear" w:color="auto" w:fill="auto"/>
            <w:vAlign w:val="center"/>
          </w:tcPr>
          <w:p w14:paraId="7002697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6" w:type="dxa"/>
            <w:tcBorders>
              <w:top w:val="single" w:sz="4" w:space="0" w:color="7030A0"/>
              <w:left w:val="single" w:sz="4" w:space="0" w:color="7030A0"/>
              <w:right w:val="single" w:sz="4" w:space="0" w:color="7030A0"/>
            </w:tcBorders>
            <w:shd w:val="clear" w:color="auto" w:fill="auto"/>
            <w:vAlign w:val="center"/>
          </w:tcPr>
          <w:p w14:paraId="2793EA2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278" w:type="dxa"/>
            <w:tcBorders>
              <w:top w:val="single" w:sz="4" w:space="0" w:color="7030A0"/>
              <w:left w:val="single" w:sz="4" w:space="0" w:color="7030A0"/>
              <w:right w:val="single" w:sz="4" w:space="0" w:color="7030A0"/>
            </w:tcBorders>
            <w:shd w:val="clear" w:color="auto" w:fill="auto"/>
            <w:vAlign w:val="center"/>
          </w:tcPr>
          <w:p w14:paraId="708A5C0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single" w:sz="4" w:space="0" w:color="7030A0"/>
              <w:left w:val="single" w:sz="4" w:space="0" w:color="7030A0"/>
              <w:right w:val="single" w:sz="4" w:space="0" w:color="7030A0"/>
            </w:tcBorders>
            <w:shd w:val="clear" w:color="auto" w:fill="auto"/>
            <w:vAlign w:val="center"/>
          </w:tcPr>
          <w:p w14:paraId="06F9DA3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top w:val="single" w:sz="4" w:space="0" w:color="7030A0"/>
              <w:left w:val="single" w:sz="4" w:space="0" w:color="7030A0"/>
              <w:right w:val="single" w:sz="4" w:space="0" w:color="7030A0"/>
            </w:tcBorders>
            <w:shd w:val="clear" w:color="auto" w:fill="auto"/>
            <w:vAlign w:val="center"/>
          </w:tcPr>
          <w:p w14:paraId="3A35C0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single" w:sz="4" w:space="0" w:color="7030A0"/>
              <w:left w:val="single" w:sz="4" w:space="0" w:color="7030A0"/>
              <w:right w:val="single" w:sz="4" w:space="0" w:color="7030A0"/>
            </w:tcBorders>
            <w:shd w:val="clear" w:color="auto" w:fill="auto"/>
            <w:vAlign w:val="center"/>
          </w:tcPr>
          <w:p w14:paraId="3B3281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top w:val="single" w:sz="4" w:space="0" w:color="7030A0"/>
              <w:left w:val="single" w:sz="4" w:space="0" w:color="7030A0"/>
              <w:right w:val="single" w:sz="4" w:space="0" w:color="7030A0"/>
            </w:tcBorders>
            <w:shd w:val="clear" w:color="auto" w:fill="auto"/>
            <w:vAlign w:val="center"/>
          </w:tcPr>
          <w:p w14:paraId="1BA2672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r>
      <w:tr w:rsidR="005751F5" w:rsidRPr="00675E74" w14:paraId="001F2577"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078107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Brisbane - South</w:t>
            </w:r>
          </w:p>
        </w:tc>
        <w:tc>
          <w:tcPr>
            <w:tcW w:w="1347" w:type="dxa"/>
            <w:tcBorders>
              <w:left w:val="single" w:sz="4" w:space="0" w:color="7030A0"/>
              <w:right w:val="single" w:sz="4" w:space="0" w:color="7030A0"/>
            </w:tcBorders>
            <w:shd w:val="clear" w:color="auto" w:fill="auto"/>
            <w:noWrap/>
            <w:vAlign w:val="center"/>
          </w:tcPr>
          <w:p w14:paraId="7BFA8BD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488" w:type="dxa"/>
            <w:tcBorders>
              <w:left w:val="single" w:sz="4" w:space="0" w:color="7030A0"/>
              <w:right w:val="single" w:sz="4" w:space="0" w:color="7030A0"/>
            </w:tcBorders>
            <w:shd w:val="clear" w:color="auto" w:fill="auto"/>
            <w:vAlign w:val="center"/>
          </w:tcPr>
          <w:p w14:paraId="55D3D3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6" w:type="dxa"/>
            <w:tcBorders>
              <w:left w:val="single" w:sz="4" w:space="0" w:color="7030A0"/>
              <w:right w:val="single" w:sz="4" w:space="0" w:color="7030A0"/>
            </w:tcBorders>
            <w:shd w:val="clear" w:color="auto" w:fill="auto"/>
            <w:vAlign w:val="center"/>
          </w:tcPr>
          <w:p w14:paraId="3A53B39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381DB8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6734DD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721155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1E1A37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left w:val="single" w:sz="4" w:space="0" w:color="7030A0"/>
              <w:right w:val="single" w:sz="4" w:space="0" w:color="7030A0"/>
            </w:tcBorders>
            <w:shd w:val="clear" w:color="auto" w:fill="auto"/>
            <w:vAlign w:val="center"/>
          </w:tcPr>
          <w:p w14:paraId="6EDF1B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r>
      <w:tr w:rsidR="005751F5" w:rsidRPr="00675E74" w14:paraId="240F62FF"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45ECED1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Cairns</w:t>
            </w:r>
          </w:p>
        </w:tc>
        <w:tc>
          <w:tcPr>
            <w:tcW w:w="1347" w:type="dxa"/>
            <w:tcBorders>
              <w:left w:val="single" w:sz="4" w:space="0" w:color="7030A0"/>
              <w:right w:val="single" w:sz="4" w:space="0" w:color="7030A0"/>
            </w:tcBorders>
            <w:shd w:val="clear" w:color="auto" w:fill="auto"/>
            <w:noWrap/>
            <w:vAlign w:val="center"/>
          </w:tcPr>
          <w:p w14:paraId="2D517C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2A14CD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7B25C9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73A613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45464C4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34E9C7C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07A180F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59DD90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5755F72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7D558F8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Darling Downs - Maranoa</w:t>
            </w:r>
          </w:p>
        </w:tc>
        <w:tc>
          <w:tcPr>
            <w:tcW w:w="1347" w:type="dxa"/>
            <w:tcBorders>
              <w:left w:val="single" w:sz="4" w:space="0" w:color="7030A0"/>
              <w:right w:val="single" w:sz="4" w:space="0" w:color="7030A0"/>
            </w:tcBorders>
            <w:shd w:val="clear" w:color="auto" w:fill="auto"/>
            <w:noWrap/>
            <w:vAlign w:val="center"/>
          </w:tcPr>
          <w:p w14:paraId="566F0A8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right w:val="single" w:sz="4" w:space="0" w:color="7030A0"/>
            </w:tcBorders>
            <w:shd w:val="clear" w:color="auto" w:fill="auto"/>
            <w:vAlign w:val="center"/>
          </w:tcPr>
          <w:p w14:paraId="7CF4902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6" w:type="dxa"/>
            <w:tcBorders>
              <w:left w:val="single" w:sz="4" w:space="0" w:color="7030A0"/>
              <w:right w:val="single" w:sz="4" w:space="0" w:color="7030A0"/>
            </w:tcBorders>
            <w:shd w:val="clear" w:color="auto" w:fill="auto"/>
            <w:vAlign w:val="center"/>
          </w:tcPr>
          <w:p w14:paraId="4D4BD6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7179896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5E98A9C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0.84</w:t>
            </w:r>
          </w:p>
        </w:tc>
        <w:tc>
          <w:tcPr>
            <w:tcW w:w="1347" w:type="dxa"/>
            <w:tcBorders>
              <w:left w:val="single" w:sz="4" w:space="0" w:color="7030A0"/>
              <w:right w:val="single" w:sz="4" w:space="0" w:color="7030A0"/>
            </w:tcBorders>
            <w:shd w:val="clear" w:color="auto" w:fill="auto"/>
            <w:vAlign w:val="center"/>
          </w:tcPr>
          <w:p w14:paraId="21B619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right w:val="single" w:sz="4" w:space="0" w:color="7030A0"/>
            </w:tcBorders>
            <w:shd w:val="clear" w:color="auto" w:fill="auto"/>
            <w:vAlign w:val="center"/>
          </w:tcPr>
          <w:p w14:paraId="61F289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8" w:type="dxa"/>
            <w:tcBorders>
              <w:left w:val="single" w:sz="4" w:space="0" w:color="7030A0"/>
              <w:right w:val="single" w:sz="4" w:space="0" w:color="7030A0"/>
            </w:tcBorders>
            <w:shd w:val="clear" w:color="auto" w:fill="auto"/>
            <w:vAlign w:val="center"/>
          </w:tcPr>
          <w:p w14:paraId="3080C6C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r>
      <w:tr w:rsidR="005751F5" w:rsidRPr="00675E74" w14:paraId="2F066BCB"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17F7D54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Fitzroy</w:t>
            </w:r>
          </w:p>
        </w:tc>
        <w:tc>
          <w:tcPr>
            <w:tcW w:w="1347" w:type="dxa"/>
            <w:tcBorders>
              <w:left w:val="single" w:sz="4" w:space="0" w:color="7030A0"/>
              <w:right w:val="single" w:sz="4" w:space="0" w:color="7030A0"/>
            </w:tcBorders>
            <w:shd w:val="clear" w:color="auto" w:fill="auto"/>
            <w:noWrap/>
            <w:vAlign w:val="center"/>
          </w:tcPr>
          <w:p w14:paraId="19BF036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right w:val="single" w:sz="4" w:space="0" w:color="7030A0"/>
            </w:tcBorders>
            <w:shd w:val="clear" w:color="auto" w:fill="auto"/>
            <w:vAlign w:val="center"/>
          </w:tcPr>
          <w:p w14:paraId="4FF1653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7AC606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1A032C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06E125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067004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12626B6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64BFD9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0EA194F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46222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Gold Coast</w:t>
            </w:r>
          </w:p>
        </w:tc>
        <w:tc>
          <w:tcPr>
            <w:tcW w:w="1347" w:type="dxa"/>
            <w:tcBorders>
              <w:left w:val="single" w:sz="4" w:space="0" w:color="7030A0"/>
              <w:right w:val="single" w:sz="4" w:space="0" w:color="7030A0"/>
            </w:tcBorders>
            <w:shd w:val="clear" w:color="auto" w:fill="auto"/>
            <w:noWrap/>
            <w:vAlign w:val="center"/>
          </w:tcPr>
          <w:p w14:paraId="63C3846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5EBC5E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7B78CB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6430C3F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3DDB5C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236975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right w:val="single" w:sz="4" w:space="0" w:color="7030A0"/>
            </w:tcBorders>
            <w:shd w:val="clear" w:color="auto" w:fill="auto"/>
            <w:vAlign w:val="center"/>
          </w:tcPr>
          <w:p w14:paraId="1FCF01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left w:val="single" w:sz="4" w:space="0" w:color="7030A0"/>
              <w:right w:val="single" w:sz="4" w:space="0" w:color="7030A0"/>
            </w:tcBorders>
            <w:shd w:val="clear" w:color="auto" w:fill="auto"/>
            <w:vAlign w:val="center"/>
          </w:tcPr>
          <w:p w14:paraId="636757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r>
      <w:tr w:rsidR="005751F5" w:rsidRPr="00675E74" w14:paraId="019DAE22"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67DCBAF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Ipswich</w:t>
            </w:r>
          </w:p>
        </w:tc>
        <w:tc>
          <w:tcPr>
            <w:tcW w:w="1347" w:type="dxa"/>
            <w:tcBorders>
              <w:left w:val="single" w:sz="4" w:space="0" w:color="7030A0"/>
              <w:right w:val="single" w:sz="4" w:space="0" w:color="7030A0"/>
            </w:tcBorders>
            <w:shd w:val="clear" w:color="auto" w:fill="auto"/>
            <w:noWrap/>
            <w:vAlign w:val="center"/>
          </w:tcPr>
          <w:p w14:paraId="19FDA3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32846B7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1D1AA8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278" w:type="dxa"/>
            <w:tcBorders>
              <w:left w:val="single" w:sz="4" w:space="0" w:color="7030A0"/>
              <w:right w:val="single" w:sz="4" w:space="0" w:color="7030A0"/>
            </w:tcBorders>
            <w:shd w:val="clear" w:color="auto" w:fill="auto"/>
            <w:vAlign w:val="center"/>
          </w:tcPr>
          <w:p w14:paraId="22B326F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4DEB5A7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0.83</w:t>
            </w:r>
          </w:p>
        </w:tc>
        <w:tc>
          <w:tcPr>
            <w:tcW w:w="1347" w:type="dxa"/>
            <w:tcBorders>
              <w:left w:val="single" w:sz="4" w:space="0" w:color="7030A0"/>
              <w:right w:val="single" w:sz="4" w:space="0" w:color="7030A0"/>
            </w:tcBorders>
            <w:shd w:val="clear" w:color="auto" w:fill="auto"/>
            <w:vAlign w:val="center"/>
          </w:tcPr>
          <w:p w14:paraId="58F9E3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05A779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c>
          <w:tcPr>
            <w:tcW w:w="1348" w:type="dxa"/>
            <w:tcBorders>
              <w:left w:val="single" w:sz="4" w:space="0" w:color="7030A0"/>
              <w:right w:val="single" w:sz="4" w:space="0" w:color="7030A0"/>
            </w:tcBorders>
            <w:shd w:val="clear" w:color="auto" w:fill="auto"/>
            <w:vAlign w:val="center"/>
          </w:tcPr>
          <w:p w14:paraId="04E5DEB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0.84</w:t>
            </w:r>
          </w:p>
        </w:tc>
      </w:tr>
      <w:tr w:rsidR="005751F5" w:rsidRPr="00675E74" w14:paraId="70CCA946"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192E02C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Logan - Beaudesert</w:t>
            </w:r>
          </w:p>
        </w:tc>
        <w:tc>
          <w:tcPr>
            <w:tcW w:w="1347" w:type="dxa"/>
            <w:tcBorders>
              <w:left w:val="single" w:sz="4" w:space="0" w:color="7030A0"/>
              <w:right w:val="single" w:sz="4" w:space="0" w:color="7030A0"/>
            </w:tcBorders>
            <w:shd w:val="clear" w:color="auto" w:fill="auto"/>
            <w:noWrap/>
            <w:vAlign w:val="center"/>
          </w:tcPr>
          <w:p w14:paraId="152E52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2D0CEC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63D633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278" w:type="dxa"/>
            <w:tcBorders>
              <w:left w:val="single" w:sz="4" w:space="0" w:color="7030A0"/>
              <w:right w:val="single" w:sz="4" w:space="0" w:color="7030A0"/>
            </w:tcBorders>
            <w:shd w:val="clear" w:color="auto" w:fill="auto"/>
            <w:vAlign w:val="center"/>
          </w:tcPr>
          <w:p w14:paraId="2B8386C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6FD6D3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1F6EEB2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D4071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8" w:type="dxa"/>
            <w:tcBorders>
              <w:left w:val="single" w:sz="4" w:space="0" w:color="7030A0"/>
              <w:right w:val="single" w:sz="4" w:space="0" w:color="7030A0"/>
            </w:tcBorders>
            <w:shd w:val="clear" w:color="auto" w:fill="auto"/>
            <w:vAlign w:val="center"/>
          </w:tcPr>
          <w:p w14:paraId="2C3E65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r>
      <w:tr w:rsidR="005751F5" w:rsidRPr="00675E74" w14:paraId="3C924B5C"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7686C49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QLD - Mackay</w:t>
            </w:r>
          </w:p>
        </w:tc>
        <w:tc>
          <w:tcPr>
            <w:tcW w:w="1347" w:type="dxa"/>
            <w:tcBorders>
              <w:left w:val="single" w:sz="4" w:space="0" w:color="7030A0"/>
              <w:right w:val="single" w:sz="4" w:space="0" w:color="7030A0"/>
            </w:tcBorders>
            <w:shd w:val="clear" w:color="auto" w:fill="auto"/>
            <w:noWrap/>
            <w:vAlign w:val="center"/>
          </w:tcPr>
          <w:p w14:paraId="2B3086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7FA5F9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1D6A4B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11D0327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B2BAE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55C5FD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278B48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left w:val="single" w:sz="4" w:space="0" w:color="7030A0"/>
              <w:right w:val="single" w:sz="4" w:space="0" w:color="7030A0"/>
            </w:tcBorders>
            <w:shd w:val="clear" w:color="auto" w:fill="auto"/>
            <w:vAlign w:val="center"/>
          </w:tcPr>
          <w:p w14:paraId="255EAFF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188446CE"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5361E91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Moreton Bay - North</w:t>
            </w:r>
          </w:p>
        </w:tc>
        <w:tc>
          <w:tcPr>
            <w:tcW w:w="1347" w:type="dxa"/>
            <w:tcBorders>
              <w:left w:val="single" w:sz="4" w:space="0" w:color="7030A0"/>
              <w:right w:val="single" w:sz="4" w:space="0" w:color="7030A0"/>
            </w:tcBorders>
            <w:shd w:val="clear" w:color="auto" w:fill="auto"/>
            <w:noWrap/>
            <w:vAlign w:val="center"/>
          </w:tcPr>
          <w:p w14:paraId="6E378A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63BF4E8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3D34815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22538A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A07698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0967DE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70DCE1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64D348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49147093"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59D149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Queensland - Outback</w:t>
            </w:r>
          </w:p>
        </w:tc>
        <w:tc>
          <w:tcPr>
            <w:tcW w:w="1347" w:type="dxa"/>
            <w:tcBorders>
              <w:left w:val="single" w:sz="4" w:space="0" w:color="7030A0"/>
              <w:right w:val="single" w:sz="4" w:space="0" w:color="7030A0"/>
            </w:tcBorders>
            <w:shd w:val="clear" w:color="auto" w:fill="auto"/>
            <w:noWrap/>
            <w:vAlign w:val="center"/>
          </w:tcPr>
          <w:p w14:paraId="162CCB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1.09</w:t>
            </w:r>
          </w:p>
        </w:tc>
        <w:tc>
          <w:tcPr>
            <w:tcW w:w="1488" w:type="dxa"/>
            <w:tcBorders>
              <w:left w:val="single" w:sz="4" w:space="0" w:color="7030A0"/>
              <w:right w:val="single" w:sz="4" w:space="0" w:color="7030A0"/>
            </w:tcBorders>
            <w:shd w:val="clear" w:color="auto" w:fill="auto"/>
            <w:vAlign w:val="center"/>
          </w:tcPr>
          <w:p w14:paraId="4F8EF4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1.09</w:t>
            </w:r>
          </w:p>
        </w:tc>
        <w:tc>
          <w:tcPr>
            <w:tcW w:w="1276" w:type="dxa"/>
            <w:tcBorders>
              <w:left w:val="single" w:sz="4" w:space="0" w:color="7030A0"/>
              <w:right w:val="single" w:sz="4" w:space="0" w:color="7030A0"/>
            </w:tcBorders>
            <w:shd w:val="clear" w:color="auto" w:fill="auto"/>
            <w:vAlign w:val="center"/>
          </w:tcPr>
          <w:p w14:paraId="3A35A4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left w:val="single" w:sz="4" w:space="0" w:color="7030A0"/>
              <w:right w:val="single" w:sz="4" w:space="0" w:color="7030A0"/>
            </w:tcBorders>
            <w:shd w:val="clear" w:color="auto" w:fill="auto"/>
            <w:vAlign w:val="center"/>
          </w:tcPr>
          <w:p w14:paraId="36E5BD0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left w:val="single" w:sz="4" w:space="0" w:color="7030A0"/>
              <w:right w:val="single" w:sz="4" w:space="0" w:color="7030A0"/>
            </w:tcBorders>
            <w:shd w:val="clear" w:color="auto" w:fill="auto"/>
            <w:vAlign w:val="center"/>
          </w:tcPr>
          <w:p w14:paraId="2690D2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1CF079E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5081F2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left w:val="single" w:sz="4" w:space="0" w:color="7030A0"/>
              <w:right w:val="single" w:sz="4" w:space="0" w:color="7030A0"/>
            </w:tcBorders>
            <w:shd w:val="clear" w:color="auto" w:fill="auto"/>
            <w:vAlign w:val="center"/>
          </w:tcPr>
          <w:p w14:paraId="2432B9F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087FA33A"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302F945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Sunshine Coast</w:t>
            </w:r>
          </w:p>
        </w:tc>
        <w:tc>
          <w:tcPr>
            <w:tcW w:w="1347" w:type="dxa"/>
            <w:tcBorders>
              <w:left w:val="single" w:sz="4" w:space="0" w:color="7030A0"/>
              <w:right w:val="single" w:sz="4" w:space="0" w:color="7030A0"/>
            </w:tcBorders>
            <w:shd w:val="clear" w:color="auto" w:fill="auto"/>
            <w:noWrap/>
            <w:vAlign w:val="center"/>
          </w:tcPr>
          <w:p w14:paraId="2C59A3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05F1521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15E65A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411C52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693AA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1A035D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0E2BEB7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45F5F9D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074D7366"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3A598E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Toowoomba</w:t>
            </w:r>
          </w:p>
        </w:tc>
        <w:tc>
          <w:tcPr>
            <w:tcW w:w="1347" w:type="dxa"/>
            <w:tcBorders>
              <w:left w:val="single" w:sz="4" w:space="0" w:color="7030A0"/>
              <w:right w:val="single" w:sz="4" w:space="0" w:color="7030A0"/>
            </w:tcBorders>
            <w:shd w:val="clear" w:color="auto" w:fill="auto"/>
            <w:noWrap/>
            <w:vAlign w:val="center"/>
          </w:tcPr>
          <w:p w14:paraId="22E8800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4C858F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3AE3AE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4BA02E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5B149F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4146B3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50617F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47684C8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3FE3D15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4150D00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Townsville</w:t>
            </w:r>
          </w:p>
        </w:tc>
        <w:tc>
          <w:tcPr>
            <w:tcW w:w="1347" w:type="dxa"/>
            <w:tcBorders>
              <w:left w:val="single" w:sz="4" w:space="0" w:color="7030A0"/>
              <w:right w:val="single" w:sz="4" w:space="0" w:color="7030A0"/>
            </w:tcBorders>
            <w:shd w:val="clear" w:color="auto" w:fill="auto"/>
            <w:noWrap/>
            <w:vAlign w:val="center"/>
          </w:tcPr>
          <w:p w14:paraId="544A14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39008E6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65639F1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39DC27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4DDE7F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6BC5FA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2520FDB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left w:val="single" w:sz="4" w:space="0" w:color="7030A0"/>
              <w:right w:val="single" w:sz="4" w:space="0" w:color="7030A0"/>
            </w:tcBorders>
            <w:shd w:val="clear" w:color="auto" w:fill="auto"/>
            <w:vAlign w:val="center"/>
          </w:tcPr>
          <w:p w14:paraId="7DB265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4AADED96" w14:textId="77777777" w:rsidTr="00E06C05">
        <w:trPr>
          <w:trHeight w:val="283"/>
        </w:trPr>
        <w:tc>
          <w:tcPr>
            <w:tcW w:w="3681" w:type="dxa"/>
            <w:tcBorders>
              <w:left w:val="single" w:sz="4" w:space="0" w:color="7030A0"/>
              <w:bottom w:val="single" w:sz="4" w:space="0" w:color="7030A0"/>
              <w:right w:val="single" w:sz="4" w:space="0" w:color="7030A0"/>
            </w:tcBorders>
            <w:shd w:val="clear" w:color="000000" w:fill="FFFFFF"/>
            <w:noWrap/>
            <w:vAlign w:val="center"/>
          </w:tcPr>
          <w:p w14:paraId="21E30FB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Wide Bay</w:t>
            </w:r>
          </w:p>
        </w:tc>
        <w:tc>
          <w:tcPr>
            <w:tcW w:w="1347" w:type="dxa"/>
            <w:tcBorders>
              <w:left w:val="single" w:sz="4" w:space="0" w:color="7030A0"/>
              <w:bottom w:val="single" w:sz="4" w:space="0" w:color="7030A0"/>
              <w:right w:val="single" w:sz="4" w:space="0" w:color="7030A0"/>
            </w:tcBorders>
            <w:shd w:val="clear" w:color="auto" w:fill="auto"/>
            <w:noWrap/>
            <w:vAlign w:val="center"/>
          </w:tcPr>
          <w:p w14:paraId="1EDD89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bottom w:val="single" w:sz="4" w:space="0" w:color="7030A0"/>
              <w:right w:val="single" w:sz="4" w:space="0" w:color="7030A0"/>
            </w:tcBorders>
            <w:shd w:val="clear" w:color="auto" w:fill="auto"/>
            <w:vAlign w:val="center"/>
          </w:tcPr>
          <w:p w14:paraId="34017C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single" w:sz="4" w:space="0" w:color="7030A0"/>
              <w:right w:val="single" w:sz="4" w:space="0" w:color="7030A0"/>
            </w:tcBorders>
            <w:shd w:val="clear" w:color="auto" w:fill="auto"/>
            <w:vAlign w:val="center"/>
          </w:tcPr>
          <w:p w14:paraId="3802C8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single" w:sz="4" w:space="0" w:color="7030A0"/>
              <w:right w:val="single" w:sz="4" w:space="0" w:color="7030A0"/>
            </w:tcBorders>
            <w:shd w:val="clear" w:color="auto" w:fill="auto"/>
            <w:vAlign w:val="center"/>
          </w:tcPr>
          <w:p w14:paraId="5DE465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single" w:sz="4" w:space="0" w:color="7030A0"/>
              <w:right w:val="single" w:sz="4" w:space="0" w:color="7030A0"/>
            </w:tcBorders>
            <w:shd w:val="clear" w:color="auto" w:fill="auto"/>
            <w:vAlign w:val="center"/>
          </w:tcPr>
          <w:p w14:paraId="1E0B3B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single" w:sz="4" w:space="0" w:color="7030A0"/>
              <w:right w:val="single" w:sz="4" w:space="0" w:color="7030A0"/>
            </w:tcBorders>
            <w:shd w:val="clear" w:color="auto" w:fill="auto"/>
            <w:vAlign w:val="center"/>
          </w:tcPr>
          <w:p w14:paraId="2FF985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bottom w:val="single" w:sz="4" w:space="0" w:color="7030A0"/>
              <w:right w:val="single" w:sz="4" w:space="0" w:color="7030A0"/>
            </w:tcBorders>
            <w:shd w:val="clear" w:color="auto" w:fill="auto"/>
            <w:vAlign w:val="center"/>
          </w:tcPr>
          <w:p w14:paraId="128C8FD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single" w:sz="4" w:space="0" w:color="7030A0"/>
              <w:right w:val="single" w:sz="4" w:space="0" w:color="7030A0"/>
            </w:tcBorders>
            <w:shd w:val="clear" w:color="auto" w:fill="auto"/>
            <w:vAlign w:val="center"/>
          </w:tcPr>
          <w:p w14:paraId="3577A97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17A9ACCB"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14:paraId="0D8070C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Central and Hills</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137361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nil"/>
              <w:right w:val="single" w:sz="4" w:space="0" w:color="7030A0"/>
            </w:tcBorders>
            <w:shd w:val="clear" w:color="auto" w:fill="auto"/>
            <w:noWrap/>
            <w:vAlign w:val="center"/>
          </w:tcPr>
          <w:p w14:paraId="4C742C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nil"/>
              <w:right w:val="single" w:sz="4" w:space="0" w:color="7030A0"/>
            </w:tcBorders>
            <w:shd w:val="clear" w:color="auto" w:fill="auto"/>
            <w:noWrap/>
            <w:vAlign w:val="center"/>
          </w:tcPr>
          <w:p w14:paraId="1FDF2F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single" w:sz="4" w:space="0" w:color="7030A0"/>
              <w:left w:val="single" w:sz="4" w:space="0" w:color="7030A0"/>
              <w:bottom w:val="nil"/>
              <w:right w:val="single" w:sz="4" w:space="0" w:color="7030A0"/>
            </w:tcBorders>
            <w:shd w:val="clear" w:color="auto" w:fill="auto"/>
            <w:noWrap/>
            <w:vAlign w:val="center"/>
          </w:tcPr>
          <w:p w14:paraId="5031771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14B19E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7D164C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5B8772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8" w:type="dxa"/>
            <w:tcBorders>
              <w:top w:val="single" w:sz="4" w:space="0" w:color="7030A0"/>
              <w:left w:val="single" w:sz="4" w:space="0" w:color="7030A0"/>
              <w:bottom w:val="nil"/>
              <w:right w:val="single" w:sz="4" w:space="0" w:color="7030A0"/>
            </w:tcBorders>
            <w:shd w:val="clear" w:color="auto" w:fill="auto"/>
            <w:noWrap/>
            <w:vAlign w:val="center"/>
          </w:tcPr>
          <w:p w14:paraId="764D89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r>
      <w:tr w:rsidR="005751F5" w:rsidRPr="00675E74" w14:paraId="28F63F23"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6356A3E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North</w:t>
            </w:r>
          </w:p>
        </w:tc>
        <w:tc>
          <w:tcPr>
            <w:tcW w:w="1347" w:type="dxa"/>
            <w:tcBorders>
              <w:left w:val="single" w:sz="4" w:space="0" w:color="7030A0"/>
              <w:bottom w:val="nil"/>
              <w:right w:val="single" w:sz="4" w:space="0" w:color="7030A0"/>
            </w:tcBorders>
            <w:shd w:val="clear" w:color="auto" w:fill="auto"/>
            <w:noWrap/>
            <w:vAlign w:val="center"/>
          </w:tcPr>
          <w:p w14:paraId="0DDB1C6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nil"/>
              <w:right w:val="single" w:sz="4" w:space="0" w:color="7030A0"/>
            </w:tcBorders>
            <w:shd w:val="clear" w:color="auto" w:fill="auto"/>
            <w:noWrap/>
            <w:vAlign w:val="center"/>
          </w:tcPr>
          <w:p w14:paraId="29DC7CF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left w:val="single" w:sz="4" w:space="0" w:color="7030A0"/>
              <w:bottom w:val="nil"/>
              <w:right w:val="single" w:sz="4" w:space="0" w:color="7030A0"/>
            </w:tcBorders>
            <w:shd w:val="clear" w:color="auto" w:fill="auto"/>
            <w:noWrap/>
            <w:vAlign w:val="center"/>
          </w:tcPr>
          <w:p w14:paraId="0AB223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left w:val="single" w:sz="4" w:space="0" w:color="7030A0"/>
              <w:bottom w:val="nil"/>
              <w:right w:val="single" w:sz="4" w:space="0" w:color="7030A0"/>
            </w:tcBorders>
            <w:shd w:val="clear" w:color="auto" w:fill="auto"/>
            <w:noWrap/>
            <w:vAlign w:val="center"/>
          </w:tcPr>
          <w:p w14:paraId="6EFE8E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left w:val="single" w:sz="4" w:space="0" w:color="7030A0"/>
              <w:bottom w:val="nil"/>
              <w:right w:val="single" w:sz="4" w:space="0" w:color="7030A0"/>
            </w:tcBorders>
            <w:shd w:val="clear" w:color="auto" w:fill="auto"/>
            <w:noWrap/>
            <w:vAlign w:val="center"/>
          </w:tcPr>
          <w:p w14:paraId="369BD5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bottom w:val="nil"/>
              <w:right w:val="single" w:sz="4" w:space="0" w:color="7030A0"/>
            </w:tcBorders>
            <w:shd w:val="clear" w:color="auto" w:fill="auto"/>
            <w:noWrap/>
            <w:vAlign w:val="center"/>
          </w:tcPr>
          <w:p w14:paraId="136A92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bottom w:val="nil"/>
              <w:right w:val="single" w:sz="4" w:space="0" w:color="7030A0"/>
            </w:tcBorders>
            <w:shd w:val="clear" w:color="auto" w:fill="auto"/>
            <w:noWrap/>
            <w:vAlign w:val="center"/>
          </w:tcPr>
          <w:p w14:paraId="7A919A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left w:val="single" w:sz="4" w:space="0" w:color="7030A0"/>
              <w:bottom w:val="nil"/>
              <w:right w:val="single" w:sz="4" w:space="0" w:color="7030A0"/>
            </w:tcBorders>
            <w:shd w:val="clear" w:color="auto" w:fill="auto"/>
            <w:noWrap/>
            <w:vAlign w:val="center"/>
          </w:tcPr>
          <w:p w14:paraId="3EF06F9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r>
      <w:tr w:rsidR="005751F5" w:rsidRPr="00675E74" w14:paraId="36151E8F"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09E0F38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South</w:t>
            </w:r>
          </w:p>
        </w:tc>
        <w:tc>
          <w:tcPr>
            <w:tcW w:w="1347" w:type="dxa"/>
            <w:tcBorders>
              <w:left w:val="single" w:sz="4" w:space="0" w:color="7030A0"/>
              <w:bottom w:val="nil"/>
              <w:right w:val="single" w:sz="4" w:space="0" w:color="7030A0"/>
            </w:tcBorders>
            <w:shd w:val="clear" w:color="auto" w:fill="auto"/>
            <w:noWrap/>
            <w:vAlign w:val="center"/>
          </w:tcPr>
          <w:p w14:paraId="15EBB6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488" w:type="dxa"/>
            <w:tcBorders>
              <w:left w:val="single" w:sz="4" w:space="0" w:color="7030A0"/>
              <w:bottom w:val="nil"/>
              <w:right w:val="single" w:sz="4" w:space="0" w:color="7030A0"/>
            </w:tcBorders>
            <w:shd w:val="clear" w:color="auto" w:fill="auto"/>
            <w:noWrap/>
            <w:vAlign w:val="center"/>
          </w:tcPr>
          <w:p w14:paraId="0EB5A31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6" w:type="dxa"/>
            <w:tcBorders>
              <w:left w:val="single" w:sz="4" w:space="0" w:color="7030A0"/>
              <w:bottom w:val="nil"/>
              <w:right w:val="single" w:sz="4" w:space="0" w:color="7030A0"/>
            </w:tcBorders>
            <w:shd w:val="clear" w:color="auto" w:fill="auto"/>
            <w:noWrap/>
            <w:vAlign w:val="center"/>
          </w:tcPr>
          <w:p w14:paraId="693D8FA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bottom w:val="nil"/>
              <w:right w:val="single" w:sz="4" w:space="0" w:color="7030A0"/>
            </w:tcBorders>
            <w:shd w:val="clear" w:color="auto" w:fill="auto"/>
            <w:noWrap/>
            <w:vAlign w:val="center"/>
          </w:tcPr>
          <w:p w14:paraId="79BDCB2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bottom w:val="nil"/>
              <w:right w:val="single" w:sz="4" w:space="0" w:color="7030A0"/>
            </w:tcBorders>
            <w:shd w:val="clear" w:color="auto" w:fill="auto"/>
            <w:noWrap/>
            <w:vAlign w:val="center"/>
          </w:tcPr>
          <w:p w14:paraId="012728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bottom w:val="nil"/>
              <w:right w:val="single" w:sz="4" w:space="0" w:color="7030A0"/>
            </w:tcBorders>
            <w:shd w:val="clear" w:color="auto" w:fill="auto"/>
            <w:noWrap/>
            <w:vAlign w:val="center"/>
          </w:tcPr>
          <w:p w14:paraId="5648A8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left w:val="single" w:sz="4" w:space="0" w:color="7030A0"/>
              <w:bottom w:val="nil"/>
              <w:right w:val="single" w:sz="4" w:space="0" w:color="7030A0"/>
            </w:tcBorders>
            <w:shd w:val="clear" w:color="auto" w:fill="auto"/>
            <w:noWrap/>
            <w:vAlign w:val="center"/>
          </w:tcPr>
          <w:p w14:paraId="3C7B3B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8" w:type="dxa"/>
            <w:tcBorders>
              <w:left w:val="single" w:sz="4" w:space="0" w:color="7030A0"/>
              <w:bottom w:val="nil"/>
              <w:right w:val="single" w:sz="4" w:space="0" w:color="7030A0"/>
            </w:tcBorders>
            <w:shd w:val="clear" w:color="auto" w:fill="auto"/>
            <w:noWrap/>
            <w:vAlign w:val="center"/>
          </w:tcPr>
          <w:p w14:paraId="5E9931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118EB4B4"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63422F0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West</w:t>
            </w:r>
          </w:p>
        </w:tc>
        <w:tc>
          <w:tcPr>
            <w:tcW w:w="1347" w:type="dxa"/>
            <w:tcBorders>
              <w:left w:val="single" w:sz="4" w:space="0" w:color="7030A0"/>
              <w:bottom w:val="nil"/>
              <w:right w:val="single" w:sz="4" w:space="0" w:color="7030A0"/>
            </w:tcBorders>
            <w:shd w:val="clear" w:color="auto" w:fill="auto"/>
            <w:noWrap/>
            <w:vAlign w:val="center"/>
          </w:tcPr>
          <w:p w14:paraId="7D144DD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488" w:type="dxa"/>
            <w:tcBorders>
              <w:left w:val="single" w:sz="4" w:space="0" w:color="7030A0"/>
              <w:bottom w:val="nil"/>
              <w:right w:val="single" w:sz="4" w:space="0" w:color="7030A0"/>
            </w:tcBorders>
            <w:shd w:val="clear" w:color="auto" w:fill="auto"/>
            <w:noWrap/>
            <w:vAlign w:val="center"/>
          </w:tcPr>
          <w:p w14:paraId="0EFBAA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6" w:type="dxa"/>
            <w:tcBorders>
              <w:left w:val="single" w:sz="4" w:space="0" w:color="7030A0"/>
              <w:bottom w:val="nil"/>
              <w:right w:val="single" w:sz="4" w:space="0" w:color="7030A0"/>
            </w:tcBorders>
            <w:shd w:val="clear" w:color="auto" w:fill="auto"/>
            <w:noWrap/>
            <w:vAlign w:val="center"/>
          </w:tcPr>
          <w:p w14:paraId="67CD442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left w:val="single" w:sz="4" w:space="0" w:color="7030A0"/>
              <w:bottom w:val="nil"/>
              <w:right w:val="single" w:sz="4" w:space="0" w:color="7030A0"/>
            </w:tcBorders>
            <w:shd w:val="clear" w:color="auto" w:fill="auto"/>
            <w:noWrap/>
            <w:vAlign w:val="center"/>
          </w:tcPr>
          <w:p w14:paraId="48BC03A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6FE3F6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1769040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32CB6F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left w:val="single" w:sz="4" w:space="0" w:color="7030A0"/>
              <w:bottom w:val="nil"/>
              <w:right w:val="single" w:sz="4" w:space="0" w:color="7030A0"/>
            </w:tcBorders>
            <w:shd w:val="clear" w:color="auto" w:fill="auto"/>
            <w:noWrap/>
            <w:vAlign w:val="center"/>
          </w:tcPr>
          <w:p w14:paraId="417DC8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3BA03EDE"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2AB713A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Barossa - Yorke - Mid North</w:t>
            </w:r>
          </w:p>
        </w:tc>
        <w:tc>
          <w:tcPr>
            <w:tcW w:w="1347" w:type="dxa"/>
            <w:tcBorders>
              <w:left w:val="single" w:sz="4" w:space="0" w:color="7030A0"/>
              <w:bottom w:val="nil"/>
              <w:right w:val="single" w:sz="4" w:space="0" w:color="7030A0"/>
            </w:tcBorders>
            <w:shd w:val="clear" w:color="auto" w:fill="auto"/>
            <w:noWrap/>
            <w:vAlign w:val="center"/>
          </w:tcPr>
          <w:p w14:paraId="4C7941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nil"/>
              <w:right w:val="single" w:sz="4" w:space="0" w:color="7030A0"/>
            </w:tcBorders>
            <w:shd w:val="clear" w:color="auto" w:fill="auto"/>
            <w:noWrap/>
            <w:vAlign w:val="center"/>
          </w:tcPr>
          <w:p w14:paraId="62D3FF2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nil"/>
              <w:right w:val="single" w:sz="4" w:space="0" w:color="7030A0"/>
            </w:tcBorders>
            <w:shd w:val="clear" w:color="auto" w:fill="auto"/>
            <w:noWrap/>
            <w:vAlign w:val="center"/>
          </w:tcPr>
          <w:p w14:paraId="79EF97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nil"/>
              <w:right w:val="single" w:sz="4" w:space="0" w:color="7030A0"/>
            </w:tcBorders>
            <w:shd w:val="clear" w:color="auto" w:fill="auto"/>
            <w:noWrap/>
            <w:vAlign w:val="center"/>
          </w:tcPr>
          <w:p w14:paraId="779186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nil"/>
              <w:right w:val="single" w:sz="4" w:space="0" w:color="7030A0"/>
            </w:tcBorders>
            <w:shd w:val="clear" w:color="auto" w:fill="auto"/>
            <w:noWrap/>
            <w:vAlign w:val="center"/>
          </w:tcPr>
          <w:p w14:paraId="24E5461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nil"/>
              <w:right w:val="single" w:sz="4" w:space="0" w:color="7030A0"/>
            </w:tcBorders>
            <w:shd w:val="clear" w:color="auto" w:fill="auto"/>
            <w:noWrap/>
            <w:vAlign w:val="center"/>
          </w:tcPr>
          <w:p w14:paraId="0ABDD3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bottom w:val="nil"/>
              <w:right w:val="single" w:sz="4" w:space="0" w:color="7030A0"/>
            </w:tcBorders>
            <w:shd w:val="clear" w:color="auto" w:fill="auto"/>
            <w:noWrap/>
            <w:vAlign w:val="center"/>
          </w:tcPr>
          <w:p w14:paraId="2F6FEFA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nil"/>
              <w:right w:val="single" w:sz="4" w:space="0" w:color="7030A0"/>
            </w:tcBorders>
            <w:shd w:val="clear" w:color="auto" w:fill="auto"/>
            <w:noWrap/>
            <w:vAlign w:val="center"/>
          </w:tcPr>
          <w:p w14:paraId="7449507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376FDDB6"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0D98A47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South Australia - Outback</w:t>
            </w:r>
          </w:p>
        </w:tc>
        <w:tc>
          <w:tcPr>
            <w:tcW w:w="1347" w:type="dxa"/>
            <w:tcBorders>
              <w:left w:val="single" w:sz="4" w:space="0" w:color="7030A0"/>
              <w:bottom w:val="nil"/>
              <w:right w:val="single" w:sz="4" w:space="0" w:color="7030A0"/>
            </w:tcBorders>
            <w:shd w:val="clear" w:color="auto" w:fill="auto"/>
            <w:noWrap/>
            <w:vAlign w:val="center"/>
          </w:tcPr>
          <w:p w14:paraId="33EB21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488" w:type="dxa"/>
            <w:tcBorders>
              <w:left w:val="single" w:sz="4" w:space="0" w:color="7030A0"/>
              <w:bottom w:val="nil"/>
              <w:right w:val="single" w:sz="4" w:space="0" w:color="7030A0"/>
            </w:tcBorders>
            <w:shd w:val="clear" w:color="auto" w:fill="auto"/>
            <w:noWrap/>
            <w:vAlign w:val="center"/>
          </w:tcPr>
          <w:p w14:paraId="5E60FC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276" w:type="dxa"/>
            <w:tcBorders>
              <w:left w:val="single" w:sz="4" w:space="0" w:color="7030A0"/>
              <w:bottom w:val="nil"/>
              <w:right w:val="single" w:sz="4" w:space="0" w:color="7030A0"/>
            </w:tcBorders>
            <w:shd w:val="clear" w:color="auto" w:fill="auto"/>
            <w:noWrap/>
            <w:vAlign w:val="center"/>
          </w:tcPr>
          <w:p w14:paraId="49B11A0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left w:val="single" w:sz="4" w:space="0" w:color="7030A0"/>
              <w:bottom w:val="nil"/>
              <w:right w:val="single" w:sz="4" w:space="0" w:color="7030A0"/>
            </w:tcBorders>
            <w:shd w:val="clear" w:color="auto" w:fill="auto"/>
            <w:noWrap/>
            <w:vAlign w:val="center"/>
          </w:tcPr>
          <w:p w14:paraId="2A40E3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347" w:type="dxa"/>
            <w:tcBorders>
              <w:left w:val="single" w:sz="4" w:space="0" w:color="7030A0"/>
              <w:bottom w:val="nil"/>
              <w:right w:val="single" w:sz="4" w:space="0" w:color="7030A0"/>
            </w:tcBorders>
            <w:shd w:val="clear" w:color="auto" w:fill="auto"/>
            <w:noWrap/>
            <w:vAlign w:val="center"/>
          </w:tcPr>
          <w:p w14:paraId="166E08B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left w:val="single" w:sz="4" w:space="0" w:color="7030A0"/>
              <w:bottom w:val="nil"/>
              <w:right w:val="single" w:sz="4" w:space="0" w:color="7030A0"/>
            </w:tcBorders>
            <w:shd w:val="clear" w:color="auto" w:fill="auto"/>
            <w:noWrap/>
            <w:vAlign w:val="center"/>
          </w:tcPr>
          <w:p w14:paraId="1651A8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left w:val="single" w:sz="4" w:space="0" w:color="7030A0"/>
              <w:bottom w:val="nil"/>
              <w:right w:val="single" w:sz="4" w:space="0" w:color="7030A0"/>
            </w:tcBorders>
            <w:shd w:val="clear" w:color="auto" w:fill="auto"/>
            <w:noWrap/>
            <w:vAlign w:val="center"/>
          </w:tcPr>
          <w:p w14:paraId="55B83E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left w:val="single" w:sz="4" w:space="0" w:color="7030A0"/>
              <w:bottom w:val="nil"/>
              <w:right w:val="single" w:sz="4" w:space="0" w:color="7030A0"/>
            </w:tcBorders>
            <w:shd w:val="clear" w:color="auto" w:fill="auto"/>
            <w:noWrap/>
            <w:vAlign w:val="center"/>
          </w:tcPr>
          <w:p w14:paraId="1848AF0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1BAD1427" w14:textId="77777777" w:rsidTr="00E06C05">
        <w:trPr>
          <w:trHeight w:val="283"/>
        </w:trPr>
        <w:tc>
          <w:tcPr>
            <w:tcW w:w="3681" w:type="dxa"/>
            <w:tcBorders>
              <w:left w:val="single" w:sz="4" w:space="0" w:color="7030A0"/>
              <w:bottom w:val="single" w:sz="4" w:space="0" w:color="7030A0"/>
              <w:right w:val="single" w:sz="4" w:space="0" w:color="7030A0"/>
            </w:tcBorders>
            <w:shd w:val="clear" w:color="000000" w:fill="FFFFFF"/>
            <w:noWrap/>
            <w:vAlign w:val="center"/>
          </w:tcPr>
          <w:p w14:paraId="5999691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South Australia - South East</w:t>
            </w:r>
          </w:p>
        </w:tc>
        <w:tc>
          <w:tcPr>
            <w:tcW w:w="1347" w:type="dxa"/>
            <w:tcBorders>
              <w:left w:val="single" w:sz="4" w:space="0" w:color="7030A0"/>
              <w:bottom w:val="single" w:sz="4" w:space="0" w:color="7030A0"/>
              <w:right w:val="single" w:sz="4" w:space="0" w:color="7030A0"/>
            </w:tcBorders>
            <w:shd w:val="clear" w:color="auto" w:fill="auto"/>
            <w:noWrap/>
            <w:vAlign w:val="center"/>
          </w:tcPr>
          <w:p w14:paraId="6D62106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single" w:sz="4" w:space="0" w:color="7030A0"/>
              <w:right w:val="single" w:sz="4" w:space="0" w:color="7030A0"/>
            </w:tcBorders>
            <w:shd w:val="clear" w:color="auto" w:fill="auto"/>
            <w:noWrap/>
            <w:vAlign w:val="center"/>
          </w:tcPr>
          <w:p w14:paraId="661CAA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single" w:sz="4" w:space="0" w:color="7030A0"/>
              <w:right w:val="single" w:sz="4" w:space="0" w:color="7030A0"/>
            </w:tcBorders>
            <w:shd w:val="clear" w:color="auto" w:fill="auto"/>
            <w:noWrap/>
            <w:vAlign w:val="center"/>
          </w:tcPr>
          <w:p w14:paraId="74B350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single" w:sz="4" w:space="0" w:color="7030A0"/>
              <w:right w:val="single" w:sz="4" w:space="0" w:color="7030A0"/>
            </w:tcBorders>
            <w:shd w:val="clear" w:color="auto" w:fill="auto"/>
            <w:noWrap/>
            <w:vAlign w:val="center"/>
          </w:tcPr>
          <w:p w14:paraId="1E32205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single" w:sz="4" w:space="0" w:color="7030A0"/>
              <w:right w:val="single" w:sz="4" w:space="0" w:color="7030A0"/>
            </w:tcBorders>
            <w:shd w:val="clear" w:color="auto" w:fill="auto"/>
            <w:noWrap/>
            <w:vAlign w:val="center"/>
          </w:tcPr>
          <w:p w14:paraId="040EFB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single" w:sz="4" w:space="0" w:color="7030A0"/>
              <w:right w:val="single" w:sz="4" w:space="0" w:color="7030A0"/>
            </w:tcBorders>
            <w:shd w:val="clear" w:color="auto" w:fill="auto"/>
            <w:noWrap/>
            <w:vAlign w:val="center"/>
          </w:tcPr>
          <w:p w14:paraId="4DD9E8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bottom w:val="single" w:sz="4" w:space="0" w:color="7030A0"/>
              <w:right w:val="single" w:sz="4" w:space="0" w:color="7030A0"/>
            </w:tcBorders>
            <w:shd w:val="clear" w:color="auto" w:fill="auto"/>
            <w:noWrap/>
            <w:vAlign w:val="center"/>
          </w:tcPr>
          <w:p w14:paraId="3BB669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single" w:sz="4" w:space="0" w:color="7030A0"/>
              <w:right w:val="single" w:sz="4" w:space="0" w:color="7030A0"/>
            </w:tcBorders>
            <w:shd w:val="clear" w:color="auto" w:fill="auto"/>
            <w:noWrap/>
            <w:vAlign w:val="center"/>
          </w:tcPr>
          <w:p w14:paraId="5FFA2D6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5A86F73E"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9EACB1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Hobart</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1F7D668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28D22B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21CC15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D5FE5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53036B7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53E95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D0AEC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7724D1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3662C3E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6C7DF37"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Launceston and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3CCB04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5380C2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0DA3A0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nil"/>
              <w:right w:val="single" w:sz="4" w:space="0" w:color="7030A0"/>
            </w:tcBorders>
            <w:shd w:val="clear" w:color="auto" w:fill="auto"/>
            <w:noWrap/>
            <w:vAlign w:val="center"/>
            <w:hideMark/>
          </w:tcPr>
          <w:p w14:paraId="593E65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9D784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6BFAE8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3A3D9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top w:val="nil"/>
              <w:left w:val="single" w:sz="4" w:space="0" w:color="7030A0"/>
              <w:bottom w:val="nil"/>
              <w:right w:val="single" w:sz="4" w:space="0" w:color="7030A0"/>
            </w:tcBorders>
            <w:shd w:val="clear" w:color="auto" w:fill="auto"/>
            <w:noWrap/>
            <w:vAlign w:val="center"/>
            <w:hideMark/>
          </w:tcPr>
          <w:p w14:paraId="0FCFEA7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444F05E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60150C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7B83B08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061963D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171846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nil"/>
              <w:right w:val="single" w:sz="4" w:space="0" w:color="7030A0"/>
            </w:tcBorders>
            <w:shd w:val="clear" w:color="auto" w:fill="auto"/>
            <w:noWrap/>
            <w:vAlign w:val="center"/>
            <w:hideMark/>
          </w:tcPr>
          <w:p w14:paraId="1945940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1D4DC3A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B581DC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E7B775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319F38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1370592E"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26A2C88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West and North West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DF30F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00AC26C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6758611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4492273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5F76F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707F56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602FFE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C42A2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r>
      <w:tr w:rsidR="005751F5" w:rsidRPr="00675E74" w14:paraId="5070252B"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819E45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Ballarat</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459EB5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8A7687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095F65B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BCCDD3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6D4F5D5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18BDEFE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9A994C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09BDC66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7710775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94EC9B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Bendigo</w:t>
            </w:r>
          </w:p>
        </w:tc>
        <w:tc>
          <w:tcPr>
            <w:tcW w:w="1347" w:type="dxa"/>
            <w:tcBorders>
              <w:top w:val="nil"/>
              <w:left w:val="single" w:sz="4" w:space="0" w:color="7030A0"/>
              <w:bottom w:val="nil"/>
              <w:right w:val="single" w:sz="4" w:space="0" w:color="7030A0"/>
            </w:tcBorders>
            <w:shd w:val="clear" w:color="auto" w:fill="auto"/>
            <w:noWrap/>
            <w:vAlign w:val="center"/>
            <w:hideMark/>
          </w:tcPr>
          <w:p w14:paraId="5E9D95A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5E82DA3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5CFB6D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278" w:type="dxa"/>
            <w:tcBorders>
              <w:top w:val="nil"/>
              <w:left w:val="single" w:sz="4" w:space="0" w:color="7030A0"/>
              <w:bottom w:val="nil"/>
              <w:right w:val="single" w:sz="4" w:space="0" w:color="7030A0"/>
            </w:tcBorders>
            <w:shd w:val="clear" w:color="auto" w:fill="auto"/>
            <w:noWrap/>
            <w:vAlign w:val="center"/>
            <w:hideMark/>
          </w:tcPr>
          <w:p w14:paraId="34AAF73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1DDBA8E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0EEB027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68CADF6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49E87D0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7260691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DC0091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Geelong</w:t>
            </w:r>
          </w:p>
        </w:tc>
        <w:tc>
          <w:tcPr>
            <w:tcW w:w="1347" w:type="dxa"/>
            <w:tcBorders>
              <w:top w:val="nil"/>
              <w:left w:val="single" w:sz="4" w:space="0" w:color="7030A0"/>
              <w:bottom w:val="nil"/>
              <w:right w:val="single" w:sz="4" w:space="0" w:color="7030A0"/>
            </w:tcBorders>
            <w:shd w:val="clear" w:color="auto" w:fill="auto"/>
            <w:noWrap/>
            <w:vAlign w:val="center"/>
            <w:hideMark/>
          </w:tcPr>
          <w:p w14:paraId="5B2AB81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10E5FFD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629388C8"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50F33F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1EDE42E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FB8C80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7EDF361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542A35D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r>
      <w:tr w:rsidR="005751F5" w:rsidRPr="00675E74" w14:paraId="2FFFD25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7ADB94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Hume</w:t>
            </w:r>
          </w:p>
        </w:tc>
        <w:tc>
          <w:tcPr>
            <w:tcW w:w="1347" w:type="dxa"/>
            <w:tcBorders>
              <w:top w:val="nil"/>
              <w:left w:val="single" w:sz="4" w:space="0" w:color="7030A0"/>
              <w:bottom w:val="nil"/>
              <w:right w:val="single" w:sz="4" w:space="0" w:color="7030A0"/>
            </w:tcBorders>
            <w:shd w:val="clear" w:color="auto" w:fill="auto"/>
            <w:noWrap/>
            <w:vAlign w:val="center"/>
            <w:hideMark/>
          </w:tcPr>
          <w:p w14:paraId="5EAAC6A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5894662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50201D2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8" w:type="dxa"/>
            <w:tcBorders>
              <w:top w:val="nil"/>
              <w:left w:val="single" w:sz="4" w:space="0" w:color="7030A0"/>
              <w:bottom w:val="nil"/>
              <w:right w:val="single" w:sz="4" w:space="0" w:color="7030A0"/>
            </w:tcBorders>
            <w:shd w:val="clear" w:color="auto" w:fill="auto"/>
            <w:noWrap/>
            <w:vAlign w:val="center"/>
            <w:hideMark/>
          </w:tcPr>
          <w:p w14:paraId="7B0ADDA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6AE5EE8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11FCF7A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30B6961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67A7EB6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r>
      <w:tr w:rsidR="005751F5" w:rsidRPr="00675E74" w14:paraId="7857D6D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4347B3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Latrobe - Gippsland</w:t>
            </w:r>
          </w:p>
        </w:tc>
        <w:tc>
          <w:tcPr>
            <w:tcW w:w="1347" w:type="dxa"/>
            <w:tcBorders>
              <w:top w:val="nil"/>
              <w:left w:val="single" w:sz="4" w:space="0" w:color="7030A0"/>
              <w:bottom w:val="nil"/>
              <w:right w:val="single" w:sz="4" w:space="0" w:color="7030A0"/>
            </w:tcBorders>
            <w:shd w:val="clear" w:color="auto" w:fill="auto"/>
            <w:noWrap/>
            <w:vAlign w:val="center"/>
            <w:hideMark/>
          </w:tcPr>
          <w:p w14:paraId="6C66D3C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3FD65B7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1D80DC9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278" w:type="dxa"/>
            <w:tcBorders>
              <w:top w:val="nil"/>
              <w:left w:val="single" w:sz="4" w:space="0" w:color="7030A0"/>
              <w:bottom w:val="nil"/>
              <w:right w:val="single" w:sz="4" w:space="0" w:color="7030A0"/>
            </w:tcBorders>
            <w:shd w:val="clear" w:color="auto" w:fill="auto"/>
            <w:noWrap/>
            <w:vAlign w:val="center"/>
            <w:hideMark/>
          </w:tcPr>
          <w:p w14:paraId="739B9B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33AFD0E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0.85</w:t>
            </w:r>
          </w:p>
        </w:tc>
        <w:tc>
          <w:tcPr>
            <w:tcW w:w="1347" w:type="dxa"/>
            <w:tcBorders>
              <w:top w:val="nil"/>
              <w:left w:val="single" w:sz="4" w:space="0" w:color="7030A0"/>
              <w:bottom w:val="nil"/>
              <w:right w:val="single" w:sz="4" w:space="0" w:color="7030A0"/>
            </w:tcBorders>
            <w:shd w:val="clear" w:color="auto" w:fill="auto"/>
            <w:noWrap/>
            <w:vAlign w:val="center"/>
            <w:hideMark/>
          </w:tcPr>
          <w:p w14:paraId="7AEE096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8EBAC4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0.88</w:t>
            </w:r>
          </w:p>
        </w:tc>
        <w:tc>
          <w:tcPr>
            <w:tcW w:w="1348" w:type="dxa"/>
            <w:tcBorders>
              <w:top w:val="nil"/>
              <w:left w:val="single" w:sz="4" w:space="0" w:color="7030A0"/>
              <w:bottom w:val="nil"/>
              <w:right w:val="single" w:sz="4" w:space="0" w:color="7030A0"/>
            </w:tcBorders>
            <w:shd w:val="clear" w:color="auto" w:fill="auto"/>
            <w:noWrap/>
            <w:vAlign w:val="center"/>
            <w:hideMark/>
          </w:tcPr>
          <w:p w14:paraId="243DF7C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0.86</w:t>
            </w:r>
          </w:p>
        </w:tc>
      </w:tr>
      <w:tr w:rsidR="005751F5" w:rsidRPr="00675E74" w14:paraId="21FE27B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CDA343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w:t>
            </w:r>
          </w:p>
        </w:tc>
        <w:tc>
          <w:tcPr>
            <w:tcW w:w="1347" w:type="dxa"/>
            <w:tcBorders>
              <w:top w:val="nil"/>
              <w:left w:val="single" w:sz="4" w:space="0" w:color="7030A0"/>
              <w:bottom w:val="nil"/>
              <w:right w:val="single" w:sz="4" w:space="0" w:color="7030A0"/>
            </w:tcBorders>
            <w:shd w:val="clear" w:color="auto" w:fill="auto"/>
            <w:noWrap/>
            <w:vAlign w:val="center"/>
            <w:hideMark/>
          </w:tcPr>
          <w:p w14:paraId="3A115BA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46F4CD7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387AF48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1.13</w:t>
            </w:r>
          </w:p>
        </w:tc>
        <w:tc>
          <w:tcPr>
            <w:tcW w:w="1278" w:type="dxa"/>
            <w:tcBorders>
              <w:top w:val="nil"/>
              <w:left w:val="single" w:sz="4" w:space="0" w:color="7030A0"/>
              <w:bottom w:val="nil"/>
              <w:right w:val="single" w:sz="4" w:space="0" w:color="7030A0"/>
            </w:tcBorders>
            <w:shd w:val="clear" w:color="auto" w:fill="auto"/>
            <w:noWrap/>
            <w:vAlign w:val="center"/>
            <w:hideMark/>
          </w:tcPr>
          <w:p w14:paraId="6003652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1.22</w:t>
            </w:r>
          </w:p>
        </w:tc>
        <w:tc>
          <w:tcPr>
            <w:tcW w:w="1347" w:type="dxa"/>
            <w:tcBorders>
              <w:top w:val="nil"/>
              <w:left w:val="single" w:sz="4" w:space="0" w:color="7030A0"/>
              <w:bottom w:val="nil"/>
              <w:right w:val="single" w:sz="4" w:space="0" w:color="7030A0"/>
            </w:tcBorders>
            <w:shd w:val="clear" w:color="auto" w:fill="auto"/>
            <w:noWrap/>
            <w:vAlign w:val="center"/>
            <w:hideMark/>
          </w:tcPr>
          <w:p w14:paraId="7D4DB83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1.28</w:t>
            </w:r>
          </w:p>
        </w:tc>
        <w:tc>
          <w:tcPr>
            <w:tcW w:w="1347" w:type="dxa"/>
            <w:tcBorders>
              <w:top w:val="nil"/>
              <w:left w:val="single" w:sz="4" w:space="0" w:color="7030A0"/>
              <w:bottom w:val="nil"/>
              <w:right w:val="single" w:sz="4" w:space="0" w:color="7030A0"/>
            </w:tcBorders>
            <w:shd w:val="clear" w:color="auto" w:fill="auto"/>
            <w:noWrap/>
            <w:vAlign w:val="center"/>
            <w:hideMark/>
          </w:tcPr>
          <w:p w14:paraId="29A1887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1.19</w:t>
            </w:r>
          </w:p>
        </w:tc>
        <w:tc>
          <w:tcPr>
            <w:tcW w:w="1347" w:type="dxa"/>
            <w:tcBorders>
              <w:top w:val="nil"/>
              <w:left w:val="single" w:sz="4" w:space="0" w:color="7030A0"/>
              <w:bottom w:val="nil"/>
              <w:right w:val="single" w:sz="4" w:space="0" w:color="7030A0"/>
            </w:tcBorders>
            <w:shd w:val="clear" w:color="auto" w:fill="auto"/>
            <w:noWrap/>
            <w:vAlign w:val="center"/>
            <w:hideMark/>
          </w:tcPr>
          <w:p w14:paraId="34FC758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1.23</w:t>
            </w:r>
          </w:p>
        </w:tc>
        <w:tc>
          <w:tcPr>
            <w:tcW w:w="1348" w:type="dxa"/>
            <w:tcBorders>
              <w:top w:val="nil"/>
              <w:left w:val="single" w:sz="4" w:space="0" w:color="7030A0"/>
              <w:bottom w:val="nil"/>
              <w:right w:val="single" w:sz="4" w:space="0" w:color="7030A0"/>
            </w:tcBorders>
            <w:shd w:val="clear" w:color="auto" w:fill="auto"/>
            <w:noWrap/>
            <w:vAlign w:val="center"/>
            <w:hideMark/>
          </w:tcPr>
          <w:p w14:paraId="5435760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1.27</w:t>
            </w:r>
          </w:p>
        </w:tc>
      </w:tr>
      <w:tr w:rsidR="005751F5" w:rsidRPr="00675E74" w14:paraId="5972637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E4749C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 East</w:t>
            </w:r>
          </w:p>
        </w:tc>
        <w:tc>
          <w:tcPr>
            <w:tcW w:w="1347" w:type="dxa"/>
            <w:tcBorders>
              <w:top w:val="nil"/>
              <w:left w:val="single" w:sz="4" w:space="0" w:color="7030A0"/>
              <w:bottom w:val="nil"/>
              <w:right w:val="single" w:sz="4" w:space="0" w:color="7030A0"/>
            </w:tcBorders>
            <w:shd w:val="clear" w:color="auto" w:fill="auto"/>
            <w:noWrap/>
            <w:vAlign w:val="center"/>
            <w:hideMark/>
          </w:tcPr>
          <w:p w14:paraId="7FE692D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488" w:type="dxa"/>
            <w:tcBorders>
              <w:top w:val="nil"/>
              <w:left w:val="single" w:sz="4" w:space="0" w:color="7030A0"/>
              <w:bottom w:val="nil"/>
              <w:right w:val="single" w:sz="4" w:space="0" w:color="7030A0"/>
            </w:tcBorders>
            <w:shd w:val="clear" w:color="auto" w:fill="auto"/>
            <w:noWrap/>
            <w:vAlign w:val="center"/>
            <w:hideMark/>
          </w:tcPr>
          <w:p w14:paraId="4B9C0E6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6" w:type="dxa"/>
            <w:tcBorders>
              <w:top w:val="nil"/>
              <w:left w:val="single" w:sz="4" w:space="0" w:color="7030A0"/>
              <w:bottom w:val="nil"/>
              <w:right w:val="single" w:sz="4" w:space="0" w:color="7030A0"/>
            </w:tcBorders>
            <w:shd w:val="clear" w:color="auto" w:fill="auto"/>
            <w:noWrap/>
            <w:vAlign w:val="center"/>
            <w:hideMark/>
          </w:tcPr>
          <w:p w14:paraId="3CE09C2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0FD3096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2E1CF66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1.15</w:t>
            </w:r>
          </w:p>
        </w:tc>
        <w:tc>
          <w:tcPr>
            <w:tcW w:w="1347" w:type="dxa"/>
            <w:tcBorders>
              <w:top w:val="nil"/>
              <w:left w:val="single" w:sz="4" w:space="0" w:color="7030A0"/>
              <w:bottom w:val="nil"/>
              <w:right w:val="single" w:sz="4" w:space="0" w:color="7030A0"/>
            </w:tcBorders>
            <w:shd w:val="clear" w:color="auto" w:fill="auto"/>
            <w:noWrap/>
            <w:vAlign w:val="center"/>
            <w:hideMark/>
          </w:tcPr>
          <w:p w14:paraId="2825D7E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1.10</w:t>
            </w:r>
          </w:p>
        </w:tc>
        <w:tc>
          <w:tcPr>
            <w:tcW w:w="1347" w:type="dxa"/>
            <w:tcBorders>
              <w:top w:val="nil"/>
              <w:left w:val="single" w:sz="4" w:space="0" w:color="7030A0"/>
              <w:bottom w:val="nil"/>
              <w:right w:val="single" w:sz="4" w:space="0" w:color="7030A0"/>
            </w:tcBorders>
            <w:shd w:val="clear" w:color="auto" w:fill="auto"/>
            <w:noWrap/>
            <w:vAlign w:val="center"/>
            <w:hideMark/>
          </w:tcPr>
          <w:p w14:paraId="4ED7ECB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1.12</w:t>
            </w:r>
          </w:p>
        </w:tc>
        <w:tc>
          <w:tcPr>
            <w:tcW w:w="1348" w:type="dxa"/>
            <w:tcBorders>
              <w:top w:val="nil"/>
              <w:left w:val="single" w:sz="4" w:space="0" w:color="7030A0"/>
              <w:bottom w:val="nil"/>
              <w:right w:val="single" w:sz="4" w:space="0" w:color="7030A0"/>
            </w:tcBorders>
            <w:shd w:val="clear" w:color="auto" w:fill="auto"/>
            <w:noWrap/>
            <w:vAlign w:val="center"/>
            <w:hideMark/>
          </w:tcPr>
          <w:p w14:paraId="4CA10CB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1.14</w:t>
            </w:r>
          </w:p>
        </w:tc>
      </w:tr>
      <w:tr w:rsidR="005751F5" w:rsidRPr="00675E74" w14:paraId="2B1BE62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45F681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 South</w:t>
            </w:r>
          </w:p>
        </w:tc>
        <w:tc>
          <w:tcPr>
            <w:tcW w:w="1347" w:type="dxa"/>
            <w:tcBorders>
              <w:top w:val="nil"/>
              <w:left w:val="single" w:sz="4" w:space="0" w:color="7030A0"/>
              <w:bottom w:val="nil"/>
              <w:right w:val="single" w:sz="4" w:space="0" w:color="7030A0"/>
            </w:tcBorders>
            <w:shd w:val="clear" w:color="auto" w:fill="auto"/>
            <w:noWrap/>
            <w:vAlign w:val="center"/>
            <w:hideMark/>
          </w:tcPr>
          <w:p w14:paraId="2B27E36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488" w:type="dxa"/>
            <w:tcBorders>
              <w:top w:val="nil"/>
              <w:left w:val="single" w:sz="4" w:space="0" w:color="7030A0"/>
              <w:bottom w:val="nil"/>
              <w:right w:val="single" w:sz="4" w:space="0" w:color="7030A0"/>
            </w:tcBorders>
            <w:shd w:val="clear" w:color="auto" w:fill="auto"/>
            <w:noWrap/>
            <w:vAlign w:val="center"/>
            <w:hideMark/>
          </w:tcPr>
          <w:p w14:paraId="344B21E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6" w:type="dxa"/>
            <w:tcBorders>
              <w:top w:val="nil"/>
              <w:left w:val="single" w:sz="4" w:space="0" w:color="7030A0"/>
              <w:bottom w:val="nil"/>
              <w:right w:val="single" w:sz="4" w:space="0" w:color="7030A0"/>
            </w:tcBorders>
            <w:shd w:val="clear" w:color="auto" w:fill="auto"/>
            <w:noWrap/>
            <w:vAlign w:val="center"/>
            <w:hideMark/>
          </w:tcPr>
          <w:p w14:paraId="4161A6E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1.07</w:t>
            </w:r>
          </w:p>
        </w:tc>
        <w:tc>
          <w:tcPr>
            <w:tcW w:w="1278" w:type="dxa"/>
            <w:tcBorders>
              <w:top w:val="nil"/>
              <w:left w:val="single" w:sz="4" w:space="0" w:color="7030A0"/>
              <w:bottom w:val="nil"/>
              <w:right w:val="single" w:sz="4" w:space="0" w:color="7030A0"/>
            </w:tcBorders>
            <w:shd w:val="clear" w:color="auto" w:fill="auto"/>
            <w:noWrap/>
            <w:vAlign w:val="center"/>
            <w:hideMark/>
          </w:tcPr>
          <w:p w14:paraId="5A4D37B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5F5F907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1.17</w:t>
            </w:r>
          </w:p>
        </w:tc>
        <w:tc>
          <w:tcPr>
            <w:tcW w:w="1347" w:type="dxa"/>
            <w:tcBorders>
              <w:top w:val="nil"/>
              <w:left w:val="single" w:sz="4" w:space="0" w:color="7030A0"/>
              <w:bottom w:val="nil"/>
              <w:right w:val="single" w:sz="4" w:space="0" w:color="7030A0"/>
            </w:tcBorders>
            <w:shd w:val="clear" w:color="auto" w:fill="auto"/>
            <w:noWrap/>
            <w:vAlign w:val="center"/>
            <w:hideMark/>
          </w:tcPr>
          <w:p w14:paraId="70352FE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437B2CC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1.14</w:t>
            </w:r>
          </w:p>
        </w:tc>
        <w:tc>
          <w:tcPr>
            <w:tcW w:w="1348" w:type="dxa"/>
            <w:tcBorders>
              <w:top w:val="nil"/>
              <w:left w:val="single" w:sz="4" w:space="0" w:color="7030A0"/>
              <w:bottom w:val="nil"/>
              <w:right w:val="single" w:sz="4" w:space="0" w:color="7030A0"/>
            </w:tcBorders>
            <w:shd w:val="clear" w:color="auto" w:fill="auto"/>
            <w:noWrap/>
            <w:vAlign w:val="center"/>
            <w:hideMark/>
          </w:tcPr>
          <w:p w14:paraId="6772686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1.16</w:t>
            </w:r>
          </w:p>
        </w:tc>
      </w:tr>
      <w:tr w:rsidR="005751F5" w:rsidRPr="00675E74" w14:paraId="10631A7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85A0D0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61B1FC9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0432FD4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332C366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42301FE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B44BEE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275B8F0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7E8B292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8" w:type="dxa"/>
            <w:tcBorders>
              <w:top w:val="nil"/>
              <w:left w:val="single" w:sz="4" w:space="0" w:color="7030A0"/>
              <w:bottom w:val="nil"/>
              <w:right w:val="single" w:sz="4" w:space="0" w:color="7030A0"/>
            </w:tcBorders>
            <w:shd w:val="clear" w:color="auto" w:fill="auto"/>
            <w:noWrap/>
            <w:vAlign w:val="center"/>
            <w:hideMark/>
          </w:tcPr>
          <w:p w14:paraId="3BB7AC8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r>
      <w:tr w:rsidR="005751F5" w:rsidRPr="00675E74" w14:paraId="46D8175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4FA925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5BCC979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52DFD44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6FE01EA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0405E67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7166EA0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42DBC8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39A57B4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8" w:type="dxa"/>
            <w:tcBorders>
              <w:top w:val="nil"/>
              <w:left w:val="single" w:sz="4" w:space="0" w:color="7030A0"/>
              <w:bottom w:val="nil"/>
              <w:right w:val="single" w:sz="4" w:space="0" w:color="7030A0"/>
            </w:tcBorders>
            <w:shd w:val="clear" w:color="auto" w:fill="auto"/>
            <w:noWrap/>
            <w:vAlign w:val="center"/>
            <w:hideMark/>
          </w:tcPr>
          <w:p w14:paraId="1C781C08"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63327A5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B03C2B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VIC - Melbourne - Outer East</w:t>
            </w:r>
          </w:p>
        </w:tc>
        <w:tc>
          <w:tcPr>
            <w:tcW w:w="1347" w:type="dxa"/>
            <w:tcBorders>
              <w:top w:val="nil"/>
              <w:left w:val="single" w:sz="4" w:space="0" w:color="7030A0"/>
              <w:bottom w:val="nil"/>
              <w:right w:val="single" w:sz="4" w:space="0" w:color="7030A0"/>
            </w:tcBorders>
            <w:shd w:val="clear" w:color="auto" w:fill="auto"/>
            <w:noWrap/>
            <w:vAlign w:val="center"/>
            <w:hideMark/>
          </w:tcPr>
          <w:p w14:paraId="0A52A29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1F34D4F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48DB24E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278" w:type="dxa"/>
            <w:tcBorders>
              <w:top w:val="nil"/>
              <w:left w:val="single" w:sz="4" w:space="0" w:color="7030A0"/>
              <w:bottom w:val="nil"/>
              <w:right w:val="single" w:sz="4" w:space="0" w:color="7030A0"/>
            </w:tcBorders>
            <w:shd w:val="clear" w:color="auto" w:fill="auto"/>
            <w:noWrap/>
            <w:vAlign w:val="center"/>
            <w:hideMark/>
          </w:tcPr>
          <w:p w14:paraId="1A249B7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096C4E3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B0159B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1DDC859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2FFEF60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r>
      <w:tr w:rsidR="005751F5" w:rsidRPr="00675E74" w14:paraId="7B5B8EC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28CFE4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1602CD7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0492385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7888F63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395B73A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047194E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4695E3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294F719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348" w:type="dxa"/>
            <w:tcBorders>
              <w:top w:val="nil"/>
              <w:left w:val="single" w:sz="4" w:space="0" w:color="7030A0"/>
              <w:bottom w:val="nil"/>
              <w:right w:val="single" w:sz="4" w:space="0" w:color="7030A0"/>
            </w:tcBorders>
            <w:shd w:val="clear" w:color="auto" w:fill="auto"/>
            <w:noWrap/>
            <w:vAlign w:val="center"/>
            <w:hideMark/>
          </w:tcPr>
          <w:p w14:paraId="67C4938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r>
      <w:tr w:rsidR="005751F5" w:rsidRPr="00675E74" w14:paraId="2755CC1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28277F7"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West</w:t>
            </w:r>
          </w:p>
        </w:tc>
        <w:tc>
          <w:tcPr>
            <w:tcW w:w="1347" w:type="dxa"/>
            <w:tcBorders>
              <w:top w:val="nil"/>
              <w:left w:val="single" w:sz="4" w:space="0" w:color="7030A0"/>
              <w:bottom w:val="nil"/>
              <w:right w:val="single" w:sz="4" w:space="0" w:color="7030A0"/>
            </w:tcBorders>
            <w:shd w:val="clear" w:color="auto" w:fill="auto"/>
            <w:noWrap/>
            <w:vAlign w:val="center"/>
            <w:hideMark/>
          </w:tcPr>
          <w:p w14:paraId="6240ED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6FE0B53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1A94777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top w:val="nil"/>
              <w:left w:val="single" w:sz="4" w:space="0" w:color="7030A0"/>
              <w:bottom w:val="nil"/>
              <w:right w:val="single" w:sz="4" w:space="0" w:color="7030A0"/>
            </w:tcBorders>
            <w:shd w:val="clear" w:color="auto" w:fill="auto"/>
            <w:noWrap/>
            <w:vAlign w:val="center"/>
            <w:hideMark/>
          </w:tcPr>
          <w:p w14:paraId="4CB8C9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682883C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755490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4830FBD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8" w:type="dxa"/>
            <w:tcBorders>
              <w:top w:val="nil"/>
              <w:left w:val="single" w:sz="4" w:space="0" w:color="7030A0"/>
              <w:bottom w:val="nil"/>
              <w:right w:val="single" w:sz="4" w:space="0" w:color="7030A0"/>
            </w:tcBorders>
            <w:shd w:val="clear" w:color="auto" w:fill="auto"/>
            <w:noWrap/>
            <w:vAlign w:val="center"/>
            <w:hideMark/>
          </w:tcPr>
          <w:p w14:paraId="1A3967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0E3A0CB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184518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Mornington Peninsula</w:t>
            </w:r>
          </w:p>
        </w:tc>
        <w:tc>
          <w:tcPr>
            <w:tcW w:w="1347" w:type="dxa"/>
            <w:tcBorders>
              <w:top w:val="nil"/>
              <w:left w:val="single" w:sz="4" w:space="0" w:color="7030A0"/>
              <w:bottom w:val="nil"/>
              <w:right w:val="single" w:sz="4" w:space="0" w:color="7030A0"/>
            </w:tcBorders>
            <w:shd w:val="clear" w:color="auto" w:fill="auto"/>
            <w:noWrap/>
            <w:vAlign w:val="center"/>
            <w:hideMark/>
          </w:tcPr>
          <w:p w14:paraId="6C3845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45C055A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7EA2E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278" w:type="dxa"/>
            <w:tcBorders>
              <w:top w:val="nil"/>
              <w:left w:val="single" w:sz="4" w:space="0" w:color="7030A0"/>
              <w:bottom w:val="nil"/>
              <w:right w:val="single" w:sz="4" w:space="0" w:color="7030A0"/>
            </w:tcBorders>
            <w:shd w:val="clear" w:color="auto" w:fill="auto"/>
            <w:noWrap/>
            <w:vAlign w:val="center"/>
            <w:hideMark/>
          </w:tcPr>
          <w:p w14:paraId="4B47207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02B467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5E06460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31BA453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nil"/>
              <w:left w:val="single" w:sz="4" w:space="0" w:color="7030A0"/>
              <w:bottom w:val="nil"/>
              <w:right w:val="single" w:sz="4" w:space="0" w:color="7030A0"/>
            </w:tcBorders>
            <w:shd w:val="clear" w:color="auto" w:fill="auto"/>
            <w:noWrap/>
            <w:vAlign w:val="center"/>
            <w:hideMark/>
          </w:tcPr>
          <w:p w14:paraId="51FDBC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0FED81A5"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40659A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62A9B2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23414F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1B8C928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7ADDC5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28F6EFA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top w:val="nil"/>
              <w:left w:val="single" w:sz="4" w:space="0" w:color="7030A0"/>
              <w:bottom w:val="nil"/>
              <w:right w:val="single" w:sz="4" w:space="0" w:color="7030A0"/>
            </w:tcBorders>
            <w:shd w:val="clear" w:color="auto" w:fill="auto"/>
            <w:noWrap/>
            <w:vAlign w:val="center"/>
            <w:hideMark/>
          </w:tcPr>
          <w:p w14:paraId="24556C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7C2D94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nil"/>
              <w:left w:val="single" w:sz="4" w:space="0" w:color="7030A0"/>
              <w:bottom w:val="nil"/>
              <w:right w:val="single" w:sz="4" w:space="0" w:color="7030A0"/>
            </w:tcBorders>
            <w:shd w:val="clear" w:color="auto" w:fill="auto"/>
            <w:noWrap/>
            <w:vAlign w:val="center"/>
            <w:hideMark/>
          </w:tcPr>
          <w:p w14:paraId="7BAF52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0465A48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593547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Shepparton</w:t>
            </w:r>
          </w:p>
        </w:tc>
        <w:tc>
          <w:tcPr>
            <w:tcW w:w="1347" w:type="dxa"/>
            <w:tcBorders>
              <w:top w:val="nil"/>
              <w:left w:val="single" w:sz="4" w:space="0" w:color="7030A0"/>
              <w:bottom w:val="nil"/>
              <w:right w:val="single" w:sz="4" w:space="0" w:color="7030A0"/>
            </w:tcBorders>
            <w:shd w:val="clear" w:color="auto" w:fill="auto"/>
            <w:noWrap/>
            <w:vAlign w:val="center"/>
            <w:hideMark/>
          </w:tcPr>
          <w:p w14:paraId="201BEB3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6A1B673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385442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8" w:type="dxa"/>
            <w:tcBorders>
              <w:top w:val="nil"/>
              <w:left w:val="single" w:sz="4" w:space="0" w:color="7030A0"/>
              <w:bottom w:val="nil"/>
              <w:right w:val="single" w:sz="4" w:space="0" w:color="7030A0"/>
            </w:tcBorders>
            <w:shd w:val="clear" w:color="auto" w:fill="auto"/>
            <w:noWrap/>
            <w:vAlign w:val="center"/>
            <w:hideMark/>
          </w:tcPr>
          <w:p w14:paraId="1395D8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769F73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5E1FD16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05B0D0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6B4D02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21AD2AF3"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4A6548D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Warrnambool and South West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AA79D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7B54B87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7C3674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500F96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105F7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5D0793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6C3D8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261EC2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7EDD2328"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0B55682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Bunbury</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6689324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85B8C2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2B1CF9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118C5B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50A29C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94F43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0D93EA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69445E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6748B8D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49AB4B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Mandurah</w:t>
            </w:r>
          </w:p>
        </w:tc>
        <w:tc>
          <w:tcPr>
            <w:tcW w:w="1347" w:type="dxa"/>
            <w:tcBorders>
              <w:top w:val="nil"/>
              <w:left w:val="single" w:sz="4" w:space="0" w:color="7030A0"/>
              <w:bottom w:val="nil"/>
              <w:right w:val="single" w:sz="4" w:space="0" w:color="7030A0"/>
            </w:tcBorders>
            <w:shd w:val="clear" w:color="auto" w:fill="auto"/>
            <w:noWrap/>
            <w:vAlign w:val="center"/>
            <w:hideMark/>
          </w:tcPr>
          <w:p w14:paraId="3E1280D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488" w:type="dxa"/>
            <w:tcBorders>
              <w:top w:val="nil"/>
              <w:left w:val="single" w:sz="4" w:space="0" w:color="7030A0"/>
              <w:bottom w:val="nil"/>
              <w:right w:val="single" w:sz="4" w:space="0" w:color="7030A0"/>
            </w:tcBorders>
            <w:shd w:val="clear" w:color="auto" w:fill="auto"/>
            <w:noWrap/>
            <w:vAlign w:val="center"/>
            <w:hideMark/>
          </w:tcPr>
          <w:p w14:paraId="66E61E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253BAF5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7DC1DA3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0DD72B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1A8748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52F244E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334B35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1BEE28C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BE70EB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Inner</w:t>
            </w:r>
          </w:p>
        </w:tc>
        <w:tc>
          <w:tcPr>
            <w:tcW w:w="1347" w:type="dxa"/>
            <w:tcBorders>
              <w:top w:val="nil"/>
              <w:left w:val="single" w:sz="4" w:space="0" w:color="7030A0"/>
              <w:bottom w:val="nil"/>
              <w:right w:val="single" w:sz="4" w:space="0" w:color="7030A0"/>
            </w:tcBorders>
            <w:shd w:val="clear" w:color="auto" w:fill="auto"/>
            <w:noWrap/>
            <w:vAlign w:val="center"/>
            <w:hideMark/>
          </w:tcPr>
          <w:p w14:paraId="1A2BF4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236299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6" w:type="dxa"/>
            <w:tcBorders>
              <w:top w:val="nil"/>
              <w:left w:val="single" w:sz="4" w:space="0" w:color="7030A0"/>
              <w:bottom w:val="nil"/>
              <w:right w:val="single" w:sz="4" w:space="0" w:color="7030A0"/>
            </w:tcBorders>
            <w:shd w:val="clear" w:color="auto" w:fill="auto"/>
            <w:noWrap/>
            <w:vAlign w:val="center"/>
            <w:hideMark/>
          </w:tcPr>
          <w:p w14:paraId="18B32C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278" w:type="dxa"/>
            <w:tcBorders>
              <w:top w:val="nil"/>
              <w:left w:val="single" w:sz="4" w:space="0" w:color="7030A0"/>
              <w:bottom w:val="nil"/>
              <w:right w:val="single" w:sz="4" w:space="0" w:color="7030A0"/>
            </w:tcBorders>
            <w:shd w:val="clear" w:color="auto" w:fill="auto"/>
            <w:noWrap/>
            <w:vAlign w:val="center"/>
            <w:hideMark/>
          </w:tcPr>
          <w:p w14:paraId="2CAD11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1.34</w:t>
            </w:r>
          </w:p>
        </w:tc>
        <w:tc>
          <w:tcPr>
            <w:tcW w:w="1347" w:type="dxa"/>
            <w:tcBorders>
              <w:top w:val="nil"/>
              <w:left w:val="single" w:sz="4" w:space="0" w:color="7030A0"/>
              <w:bottom w:val="nil"/>
              <w:right w:val="single" w:sz="4" w:space="0" w:color="7030A0"/>
            </w:tcBorders>
            <w:shd w:val="clear" w:color="auto" w:fill="auto"/>
            <w:noWrap/>
            <w:vAlign w:val="center"/>
            <w:hideMark/>
          </w:tcPr>
          <w:p w14:paraId="068889C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1.43</w:t>
            </w:r>
          </w:p>
        </w:tc>
        <w:tc>
          <w:tcPr>
            <w:tcW w:w="1347" w:type="dxa"/>
            <w:tcBorders>
              <w:top w:val="nil"/>
              <w:left w:val="single" w:sz="4" w:space="0" w:color="7030A0"/>
              <w:bottom w:val="nil"/>
              <w:right w:val="single" w:sz="4" w:space="0" w:color="7030A0"/>
            </w:tcBorders>
            <w:shd w:val="clear" w:color="auto" w:fill="auto"/>
            <w:noWrap/>
            <w:vAlign w:val="center"/>
            <w:hideMark/>
          </w:tcPr>
          <w:p w14:paraId="3F1B3C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7" w:type="dxa"/>
            <w:tcBorders>
              <w:top w:val="nil"/>
              <w:left w:val="single" w:sz="4" w:space="0" w:color="7030A0"/>
              <w:bottom w:val="nil"/>
              <w:right w:val="single" w:sz="4" w:space="0" w:color="7030A0"/>
            </w:tcBorders>
            <w:shd w:val="clear" w:color="auto" w:fill="auto"/>
            <w:noWrap/>
            <w:vAlign w:val="center"/>
            <w:hideMark/>
          </w:tcPr>
          <w:p w14:paraId="12FD974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348" w:type="dxa"/>
            <w:tcBorders>
              <w:top w:val="nil"/>
              <w:left w:val="single" w:sz="4" w:space="0" w:color="7030A0"/>
              <w:bottom w:val="nil"/>
              <w:right w:val="single" w:sz="4" w:space="0" w:color="7030A0"/>
            </w:tcBorders>
            <w:shd w:val="clear" w:color="auto" w:fill="auto"/>
            <w:noWrap/>
            <w:vAlign w:val="center"/>
            <w:hideMark/>
          </w:tcPr>
          <w:p w14:paraId="25A091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1.41</w:t>
            </w:r>
          </w:p>
        </w:tc>
      </w:tr>
      <w:tr w:rsidR="005751F5" w:rsidRPr="00675E74" w14:paraId="1C00794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A9FA52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798E8A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6C7758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399242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AFF14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66CF992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453362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F59B9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nil"/>
              <w:left w:val="single" w:sz="4" w:space="0" w:color="7030A0"/>
              <w:bottom w:val="nil"/>
              <w:right w:val="single" w:sz="4" w:space="0" w:color="7030A0"/>
            </w:tcBorders>
            <w:shd w:val="clear" w:color="auto" w:fill="auto"/>
            <w:noWrap/>
            <w:vAlign w:val="center"/>
            <w:hideMark/>
          </w:tcPr>
          <w:p w14:paraId="1039FF3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0CFB5BD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938AD1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6E5657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0164D0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139732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8" w:type="dxa"/>
            <w:tcBorders>
              <w:top w:val="nil"/>
              <w:left w:val="single" w:sz="4" w:space="0" w:color="7030A0"/>
              <w:bottom w:val="nil"/>
              <w:right w:val="single" w:sz="4" w:space="0" w:color="7030A0"/>
            </w:tcBorders>
            <w:shd w:val="clear" w:color="auto" w:fill="auto"/>
            <w:noWrap/>
            <w:vAlign w:val="center"/>
            <w:hideMark/>
          </w:tcPr>
          <w:p w14:paraId="2A7352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252394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6117CF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97756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2250B3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5EC9AFA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1FE991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3F4440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85A29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75E7F0B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5E0A52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4D0357D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7" w:type="dxa"/>
            <w:tcBorders>
              <w:top w:val="nil"/>
              <w:left w:val="single" w:sz="4" w:space="0" w:color="7030A0"/>
              <w:bottom w:val="nil"/>
              <w:right w:val="single" w:sz="4" w:space="0" w:color="7030A0"/>
            </w:tcBorders>
            <w:shd w:val="clear" w:color="auto" w:fill="auto"/>
            <w:noWrap/>
            <w:vAlign w:val="center"/>
            <w:hideMark/>
          </w:tcPr>
          <w:p w14:paraId="144CC7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6091BD7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8" w:type="dxa"/>
            <w:tcBorders>
              <w:top w:val="nil"/>
              <w:left w:val="single" w:sz="4" w:space="0" w:color="7030A0"/>
              <w:bottom w:val="nil"/>
              <w:right w:val="single" w:sz="4" w:space="0" w:color="7030A0"/>
            </w:tcBorders>
            <w:shd w:val="clear" w:color="auto" w:fill="auto"/>
            <w:noWrap/>
            <w:vAlign w:val="center"/>
            <w:hideMark/>
          </w:tcPr>
          <w:p w14:paraId="521DDD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r>
      <w:tr w:rsidR="005751F5" w:rsidRPr="00675E74" w14:paraId="3FA8C10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A64B1C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0404C8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4689F3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3542458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nil"/>
              <w:right w:val="single" w:sz="4" w:space="0" w:color="7030A0"/>
            </w:tcBorders>
            <w:shd w:val="clear" w:color="auto" w:fill="auto"/>
            <w:noWrap/>
            <w:vAlign w:val="center"/>
            <w:hideMark/>
          </w:tcPr>
          <w:p w14:paraId="4A716F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7CC9DBC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670287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671B5B2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8" w:type="dxa"/>
            <w:tcBorders>
              <w:top w:val="nil"/>
              <w:left w:val="single" w:sz="4" w:space="0" w:color="7030A0"/>
              <w:bottom w:val="nil"/>
              <w:right w:val="single" w:sz="4" w:space="0" w:color="7030A0"/>
            </w:tcBorders>
            <w:shd w:val="clear" w:color="auto" w:fill="auto"/>
            <w:noWrap/>
            <w:vAlign w:val="center"/>
            <w:hideMark/>
          </w:tcPr>
          <w:p w14:paraId="1F84AB3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r>
      <w:tr w:rsidR="005751F5" w:rsidRPr="00675E74" w14:paraId="18B73E0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802334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Western Australia - Outback</w:t>
            </w:r>
          </w:p>
        </w:tc>
        <w:tc>
          <w:tcPr>
            <w:tcW w:w="1347" w:type="dxa"/>
            <w:tcBorders>
              <w:top w:val="nil"/>
              <w:left w:val="single" w:sz="4" w:space="0" w:color="7030A0"/>
              <w:bottom w:val="nil"/>
              <w:right w:val="single" w:sz="4" w:space="0" w:color="7030A0"/>
            </w:tcBorders>
            <w:shd w:val="clear" w:color="auto" w:fill="auto"/>
            <w:noWrap/>
            <w:vAlign w:val="center"/>
            <w:hideMark/>
          </w:tcPr>
          <w:p w14:paraId="177565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488" w:type="dxa"/>
            <w:tcBorders>
              <w:top w:val="nil"/>
              <w:left w:val="single" w:sz="4" w:space="0" w:color="7030A0"/>
              <w:bottom w:val="nil"/>
              <w:right w:val="single" w:sz="4" w:space="0" w:color="7030A0"/>
            </w:tcBorders>
            <w:shd w:val="clear" w:color="auto" w:fill="auto"/>
            <w:noWrap/>
            <w:vAlign w:val="center"/>
            <w:hideMark/>
          </w:tcPr>
          <w:p w14:paraId="0DC8DE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276" w:type="dxa"/>
            <w:tcBorders>
              <w:top w:val="nil"/>
              <w:left w:val="single" w:sz="4" w:space="0" w:color="7030A0"/>
              <w:bottom w:val="nil"/>
              <w:right w:val="single" w:sz="4" w:space="0" w:color="7030A0"/>
            </w:tcBorders>
            <w:shd w:val="clear" w:color="auto" w:fill="auto"/>
            <w:noWrap/>
            <w:vAlign w:val="center"/>
            <w:hideMark/>
          </w:tcPr>
          <w:p w14:paraId="6E1E0E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278" w:type="dxa"/>
            <w:tcBorders>
              <w:top w:val="nil"/>
              <w:left w:val="single" w:sz="4" w:space="0" w:color="7030A0"/>
              <w:bottom w:val="nil"/>
              <w:right w:val="single" w:sz="4" w:space="0" w:color="7030A0"/>
            </w:tcBorders>
            <w:shd w:val="clear" w:color="auto" w:fill="auto"/>
            <w:noWrap/>
            <w:vAlign w:val="center"/>
            <w:hideMark/>
          </w:tcPr>
          <w:p w14:paraId="120F14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7" w:type="dxa"/>
            <w:tcBorders>
              <w:top w:val="nil"/>
              <w:left w:val="single" w:sz="4" w:space="0" w:color="7030A0"/>
              <w:bottom w:val="nil"/>
              <w:right w:val="single" w:sz="4" w:space="0" w:color="7030A0"/>
            </w:tcBorders>
            <w:shd w:val="clear" w:color="auto" w:fill="auto"/>
            <w:noWrap/>
            <w:vAlign w:val="center"/>
            <w:hideMark/>
          </w:tcPr>
          <w:p w14:paraId="6792101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9805F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347" w:type="dxa"/>
            <w:tcBorders>
              <w:top w:val="nil"/>
              <w:left w:val="single" w:sz="4" w:space="0" w:color="7030A0"/>
              <w:bottom w:val="nil"/>
              <w:right w:val="single" w:sz="4" w:space="0" w:color="7030A0"/>
            </w:tcBorders>
            <w:shd w:val="clear" w:color="auto" w:fill="auto"/>
            <w:noWrap/>
            <w:vAlign w:val="center"/>
            <w:hideMark/>
          </w:tcPr>
          <w:p w14:paraId="7CD3281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8" w:type="dxa"/>
            <w:tcBorders>
              <w:top w:val="nil"/>
              <w:left w:val="single" w:sz="4" w:space="0" w:color="7030A0"/>
              <w:bottom w:val="nil"/>
              <w:right w:val="single" w:sz="4" w:space="0" w:color="7030A0"/>
            </w:tcBorders>
            <w:shd w:val="clear" w:color="auto" w:fill="auto"/>
            <w:noWrap/>
            <w:vAlign w:val="center"/>
            <w:hideMark/>
          </w:tcPr>
          <w:p w14:paraId="4BB5CE4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60A33CA9"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48D464C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Western Australia - Wheat Belt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172AB0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5BC433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10F379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679014E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1D7FA6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5267D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70B6878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57A51D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bl>
    <w:p w14:paraId="715B1421" w14:textId="77777777" w:rsidR="005751F5" w:rsidRPr="006141EA" w:rsidRDefault="005751F5" w:rsidP="005751F5"/>
    <w:sectPr w:rsidR="005751F5" w:rsidRPr="006141EA" w:rsidSect="000B6F7C">
      <w:pgSz w:w="16838" w:h="11906" w:orient="landscape"/>
      <w:pgMar w:top="1440" w:right="1440" w:bottom="1276"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A0208" w14:textId="77777777" w:rsidR="008422A9" w:rsidRDefault="008422A9" w:rsidP="007219F1">
      <w:pPr>
        <w:spacing w:after="0" w:line="240" w:lineRule="auto"/>
      </w:pPr>
      <w:r>
        <w:separator/>
      </w:r>
    </w:p>
    <w:p w14:paraId="031CD669" w14:textId="77777777" w:rsidR="008422A9" w:rsidRDefault="008422A9"/>
    <w:p w14:paraId="045A2409" w14:textId="77777777" w:rsidR="008422A9" w:rsidRDefault="008422A9"/>
  </w:endnote>
  <w:endnote w:type="continuationSeparator" w:id="0">
    <w:p w14:paraId="55BCE6B4" w14:textId="77777777" w:rsidR="008422A9" w:rsidRDefault="008422A9" w:rsidP="007219F1">
      <w:pPr>
        <w:spacing w:after="0" w:line="240" w:lineRule="auto"/>
      </w:pPr>
      <w:r>
        <w:continuationSeparator/>
      </w:r>
    </w:p>
    <w:p w14:paraId="4AEB5A13" w14:textId="77777777" w:rsidR="008422A9" w:rsidRDefault="008422A9"/>
    <w:p w14:paraId="41EB626B" w14:textId="77777777" w:rsidR="008422A9" w:rsidRDefault="008422A9"/>
  </w:endnote>
  <w:endnote w:type="continuationNotice" w:id="1">
    <w:p w14:paraId="66421971" w14:textId="77777777" w:rsidR="008422A9" w:rsidRDefault="00842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Franklin Gothic Book">
    <w:panose1 w:val="020B0503020102020204"/>
    <w:charset w:val="00"/>
    <w:family w:val="swiss"/>
    <w:pitch w:val="variable"/>
    <w:sig w:usb0="00000287" w:usb1="00000000" w:usb2="00000000" w:usb3="00000000" w:csb0="0000009F"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BC086" w14:textId="77777777" w:rsidR="00642B68" w:rsidRDefault="00642B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753773"/>
      <w:docPartObj>
        <w:docPartGallery w:val="Page Numbers (Bottom of Page)"/>
        <w:docPartUnique/>
      </w:docPartObj>
    </w:sdtPr>
    <w:sdtEndPr>
      <w:rPr>
        <w:noProof/>
      </w:rPr>
    </w:sdtEndPr>
    <w:sdtContent>
      <w:p w14:paraId="411A4FC5" w14:textId="77777777" w:rsidR="0002637E" w:rsidRDefault="0002637E">
        <w:pPr>
          <w:pStyle w:val="Footer"/>
          <w:jc w:val="center"/>
        </w:pPr>
        <w:r>
          <w:rPr>
            <w:noProof/>
            <w:lang w:val="en-AU" w:eastAsia="en-AU"/>
          </w:rPr>
          <w:drawing>
            <wp:anchor distT="0" distB="0" distL="114300" distR="114300" simplePos="0" relativeHeight="251683840" behindDoc="1" locked="0" layoutInCell="1" allowOverlap="1" wp14:anchorId="411A4FDF" wp14:editId="411A4FE0">
              <wp:simplePos x="0" y="0"/>
              <wp:positionH relativeFrom="margin">
                <wp:align>left</wp:align>
              </wp:positionH>
              <wp:positionV relativeFrom="paragraph">
                <wp:posOffset>-178765</wp:posOffset>
              </wp:positionV>
              <wp:extent cx="1679944" cy="32749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20</w:t>
        </w:r>
        <w:r>
          <w:rPr>
            <w:noProof/>
          </w:rPr>
          <w:fldChar w:fldCharType="end"/>
        </w:r>
      </w:p>
    </w:sdtContent>
  </w:sdt>
  <w:p w14:paraId="411A4FC6" w14:textId="77777777" w:rsidR="0002637E" w:rsidRPr="000003D6" w:rsidRDefault="0002637E" w:rsidP="00417809">
    <w:pPr>
      <w:pStyle w:val="Footer"/>
      <w:rPr>
        <w:rFonts w:asciiTheme="minorHAnsi" w:hAnsiTheme="minorHAns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7" w14:textId="77777777" w:rsidR="0002637E" w:rsidRPr="007219F1" w:rsidRDefault="0002637E" w:rsidP="00DE5606">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89984" behindDoc="1" locked="0" layoutInCell="1" allowOverlap="1" wp14:anchorId="411A4FE1" wp14:editId="411A4FE2">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p>
  <w:p w14:paraId="411A4FC8" w14:textId="77777777" w:rsidR="0002637E" w:rsidRDefault="0002637E" w:rsidP="00DE5606">
    <w:pPr>
      <w:pStyle w:val="Footer"/>
    </w:pPr>
  </w:p>
  <w:p w14:paraId="411A4FC9" w14:textId="77777777" w:rsidR="0002637E" w:rsidRDefault="000263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150049"/>
      <w:docPartObj>
        <w:docPartGallery w:val="Page Numbers (Bottom of Page)"/>
        <w:docPartUnique/>
      </w:docPartObj>
    </w:sdtPr>
    <w:sdtEndPr>
      <w:rPr>
        <w:noProof/>
      </w:rPr>
    </w:sdtEndPr>
    <w:sdtContent>
      <w:p w14:paraId="411A4FCE" w14:textId="77777777" w:rsidR="0002637E" w:rsidRDefault="0002637E">
        <w:pPr>
          <w:pStyle w:val="Footer"/>
          <w:jc w:val="center"/>
        </w:pPr>
        <w:r>
          <w:rPr>
            <w:noProof/>
            <w:lang w:val="en-AU" w:eastAsia="en-AU"/>
          </w:rPr>
          <w:drawing>
            <wp:anchor distT="0" distB="0" distL="114300" distR="114300" simplePos="0" relativeHeight="251685888" behindDoc="1" locked="0" layoutInCell="1" allowOverlap="1" wp14:anchorId="411A4FE3" wp14:editId="411A4FE4">
              <wp:simplePos x="0" y="0"/>
              <wp:positionH relativeFrom="margin">
                <wp:posOffset>0</wp:posOffset>
              </wp:positionH>
              <wp:positionV relativeFrom="paragraph">
                <wp:posOffset>-123635</wp:posOffset>
              </wp:positionV>
              <wp:extent cx="1679944" cy="327498"/>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24</w:t>
        </w:r>
        <w:r>
          <w:rPr>
            <w:noProof/>
          </w:rPr>
          <w:fldChar w:fldCharType="end"/>
        </w:r>
      </w:p>
    </w:sdtContent>
  </w:sdt>
  <w:p w14:paraId="411A4FCF" w14:textId="77777777" w:rsidR="0002637E" w:rsidRDefault="0002637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697290"/>
      <w:docPartObj>
        <w:docPartGallery w:val="Page Numbers (Bottom of Page)"/>
        <w:docPartUnique/>
      </w:docPartObj>
    </w:sdtPr>
    <w:sdtEndPr>
      <w:rPr>
        <w:noProof/>
      </w:rPr>
    </w:sdtEndPr>
    <w:sdtContent>
      <w:p w14:paraId="411A4FD2" w14:textId="77777777" w:rsidR="0002637E" w:rsidRDefault="0002637E">
        <w:pPr>
          <w:pStyle w:val="Footer"/>
          <w:jc w:val="center"/>
          <w:rPr>
            <w:noProof/>
          </w:rPr>
        </w:pPr>
        <w:r>
          <w:rPr>
            <w:noProof/>
            <w:lang w:val="en-AU" w:eastAsia="en-AU"/>
          </w:rPr>
          <w:drawing>
            <wp:anchor distT="0" distB="0" distL="114300" distR="114300" simplePos="0" relativeHeight="251681792" behindDoc="1" locked="0" layoutInCell="1" allowOverlap="1" wp14:anchorId="411A4FE5" wp14:editId="411A4FE6">
              <wp:simplePos x="0" y="0"/>
              <wp:positionH relativeFrom="margin">
                <wp:align>left</wp:align>
              </wp:positionH>
              <wp:positionV relativeFrom="paragraph">
                <wp:posOffset>-74428</wp:posOffset>
              </wp:positionV>
              <wp:extent cx="1679944" cy="327498"/>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21</w:t>
        </w:r>
        <w:r>
          <w:rPr>
            <w:noProof/>
          </w:rPr>
          <w:fldChar w:fldCharType="end"/>
        </w:r>
      </w:p>
      <w:p w14:paraId="411A4FD3" w14:textId="77777777" w:rsidR="0002637E" w:rsidRDefault="008422A9">
        <w:pPr>
          <w:pStyle w:val="Footer"/>
          <w:jc w:val="center"/>
        </w:pPr>
      </w:p>
    </w:sdtContent>
  </w:sdt>
  <w:p w14:paraId="411A4FD4" w14:textId="77777777" w:rsidR="0002637E" w:rsidRPr="00E11669" w:rsidRDefault="0002637E" w:rsidP="00E1166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8" w14:textId="77777777" w:rsidR="0002637E" w:rsidRDefault="0002637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819665"/>
      <w:docPartObj>
        <w:docPartGallery w:val="Page Numbers (Bottom of Page)"/>
        <w:docPartUnique/>
      </w:docPartObj>
    </w:sdtPr>
    <w:sdtEndPr>
      <w:rPr>
        <w:noProof/>
      </w:rPr>
    </w:sdtEndPr>
    <w:sdtContent>
      <w:p w14:paraId="411A4FD9" w14:textId="77777777" w:rsidR="0002637E" w:rsidRDefault="0002637E">
        <w:pPr>
          <w:pStyle w:val="Footer"/>
          <w:jc w:val="center"/>
        </w:pPr>
        <w:r>
          <w:rPr>
            <w:noProof/>
            <w:lang w:val="en-AU" w:eastAsia="en-AU"/>
          </w:rPr>
          <w:drawing>
            <wp:anchor distT="0" distB="0" distL="114300" distR="114300" simplePos="0" relativeHeight="251687936" behindDoc="1" locked="0" layoutInCell="1" allowOverlap="1" wp14:anchorId="411A4FE9" wp14:editId="411A4FEA">
              <wp:simplePos x="0" y="0"/>
              <wp:positionH relativeFrom="margin">
                <wp:posOffset>0</wp:posOffset>
              </wp:positionH>
              <wp:positionV relativeFrom="paragraph">
                <wp:posOffset>-29020</wp:posOffset>
              </wp:positionV>
              <wp:extent cx="1679944" cy="327498"/>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64</w:t>
        </w:r>
        <w:r>
          <w:rPr>
            <w:noProof/>
          </w:rPr>
          <w:fldChar w:fldCharType="end"/>
        </w:r>
      </w:p>
    </w:sdtContent>
  </w:sdt>
  <w:p w14:paraId="411A4FDA" w14:textId="77777777" w:rsidR="0002637E" w:rsidRDefault="0002637E" w:rsidP="00A150E4">
    <w:pPr>
      <w:tabs>
        <w:tab w:val="left" w:pos="1457"/>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C" w14:textId="77777777" w:rsidR="0002637E" w:rsidRDefault="000263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619DC" w14:textId="77777777" w:rsidR="008422A9" w:rsidRDefault="008422A9" w:rsidP="007219F1">
      <w:pPr>
        <w:spacing w:after="0" w:line="240" w:lineRule="auto"/>
      </w:pPr>
      <w:r>
        <w:separator/>
      </w:r>
    </w:p>
    <w:p w14:paraId="342AE14B" w14:textId="77777777" w:rsidR="008422A9" w:rsidRDefault="008422A9"/>
    <w:p w14:paraId="6C11C1F3" w14:textId="77777777" w:rsidR="008422A9" w:rsidRDefault="008422A9"/>
  </w:footnote>
  <w:footnote w:type="continuationSeparator" w:id="0">
    <w:p w14:paraId="4542369B" w14:textId="77777777" w:rsidR="008422A9" w:rsidRDefault="008422A9" w:rsidP="007219F1">
      <w:pPr>
        <w:spacing w:after="0" w:line="240" w:lineRule="auto"/>
      </w:pPr>
      <w:r>
        <w:continuationSeparator/>
      </w:r>
    </w:p>
    <w:p w14:paraId="1835BEF7" w14:textId="77777777" w:rsidR="008422A9" w:rsidRDefault="008422A9"/>
    <w:p w14:paraId="60EBC5BF" w14:textId="77777777" w:rsidR="008422A9" w:rsidRDefault="008422A9"/>
  </w:footnote>
  <w:footnote w:type="continuationNotice" w:id="1">
    <w:p w14:paraId="48826406" w14:textId="77777777" w:rsidR="008422A9" w:rsidRDefault="008422A9">
      <w:pPr>
        <w:spacing w:after="0" w:line="240" w:lineRule="auto"/>
      </w:pPr>
    </w:p>
  </w:footnote>
  <w:footnote w:id="2">
    <w:p w14:paraId="411A4FEB" w14:textId="77777777" w:rsidR="0002637E" w:rsidRDefault="0002637E" w:rsidP="00BC25FA">
      <w:pPr>
        <w:pStyle w:val="FootnoteText"/>
      </w:pPr>
      <w:r>
        <w:rPr>
          <w:rStyle w:val="FootnoteReference"/>
        </w:rPr>
        <w:footnoteRef/>
      </w:r>
      <w:r>
        <w:t xml:space="preserve"> This would include weights or factors for remoteness.</w:t>
      </w:r>
    </w:p>
  </w:footnote>
  <w:footnote w:id="3">
    <w:p w14:paraId="411A4FEC" w14:textId="77777777" w:rsidR="0002637E" w:rsidRDefault="0002637E" w:rsidP="00BC25FA">
      <w:pPr>
        <w:pStyle w:val="FootnoteText"/>
      </w:pPr>
      <w:r>
        <w:rPr>
          <w:rStyle w:val="FootnoteReference"/>
        </w:rPr>
        <w:footnoteRef/>
      </w:r>
      <w:r>
        <w:t xml:space="preserve"> This happens twice a year in March and September.</w:t>
      </w:r>
    </w:p>
  </w:footnote>
  <w:footnote w:id="4">
    <w:p w14:paraId="411A4FED" w14:textId="77777777" w:rsidR="0002637E" w:rsidRDefault="0002637E" w:rsidP="00BC25FA">
      <w:pPr>
        <w:pStyle w:val="FootnoteText"/>
      </w:pPr>
      <w:r>
        <w:rPr>
          <w:rStyle w:val="FootnoteReference"/>
        </w:rPr>
        <w:footnoteRef/>
      </w:r>
      <w:r>
        <w:t xml:space="preserve"> At the time of drafting this framework, the Disability Reform Council had commissioned work on a Quality and Safeguarding Framework, which when finalised may impact on pricing arrangements. Senior Officials are currently working on the quality and safeguarding arrangements that will operate under the NDIS at full scheme. In the context of specialist disability accommodation, there are a number of specific quality and safeguarding issues that reflect the integrated nature of housing and support. Further work is required to resolve these issues in the context of a national approach to NDIS quality and safeguards.</w:t>
      </w:r>
    </w:p>
  </w:footnote>
  <w:footnote w:id="5">
    <w:p w14:paraId="411A4FEE" w14:textId="77777777" w:rsidR="0002637E" w:rsidRDefault="0002637E" w:rsidP="00BC25FA">
      <w:pPr>
        <w:pStyle w:val="FootnoteText"/>
      </w:pPr>
      <w:r>
        <w:rPr>
          <w:rStyle w:val="FootnoteReference"/>
        </w:rPr>
        <w:footnoteRef/>
      </w:r>
      <w:r>
        <w:t xml:space="preserve"> Including participants with psycho-social disability.</w:t>
      </w:r>
    </w:p>
  </w:footnote>
  <w:footnote w:id="6">
    <w:p w14:paraId="411A4FEF" w14:textId="77777777" w:rsidR="0002637E" w:rsidRDefault="0002637E" w:rsidP="00BC25FA">
      <w:pPr>
        <w:pStyle w:val="FootnoteText"/>
      </w:pPr>
      <w:r>
        <w:rPr>
          <w:rStyle w:val="FootnoteReference"/>
        </w:rPr>
        <w:footnoteRef/>
      </w:r>
      <w:r>
        <w:t xml:space="preserve"> Continuity of support arrangements may be further addressed in bilateral agreements between the Commonwealth and the states and territories. </w:t>
      </w:r>
    </w:p>
  </w:footnote>
  <w:footnote w:id="7">
    <w:p w14:paraId="411A4FF0" w14:textId="77777777" w:rsidR="0002637E" w:rsidRPr="002C2C84" w:rsidRDefault="0002637E" w:rsidP="00B74B51">
      <w:pPr>
        <w:pStyle w:val="FootnoteText"/>
        <w:rPr>
          <w:rFonts w:ascii="Arial" w:hAnsi="Arial" w:cs="Arial"/>
        </w:rPr>
      </w:pPr>
      <w:r w:rsidRPr="002C2C84">
        <w:rPr>
          <w:rStyle w:val="FootnoteReference"/>
          <w:rFonts w:ascii="Arial" w:hAnsi="Arial" w:cs="Arial"/>
        </w:rPr>
        <w:footnoteRef/>
      </w:r>
      <w:r w:rsidRPr="002C2C84">
        <w:rPr>
          <w:rFonts w:ascii="Arial" w:hAnsi="Arial" w:cs="Arial"/>
        </w:rPr>
        <w:t xml:space="preserve"> </w:t>
      </w:r>
      <w:r w:rsidRPr="002C2C84">
        <w:rPr>
          <w:rFonts w:ascii="Arial" w:hAnsi="Arial" w:cs="Arial"/>
        </w:rPr>
        <w:tab/>
      </w:r>
      <w:r w:rsidRPr="003F3925">
        <w:rPr>
          <w:rFonts w:asciiTheme="minorHAnsi" w:hAnsiTheme="minorHAnsi" w:cs="Arial"/>
        </w:rPr>
        <w:t>For high support needs these room sizes are based on Silver Thomas Hanley’s experience in designing a quadriplegic centre in Western Australia.</w:t>
      </w:r>
    </w:p>
  </w:footnote>
  <w:footnote w:id="8">
    <w:p w14:paraId="411A4FF1" w14:textId="77777777" w:rsidR="0002637E" w:rsidRDefault="0002637E" w:rsidP="00B74B51">
      <w:pPr>
        <w:pStyle w:val="FootnoteText"/>
      </w:pPr>
      <w:r>
        <w:rPr>
          <w:rStyle w:val="FootnoteReference"/>
        </w:rPr>
        <w:footnoteRef/>
      </w:r>
      <w:r>
        <w:t xml:space="preserve"> </w:t>
      </w:r>
      <w:r>
        <w:tab/>
        <w:t>Highly Moisture Resistant</w:t>
      </w:r>
    </w:p>
  </w:footnote>
  <w:footnote w:id="9">
    <w:p w14:paraId="411A4FF2" w14:textId="77777777" w:rsidR="0002637E" w:rsidRDefault="0002637E" w:rsidP="00B74B51">
      <w:pPr>
        <w:pStyle w:val="FootnoteText"/>
      </w:pPr>
      <w:r>
        <w:rPr>
          <w:rStyle w:val="FootnoteReference"/>
        </w:rPr>
        <w:footnoteRef/>
      </w:r>
      <w:r>
        <w:t xml:space="preserve"> </w:t>
      </w:r>
      <w:r>
        <w:tab/>
        <w:t xml:space="preserve">The costs of </w:t>
      </w:r>
      <w:r w:rsidRPr="00C81369">
        <w:t>the common areas for the apartments are divided equally among the total number of apartments</w:t>
      </w:r>
      <w:r>
        <w:t>.</w:t>
      </w:r>
    </w:p>
  </w:footnote>
  <w:footnote w:id="10">
    <w:p w14:paraId="411A4FF3" w14:textId="77777777" w:rsidR="0002637E" w:rsidRPr="00E457B0" w:rsidRDefault="0002637E" w:rsidP="00B74B51">
      <w:pPr>
        <w:pStyle w:val="FootnoteText"/>
        <w:rPr>
          <w:rFonts w:ascii="Arial" w:hAnsi="Arial" w:cs="Arial"/>
        </w:rPr>
      </w:pPr>
      <w:r w:rsidRPr="00E457B0">
        <w:rPr>
          <w:rStyle w:val="FootnoteReference"/>
          <w:rFonts w:ascii="Arial" w:hAnsi="Arial" w:cs="Arial"/>
        </w:rPr>
        <w:footnoteRef/>
      </w:r>
      <w:r w:rsidRPr="00E457B0">
        <w:rPr>
          <w:rFonts w:ascii="Arial" w:hAnsi="Arial" w:cs="Arial"/>
        </w:rPr>
        <w:t xml:space="preserve"> </w:t>
      </w:r>
      <w:r w:rsidRPr="00E457B0">
        <w:rPr>
          <w:rFonts w:ascii="Arial" w:hAnsi="Arial" w:cs="Arial"/>
        </w:rPr>
        <w:tab/>
        <w:t>These costs are then subject to a contingency uplift of 8% and fess and disbursements of 12.5%.</w:t>
      </w:r>
    </w:p>
  </w:footnote>
  <w:footnote w:id="11">
    <w:p w14:paraId="411A4FF4" w14:textId="77777777" w:rsidR="0002637E" w:rsidRDefault="0002637E" w:rsidP="00B74B51">
      <w:pPr>
        <w:pStyle w:val="FootnoteText"/>
      </w:pPr>
      <w:r w:rsidRPr="00E457B0">
        <w:rPr>
          <w:rStyle w:val="FootnoteReference"/>
          <w:rFonts w:ascii="Arial" w:hAnsi="Arial" w:cs="Arial"/>
        </w:rPr>
        <w:footnoteRef/>
      </w:r>
      <w:r w:rsidRPr="00E457B0">
        <w:rPr>
          <w:rFonts w:ascii="Arial" w:hAnsi="Arial" w:cs="Arial"/>
        </w:rPr>
        <w:t xml:space="preserve"> </w:t>
      </w:r>
      <w:r w:rsidRPr="00E457B0">
        <w:rPr>
          <w:rFonts w:ascii="Arial" w:hAnsi="Arial" w:cs="Arial"/>
        </w:rPr>
        <w:tab/>
        <w:t>These costs are then subject to a contingency uplift of 8% and fess and disbursements of 12.5%.</w:t>
      </w:r>
    </w:p>
  </w:footnote>
  <w:footnote w:id="12">
    <w:p w14:paraId="525A2004" w14:textId="77777777" w:rsidR="0002637E" w:rsidRDefault="0002637E" w:rsidP="009D2B15">
      <w:pPr>
        <w:pStyle w:val="FootnoteText"/>
        <w:rPr>
          <w:rFonts w:asciiTheme="minorHAnsi" w:hAnsiTheme="minorHAnsi"/>
        </w:rPr>
      </w:pPr>
      <w:r>
        <w:rPr>
          <w:rStyle w:val="FootnoteReference"/>
        </w:rPr>
        <w:footnoteRef/>
      </w:r>
      <w:r>
        <w:t xml:space="preserve"> </w:t>
      </w:r>
      <w:r w:rsidRPr="000B6F7C">
        <w:rPr>
          <w:rFonts w:asciiTheme="minorHAnsi" w:hAnsiTheme="minorHAnsi"/>
        </w:rPr>
        <w:t xml:space="preserve">For more detail on these regions see ABS catalogue number 1270.0.55.001, or </w:t>
      </w:r>
    </w:p>
    <w:p w14:paraId="411A4FF5" w14:textId="668B0BCC" w:rsidR="0002637E" w:rsidRDefault="008422A9" w:rsidP="009D2B15">
      <w:pPr>
        <w:pStyle w:val="FootnoteText"/>
      </w:pPr>
      <w:hyperlink r:id="rId1" w:history="1">
        <w:r w:rsidR="0002637E" w:rsidRPr="000B6F7C">
          <w:rPr>
            <w:rStyle w:val="Hyperlink"/>
            <w:rFonts w:asciiTheme="minorHAnsi" w:hAnsiTheme="minorHAnsi"/>
          </w:rPr>
          <w:t>www.abs.gov.au/ausstats/abs@.nsf/Latestproducts/B01A5912123E8D2BCA257801000C64F2?opendocument</w:t>
        </w:r>
      </w:hyperlink>
      <w:r w:rsidR="0002637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25A9" w14:textId="77777777" w:rsidR="00642B68" w:rsidRDefault="00642B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4" w14:textId="77777777" w:rsidR="0002637E" w:rsidRDefault="0002637E">
    <w:pPr>
      <w:pStyle w:val="Header"/>
    </w:pPr>
    <w:r>
      <w:rPr>
        <w:noProof/>
        <w:lang w:val="en-AU" w:eastAsia="en-AU"/>
      </w:rPr>
      <w:drawing>
        <wp:anchor distT="0" distB="0" distL="114300" distR="114300" simplePos="0" relativeHeight="251678720" behindDoc="1" locked="0" layoutInCell="1" allowOverlap="1" wp14:anchorId="411A4FDD" wp14:editId="411A4FDE">
          <wp:simplePos x="0" y="0"/>
          <wp:positionH relativeFrom="margin">
            <wp:posOffset>4708251</wp:posOffset>
          </wp:positionH>
          <wp:positionV relativeFrom="page">
            <wp:posOffset>222885</wp:posOffset>
          </wp:positionV>
          <wp:extent cx="1050878" cy="546349"/>
          <wp:effectExtent l="0" t="0" r="0" b="635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050878" cy="54634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2EFAC" w14:textId="77777777" w:rsidR="00642B68" w:rsidRDefault="00642B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A" w14:textId="77777777" w:rsidR="0002637E" w:rsidRDefault="0002637E">
    <w:pPr>
      <w:pStyle w:val="Header"/>
    </w:pPr>
  </w:p>
  <w:p w14:paraId="411A4FCB" w14:textId="77777777" w:rsidR="0002637E" w:rsidRDefault="0002637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C" w14:textId="77777777" w:rsidR="0002637E" w:rsidRDefault="0002637E">
    <w:pPr>
      <w:pStyle w:val="Header"/>
    </w:pPr>
  </w:p>
  <w:p w14:paraId="411A4FCD" w14:textId="77777777" w:rsidR="0002637E" w:rsidRDefault="0002637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0" w14:textId="77777777" w:rsidR="0002637E" w:rsidRDefault="0002637E">
    <w:pPr>
      <w:pStyle w:val="Header"/>
    </w:pPr>
  </w:p>
  <w:p w14:paraId="411A4FD1" w14:textId="77777777" w:rsidR="0002637E" w:rsidRDefault="0002637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5" w14:textId="77777777" w:rsidR="0002637E" w:rsidRDefault="000263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6" w14:textId="77777777" w:rsidR="0002637E" w:rsidRDefault="0002637E" w:rsidP="00B74B51">
    <w:pPr>
      <w:jc w:val="right"/>
    </w:pPr>
  </w:p>
  <w:p w14:paraId="411A4FD7" w14:textId="77777777" w:rsidR="0002637E" w:rsidRDefault="0002637E" w:rsidP="00B74B51">
    <w:pPr>
      <w:jc w:val="right"/>
    </w:pPr>
    <w:r>
      <w:rPr>
        <w:noProof/>
        <w:lang w:val="en-AU" w:eastAsia="en-AU"/>
      </w:rPr>
      <w:drawing>
        <wp:anchor distT="0" distB="0" distL="114300" distR="114300" simplePos="0" relativeHeight="251673600" behindDoc="1" locked="0" layoutInCell="1" allowOverlap="1" wp14:anchorId="411A4FE7" wp14:editId="411A4FE8">
          <wp:simplePos x="0" y="0"/>
          <wp:positionH relativeFrom="margin">
            <wp:align>right</wp:align>
          </wp:positionH>
          <wp:positionV relativeFrom="page">
            <wp:posOffset>352425</wp:posOffset>
          </wp:positionV>
          <wp:extent cx="1244600" cy="64706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B" w14:textId="77777777" w:rsidR="0002637E" w:rsidRDefault="000263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E7A"/>
    <w:multiLevelType w:val="hybridMultilevel"/>
    <w:tmpl w:val="FA80869C"/>
    <w:styleLink w:val="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A0FCB"/>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ED0AE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5A4425"/>
    <w:multiLevelType w:val="multilevel"/>
    <w:tmpl w:val="F050D7E0"/>
    <w:lvl w:ilvl="0">
      <w:start w:val="1"/>
      <w:numFmt w:val="decimal"/>
      <w:pStyle w:val="MJAheading1"/>
      <w:lvlText w:val="%1."/>
      <w:lvlJc w:val="left"/>
      <w:pPr>
        <w:ind w:left="2520" w:hanging="360"/>
      </w:pPr>
      <w:rPr>
        <w:rFonts w:hint="default"/>
      </w:rPr>
    </w:lvl>
    <w:lvl w:ilvl="1">
      <w:start w:val="1"/>
      <w:numFmt w:val="decimal"/>
      <w:pStyle w:val="MJAheading2"/>
      <w:lvlText w:val="%1.%2"/>
      <w:lvlJc w:val="left"/>
      <w:pPr>
        <w:ind w:left="2880" w:hanging="360"/>
      </w:pPr>
      <w:rPr>
        <w:rFonts w:hint="default"/>
      </w:rPr>
    </w:lvl>
    <w:lvl w:ilvl="2">
      <w:start w:val="1"/>
      <w:numFmt w:val="decimal"/>
      <w:pStyle w:val="MJAheading3"/>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4" w15:restartNumberingAfterBreak="0">
    <w:nsid w:val="08C51231"/>
    <w:multiLevelType w:val="hybridMultilevel"/>
    <w:tmpl w:val="081A0D18"/>
    <w:lvl w:ilvl="0" w:tplc="1E44863C">
      <w:start w:val="1"/>
      <w:numFmt w:val="bullet"/>
      <w:pStyle w:val="CVbullet"/>
      <w:lvlText w:val=""/>
      <w:lvlJc w:val="left"/>
      <w:pPr>
        <w:ind w:left="360" w:hanging="360"/>
      </w:pPr>
      <w:rPr>
        <w:rFonts w:ascii="Wingdings" w:hAnsi="Wingdings" w:hint="default"/>
        <w:color w:val="0093D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F64155"/>
    <w:multiLevelType w:val="hybridMultilevel"/>
    <w:tmpl w:val="4ECAF6EE"/>
    <w:lvl w:ilvl="0" w:tplc="0C090019">
      <w:start w:val="1"/>
      <w:numFmt w:val="lowerLetter"/>
      <w:lvlText w:val="%1."/>
      <w:lvlJc w:val="left"/>
      <w:pPr>
        <w:ind w:left="9858" w:hanging="360"/>
      </w:pPr>
    </w:lvl>
    <w:lvl w:ilvl="1" w:tplc="0C090019" w:tentative="1">
      <w:start w:val="1"/>
      <w:numFmt w:val="lowerLetter"/>
      <w:lvlText w:val="%2."/>
      <w:lvlJc w:val="left"/>
      <w:pPr>
        <w:ind w:left="10578" w:hanging="360"/>
      </w:pPr>
    </w:lvl>
    <w:lvl w:ilvl="2" w:tplc="0C09001B" w:tentative="1">
      <w:start w:val="1"/>
      <w:numFmt w:val="lowerRoman"/>
      <w:lvlText w:val="%3."/>
      <w:lvlJc w:val="right"/>
      <w:pPr>
        <w:ind w:left="11298" w:hanging="180"/>
      </w:pPr>
    </w:lvl>
    <w:lvl w:ilvl="3" w:tplc="0C09000F" w:tentative="1">
      <w:start w:val="1"/>
      <w:numFmt w:val="decimal"/>
      <w:lvlText w:val="%4."/>
      <w:lvlJc w:val="left"/>
      <w:pPr>
        <w:ind w:left="12018" w:hanging="360"/>
      </w:pPr>
    </w:lvl>
    <w:lvl w:ilvl="4" w:tplc="0C090019" w:tentative="1">
      <w:start w:val="1"/>
      <w:numFmt w:val="lowerLetter"/>
      <w:lvlText w:val="%5."/>
      <w:lvlJc w:val="left"/>
      <w:pPr>
        <w:ind w:left="12738" w:hanging="360"/>
      </w:pPr>
    </w:lvl>
    <w:lvl w:ilvl="5" w:tplc="0C09001B" w:tentative="1">
      <w:start w:val="1"/>
      <w:numFmt w:val="lowerRoman"/>
      <w:lvlText w:val="%6."/>
      <w:lvlJc w:val="right"/>
      <w:pPr>
        <w:ind w:left="13458" w:hanging="180"/>
      </w:pPr>
    </w:lvl>
    <w:lvl w:ilvl="6" w:tplc="0C09000F" w:tentative="1">
      <w:start w:val="1"/>
      <w:numFmt w:val="decimal"/>
      <w:lvlText w:val="%7."/>
      <w:lvlJc w:val="left"/>
      <w:pPr>
        <w:ind w:left="14178" w:hanging="360"/>
      </w:pPr>
    </w:lvl>
    <w:lvl w:ilvl="7" w:tplc="0C090019" w:tentative="1">
      <w:start w:val="1"/>
      <w:numFmt w:val="lowerLetter"/>
      <w:lvlText w:val="%8."/>
      <w:lvlJc w:val="left"/>
      <w:pPr>
        <w:ind w:left="14898" w:hanging="360"/>
      </w:pPr>
    </w:lvl>
    <w:lvl w:ilvl="8" w:tplc="0C09001B" w:tentative="1">
      <w:start w:val="1"/>
      <w:numFmt w:val="lowerRoman"/>
      <w:lvlText w:val="%9."/>
      <w:lvlJc w:val="right"/>
      <w:pPr>
        <w:ind w:left="15618" w:hanging="180"/>
      </w:pPr>
    </w:lvl>
  </w:abstractNum>
  <w:abstractNum w:abstractNumId="6" w15:restartNumberingAfterBreak="0">
    <w:nsid w:val="148C6A6A"/>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0C3C53"/>
    <w:multiLevelType w:val="hybridMultilevel"/>
    <w:tmpl w:val="D77A1938"/>
    <w:lvl w:ilvl="0" w:tplc="F90AA4B8">
      <w:start w:val="10"/>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7B58A7"/>
    <w:multiLevelType w:val="hybridMultilevel"/>
    <w:tmpl w:val="6978B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23456"/>
    <w:multiLevelType w:val="hybridMultilevel"/>
    <w:tmpl w:val="27228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B20CF"/>
    <w:multiLevelType w:val="hybridMultilevel"/>
    <w:tmpl w:val="AC4ED874"/>
    <w:lvl w:ilvl="0" w:tplc="228828D4">
      <w:start w:val="1"/>
      <w:numFmt w:val="decimal"/>
      <w:pStyle w:val="MJAESnormal"/>
      <w:lvlText w:val="ES.%1."/>
      <w:lvlJc w:val="left"/>
      <w:pPr>
        <w:ind w:left="360" w:hanging="360"/>
      </w:pPr>
      <w:rPr>
        <w:rFonts w:ascii="Times New Roman" w:hAnsi="Times New Roman"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1F5DF6"/>
    <w:multiLevelType w:val="multilevel"/>
    <w:tmpl w:val="B39010C8"/>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685B67"/>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C478E9"/>
    <w:multiLevelType w:val="hybridMultilevel"/>
    <w:tmpl w:val="C85E6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4345D1"/>
    <w:multiLevelType w:val="singleLevel"/>
    <w:tmpl w:val="3C02756A"/>
    <w:lvl w:ilvl="0">
      <w:start w:val="1"/>
      <w:numFmt w:val="bullet"/>
      <w:pStyle w:val="MJAbulletnormal"/>
      <w:lvlText w:val=""/>
      <w:lvlJc w:val="left"/>
      <w:pPr>
        <w:ind w:left="360" w:hanging="360"/>
      </w:pPr>
      <w:rPr>
        <w:rFonts w:ascii="Wingdings" w:hAnsi="Wingdings" w:hint="default"/>
        <w:color w:val="0093D0"/>
      </w:rPr>
    </w:lvl>
  </w:abstractNum>
  <w:abstractNum w:abstractNumId="16" w15:restartNumberingAfterBreak="0">
    <w:nsid w:val="38C46F51"/>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E524D8"/>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996AFF"/>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E3309C"/>
    <w:multiLevelType w:val="hybridMultilevel"/>
    <w:tmpl w:val="357AD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852117"/>
    <w:multiLevelType w:val="hybridMultilevel"/>
    <w:tmpl w:val="735CF6D8"/>
    <w:lvl w:ilvl="0" w:tplc="71925BC0">
      <w:start w:val="1"/>
      <w:numFmt w:val="lowerRoman"/>
      <w:pStyle w:val="ListBullet"/>
      <w:lvlText w:val="%1."/>
      <w:lvlJc w:val="left"/>
      <w:pPr>
        <w:ind w:left="720" w:hanging="360"/>
      </w:pPr>
      <w:rPr>
        <w:rFonts w:ascii="Arial" w:eastAsiaTheme="minorEastAsia" w:hAnsi="Arial" w:cs="Arial"/>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B0ABB"/>
    <w:multiLevelType w:val="hybridMultilevel"/>
    <w:tmpl w:val="93F20D7C"/>
    <w:lvl w:ilvl="0" w:tplc="AC7C912E">
      <w:start w:val="1"/>
      <w:numFmt w:val="lowerLetter"/>
      <w:pStyle w:val="BodyTextbullet"/>
      <w:lvlText w:val="%1)."/>
      <w:lvlJc w:val="left"/>
      <w:pPr>
        <w:tabs>
          <w:tab w:val="num" w:pos="1440"/>
        </w:tabs>
        <w:ind w:left="1440" w:hanging="538"/>
      </w:pPr>
      <w:rPr>
        <w:b/>
      </w:rPr>
    </w:lvl>
    <w:lvl w:ilvl="1" w:tplc="D29EA7A0">
      <w:start w:val="1"/>
      <w:numFmt w:val="lowerRoman"/>
      <w:lvlText w:val="(%2)."/>
      <w:lvlJc w:val="left"/>
      <w:pPr>
        <w:tabs>
          <w:tab w:val="num" w:pos="3604"/>
        </w:tabs>
        <w:ind w:left="3244" w:hanging="360"/>
      </w:pPr>
      <w:rPr>
        <w:b/>
      </w:rPr>
    </w:lvl>
    <w:lvl w:ilvl="2" w:tplc="53705B22">
      <w:start w:val="1"/>
      <w:numFmt w:val="upperLetter"/>
      <w:lvlText w:val="(%3)."/>
      <w:lvlJc w:val="left"/>
      <w:pPr>
        <w:tabs>
          <w:tab w:val="num" w:pos="1440"/>
        </w:tabs>
        <w:ind w:left="1440" w:hanging="538"/>
      </w:pPr>
    </w:lvl>
    <w:lvl w:ilvl="3" w:tplc="0A525B92">
      <w:start w:val="1"/>
      <w:numFmt w:val="upperLetter"/>
      <w:lvlText w:val="(%4)"/>
      <w:lvlJc w:val="left"/>
      <w:pPr>
        <w:tabs>
          <w:tab w:val="num" w:pos="4864"/>
        </w:tabs>
        <w:ind w:left="4864" w:hanging="540"/>
      </w:pPr>
    </w:lvl>
    <w:lvl w:ilvl="4" w:tplc="B3706212">
      <w:start w:val="1"/>
      <w:numFmt w:val="lowerRoman"/>
      <w:lvlText w:val="(%5)"/>
      <w:lvlJc w:val="left"/>
      <w:pPr>
        <w:tabs>
          <w:tab w:val="num" w:pos="5764"/>
        </w:tabs>
        <w:ind w:left="5764" w:hanging="720"/>
      </w:pPr>
    </w:lvl>
    <w:lvl w:ilvl="5" w:tplc="0409001B">
      <w:start w:val="1"/>
      <w:numFmt w:val="lowerRoman"/>
      <w:lvlText w:val="%6."/>
      <w:lvlJc w:val="right"/>
      <w:pPr>
        <w:tabs>
          <w:tab w:val="num" w:pos="6124"/>
        </w:tabs>
        <w:ind w:left="6124" w:hanging="180"/>
      </w:pPr>
    </w:lvl>
    <w:lvl w:ilvl="6" w:tplc="0409000F">
      <w:start w:val="1"/>
      <w:numFmt w:val="decimal"/>
      <w:lvlText w:val="%7."/>
      <w:lvlJc w:val="left"/>
      <w:pPr>
        <w:tabs>
          <w:tab w:val="num" w:pos="6844"/>
        </w:tabs>
        <w:ind w:left="6844" w:hanging="360"/>
      </w:pPr>
    </w:lvl>
    <w:lvl w:ilvl="7" w:tplc="04090019">
      <w:start w:val="1"/>
      <w:numFmt w:val="lowerLetter"/>
      <w:lvlText w:val="%8."/>
      <w:lvlJc w:val="left"/>
      <w:pPr>
        <w:tabs>
          <w:tab w:val="num" w:pos="7564"/>
        </w:tabs>
        <w:ind w:left="7564" w:hanging="360"/>
      </w:pPr>
    </w:lvl>
    <w:lvl w:ilvl="8" w:tplc="0409001B">
      <w:start w:val="1"/>
      <w:numFmt w:val="lowerRoman"/>
      <w:lvlText w:val="%9."/>
      <w:lvlJc w:val="right"/>
      <w:pPr>
        <w:tabs>
          <w:tab w:val="num" w:pos="8284"/>
        </w:tabs>
        <w:ind w:left="8284" w:hanging="180"/>
      </w:pPr>
    </w:lvl>
  </w:abstractNum>
  <w:abstractNum w:abstractNumId="22" w15:restartNumberingAfterBreak="0">
    <w:nsid w:val="48E25379"/>
    <w:multiLevelType w:val="hybridMultilevel"/>
    <w:tmpl w:val="FC76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77A1A"/>
    <w:multiLevelType w:val="multilevel"/>
    <w:tmpl w:val="F3A6DB68"/>
    <w:lvl w:ilvl="0">
      <w:start w:val="5"/>
      <w:numFmt w:val="decimal"/>
      <w:lvlText w:val="%1"/>
      <w:lvlJc w:val="left"/>
      <w:pPr>
        <w:ind w:left="405" w:hanging="405"/>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4" w15:restartNumberingAfterBreak="0">
    <w:nsid w:val="529B5DCE"/>
    <w:multiLevelType w:val="hybridMultilevel"/>
    <w:tmpl w:val="A3FEBCBA"/>
    <w:lvl w:ilvl="0" w:tplc="CDDE6D2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FF3B69"/>
    <w:multiLevelType w:val="hybridMultilevel"/>
    <w:tmpl w:val="DCEA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D95F3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492192"/>
    <w:multiLevelType w:val="hybridMultilevel"/>
    <w:tmpl w:val="F690A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4D512D"/>
    <w:multiLevelType w:val="hybridMultilevel"/>
    <w:tmpl w:val="EE945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1A0CDC">
      <w:start w:val="4"/>
      <w:numFmt w:val="bullet"/>
      <w:lvlText w:val="•"/>
      <w:lvlJc w:val="left"/>
      <w:pPr>
        <w:ind w:left="2520" w:hanging="720"/>
      </w:pPr>
      <w:rPr>
        <w:rFonts w:ascii="Calibri" w:eastAsia="MS Mincho" w:hAnsi="Calibri" w:cs="FSMe-Bold"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F91ACC"/>
    <w:multiLevelType w:val="multilevel"/>
    <w:tmpl w:val="0409001D"/>
    <w:styleLink w:val="NEWMJAListStyle"/>
    <w:lvl w:ilvl="0">
      <w:start w:val="1"/>
      <w:numFmt w:val="bullet"/>
      <w:lvlText w:val=""/>
      <w:lvlJc w:val="left"/>
      <w:pPr>
        <w:ind w:left="360" w:hanging="360"/>
      </w:pPr>
      <w:rPr>
        <w:rFonts w:asciiTheme="minorHAnsi" w:hAnsiTheme="minorHAnsi" w:hint="default"/>
      </w:rPr>
    </w:lvl>
    <w:lvl w:ilvl="1">
      <w:start w:val="1"/>
      <w:numFmt w:val="bullet"/>
      <w:lvlText w:val=""/>
      <w:lvlJc w:val="left"/>
      <w:pPr>
        <w:ind w:left="720" w:hanging="360"/>
      </w:pPr>
      <w:rPr>
        <w:rFonts w:asciiTheme="minorHAnsi" w:hAnsiTheme="minorHAnsi" w:hint="default"/>
      </w:rPr>
    </w:lvl>
    <w:lvl w:ilvl="2">
      <w:start w:val="1"/>
      <w:numFmt w:val="bullet"/>
      <w:lvlText w:val=""/>
      <w:lvlJc w:val="left"/>
      <w:pPr>
        <w:ind w:left="1080" w:hanging="360"/>
      </w:pPr>
      <w:rPr>
        <w:rFonts w:asciiTheme="minorHAnsi" w:hAnsiTheme="minorHAnsi"/>
      </w:rPr>
    </w:lvl>
    <w:lvl w:ilvl="3">
      <w:start w:val="1"/>
      <w:numFmt w:val="bullet"/>
      <w:lvlText w:val=""/>
      <w:lvlJc w:val="left"/>
      <w:pPr>
        <w:ind w:left="1440" w:hanging="360"/>
      </w:pPr>
      <w:rPr>
        <w:rFonts w:asciiTheme="minorHAnsi" w:hAnsiTheme="minorHAns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DB1C20"/>
    <w:multiLevelType w:val="multilevel"/>
    <w:tmpl w:val="B0EE076C"/>
    <w:lvl w:ilvl="0">
      <w:start w:val="1"/>
      <w:numFmt w:val="decimal"/>
      <w:pStyle w:val="MENoIndent1"/>
      <w:suff w:val="space"/>
      <w:lvlText w:val="%1."/>
      <w:lvlJc w:val="left"/>
      <w:pPr>
        <w:ind w:left="568" w:firstLine="0"/>
      </w:pPr>
      <w:rPr>
        <w:rFonts w:hint="default"/>
      </w:rPr>
    </w:lvl>
    <w:lvl w:ilvl="1">
      <w:start w:val="1"/>
      <w:numFmt w:val="decimal"/>
      <w:suff w:val="space"/>
      <w:lvlText w:val="%1.%2"/>
      <w:lvlJc w:val="left"/>
      <w:pPr>
        <w:ind w:left="142" w:firstLine="0"/>
      </w:pPr>
      <w:rPr>
        <w:rFonts w:hint="default"/>
      </w:rPr>
    </w:lvl>
    <w:lvl w:ilvl="2">
      <w:start w:val="1"/>
      <w:numFmt w:val="lowerLetter"/>
      <w:suff w:val="space"/>
      <w:lvlText w:val="(%3)"/>
      <w:lvlJc w:val="left"/>
      <w:pPr>
        <w:ind w:left="142" w:firstLine="0"/>
      </w:pPr>
      <w:rPr>
        <w:rFonts w:hint="default"/>
      </w:rPr>
    </w:lvl>
    <w:lvl w:ilvl="3">
      <w:start w:val="1"/>
      <w:numFmt w:val="lowerRoman"/>
      <w:suff w:val="space"/>
      <w:lvlText w:val="(%4)"/>
      <w:lvlJc w:val="left"/>
      <w:pPr>
        <w:ind w:left="142" w:firstLine="0"/>
      </w:pPr>
      <w:rPr>
        <w:rFonts w:hint="default"/>
      </w:rPr>
    </w:lvl>
    <w:lvl w:ilvl="4">
      <w:start w:val="1"/>
      <w:numFmt w:val="upperLetter"/>
      <w:suff w:val="space"/>
      <w:lvlText w:val="(%5)"/>
      <w:lvlJc w:val="left"/>
      <w:pPr>
        <w:ind w:left="142" w:firstLine="0"/>
      </w:pPr>
      <w:rPr>
        <w:rFonts w:hint="default"/>
      </w:rPr>
    </w:lvl>
    <w:lvl w:ilvl="5">
      <w:start w:val="1"/>
      <w:numFmt w:val="upperRoman"/>
      <w:suff w:val="space"/>
      <w:lvlText w:val="(%6)"/>
      <w:lvlJc w:val="left"/>
      <w:pPr>
        <w:ind w:left="142" w:firstLine="0"/>
      </w:pPr>
      <w:rPr>
        <w:rFonts w:hint="default"/>
      </w:rPr>
    </w:lvl>
    <w:lvl w:ilvl="6">
      <w:start w:val="1"/>
      <w:numFmt w:val="none"/>
      <w:lvlText w:val=""/>
      <w:lvlJc w:val="left"/>
      <w:pPr>
        <w:tabs>
          <w:tab w:val="num" w:pos="142"/>
        </w:tabs>
        <w:ind w:left="142" w:firstLine="0"/>
      </w:pPr>
      <w:rPr>
        <w:rFonts w:hint="default"/>
      </w:rPr>
    </w:lvl>
    <w:lvl w:ilvl="7">
      <w:start w:val="1"/>
      <w:numFmt w:val="none"/>
      <w:lvlText w:val=""/>
      <w:lvlJc w:val="left"/>
      <w:pPr>
        <w:tabs>
          <w:tab w:val="num" w:pos="142"/>
        </w:tabs>
        <w:ind w:left="142" w:firstLine="0"/>
      </w:pPr>
      <w:rPr>
        <w:rFonts w:hint="default"/>
      </w:rPr>
    </w:lvl>
    <w:lvl w:ilvl="8">
      <w:start w:val="1"/>
      <w:numFmt w:val="none"/>
      <w:lvlText w:val=""/>
      <w:lvlJc w:val="left"/>
      <w:pPr>
        <w:tabs>
          <w:tab w:val="num" w:pos="142"/>
        </w:tabs>
        <w:ind w:left="142" w:firstLine="0"/>
      </w:pPr>
      <w:rPr>
        <w:rFonts w:hint="default"/>
      </w:rPr>
    </w:lvl>
  </w:abstractNum>
  <w:abstractNum w:abstractNumId="31" w15:restartNumberingAfterBreak="0">
    <w:nsid w:val="5CE50753"/>
    <w:multiLevelType w:val="hybridMultilevel"/>
    <w:tmpl w:val="6A8E32F2"/>
    <w:lvl w:ilvl="0" w:tplc="4BC65F70">
      <w:start w:val="1"/>
      <w:numFmt w:val="bullet"/>
      <w:pStyle w:val="MJAdashbullet"/>
      <w:lvlText w:val=""/>
      <w:lvlJc w:val="left"/>
      <w:pPr>
        <w:ind w:left="720" w:hanging="360"/>
      </w:pPr>
      <w:rPr>
        <w:rFonts w:ascii="Symbol" w:hAnsi="Symbol" w:hint="default"/>
        <w:color w:val="447C7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3D7D4A"/>
    <w:multiLevelType w:val="hybridMultilevel"/>
    <w:tmpl w:val="AF3E4EA0"/>
    <w:lvl w:ilvl="0" w:tplc="0C090001">
      <w:start w:val="1"/>
      <w:numFmt w:val="bullet"/>
      <w:lvlText w:val=""/>
      <w:lvlJc w:val="left"/>
      <w:pPr>
        <w:ind w:left="975" w:hanging="360"/>
      </w:pPr>
      <w:rPr>
        <w:rFonts w:ascii="Symbol" w:hAnsi="Symbol" w:hint="default"/>
      </w:rPr>
    </w:lvl>
    <w:lvl w:ilvl="1" w:tplc="0C090003">
      <w:start w:val="1"/>
      <w:numFmt w:val="bullet"/>
      <w:lvlText w:val="o"/>
      <w:lvlJc w:val="left"/>
      <w:pPr>
        <w:ind w:left="1695" w:hanging="360"/>
      </w:pPr>
      <w:rPr>
        <w:rFonts w:ascii="Courier New" w:hAnsi="Courier New" w:cs="Courier New" w:hint="default"/>
      </w:rPr>
    </w:lvl>
    <w:lvl w:ilvl="2" w:tplc="0C090005">
      <w:start w:val="1"/>
      <w:numFmt w:val="bullet"/>
      <w:lvlText w:val=""/>
      <w:lvlJc w:val="left"/>
      <w:pPr>
        <w:ind w:left="2415" w:hanging="360"/>
      </w:pPr>
      <w:rPr>
        <w:rFonts w:ascii="Wingdings" w:hAnsi="Wingdings" w:hint="default"/>
      </w:rPr>
    </w:lvl>
    <w:lvl w:ilvl="3" w:tplc="0C090001">
      <w:start w:val="1"/>
      <w:numFmt w:val="bullet"/>
      <w:lvlText w:val=""/>
      <w:lvlJc w:val="left"/>
      <w:pPr>
        <w:ind w:left="3135" w:hanging="360"/>
      </w:pPr>
      <w:rPr>
        <w:rFonts w:ascii="Symbol" w:hAnsi="Symbol" w:hint="default"/>
      </w:rPr>
    </w:lvl>
    <w:lvl w:ilvl="4" w:tplc="0C090003">
      <w:start w:val="1"/>
      <w:numFmt w:val="bullet"/>
      <w:lvlText w:val="o"/>
      <w:lvlJc w:val="left"/>
      <w:pPr>
        <w:ind w:left="3855" w:hanging="360"/>
      </w:pPr>
      <w:rPr>
        <w:rFonts w:ascii="Courier New" w:hAnsi="Courier New" w:cs="Courier New" w:hint="default"/>
      </w:rPr>
    </w:lvl>
    <w:lvl w:ilvl="5" w:tplc="0C090005">
      <w:start w:val="1"/>
      <w:numFmt w:val="bullet"/>
      <w:lvlText w:val=""/>
      <w:lvlJc w:val="left"/>
      <w:pPr>
        <w:ind w:left="4575" w:hanging="360"/>
      </w:pPr>
      <w:rPr>
        <w:rFonts w:ascii="Wingdings" w:hAnsi="Wingdings" w:hint="default"/>
      </w:rPr>
    </w:lvl>
    <w:lvl w:ilvl="6" w:tplc="0C090001">
      <w:start w:val="1"/>
      <w:numFmt w:val="bullet"/>
      <w:lvlText w:val=""/>
      <w:lvlJc w:val="left"/>
      <w:pPr>
        <w:ind w:left="5295" w:hanging="360"/>
      </w:pPr>
      <w:rPr>
        <w:rFonts w:ascii="Symbol" w:hAnsi="Symbol" w:hint="default"/>
      </w:rPr>
    </w:lvl>
    <w:lvl w:ilvl="7" w:tplc="0C090003">
      <w:start w:val="1"/>
      <w:numFmt w:val="bullet"/>
      <w:lvlText w:val="o"/>
      <w:lvlJc w:val="left"/>
      <w:pPr>
        <w:ind w:left="6015" w:hanging="360"/>
      </w:pPr>
      <w:rPr>
        <w:rFonts w:ascii="Courier New" w:hAnsi="Courier New" w:cs="Courier New" w:hint="default"/>
      </w:rPr>
    </w:lvl>
    <w:lvl w:ilvl="8" w:tplc="0C090005">
      <w:start w:val="1"/>
      <w:numFmt w:val="bullet"/>
      <w:lvlText w:val=""/>
      <w:lvlJc w:val="left"/>
      <w:pPr>
        <w:ind w:left="6735" w:hanging="360"/>
      </w:pPr>
      <w:rPr>
        <w:rFonts w:ascii="Wingdings" w:hAnsi="Wingdings" w:hint="default"/>
      </w:rPr>
    </w:lvl>
  </w:abstractNum>
  <w:abstractNum w:abstractNumId="33" w15:restartNumberingAfterBreak="0">
    <w:nsid w:val="5F7F6018"/>
    <w:multiLevelType w:val="hybridMultilevel"/>
    <w:tmpl w:val="1B2238F6"/>
    <w:lvl w:ilvl="0" w:tplc="BDEA6EF8">
      <w:start w:val="1"/>
      <w:numFmt w:val="bullet"/>
      <w:pStyle w:val="Style1"/>
      <w:lvlText w:val=""/>
      <w:lvlJc w:val="left"/>
      <w:pPr>
        <w:ind w:left="720" w:hanging="360"/>
      </w:pPr>
      <w:rPr>
        <w:rFonts w:ascii="Wingdings" w:hAnsi="Wingdings" w:hint="default"/>
        <w:color w:val="0093D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433FB2"/>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5B3C7A"/>
    <w:multiLevelType w:val="hybridMultilevel"/>
    <w:tmpl w:val="AC3E5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FC4013"/>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410B7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569269D"/>
    <w:multiLevelType w:val="hybridMultilevel"/>
    <w:tmpl w:val="05863E6C"/>
    <w:lvl w:ilvl="0" w:tplc="38CC6EC6">
      <w:start w:val="1"/>
      <w:numFmt w:val="lowerLetter"/>
      <w:pStyle w:val="NormTextbulle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B1420C2"/>
    <w:multiLevelType w:val="multilevel"/>
    <w:tmpl w:val="668455A0"/>
    <w:lvl w:ilvl="0">
      <w:start w:val="1"/>
      <w:numFmt w:val="upperLetter"/>
      <w:lvlText w:val="Attachment %1"/>
      <w:lvlJc w:val="left"/>
      <w:pPr>
        <w:ind w:left="0" w:firstLine="0"/>
      </w:pPr>
      <w:rPr>
        <w:rFonts w:hint="default"/>
        <w:b w:val="0"/>
        <w:i w:val="0"/>
        <w:sz w:val="48"/>
        <w:szCs w:val="48"/>
      </w:rPr>
    </w:lvl>
    <w:lvl w:ilvl="1">
      <w:start w:val="2"/>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ascii="Arial" w:hAnsi="Arial" w:cs="Arial" w:hint="default"/>
        <w:sz w:val="20"/>
        <w:szCs w:val="20"/>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0" w15:restartNumberingAfterBreak="0">
    <w:nsid w:val="78120EC3"/>
    <w:multiLevelType w:val="hybridMultilevel"/>
    <w:tmpl w:val="278A5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382FA0"/>
    <w:multiLevelType w:val="hybridMultilevel"/>
    <w:tmpl w:val="9C9E02F8"/>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42" w15:restartNumberingAfterBreak="0">
    <w:nsid w:val="7C0B76E8"/>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5544C0"/>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15"/>
  </w:num>
  <w:num w:numId="4">
    <w:abstractNumId w:val="4"/>
  </w:num>
  <w:num w:numId="5">
    <w:abstractNumId w:val="24"/>
  </w:num>
  <w:num w:numId="6">
    <w:abstractNumId w:val="20"/>
  </w:num>
  <w:num w:numId="7">
    <w:abstractNumId w:val="11"/>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1"/>
  </w:num>
  <w:num w:numId="11">
    <w:abstractNumId w:val="8"/>
  </w:num>
  <w:num w:numId="12">
    <w:abstractNumId w:val="18"/>
  </w:num>
  <w:num w:numId="13">
    <w:abstractNumId w:val="42"/>
  </w:num>
  <w:num w:numId="14">
    <w:abstractNumId w:val="13"/>
  </w:num>
  <w:num w:numId="15">
    <w:abstractNumId w:val="27"/>
  </w:num>
  <w:num w:numId="16">
    <w:abstractNumId w:val="29"/>
  </w:num>
  <w:num w:numId="17">
    <w:abstractNumId w:val="0"/>
  </w:num>
  <w:num w:numId="18">
    <w:abstractNumId w:val="10"/>
  </w:num>
  <w:num w:numId="19">
    <w:abstractNumId w:val="3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9"/>
  </w:num>
  <w:num w:numId="24">
    <w:abstractNumId w:val="33"/>
  </w:num>
  <w:num w:numId="25">
    <w:abstractNumId w:val="5"/>
  </w:num>
  <w:num w:numId="26">
    <w:abstractNumId w:val="7"/>
  </w:num>
  <w:num w:numId="27">
    <w:abstractNumId w:val="11"/>
  </w:num>
  <w:num w:numId="28">
    <w:abstractNumId w:val="28"/>
  </w:num>
  <w:num w:numId="29">
    <w:abstractNumId w:val="32"/>
  </w:num>
  <w:num w:numId="30">
    <w:abstractNumId w:val="22"/>
  </w:num>
  <w:num w:numId="31">
    <w:abstractNumId w:val="19"/>
  </w:num>
  <w:num w:numId="32">
    <w:abstractNumId w:val="40"/>
  </w:num>
  <w:num w:numId="33">
    <w:abstractNumId w:val="35"/>
  </w:num>
  <w:num w:numId="34">
    <w:abstractNumId w:val="21"/>
  </w:num>
  <w:num w:numId="35">
    <w:abstractNumId w:val="25"/>
  </w:num>
  <w:num w:numId="36">
    <w:abstractNumId w:val="11"/>
  </w:num>
  <w:num w:numId="37">
    <w:abstractNumId w:val="9"/>
  </w:num>
  <w:num w:numId="38">
    <w:abstractNumId w:val="1"/>
  </w:num>
  <w:num w:numId="39">
    <w:abstractNumId w:val="11"/>
  </w:num>
  <w:num w:numId="40">
    <w:abstractNumId w:val="11"/>
  </w:num>
  <w:num w:numId="41">
    <w:abstractNumId w:val="11"/>
  </w:num>
  <w:num w:numId="42">
    <w:abstractNumId w:val="11"/>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23"/>
  </w:num>
  <w:num w:numId="46">
    <w:abstractNumId w:val="34"/>
  </w:num>
  <w:num w:numId="47">
    <w:abstractNumId w:val="26"/>
  </w:num>
  <w:num w:numId="48">
    <w:abstractNumId w:val="17"/>
  </w:num>
  <w:num w:numId="49">
    <w:abstractNumId w:val="36"/>
  </w:num>
  <w:num w:numId="50">
    <w:abstractNumId w:val="6"/>
  </w:num>
  <w:num w:numId="51">
    <w:abstractNumId w:val="2"/>
  </w:num>
  <w:num w:numId="52">
    <w:abstractNumId w:val="12"/>
  </w:num>
  <w:num w:numId="53">
    <w:abstractNumId w:val="37"/>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3D6"/>
    <w:rsid w:val="00002E1A"/>
    <w:rsid w:val="00004D86"/>
    <w:rsid w:val="000062D9"/>
    <w:rsid w:val="0001414F"/>
    <w:rsid w:val="000155A2"/>
    <w:rsid w:val="00016894"/>
    <w:rsid w:val="00017338"/>
    <w:rsid w:val="000209EC"/>
    <w:rsid w:val="00020C88"/>
    <w:rsid w:val="0002637E"/>
    <w:rsid w:val="000379F9"/>
    <w:rsid w:val="0004014D"/>
    <w:rsid w:val="0004042E"/>
    <w:rsid w:val="0004328E"/>
    <w:rsid w:val="000445EC"/>
    <w:rsid w:val="00045B7D"/>
    <w:rsid w:val="00054EFB"/>
    <w:rsid w:val="00055D4F"/>
    <w:rsid w:val="000609FB"/>
    <w:rsid w:val="00070CB6"/>
    <w:rsid w:val="00070EF2"/>
    <w:rsid w:val="000738C8"/>
    <w:rsid w:val="00080C12"/>
    <w:rsid w:val="00080CA5"/>
    <w:rsid w:val="00081988"/>
    <w:rsid w:val="00082C8A"/>
    <w:rsid w:val="0009260C"/>
    <w:rsid w:val="0009478E"/>
    <w:rsid w:val="00096447"/>
    <w:rsid w:val="00096D2C"/>
    <w:rsid w:val="00097677"/>
    <w:rsid w:val="000978B5"/>
    <w:rsid w:val="000A02A6"/>
    <w:rsid w:val="000A6AFD"/>
    <w:rsid w:val="000A70A8"/>
    <w:rsid w:val="000B6F7C"/>
    <w:rsid w:val="000C0C32"/>
    <w:rsid w:val="000C3245"/>
    <w:rsid w:val="000C7ACA"/>
    <w:rsid w:val="000D4E41"/>
    <w:rsid w:val="000E095E"/>
    <w:rsid w:val="000E09AE"/>
    <w:rsid w:val="000E443F"/>
    <w:rsid w:val="000E50D2"/>
    <w:rsid w:val="000F045D"/>
    <w:rsid w:val="000F1798"/>
    <w:rsid w:val="000F2820"/>
    <w:rsid w:val="000F458B"/>
    <w:rsid w:val="000F6A95"/>
    <w:rsid w:val="000F76E5"/>
    <w:rsid w:val="000F7A62"/>
    <w:rsid w:val="00107FAC"/>
    <w:rsid w:val="001120DB"/>
    <w:rsid w:val="0011265A"/>
    <w:rsid w:val="00114167"/>
    <w:rsid w:val="00114D53"/>
    <w:rsid w:val="001174B2"/>
    <w:rsid w:val="00123C31"/>
    <w:rsid w:val="00125936"/>
    <w:rsid w:val="001355AA"/>
    <w:rsid w:val="00142265"/>
    <w:rsid w:val="0015102C"/>
    <w:rsid w:val="00151244"/>
    <w:rsid w:val="00163CB3"/>
    <w:rsid w:val="00164B5C"/>
    <w:rsid w:val="00167873"/>
    <w:rsid w:val="00170FBA"/>
    <w:rsid w:val="0017271D"/>
    <w:rsid w:val="00172759"/>
    <w:rsid w:val="00175E3C"/>
    <w:rsid w:val="00183199"/>
    <w:rsid w:val="001852AF"/>
    <w:rsid w:val="001902E1"/>
    <w:rsid w:val="001B1DED"/>
    <w:rsid w:val="001B638B"/>
    <w:rsid w:val="001C2BE8"/>
    <w:rsid w:val="001C738D"/>
    <w:rsid w:val="001D0000"/>
    <w:rsid w:val="001D02E2"/>
    <w:rsid w:val="001D7AF9"/>
    <w:rsid w:val="001E1E9F"/>
    <w:rsid w:val="001E2292"/>
    <w:rsid w:val="001E37DE"/>
    <w:rsid w:val="001E630D"/>
    <w:rsid w:val="001F0704"/>
    <w:rsid w:val="00200FCC"/>
    <w:rsid w:val="0020128A"/>
    <w:rsid w:val="002073C1"/>
    <w:rsid w:val="0021136F"/>
    <w:rsid w:val="00216FE5"/>
    <w:rsid w:val="00217054"/>
    <w:rsid w:val="00222A2A"/>
    <w:rsid w:val="002256DB"/>
    <w:rsid w:val="0023093E"/>
    <w:rsid w:val="00233FDD"/>
    <w:rsid w:val="002352E1"/>
    <w:rsid w:val="00236865"/>
    <w:rsid w:val="00237A2B"/>
    <w:rsid w:val="00241CD0"/>
    <w:rsid w:val="002521A8"/>
    <w:rsid w:val="0025513F"/>
    <w:rsid w:val="00263C03"/>
    <w:rsid w:val="00270B0C"/>
    <w:rsid w:val="00281276"/>
    <w:rsid w:val="002849BC"/>
    <w:rsid w:val="00295807"/>
    <w:rsid w:val="002A6A8B"/>
    <w:rsid w:val="002C4064"/>
    <w:rsid w:val="002C627E"/>
    <w:rsid w:val="002C64EE"/>
    <w:rsid w:val="002D134C"/>
    <w:rsid w:val="002D5820"/>
    <w:rsid w:val="002E0A4D"/>
    <w:rsid w:val="002E333B"/>
    <w:rsid w:val="002E6A60"/>
    <w:rsid w:val="002F1F67"/>
    <w:rsid w:val="00301AE1"/>
    <w:rsid w:val="00302A64"/>
    <w:rsid w:val="00305BA3"/>
    <w:rsid w:val="0031070A"/>
    <w:rsid w:val="00312945"/>
    <w:rsid w:val="00314600"/>
    <w:rsid w:val="00321CD3"/>
    <w:rsid w:val="00323BB7"/>
    <w:rsid w:val="003359A2"/>
    <w:rsid w:val="00342F2C"/>
    <w:rsid w:val="003443F6"/>
    <w:rsid w:val="00345DC0"/>
    <w:rsid w:val="003625A3"/>
    <w:rsid w:val="00366F9A"/>
    <w:rsid w:val="00383658"/>
    <w:rsid w:val="00386434"/>
    <w:rsid w:val="0039429A"/>
    <w:rsid w:val="003A21B5"/>
    <w:rsid w:val="003A578D"/>
    <w:rsid w:val="003A6D9E"/>
    <w:rsid w:val="003B0ED1"/>
    <w:rsid w:val="003B2BB8"/>
    <w:rsid w:val="003B4FD7"/>
    <w:rsid w:val="003D2C4A"/>
    <w:rsid w:val="003D323D"/>
    <w:rsid w:val="003D34FF"/>
    <w:rsid w:val="003D4699"/>
    <w:rsid w:val="003E3099"/>
    <w:rsid w:val="003E65B5"/>
    <w:rsid w:val="003F119F"/>
    <w:rsid w:val="003F2658"/>
    <w:rsid w:val="003F3925"/>
    <w:rsid w:val="003F4166"/>
    <w:rsid w:val="0040062A"/>
    <w:rsid w:val="00404C77"/>
    <w:rsid w:val="004117F9"/>
    <w:rsid w:val="004171D8"/>
    <w:rsid w:val="00417809"/>
    <w:rsid w:val="00422CE4"/>
    <w:rsid w:val="00422FD0"/>
    <w:rsid w:val="00424764"/>
    <w:rsid w:val="00437BB9"/>
    <w:rsid w:val="00442831"/>
    <w:rsid w:val="00444E7C"/>
    <w:rsid w:val="00446D54"/>
    <w:rsid w:val="004514D4"/>
    <w:rsid w:val="0045191A"/>
    <w:rsid w:val="004555FB"/>
    <w:rsid w:val="004557B2"/>
    <w:rsid w:val="004625FF"/>
    <w:rsid w:val="00463401"/>
    <w:rsid w:val="004778AB"/>
    <w:rsid w:val="004801F6"/>
    <w:rsid w:val="004802A3"/>
    <w:rsid w:val="0048327F"/>
    <w:rsid w:val="00484B08"/>
    <w:rsid w:val="00486D8F"/>
    <w:rsid w:val="00487A18"/>
    <w:rsid w:val="00492D47"/>
    <w:rsid w:val="004958C0"/>
    <w:rsid w:val="0049691F"/>
    <w:rsid w:val="004977B0"/>
    <w:rsid w:val="004A2EAC"/>
    <w:rsid w:val="004B2B34"/>
    <w:rsid w:val="004B54CA"/>
    <w:rsid w:val="004C3298"/>
    <w:rsid w:val="004C376E"/>
    <w:rsid w:val="004C4E82"/>
    <w:rsid w:val="004C5FEE"/>
    <w:rsid w:val="004D0012"/>
    <w:rsid w:val="004D32B5"/>
    <w:rsid w:val="004D4B94"/>
    <w:rsid w:val="004D74B9"/>
    <w:rsid w:val="004E313A"/>
    <w:rsid w:val="004E5CBF"/>
    <w:rsid w:val="005001D2"/>
    <w:rsid w:val="00503503"/>
    <w:rsid w:val="00504BD1"/>
    <w:rsid w:val="005057AD"/>
    <w:rsid w:val="005154D8"/>
    <w:rsid w:val="00516385"/>
    <w:rsid w:val="00522A2F"/>
    <w:rsid w:val="0052349F"/>
    <w:rsid w:val="00536843"/>
    <w:rsid w:val="005409D8"/>
    <w:rsid w:val="00541765"/>
    <w:rsid w:val="00541BF2"/>
    <w:rsid w:val="00542061"/>
    <w:rsid w:val="00542BCE"/>
    <w:rsid w:val="00552F65"/>
    <w:rsid w:val="00560A9D"/>
    <w:rsid w:val="0056104B"/>
    <w:rsid w:val="005728A8"/>
    <w:rsid w:val="005751F5"/>
    <w:rsid w:val="005859AF"/>
    <w:rsid w:val="0059472D"/>
    <w:rsid w:val="00597540"/>
    <w:rsid w:val="00597F4A"/>
    <w:rsid w:val="005A32A2"/>
    <w:rsid w:val="005A54C7"/>
    <w:rsid w:val="005A64F5"/>
    <w:rsid w:val="005B0DD0"/>
    <w:rsid w:val="005B13D6"/>
    <w:rsid w:val="005B1C08"/>
    <w:rsid w:val="005B33C7"/>
    <w:rsid w:val="005C0BDD"/>
    <w:rsid w:val="005C14D4"/>
    <w:rsid w:val="005C2EB2"/>
    <w:rsid w:val="005C3AA9"/>
    <w:rsid w:val="005D42E4"/>
    <w:rsid w:val="005D4FEF"/>
    <w:rsid w:val="005D5AE0"/>
    <w:rsid w:val="005E0ABE"/>
    <w:rsid w:val="005E0B5D"/>
    <w:rsid w:val="005E0C90"/>
    <w:rsid w:val="005E673C"/>
    <w:rsid w:val="005E7C79"/>
    <w:rsid w:val="005F4CC4"/>
    <w:rsid w:val="005F4D2D"/>
    <w:rsid w:val="005F5686"/>
    <w:rsid w:val="005F6600"/>
    <w:rsid w:val="00603D50"/>
    <w:rsid w:val="006066FE"/>
    <w:rsid w:val="00607084"/>
    <w:rsid w:val="006141EA"/>
    <w:rsid w:val="006169FB"/>
    <w:rsid w:val="00621474"/>
    <w:rsid w:val="00633056"/>
    <w:rsid w:val="0063673F"/>
    <w:rsid w:val="00641BC0"/>
    <w:rsid w:val="00642B68"/>
    <w:rsid w:val="00650145"/>
    <w:rsid w:val="00652EBC"/>
    <w:rsid w:val="00661051"/>
    <w:rsid w:val="00663142"/>
    <w:rsid w:val="00671BB7"/>
    <w:rsid w:val="0067272D"/>
    <w:rsid w:val="006775E8"/>
    <w:rsid w:val="006869A6"/>
    <w:rsid w:val="00691FBB"/>
    <w:rsid w:val="006921ED"/>
    <w:rsid w:val="00695299"/>
    <w:rsid w:val="00697312"/>
    <w:rsid w:val="00697BEB"/>
    <w:rsid w:val="006A3A83"/>
    <w:rsid w:val="006A4183"/>
    <w:rsid w:val="006A4CE7"/>
    <w:rsid w:val="006D172A"/>
    <w:rsid w:val="006D2FB2"/>
    <w:rsid w:val="006D37CF"/>
    <w:rsid w:val="006E107F"/>
    <w:rsid w:val="006E3E1B"/>
    <w:rsid w:val="006E65AA"/>
    <w:rsid w:val="006E6C2A"/>
    <w:rsid w:val="006F24FC"/>
    <w:rsid w:val="006F27F3"/>
    <w:rsid w:val="006F2ED5"/>
    <w:rsid w:val="006F7287"/>
    <w:rsid w:val="007016AE"/>
    <w:rsid w:val="00703030"/>
    <w:rsid w:val="00703DBF"/>
    <w:rsid w:val="00706C0B"/>
    <w:rsid w:val="007141E0"/>
    <w:rsid w:val="0071564B"/>
    <w:rsid w:val="00715FC8"/>
    <w:rsid w:val="007173B9"/>
    <w:rsid w:val="0072158D"/>
    <w:rsid w:val="007219F1"/>
    <w:rsid w:val="0072332A"/>
    <w:rsid w:val="007308C2"/>
    <w:rsid w:val="007321A7"/>
    <w:rsid w:val="007402CF"/>
    <w:rsid w:val="00740CF7"/>
    <w:rsid w:val="00740F2F"/>
    <w:rsid w:val="00740FC9"/>
    <w:rsid w:val="00742CB7"/>
    <w:rsid w:val="00744C77"/>
    <w:rsid w:val="00745FCE"/>
    <w:rsid w:val="00764518"/>
    <w:rsid w:val="007726C7"/>
    <w:rsid w:val="00775553"/>
    <w:rsid w:val="00784C2F"/>
    <w:rsid w:val="00785261"/>
    <w:rsid w:val="0078701C"/>
    <w:rsid w:val="0079317E"/>
    <w:rsid w:val="00797FB2"/>
    <w:rsid w:val="007A6E09"/>
    <w:rsid w:val="007B0256"/>
    <w:rsid w:val="007B5792"/>
    <w:rsid w:val="007B721D"/>
    <w:rsid w:val="007C2ADC"/>
    <w:rsid w:val="007C5AC0"/>
    <w:rsid w:val="007D3201"/>
    <w:rsid w:val="007D401C"/>
    <w:rsid w:val="007E2664"/>
    <w:rsid w:val="007E2E21"/>
    <w:rsid w:val="007F129F"/>
    <w:rsid w:val="007F7BA8"/>
    <w:rsid w:val="00812322"/>
    <w:rsid w:val="008147D5"/>
    <w:rsid w:val="008168CD"/>
    <w:rsid w:val="0082526F"/>
    <w:rsid w:val="00827E2D"/>
    <w:rsid w:val="00830DD0"/>
    <w:rsid w:val="008370C4"/>
    <w:rsid w:val="008422A9"/>
    <w:rsid w:val="00843173"/>
    <w:rsid w:val="00857150"/>
    <w:rsid w:val="00861C01"/>
    <w:rsid w:val="00864E16"/>
    <w:rsid w:val="008710FA"/>
    <w:rsid w:val="008817FB"/>
    <w:rsid w:val="0088296D"/>
    <w:rsid w:val="008878A7"/>
    <w:rsid w:val="00892838"/>
    <w:rsid w:val="0089401B"/>
    <w:rsid w:val="00897535"/>
    <w:rsid w:val="008A365C"/>
    <w:rsid w:val="008A3D2B"/>
    <w:rsid w:val="008B10CA"/>
    <w:rsid w:val="008B203A"/>
    <w:rsid w:val="008C293C"/>
    <w:rsid w:val="008D39D3"/>
    <w:rsid w:val="008D3C13"/>
    <w:rsid w:val="008E1038"/>
    <w:rsid w:val="008E34B2"/>
    <w:rsid w:val="008E4A06"/>
    <w:rsid w:val="008F62BA"/>
    <w:rsid w:val="00901906"/>
    <w:rsid w:val="00903CC1"/>
    <w:rsid w:val="0090584A"/>
    <w:rsid w:val="00906508"/>
    <w:rsid w:val="00906F2A"/>
    <w:rsid w:val="00910159"/>
    <w:rsid w:val="00910995"/>
    <w:rsid w:val="0091290B"/>
    <w:rsid w:val="0091770A"/>
    <w:rsid w:val="009206F0"/>
    <w:rsid w:val="009225F0"/>
    <w:rsid w:val="00923ED2"/>
    <w:rsid w:val="00930A5A"/>
    <w:rsid w:val="00931A16"/>
    <w:rsid w:val="00937B9C"/>
    <w:rsid w:val="00940B53"/>
    <w:rsid w:val="00942776"/>
    <w:rsid w:val="00942C57"/>
    <w:rsid w:val="00943611"/>
    <w:rsid w:val="00945B35"/>
    <w:rsid w:val="00952D98"/>
    <w:rsid w:val="00953082"/>
    <w:rsid w:val="00964B7C"/>
    <w:rsid w:val="00975D2A"/>
    <w:rsid w:val="00976AAB"/>
    <w:rsid w:val="009846B7"/>
    <w:rsid w:val="009945F7"/>
    <w:rsid w:val="009A256D"/>
    <w:rsid w:val="009B73BB"/>
    <w:rsid w:val="009C0770"/>
    <w:rsid w:val="009C451A"/>
    <w:rsid w:val="009C561C"/>
    <w:rsid w:val="009C63DC"/>
    <w:rsid w:val="009D193B"/>
    <w:rsid w:val="009D2B15"/>
    <w:rsid w:val="009E016F"/>
    <w:rsid w:val="009E4A4D"/>
    <w:rsid w:val="009F64FB"/>
    <w:rsid w:val="00A02E9F"/>
    <w:rsid w:val="00A05661"/>
    <w:rsid w:val="00A0731D"/>
    <w:rsid w:val="00A10AA8"/>
    <w:rsid w:val="00A1206D"/>
    <w:rsid w:val="00A150E4"/>
    <w:rsid w:val="00A25BB3"/>
    <w:rsid w:val="00A27B61"/>
    <w:rsid w:val="00A3092B"/>
    <w:rsid w:val="00A311F3"/>
    <w:rsid w:val="00A31EA1"/>
    <w:rsid w:val="00A32F93"/>
    <w:rsid w:val="00A35A7D"/>
    <w:rsid w:val="00A43F74"/>
    <w:rsid w:val="00A44912"/>
    <w:rsid w:val="00A47B29"/>
    <w:rsid w:val="00A511A0"/>
    <w:rsid w:val="00A51566"/>
    <w:rsid w:val="00A676ED"/>
    <w:rsid w:val="00A80BED"/>
    <w:rsid w:val="00A80E33"/>
    <w:rsid w:val="00A93156"/>
    <w:rsid w:val="00A94F66"/>
    <w:rsid w:val="00A95BCA"/>
    <w:rsid w:val="00AA579E"/>
    <w:rsid w:val="00AA589F"/>
    <w:rsid w:val="00AC0E2B"/>
    <w:rsid w:val="00AC76A7"/>
    <w:rsid w:val="00AD3AFC"/>
    <w:rsid w:val="00AD4732"/>
    <w:rsid w:val="00AD67C2"/>
    <w:rsid w:val="00AD77ED"/>
    <w:rsid w:val="00AE1F91"/>
    <w:rsid w:val="00AF33C4"/>
    <w:rsid w:val="00B01665"/>
    <w:rsid w:val="00B07293"/>
    <w:rsid w:val="00B1112B"/>
    <w:rsid w:val="00B1295A"/>
    <w:rsid w:val="00B139C6"/>
    <w:rsid w:val="00B1704E"/>
    <w:rsid w:val="00B179CA"/>
    <w:rsid w:val="00B24CDC"/>
    <w:rsid w:val="00B25E9A"/>
    <w:rsid w:val="00B26E31"/>
    <w:rsid w:val="00B36945"/>
    <w:rsid w:val="00B37AF0"/>
    <w:rsid w:val="00B45D8B"/>
    <w:rsid w:val="00B47A88"/>
    <w:rsid w:val="00B50121"/>
    <w:rsid w:val="00B51960"/>
    <w:rsid w:val="00B557E4"/>
    <w:rsid w:val="00B61C42"/>
    <w:rsid w:val="00B6282B"/>
    <w:rsid w:val="00B63CBB"/>
    <w:rsid w:val="00B70278"/>
    <w:rsid w:val="00B73475"/>
    <w:rsid w:val="00B74B51"/>
    <w:rsid w:val="00B76254"/>
    <w:rsid w:val="00B8277F"/>
    <w:rsid w:val="00B83165"/>
    <w:rsid w:val="00B85F8A"/>
    <w:rsid w:val="00B953F9"/>
    <w:rsid w:val="00BA2DB9"/>
    <w:rsid w:val="00BA6350"/>
    <w:rsid w:val="00BB3002"/>
    <w:rsid w:val="00BB5F96"/>
    <w:rsid w:val="00BC25FA"/>
    <w:rsid w:val="00BC26A0"/>
    <w:rsid w:val="00BC4755"/>
    <w:rsid w:val="00BC53E9"/>
    <w:rsid w:val="00BD41E1"/>
    <w:rsid w:val="00BD6F17"/>
    <w:rsid w:val="00BD7B58"/>
    <w:rsid w:val="00BD7DD6"/>
    <w:rsid w:val="00BE1269"/>
    <w:rsid w:val="00BE3667"/>
    <w:rsid w:val="00BE632A"/>
    <w:rsid w:val="00BE6F09"/>
    <w:rsid w:val="00BE7148"/>
    <w:rsid w:val="00BF1F94"/>
    <w:rsid w:val="00BF3152"/>
    <w:rsid w:val="00BF4263"/>
    <w:rsid w:val="00C02A34"/>
    <w:rsid w:val="00C0464F"/>
    <w:rsid w:val="00C0709F"/>
    <w:rsid w:val="00C129B9"/>
    <w:rsid w:val="00C14086"/>
    <w:rsid w:val="00C1472B"/>
    <w:rsid w:val="00C15B2C"/>
    <w:rsid w:val="00C2023B"/>
    <w:rsid w:val="00C26BEB"/>
    <w:rsid w:val="00C321D7"/>
    <w:rsid w:val="00C33637"/>
    <w:rsid w:val="00C47989"/>
    <w:rsid w:val="00C54230"/>
    <w:rsid w:val="00C60295"/>
    <w:rsid w:val="00C60F22"/>
    <w:rsid w:val="00C67BD8"/>
    <w:rsid w:val="00C719CA"/>
    <w:rsid w:val="00C75095"/>
    <w:rsid w:val="00C77A0B"/>
    <w:rsid w:val="00C83765"/>
    <w:rsid w:val="00C84B43"/>
    <w:rsid w:val="00C941CC"/>
    <w:rsid w:val="00C95569"/>
    <w:rsid w:val="00CB03EB"/>
    <w:rsid w:val="00CB3C12"/>
    <w:rsid w:val="00CB4D5F"/>
    <w:rsid w:val="00CB65FA"/>
    <w:rsid w:val="00CC7D61"/>
    <w:rsid w:val="00CE3CD7"/>
    <w:rsid w:val="00CE5764"/>
    <w:rsid w:val="00CE6BF3"/>
    <w:rsid w:val="00D14A80"/>
    <w:rsid w:val="00D364EF"/>
    <w:rsid w:val="00D367C6"/>
    <w:rsid w:val="00D378E7"/>
    <w:rsid w:val="00D40500"/>
    <w:rsid w:val="00D4139C"/>
    <w:rsid w:val="00D461DC"/>
    <w:rsid w:val="00D469BE"/>
    <w:rsid w:val="00D5058D"/>
    <w:rsid w:val="00D57C26"/>
    <w:rsid w:val="00D651B6"/>
    <w:rsid w:val="00D74BB0"/>
    <w:rsid w:val="00D7540D"/>
    <w:rsid w:val="00D76409"/>
    <w:rsid w:val="00D76DF8"/>
    <w:rsid w:val="00D80AA5"/>
    <w:rsid w:val="00D86B1B"/>
    <w:rsid w:val="00D877C3"/>
    <w:rsid w:val="00D950AF"/>
    <w:rsid w:val="00D95DDA"/>
    <w:rsid w:val="00DA25A1"/>
    <w:rsid w:val="00DB7440"/>
    <w:rsid w:val="00DC1934"/>
    <w:rsid w:val="00DC28C4"/>
    <w:rsid w:val="00DC51B1"/>
    <w:rsid w:val="00DC70EA"/>
    <w:rsid w:val="00DD0842"/>
    <w:rsid w:val="00DD5725"/>
    <w:rsid w:val="00DD5A44"/>
    <w:rsid w:val="00DD5E4E"/>
    <w:rsid w:val="00DE0B5E"/>
    <w:rsid w:val="00DE11D2"/>
    <w:rsid w:val="00DE28E9"/>
    <w:rsid w:val="00DE53D8"/>
    <w:rsid w:val="00DE5606"/>
    <w:rsid w:val="00DE5DAE"/>
    <w:rsid w:val="00DF0597"/>
    <w:rsid w:val="00DF1EE9"/>
    <w:rsid w:val="00E06063"/>
    <w:rsid w:val="00E11669"/>
    <w:rsid w:val="00E13C8E"/>
    <w:rsid w:val="00E2350A"/>
    <w:rsid w:val="00E33A75"/>
    <w:rsid w:val="00E348A4"/>
    <w:rsid w:val="00E35230"/>
    <w:rsid w:val="00E377E3"/>
    <w:rsid w:val="00E41B55"/>
    <w:rsid w:val="00E45E94"/>
    <w:rsid w:val="00E45F59"/>
    <w:rsid w:val="00E46CA9"/>
    <w:rsid w:val="00E817EE"/>
    <w:rsid w:val="00E84A86"/>
    <w:rsid w:val="00E84D1C"/>
    <w:rsid w:val="00E867A4"/>
    <w:rsid w:val="00E92659"/>
    <w:rsid w:val="00E92E20"/>
    <w:rsid w:val="00E94740"/>
    <w:rsid w:val="00E95891"/>
    <w:rsid w:val="00EA2D0F"/>
    <w:rsid w:val="00EA319C"/>
    <w:rsid w:val="00EB1802"/>
    <w:rsid w:val="00EB3EB7"/>
    <w:rsid w:val="00EB42F5"/>
    <w:rsid w:val="00EC00BB"/>
    <w:rsid w:val="00EC44A7"/>
    <w:rsid w:val="00EC709B"/>
    <w:rsid w:val="00EC7935"/>
    <w:rsid w:val="00ED46D4"/>
    <w:rsid w:val="00ED4DF6"/>
    <w:rsid w:val="00EE2067"/>
    <w:rsid w:val="00EE2262"/>
    <w:rsid w:val="00EE54E1"/>
    <w:rsid w:val="00EE557B"/>
    <w:rsid w:val="00EF01E6"/>
    <w:rsid w:val="00EF3347"/>
    <w:rsid w:val="00EF5921"/>
    <w:rsid w:val="00F006D9"/>
    <w:rsid w:val="00F02FC6"/>
    <w:rsid w:val="00F03251"/>
    <w:rsid w:val="00F041C6"/>
    <w:rsid w:val="00F04F9E"/>
    <w:rsid w:val="00F05322"/>
    <w:rsid w:val="00F07B08"/>
    <w:rsid w:val="00F07F08"/>
    <w:rsid w:val="00F3472B"/>
    <w:rsid w:val="00F3768C"/>
    <w:rsid w:val="00F52DC2"/>
    <w:rsid w:val="00F564CB"/>
    <w:rsid w:val="00F67C42"/>
    <w:rsid w:val="00F76BC7"/>
    <w:rsid w:val="00F87930"/>
    <w:rsid w:val="00F904DE"/>
    <w:rsid w:val="00F905FA"/>
    <w:rsid w:val="00F955DB"/>
    <w:rsid w:val="00F967D1"/>
    <w:rsid w:val="00FA0112"/>
    <w:rsid w:val="00FA4ACE"/>
    <w:rsid w:val="00FA56B8"/>
    <w:rsid w:val="00FA5F62"/>
    <w:rsid w:val="00FA6064"/>
    <w:rsid w:val="00FB3BB8"/>
    <w:rsid w:val="00FB47D2"/>
    <w:rsid w:val="00FB5514"/>
    <w:rsid w:val="00FC486B"/>
    <w:rsid w:val="00FD1D3A"/>
    <w:rsid w:val="00FD3134"/>
    <w:rsid w:val="00FD329B"/>
    <w:rsid w:val="00FE2781"/>
    <w:rsid w:val="00FF1A9E"/>
    <w:rsid w:val="00FF4573"/>
    <w:rsid w:val="00FF49C5"/>
    <w:rsid w:val="00FF4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qFormat/>
    <w:rsid w:val="007219F1"/>
    <w:pPr>
      <w:spacing w:before="1440"/>
      <w:outlineLvl w:val="0"/>
    </w:pPr>
  </w:style>
  <w:style w:type="paragraph" w:styleId="Heading2">
    <w:name w:val="heading 2"/>
    <w:basedOn w:val="Normal"/>
    <w:next w:val="Normal"/>
    <w:link w:val="Heading2Char"/>
    <w:uiPriority w:val="9"/>
    <w:unhideWhenUsed/>
    <w:qFormat/>
    <w:rsid w:val="001D02E2"/>
    <w:pPr>
      <w:numPr>
        <w:numId w:val="27"/>
      </w:numPr>
      <w:spacing w:before="200" w:after="240"/>
      <w:outlineLvl w:val="1"/>
    </w:pPr>
    <w:rPr>
      <w:rFonts w:eastAsia="Times New Roman" w:cstheme="majorBidi"/>
      <w:b/>
      <w:bCs/>
      <w:snapToGrid w:val="0"/>
      <w:color w:val="6A2875"/>
      <w:sz w:val="44"/>
      <w:szCs w:val="26"/>
      <w:lang w:val="en-AU" w:eastAsia="en-AU"/>
    </w:rPr>
  </w:style>
  <w:style w:type="paragraph" w:styleId="Heading3">
    <w:name w:val="heading 3"/>
    <w:basedOn w:val="Heading2"/>
    <w:next w:val="Normal"/>
    <w:link w:val="Heading3Char"/>
    <w:uiPriority w:val="9"/>
    <w:unhideWhenUsed/>
    <w:qFormat/>
    <w:rsid w:val="00B85F8A"/>
    <w:pPr>
      <w:numPr>
        <w:ilvl w:val="1"/>
        <w:numId w:val="7"/>
      </w:numPr>
      <w:ind w:left="432"/>
      <w:outlineLvl w:val="2"/>
    </w:pPr>
    <w:rPr>
      <w:b w:val="0"/>
      <w:sz w:val="28"/>
    </w:rPr>
  </w:style>
  <w:style w:type="paragraph" w:styleId="Heading4">
    <w:name w:val="heading 4"/>
    <w:basedOn w:val="Heading3"/>
    <w:next w:val="Normal"/>
    <w:link w:val="Heading4Char"/>
    <w:uiPriority w:val="9"/>
    <w:unhideWhenUsed/>
    <w:qFormat/>
    <w:rsid w:val="001E2292"/>
    <w:pPr>
      <w:numPr>
        <w:ilvl w:val="2"/>
      </w:numPr>
      <w:ind w:left="851" w:hanging="851"/>
      <w:outlineLvl w:val="3"/>
    </w:pPr>
    <w:rPr>
      <w:i/>
      <w:color w:val="auto"/>
      <w:sz w:val="24"/>
    </w:rPr>
  </w:style>
  <w:style w:type="paragraph" w:styleId="Heading5">
    <w:name w:val="heading 5"/>
    <w:basedOn w:val="Normal"/>
    <w:next w:val="Normal"/>
    <w:link w:val="Heading5Char"/>
    <w:unhideWhenUsed/>
    <w:qFormat/>
    <w:rsid w:val="004D32B5"/>
    <w:pPr>
      <w:outlineLvl w:val="4"/>
    </w:pPr>
    <w:rPr>
      <w:b/>
    </w:rPr>
  </w:style>
  <w:style w:type="paragraph" w:styleId="Heading6">
    <w:name w:val="heading 6"/>
    <w:basedOn w:val="Normal"/>
    <w:next w:val="Normal"/>
    <w:link w:val="Heading6Char"/>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1D02E2"/>
    <w:rPr>
      <w:rFonts w:ascii="Arial" w:eastAsia="Times New Roman" w:hAnsi="Arial" w:cstheme="majorBidi"/>
      <w:b/>
      <w:bCs/>
      <w:snapToGrid w:val="0"/>
      <w:color w:val="6A2875"/>
      <w:sz w:val="44"/>
      <w:szCs w:val="26"/>
      <w:lang w:eastAsia="en-AU"/>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85F8A"/>
    <w:rPr>
      <w:rFonts w:ascii="Arial" w:eastAsia="Times New Roman" w:hAnsi="Arial" w:cstheme="majorBidi"/>
      <w:bCs/>
      <w:snapToGrid w:val="0"/>
      <w:color w:val="6A2875"/>
      <w:sz w:val="28"/>
      <w:szCs w:val="26"/>
      <w:lang w:eastAsia="en-AU"/>
    </w:rPr>
  </w:style>
  <w:style w:type="character" w:customStyle="1" w:styleId="Heading4Char">
    <w:name w:val="Heading 4 Char"/>
    <w:basedOn w:val="DefaultParagraphFont"/>
    <w:link w:val="Heading4"/>
    <w:uiPriority w:val="9"/>
    <w:rsid w:val="001E2292"/>
    <w:rPr>
      <w:rFonts w:ascii="Arial" w:eastAsia="Times New Roman" w:hAnsi="Arial" w:cstheme="majorBidi"/>
      <w:bCs/>
      <w:i/>
      <w:snapToGrid w:val="0"/>
      <w:sz w:val="24"/>
      <w:szCs w:val="26"/>
      <w:lang w:eastAsia="en-AU"/>
    </w:rPr>
  </w:style>
  <w:style w:type="character" w:customStyle="1" w:styleId="Heading5Char">
    <w:name w:val="Heading 5 Char"/>
    <w:basedOn w:val="DefaultParagraphFont"/>
    <w:link w:val="Heading5"/>
    <w:rsid w:val="004D32B5"/>
    <w:rPr>
      <w:rFonts w:ascii="Arial" w:eastAsiaTheme="minorEastAsia" w:hAnsi="Arial"/>
      <w:b/>
      <w:szCs w:val="24"/>
      <w:lang w:val="en-US" w:eastAsia="ja-JP"/>
    </w:rPr>
  </w:style>
  <w:style w:type="character" w:customStyle="1" w:styleId="Heading6Char">
    <w:name w:val="Heading 6 Char"/>
    <w:basedOn w:val="DefaultParagraphFont"/>
    <w:link w:val="Heading6"/>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rsid w:val="004B54CA"/>
    <w:rPr>
      <w:rFonts w:ascii="Arial" w:eastAsiaTheme="majorEastAsia" w:hAnsi="Arial" w:cstheme="majorBidi"/>
      <w:i/>
      <w:iCs/>
    </w:rPr>
  </w:style>
  <w:style w:type="character" w:customStyle="1" w:styleId="Heading8Char">
    <w:name w:val="Heading 8 Char"/>
    <w:basedOn w:val="DefaultParagraphFont"/>
    <w:link w:val="Heading8"/>
    <w:rsid w:val="004B54CA"/>
    <w:rPr>
      <w:rFonts w:ascii="Arial" w:eastAsiaTheme="majorEastAsia" w:hAnsi="Arial" w:cstheme="majorBidi"/>
      <w:sz w:val="20"/>
      <w:szCs w:val="20"/>
    </w:rPr>
  </w:style>
  <w:style w:type="character" w:customStyle="1" w:styleId="Heading9Char">
    <w:name w:val="Heading 9 Char"/>
    <w:basedOn w:val="DefaultParagraphFont"/>
    <w:link w:val="Heading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nhideWhenUsed/>
    <w:rsid w:val="007219F1"/>
  </w:style>
  <w:style w:type="paragraph" w:styleId="BalloonText">
    <w:name w:val="Balloon Text"/>
    <w:basedOn w:val="Normal"/>
    <w:link w:val="BalloonTextChar"/>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663142"/>
    <w:pPr>
      <w:spacing w:after="240" w:line="240" w:lineRule="auto"/>
    </w:pPr>
    <w:rPr>
      <w:rFonts w:asciiTheme="minorHAnsi" w:eastAsia="MS Mincho" w:hAnsiTheme="minorHAnsi" w:cs="FSMe-Bold"/>
      <w:spacing w:val="-2"/>
      <w:sz w:val="24"/>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nhideWhenUsed/>
    <w:qFormat/>
    <w:rsid w:val="00D5058D"/>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0738C8"/>
    <w:pPr>
      <w:tabs>
        <w:tab w:val="right" w:leader="dot" w:pos="9016"/>
      </w:tabs>
      <w:spacing w:after="100"/>
    </w:pPr>
    <w:rPr>
      <w:sz w:val="24"/>
    </w:rPr>
  </w:style>
  <w:style w:type="paragraph" w:styleId="TOC2">
    <w:name w:val="toc 2"/>
    <w:basedOn w:val="Normal"/>
    <w:next w:val="Normal"/>
    <w:uiPriority w:val="39"/>
    <w:unhideWhenUsed/>
    <w:qFormat/>
    <w:rsid w:val="000738C8"/>
    <w:pPr>
      <w:tabs>
        <w:tab w:val="left" w:pos="660"/>
        <w:tab w:val="right" w:leader="dot" w:pos="9016"/>
      </w:tabs>
      <w:spacing w:before="240" w:after="100" w:line="240" w:lineRule="auto"/>
    </w:pPr>
    <w:rPr>
      <w:b/>
      <w:sz w:val="24"/>
    </w:rPr>
  </w:style>
  <w:style w:type="paragraph" w:styleId="TOC3">
    <w:name w:val="toc 3"/>
    <w:basedOn w:val="Normal"/>
    <w:next w:val="Normal"/>
    <w:autoRedefine/>
    <w:uiPriority w:val="39"/>
    <w:unhideWhenUsed/>
    <w:qFormat/>
    <w:rsid w:val="0063673F"/>
    <w:pPr>
      <w:tabs>
        <w:tab w:val="left" w:pos="993"/>
        <w:tab w:val="right" w:leader="dot" w:pos="9016"/>
      </w:tabs>
      <w:spacing w:after="60" w:line="240" w:lineRule="auto"/>
    </w:pPr>
    <w:rPr>
      <w:noProof/>
      <w:sz w:val="24"/>
      <w:szCs w:val="22"/>
      <w:lang w:val="en-AU" w:eastAsia="en-AU"/>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63673F"/>
    <w:pPr>
      <w:tabs>
        <w:tab w:val="left" w:pos="1701"/>
        <w:tab w:val="right" w:leader="dot" w:pos="9016"/>
      </w:tabs>
      <w:spacing w:after="100" w:line="240" w:lineRule="auto"/>
      <w:ind w:left="658" w:firstLine="335"/>
    </w:pPr>
    <w:rPr>
      <w:i/>
      <w:noProof/>
      <w:sz w:val="20"/>
    </w:rPr>
  </w:style>
  <w:style w:type="paragraph" w:styleId="TOC5">
    <w:name w:val="toc 5"/>
    <w:basedOn w:val="Normal"/>
    <w:next w:val="Normal"/>
    <w:autoRedefine/>
    <w:uiPriority w:val="39"/>
    <w:unhideWhenUsed/>
    <w:rsid w:val="0040062A"/>
    <w:pPr>
      <w:spacing w:after="100"/>
      <w:ind w:left="880"/>
    </w:pPr>
  </w:style>
  <w:style w:type="character" w:styleId="CommentReference">
    <w:name w:val="annotation reference"/>
    <w:basedOn w:val="DefaultParagraphFont"/>
    <w:uiPriority w:val="99"/>
    <w:unhideWhenUsed/>
    <w:rsid w:val="009F64FB"/>
    <w:rPr>
      <w:sz w:val="16"/>
      <w:szCs w:val="16"/>
    </w:rPr>
  </w:style>
  <w:style w:type="paragraph" w:styleId="CommentText">
    <w:name w:val="annotation text"/>
    <w:basedOn w:val="Normal"/>
    <w:link w:val="CommentTextChar"/>
    <w:uiPriority w:val="99"/>
    <w:unhideWhenUsed/>
    <w:rsid w:val="009F64FB"/>
    <w:pPr>
      <w:spacing w:line="240" w:lineRule="auto"/>
    </w:pPr>
    <w:rPr>
      <w:sz w:val="20"/>
      <w:szCs w:val="20"/>
    </w:rPr>
  </w:style>
  <w:style w:type="character" w:customStyle="1" w:styleId="CommentTextChar">
    <w:name w:val="Comment Text Char"/>
    <w:basedOn w:val="DefaultParagraphFont"/>
    <w:link w:val="CommentText"/>
    <w:uiPriority w:val="99"/>
    <w:rsid w:val="009F64FB"/>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semiHidden/>
    <w:unhideWhenUsed/>
    <w:rsid w:val="009F64FB"/>
    <w:rPr>
      <w:b/>
      <w:bCs/>
    </w:rPr>
  </w:style>
  <w:style w:type="character" w:customStyle="1" w:styleId="CommentSubjectChar">
    <w:name w:val="Comment Subject Char"/>
    <w:basedOn w:val="CommentTextChar"/>
    <w:link w:val="CommentSubject"/>
    <w:semiHidden/>
    <w:rsid w:val="009F64FB"/>
    <w:rPr>
      <w:rFonts w:ascii="Arial" w:eastAsiaTheme="minorEastAsia" w:hAnsi="Arial"/>
      <w:b/>
      <w:bCs/>
      <w:sz w:val="20"/>
      <w:szCs w:val="20"/>
      <w:lang w:val="en-US" w:eastAsia="ja-JP"/>
    </w:rPr>
  </w:style>
  <w:style w:type="paragraph" w:customStyle="1" w:styleId="MJAheading1">
    <w:name w:val="MJA heading 1"/>
    <w:basedOn w:val="MJAnormal"/>
    <w:next w:val="MJAnormal"/>
    <w:uiPriority w:val="99"/>
    <w:qFormat/>
    <w:rsid w:val="00EA319C"/>
    <w:pPr>
      <w:keepNext/>
      <w:keepLines/>
      <w:numPr>
        <w:numId w:val="2"/>
      </w:numPr>
      <w:pBdr>
        <w:bottom w:val="single" w:sz="18" w:space="1" w:color="0093D0"/>
      </w:pBdr>
      <w:tabs>
        <w:tab w:val="num" w:pos="360"/>
        <w:tab w:val="left" w:pos="709"/>
      </w:tabs>
      <w:spacing w:before="0" w:after="360" w:line="240" w:lineRule="auto"/>
      <w:ind w:left="426" w:firstLine="0"/>
      <w:outlineLvl w:val="0"/>
    </w:pPr>
    <w:rPr>
      <w:rFonts w:ascii="Corbel" w:hAnsi="Corbel"/>
      <w:color w:val="0093D0"/>
      <w:sz w:val="44"/>
    </w:rPr>
  </w:style>
  <w:style w:type="paragraph" w:customStyle="1" w:styleId="MJAheading2">
    <w:name w:val="MJA heading 2"/>
    <w:basedOn w:val="Normal"/>
    <w:next w:val="MJAnormal"/>
    <w:qFormat/>
    <w:rsid w:val="00EA319C"/>
    <w:pPr>
      <w:keepNext/>
      <w:keepLines/>
      <w:numPr>
        <w:ilvl w:val="1"/>
        <w:numId w:val="2"/>
      </w:numPr>
      <w:tabs>
        <w:tab w:val="left" w:pos="709"/>
      </w:tabs>
      <w:spacing w:before="360" w:after="240" w:line="240" w:lineRule="auto"/>
      <w:ind w:left="709" w:hanging="709"/>
      <w:outlineLvl w:val="1"/>
    </w:pPr>
    <w:rPr>
      <w:rFonts w:ascii="Corbel" w:eastAsiaTheme="minorHAnsi" w:hAnsi="Corbel"/>
      <w:color w:val="0093D0"/>
      <w:sz w:val="32"/>
      <w:szCs w:val="22"/>
      <w:lang w:val="en-AU" w:eastAsia="en-US"/>
    </w:rPr>
  </w:style>
  <w:style w:type="paragraph" w:customStyle="1" w:styleId="MJAheading3">
    <w:name w:val="MJA heading 3"/>
    <w:basedOn w:val="MJAnormal"/>
    <w:next w:val="MJAnormal"/>
    <w:qFormat/>
    <w:rsid w:val="00EA319C"/>
    <w:pPr>
      <w:keepNext/>
      <w:numPr>
        <w:ilvl w:val="2"/>
        <w:numId w:val="2"/>
      </w:numPr>
      <w:tabs>
        <w:tab w:val="num" w:pos="360"/>
        <w:tab w:val="left" w:pos="709"/>
      </w:tabs>
      <w:spacing w:before="360" w:line="240" w:lineRule="auto"/>
      <w:ind w:left="426" w:firstLine="0"/>
      <w:outlineLvl w:val="2"/>
    </w:pPr>
    <w:rPr>
      <w:rFonts w:ascii="Corbel" w:hAnsi="Corbel"/>
      <w:color w:val="0093D0"/>
      <w:sz w:val="24"/>
    </w:rPr>
  </w:style>
  <w:style w:type="paragraph" w:customStyle="1" w:styleId="MJATableRow">
    <w:name w:val="MJA Table Row"/>
    <w:basedOn w:val="Normal"/>
    <w:qFormat/>
    <w:rsid w:val="00EA319C"/>
    <w:pPr>
      <w:spacing w:before="60" w:after="60" w:line="240" w:lineRule="auto"/>
    </w:pPr>
    <w:rPr>
      <w:rFonts w:ascii="Calibri" w:eastAsiaTheme="minorHAnsi" w:hAnsi="Calibri"/>
      <w:sz w:val="20"/>
      <w:szCs w:val="22"/>
      <w:lang w:val="en-AU" w:eastAsia="en-US"/>
    </w:rPr>
  </w:style>
  <w:style w:type="table" w:styleId="TableGrid">
    <w:name w:val="Table Grid"/>
    <w:basedOn w:val="TableNormal"/>
    <w:uiPriority w:val="39"/>
    <w:rsid w:val="00EA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Anormal">
    <w:name w:val="MJA normal"/>
    <w:basedOn w:val="Normal"/>
    <w:link w:val="MJAnormalChar1"/>
    <w:qFormat/>
    <w:rsid w:val="00EA319C"/>
    <w:pPr>
      <w:spacing w:before="120" w:after="120" w:line="280" w:lineRule="atLeast"/>
    </w:pPr>
    <w:rPr>
      <w:rFonts w:ascii="Times New Roman" w:eastAsia="Times New Roman" w:hAnsi="Times New Roman" w:cs="Times New Roman"/>
      <w:szCs w:val="22"/>
      <w:lang w:val="en-AU" w:eastAsia="en-US"/>
    </w:rPr>
  </w:style>
  <w:style w:type="character" w:customStyle="1" w:styleId="MJAnormalChar1">
    <w:name w:val="MJA normal Char1"/>
    <w:basedOn w:val="DefaultParagraphFont"/>
    <w:link w:val="MJAnormal"/>
    <w:rsid w:val="00EA319C"/>
    <w:rPr>
      <w:rFonts w:ascii="Times New Roman" w:eastAsia="Times New Roman" w:hAnsi="Times New Roman" w:cs="Times New Roman"/>
    </w:rPr>
  </w:style>
  <w:style w:type="table" w:customStyle="1" w:styleId="MJATable1">
    <w:name w:val="MJA Table1"/>
    <w:basedOn w:val="TableNormal"/>
    <w:uiPriority w:val="99"/>
    <w:rsid w:val="00EA319C"/>
    <w:pPr>
      <w:spacing w:before="60" w:after="60" w:line="240" w:lineRule="auto"/>
      <w:jc w:val="center"/>
    </w:pPr>
    <w:rPr>
      <w:sz w:val="20"/>
    </w:rPr>
    <w:tblPr/>
    <w:tcPr>
      <w:shd w:val="clear" w:color="auto" w:fill="auto"/>
      <w:vAlign w:val="center"/>
    </w:tcPr>
    <w:tblStylePr w:type="firstRow">
      <w:rPr>
        <w:b/>
        <w:color w:val="FFFFFF" w:themeColor="background1"/>
      </w:rPr>
      <w:tblPr/>
      <w:tcPr>
        <w:shd w:val="clear" w:color="auto" w:fill="0093D0"/>
      </w:tcPr>
    </w:tblStylePr>
    <w:tblStylePr w:type="lastRow">
      <w:rPr>
        <w:b/>
      </w:rPr>
      <w:tblPr/>
      <w:tcPr>
        <w:tcBorders>
          <w:bottom w:val="single" w:sz="12" w:space="0" w:color="0093D0"/>
        </w:tcBorders>
        <w:shd w:val="clear" w:color="auto" w:fill="auto"/>
      </w:tcPr>
    </w:tblStylePr>
    <w:tblStylePr w:type="firstCol">
      <w:pPr>
        <w:jc w:val="left"/>
      </w:pPr>
    </w:tblStylePr>
  </w:style>
  <w:style w:type="character" w:customStyle="1" w:styleId="CaptionChar">
    <w:name w:val="Caption Char"/>
    <w:basedOn w:val="DefaultParagraphFont"/>
    <w:link w:val="Caption"/>
    <w:rsid w:val="00EA319C"/>
    <w:rPr>
      <w:rFonts w:ascii="Arial" w:eastAsiaTheme="minorEastAsia" w:hAnsi="Arial"/>
      <w:b/>
      <w:bCs/>
      <w:caps/>
      <w:sz w:val="16"/>
      <w:szCs w:val="18"/>
      <w:lang w:val="en-US" w:eastAsia="ja-JP"/>
    </w:rPr>
  </w:style>
  <w:style w:type="paragraph" w:customStyle="1" w:styleId="MJAbulletnormal">
    <w:name w:val="MJA bullet normal"/>
    <w:basedOn w:val="Normal"/>
    <w:link w:val="MJAbulletnormalChar"/>
    <w:qFormat/>
    <w:rsid w:val="004977B0"/>
    <w:pPr>
      <w:numPr>
        <w:numId w:val="3"/>
      </w:numPr>
      <w:tabs>
        <w:tab w:val="left" w:pos="567"/>
      </w:tabs>
      <w:spacing w:before="120" w:after="120" w:line="280" w:lineRule="atLeast"/>
    </w:pPr>
    <w:rPr>
      <w:rFonts w:ascii="Times New Roman" w:eastAsia="Times New Roman" w:hAnsi="Times New Roman" w:cs="Times New Roman"/>
      <w:szCs w:val="22"/>
      <w:lang w:val="en-AU" w:eastAsia="en-US"/>
    </w:rPr>
  </w:style>
  <w:style w:type="character" w:styleId="FootnoteReference">
    <w:name w:val="footnote reference"/>
    <w:basedOn w:val="DefaultParagraphFont"/>
    <w:uiPriority w:val="99"/>
    <w:semiHidden/>
    <w:rsid w:val="004977B0"/>
    <w:rPr>
      <w:vertAlign w:val="superscript"/>
    </w:rPr>
  </w:style>
  <w:style w:type="paragraph" w:styleId="FootnoteText">
    <w:name w:val="footnote text"/>
    <w:basedOn w:val="Normal"/>
    <w:link w:val="FootnoteTextChar"/>
    <w:uiPriority w:val="99"/>
    <w:semiHidden/>
    <w:rsid w:val="004977B0"/>
    <w:pPr>
      <w:tabs>
        <w:tab w:val="left" w:pos="397"/>
      </w:tabs>
      <w:spacing w:after="120" w:line="240" w:lineRule="auto"/>
      <w:ind w:left="397" w:hanging="397"/>
      <w:jc w:val="both"/>
    </w:pPr>
    <w:rPr>
      <w:rFonts w:ascii="Times New Roman" w:eastAsia="Times New Roman" w:hAnsi="Times New Roman" w:cs="Times New Roman"/>
      <w:sz w:val="18"/>
      <w:szCs w:val="18"/>
      <w:lang w:val="en-AU" w:eastAsia="en-US"/>
    </w:rPr>
  </w:style>
  <w:style w:type="character" w:customStyle="1" w:styleId="FootnoteTextChar">
    <w:name w:val="Footnote Text Char"/>
    <w:basedOn w:val="DefaultParagraphFont"/>
    <w:link w:val="FootnoteText"/>
    <w:uiPriority w:val="99"/>
    <w:semiHidden/>
    <w:rsid w:val="004977B0"/>
    <w:rPr>
      <w:rFonts w:ascii="Times New Roman" w:eastAsia="Times New Roman" w:hAnsi="Times New Roman" w:cs="Times New Roman"/>
      <w:sz w:val="18"/>
      <w:szCs w:val="18"/>
    </w:rPr>
  </w:style>
  <w:style w:type="character" w:customStyle="1" w:styleId="MJAbulletnormalChar">
    <w:name w:val="MJA bullet normal Char"/>
    <w:basedOn w:val="DefaultParagraphFont"/>
    <w:link w:val="MJAbulletnormal"/>
    <w:locked/>
    <w:rsid w:val="004977B0"/>
    <w:rPr>
      <w:rFonts w:ascii="Times New Roman" w:eastAsia="Times New Roman" w:hAnsi="Times New Roman" w:cs="Times New Roman"/>
    </w:rPr>
  </w:style>
  <w:style w:type="paragraph" w:customStyle="1" w:styleId="CVbullet">
    <w:name w:val="CV bullet"/>
    <w:basedOn w:val="Normal"/>
    <w:qFormat/>
    <w:rsid w:val="00650145"/>
    <w:pPr>
      <w:numPr>
        <w:numId w:val="4"/>
      </w:numPr>
      <w:spacing w:before="120" w:after="60" w:line="240" w:lineRule="auto"/>
    </w:pPr>
    <w:rPr>
      <w:rFonts w:ascii="Calibri" w:hAnsi="Calibri"/>
      <w:sz w:val="20"/>
      <w:szCs w:val="22"/>
      <w:lang w:val="en-AU" w:eastAsia="en-AU"/>
    </w:rPr>
  </w:style>
  <w:style w:type="paragraph" w:styleId="Revision">
    <w:name w:val="Revision"/>
    <w:hidden/>
    <w:uiPriority w:val="99"/>
    <w:semiHidden/>
    <w:rsid w:val="009206F0"/>
    <w:pPr>
      <w:spacing w:after="0" w:line="240" w:lineRule="auto"/>
    </w:pPr>
    <w:rPr>
      <w:rFonts w:ascii="Arial" w:eastAsiaTheme="minorEastAsia" w:hAnsi="Arial"/>
      <w:szCs w:val="24"/>
      <w:lang w:val="en-US" w:eastAsia="ja-JP"/>
    </w:rPr>
  </w:style>
  <w:style w:type="paragraph" w:customStyle="1" w:styleId="Default">
    <w:name w:val="Default"/>
    <w:rsid w:val="004802A3"/>
    <w:pPr>
      <w:autoSpaceDE w:val="0"/>
      <w:autoSpaceDN w:val="0"/>
      <w:adjustRightInd w:val="0"/>
      <w:spacing w:after="0" w:line="240" w:lineRule="auto"/>
    </w:pPr>
    <w:rPr>
      <w:rFonts w:ascii="Arial" w:hAnsi="Arial" w:cs="Arial"/>
      <w:color w:val="000000"/>
      <w:sz w:val="24"/>
      <w:szCs w:val="24"/>
    </w:rPr>
  </w:style>
  <w:style w:type="paragraph" w:customStyle="1" w:styleId="Heading4a">
    <w:name w:val="Heading 4a"/>
    <w:basedOn w:val="Heading3"/>
    <w:link w:val="Heading4aChar"/>
    <w:qFormat/>
    <w:rsid w:val="009C0770"/>
    <w:rPr>
      <w:b/>
    </w:rPr>
  </w:style>
  <w:style w:type="character" w:customStyle="1" w:styleId="ListParagraphChar">
    <w:name w:val="List Paragraph Char"/>
    <w:aliases w:val="List Paragraph1 Char,List Paragraph11 Char,Recommendation Char"/>
    <w:link w:val="ListParagraph"/>
    <w:uiPriority w:val="34"/>
    <w:locked/>
    <w:rsid w:val="00E348A4"/>
    <w:rPr>
      <w:rFonts w:ascii="Arial" w:eastAsiaTheme="minorEastAsia" w:hAnsi="Arial"/>
      <w:szCs w:val="24"/>
      <w:lang w:val="en-US" w:eastAsia="ja-JP"/>
    </w:rPr>
  </w:style>
  <w:style w:type="character" w:customStyle="1" w:styleId="Heading4aChar">
    <w:name w:val="Heading 4a Char"/>
    <w:basedOn w:val="Heading3Char"/>
    <w:link w:val="Heading4a"/>
    <w:rsid w:val="009C0770"/>
    <w:rPr>
      <w:rFonts w:ascii="Arial" w:eastAsia="Times New Roman" w:hAnsi="Arial" w:cstheme="majorBidi"/>
      <w:b/>
      <w:bCs/>
      <w:snapToGrid w:val="0"/>
      <w:color w:val="6A2875"/>
      <w:sz w:val="28"/>
      <w:szCs w:val="26"/>
      <w:lang w:eastAsia="en-AU"/>
    </w:rPr>
  </w:style>
  <w:style w:type="character" w:customStyle="1" w:styleId="bumpedfont20">
    <w:name w:val="bumpedfont20"/>
    <w:basedOn w:val="DefaultParagraphFont"/>
    <w:rsid w:val="0078701C"/>
  </w:style>
  <w:style w:type="numbering" w:customStyle="1" w:styleId="NoList1">
    <w:name w:val="No List1"/>
    <w:next w:val="NoList"/>
    <w:uiPriority w:val="99"/>
    <w:semiHidden/>
    <w:unhideWhenUsed/>
    <w:rsid w:val="00BC25FA"/>
  </w:style>
  <w:style w:type="paragraph" w:styleId="EndnoteText">
    <w:name w:val="endnote text"/>
    <w:basedOn w:val="Normal"/>
    <w:link w:val="EndnoteTextChar"/>
    <w:uiPriority w:val="99"/>
    <w:semiHidden/>
    <w:unhideWhenUsed/>
    <w:rsid w:val="00BC25FA"/>
    <w:pPr>
      <w:spacing w:after="0" w:line="240" w:lineRule="auto"/>
    </w:pPr>
    <w:rPr>
      <w:rFonts w:asciiTheme="minorHAnsi" w:eastAsia="Times New Roman" w:hAnsiTheme="minorHAnsi" w:cs="Times New Roman"/>
      <w:sz w:val="20"/>
      <w:szCs w:val="20"/>
      <w:lang w:val="en-AU" w:eastAsia="en-AU"/>
    </w:rPr>
  </w:style>
  <w:style w:type="character" w:customStyle="1" w:styleId="EndnoteTextChar">
    <w:name w:val="Endnote Text Char"/>
    <w:basedOn w:val="DefaultParagraphFont"/>
    <w:link w:val="EndnoteText"/>
    <w:uiPriority w:val="99"/>
    <w:semiHidden/>
    <w:rsid w:val="00BC25FA"/>
    <w:rPr>
      <w:rFonts w:eastAsia="Times New Roman" w:cs="Times New Roman"/>
      <w:sz w:val="20"/>
      <w:szCs w:val="20"/>
      <w:lang w:eastAsia="en-AU"/>
    </w:rPr>
  </w:style>
  <w:style w:type="character" w:styleId="EndnoteReference">
    <w:name w:val="endnote reference"/>
    <w:basedOn w:val="DefaultParagraphFont"/>
    <w:uiPriority w:val="99"/>
    <w:unhideWhenUsed/>
    <w:rsid w:val="00BC25FA"/>
    <w:rPr>
      <w:vertAlign w:val="superscript"/>
    </w:rPr>
  </w:style>
  <w:style w:type="table" w:customStyle="1" w:styleId="TableGrid1">
    <w:name w:val="Table Grid1"/>
    <w:basedOn w:val="TableNormal"/>
    <w:next w:val="TableGrid"/>
    <w:uiPriority w:val="59"/>
    <w:rsid w:val="00BC2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74B51"/>
  </w:style>
  <w:style w:type="table" w:customStyle="1" w:styleId="LightShading-Accent41">
    <w:name w:val="Light Shading - Accent 41"/>
    <w:basedOn w:val="TableNormal"/>
    <w:next w:val="LightShading-Accent4"/>
    <w:uiPriority w:val="60"/>
    <w:rsid w:val="00B74B51"/>
    <w:pPr>
      <w:keepLines/>
      <w:spacing w:after="80" w:line="240" w:lineRule="auto"/>
      <w:ind w:left="113" w:right="113"/>
    </w:pPr>
    <w:rPr>
      <w:rFonts w:ascii="Arial" w:eastAsia="Times New Roman" w:hAnsi="Arial" w:cs="Times New Roman"/>
      <w:lang w:val="en-US" w:eastAsia="ja-JP"/>
    </w:rPr>
    <w:tblPr>
      <w:tblStyleRowBandSize w:val="1"/>
      <w:tblStyleColBandSize w:val="1"/>
      <w:tblBorders>
        <w:top w:val="single" w:sz="8" w:space="0" w:color="FFC000"/>
        <w:bottom w:val="single" w:sz="8" w:space="0" w:color="FFC000"/>
      </w:tblBorders>
    </w:tblPr>
    <w:tblStylePr w:type="firstRow">
      <w:pPr>
        <w:spacing w:beforeLines="0" w:before="120" w:beforeAutospacing="0" w:afterLines="0" w:after="120" w:afterAutospacing="0"/>
        <w:ind w:leftChars="0" w:left="113" w:rightChars="0" w:right="113"/>
      </w:pPr>
      <w:rPr>
        <w:rFonts w:ascii="Arial" w:hAnsi="Arial" w:cs="Times New Roman"/>
        <w:b/>
        <w:bCs/>
        <w:color w:val="FFFFFF"/>
        <w:sz w:val="22"/>
      </w:rPr>
      <w:tblPr/>
      <w:tcPr>
        <w:shd w:val="clear" w:color="auto" w:fill="660066"/>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pPr>
        <w:spacing w:beforeLines="120" w:before="120" w:beforeAutospacing="0" w:afterLines="120" w:after="120" w:afterAutospacing="0"/>
        <w:ind w:leftChars="0" w:left="113" w:rightChars="0" w:right="113"/>
      </w:pPr>
      <w:rPr>
        <w:rFonts w:cs="Times New Roman"/>
        <w:b/>
        <w:bCs/>
      </w:rPr>
    </w:tblStylePr>
    <w:tblStylePr w:type="band1Vert">
      <w:pPr>
        <w:spacing w:beforeLines="120" w:before="120" w:beforeAutospacing="0" w:afterLines="120" w:after="120" w:afterAutospacing="0"/>
        <w:ind w:leftChars="0" w:left="113" w:rightChars="0" w:right="113"/>
      </w:pPr>
      <w:rPr>
        <w:rFonts w:cs="Times New Roman"/>
      </w:rPr>
      <w:tblPr/>
      <w:tcPr>
        <w:tcBorders>
          <w:left w:val="nil"/>
          <w:right w:val="nil"/>
          <w:insideH w:val="nil"/>
          <w:insideV w:val="nil"/>
        </w:tcBorders>
        <w:shd w:val="clear" w:color="auto" w:fill="FFEFC0"/>
      </w:tcPr>
    </w:tblStylePr>
    <w:tblStylePr w:type="band1Horz">
      <w:rPr>
        <w:rFonts w:cs="Times New Roman"/>
        <w:color w:val="auto"/>
      </w:rPr>
      <w:tblPr/>
      <w:tcPr>
        <w:shd w:val="clear" w:color="auto" w:fill="F7EEF7"/>
      </w:tcPr>
    </w:tblStylePr>
    <w:tblStylePr w:type="band2Horz">
      <w:rPr>
        <w:rFonts w:cs="Times New Roman"/>
        <w:color w:val="auto"/>
      </w:rPr>
    </w:tblStylePr>
  </w:style>
  <w:style w:type="table" w:customStyle="1" w:styleId="MJATable11">
    <w:name w:val="MJA Table11"/>
    <w:basedOn w:val="TableNormal"/>
    <w:uiPriority w:val="99"/>
    <w:rsid w:val="00B74B51"/>
    <w:pPr>
      <w:spacing w:before="60" w:after="60" w:line="240" w:lineRule="auto"/>
      <w:jc w:val="center"/>
    </w:pPr>
    <w:rPr>
      <w:sz w:val="20"/>
    </w:rPr>
    <w:tblPr/>
    <w:tcPr>
      <w:shd w:val="clear" w:color="auto" w:fill="auto"/>
      <w:vAlign w:val="center"/>
    </w:tcPr>
    <w:tblStylePr w:type="firstRow">
      <w:rPr>
        <w:b/>
        <w:color w:val="FFFFFF"/>
      </w:rPr>
      <w:tblPr/>
      <w:tcPr>
        <w:shd w:val="clear" w:color="auto" w:fill="0093D0"/>
      </w:tcPr>
    </w:tblStylePr>
    <w:tblStylePr w:type="lastRow">
      <w:rPr>
        <w:b/>
      </w:rPr>
      <w:tblPr/>
      <w:tcPr>
        <w:tcBorders>
          <w:bottom w:val="single" w:sz="12" w:space="0" w:color="0093D0"/>
        </w:tcBorders>
        <w:shd w:val="clear" w:color="auto" w:fill="auto"/>
      </w:tcPr>
    </w:tblStylePr>
    <w:tblStylePr w:type="firstCol">
      <w:pPr>
        <w:jc w:val="left"/>
      </w:pPr>
    </w:tblStylePr>
  </w:style>
  <w:style w:type="paragraph" w:customStyle="1" w:styleId="MJATableColumnHeading">
    <w:name w:val="MJA Table Column Heading"/>
    <w:basedOn w:val="Normal"/>
    <w:qFormat/>
    <w:rsid w:val="00B74B51"/>
    <w:pPr>
      <w:shd w:val="clear" w:color="auto" w:fill="0093D0"/>
      <w:spacing w:before="60" w:after="60" w:line="240" w:lineRule="auto"/>
      <w:jc w:val="center"/>
    </w:pPr>
    <w:rPr>
      <w:rFonts w:ascii="Calibri" w:eastAsia="Calibri" w:hAnsi="Calibri"/>
      <w:b/>
      <w:color w:val="FFFFFF"/>
      <w:sz w:val="20"/>
      <w:szCs w:val="22"/>
      <w:lang w:val="en-AU" w:eastAsia="en-US"/>
    </w:rPr>
  </w:style>
  <w:style w:type="paragraph" w:customStyle="1" w:styleId="MJAsource">
    <w:name w:val="MJA source"/>
    <w:basedOn w:val="Normal"/>
    <w:next w:val="MJAnormal"/>
    <w:qFormat/>
    <w:rsid w:val="00B74B51"/>
    <w:pPr>
      <w:spacing w:before="120" w:after="120" w:line="240" w:lineRule="auto"/>
    </w:pPr>
    <w:rPr>
      <w:rFonts w:ascii="Calibri" w:eastAsia="Calibri" w:hAnsi="Calibri"/>
      <w:i/>
      <w:sz w:val="18"/>
      <w:szCs w:val="22"/>
      <w:lang w:val="en-AU" w:eastAsia="en-US"/>
    </w:rPr>
  </w:style>
  <w:style w:type="table" w:customStyle="1" w:styleId="TableGrid2">
    <w:name w:val="Table Grid2"/>
    <w:basedOn w:val="TableNormal"/>
    <w:next w:val="TableGrid"/>
    <w:uiPriority w:val="59"/>
    <w:rsid w:val="00B7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AESheading">
    <w:name w:val="MJA ES heading"/>
    <w:basedOn w:val="MJAnormal"/>
    <w:next w:val="MJAESnormal"/>
    <w:autoRedefine/>
    <w:qFormat/>
    <w:rsid w:val="00B74B51"/>
    <w:pPr>
      <w:keepNext/>
      <w:keepLines/>
      <w:tabs>
        <w:tab w:val="left" w:pos="425"/>
      </w:tabs>
      <w:spacing w:before="360" w:after="240" w:line="240" w:lineRule="auto"/>
      <w:ind w:left="425" w:hanging="425"/>
      <w:outlineLvl w:val="1"/>
    </w:pPr>
    <w:rPr>
      <w:rFonts w:ascii="Corbel" w:hAnsi="Corbel"/>
      <w:color w:val="0093D0"/>
      <w:sz w:val="32"/>
    </w:rPr>
  </w:style>
  <w:style w:type="paragraph" w:customStyle="1" w:styleId="MJAitalicsheading">
    <w:name w:val="MJA italics heading"/>
    <w:basedOn w:val="MJAnormal"/>
    <w:next w:val="MJAnormal"/>
    <w:autoRedefine/>
    <w:qFormat/>
    <w:rsid w:val="00B74B51"/>
    <w:pPr>
      <w:keepNext/>
      <w:keepLines/>
      <w:tabs>
        <w:tab w:val="left" w:pos="397"/>
      </w:tabs>
      <w:spacing w:before="240" w:line="240" w:lineRule="auto"/>
      <w:jc w:val="both"/>
      <w:outlineLvl w:val="4"/>
    </w:pPr>
    <w:rPr>
      <w:i/>
    </w:rPr>
  </w:style>
  <w:style w:type="paragraph" w:customStyle="1" w:styleId="MJAquote">
    <w:name w:val="MJA quote"/>
    <w:basedOn w:val="Normal"/>
    <w:next w:val="MJAnormal"/>
    <w:qFormat/>
    <w:rsid w:val="00B74B51"/>
    <w:pPr>
      <w:tabs>
        <w:tab w:val="left" w:pos="397"/>
      </w:tabs>
      <w:spacing w:before="120" w:after="120" w:line="280" w:lineRule="atLeast"/>
      <w:ind w:left="567" w:right="567"/>
    </w:pPr>
    <w:rPr>
      <w:rFonts w:ascii="Times New Roman" w:eastAsia="Times New Roman" w:hAnsi="Times New Roman" w:cs="Times New Roman"/>
      <w:i/>
      <w:szCs w:val="22"/>
      <w:lang w:val="en-AU" w:eastAsia="en-US"/>
    </w:rPr>
  </w:style>
  <w:style w:type="paragraph" w:customStyle="1" w:styleId="MJAheading4">
    <w:name w:val="MJA heading 4"/>
    <w:basedOn w:val="MJAnormal"/>
    <w:next w:val="MJAnormal"/>
    <w:qFormat/>
    <w:rsid w:val="00B74B51"/>
    <w:pPr>
      <w:keepNext/>
      <w:keepLines/>
      <w:tabs>
        <w:tab w:val="left" w:pos="397"/>
      </w:tabs>
      <w:spacing w:before="360" w:line="240" w:lineRule="auto"/>
      <w:jc w:val="both"/>
      <w:outlineLvl w:val="3"/>
    </w:pPr>
    <w:rPr>
      <w:rFonts w:ascii="Corbel" w:hAnsi="Corbel"/>
      <w:color w:val="0093D0"/>
      <w:szCs w:val="20"/>
    </w:rPr>
  </w:style>
  <w:style w:type="paragraph" w:styleId="Index1">
    <w:name w:val="index 1"/>
    <w:basedOn w:val="Normal"/>
    <w:next w:val="Normal"/>
    <w:autoRedefine/>
    <w:semiHidden/>
    <w:rsid w:val="00B74B51"/>
    <w:pPr>
      <w:spacing w:after="0" w:line="240" w:lineRule="auto"/>
      <w:ind w:left="240" w:hanging="240"/>
      <w:jc w:val="both"/>
    </w:pPr>
    <w:rPr>
      <w:rFonts w:ascii="Times New Roman" w:eastAsia="Times New Roman" w:hAnsi="Times New Roman" w:cs="Times New Roman"/>
      <w:sz w:val="24"/>
      <w:szCs w:val="20"/>
      <w:lang w:val="en-AU" w:eastAsia="en-US"/>
    </w:rPr>
  </w:style>
  <w:style w:type="paragraph" w:styleId="TOC6">
    <w:name w:val="toc 6"/>
    <w:basedOn w:val="Normal"/>
    <w:next w:val="Normal"/>
    <w:autoRedefine/>
    <w:uiPriority w:val="39"/>
    <w:rsid w:val="00B74B51"/>
    <w:pPr>
      <w:spacing w:after="0" w:line="240" w:lineRule="auto"/>
      <w:ind w:left="1200"/>
      <w:jc w:val="both"/>
    </w:pPr>
    <w:rPr>
      <w:rFonts w:ascii="Times New Roman" w:eastAsia="Times New Roman" w:hAnsi="Times New Roman" w:cs="Times New Roman"/>
      <w:sz w:val="24"/>
      <w:szCs w:val="20"/>
      <w:lang w:val="en-AU" w:eastAsia="en-US"/>
    </w:rPr>
  </w:style>
  <w:style w:type="paragraph" w:styleId="TOC7">
    <w:name w:val="toc 7"/>
    <w:basedOn w:val="Normal"/>
    <w:next w:val="Normal"/>
    <w:autoRedefine/>
    <w:uiPriority w:val="39"/>
    <w:rsid w:val="00B74B51"/>
    <w:pPr>
      <w:spacing w:after="0" w:line="240" w:lineRule="auto"/>
      <w:ind w:left="1440"/>
      <w:jc w:val="both"/>
    </w:pPr>
    <w:rPr>
      <w:rFonts w:ascii="Times New Roman" w:eastAsia="Times New Roman" w:hAnsi="Times New Roman" w:cs="Times New Roman"/>
      <w:sz w:val="24"/>
      <w:szCs w:val="20"/>
      <w:lang w:val="en-AU" w:eastAsia="en-US"/>
    </w:rPr>
  </w:style>
  <w:style w:type="paragraph" w:styleId="TOC8">
    <w:name w:val="toc 8"/>
    <w:basedOn w:val="Normal"/>
    <w:next w:val="Normal"/>
    <w:autoRedefine/>
    <w:uiPriority w:val="39"/>
    <w:rsid w:val="00B74B51"/>
    <w:pPr>
      <w:spacing w:after="0" w:line="240" w:lineRule="auto"/>
      <w:ind w:left="1680"/>
      <w:jc w:val="both"/>
    </w:pPr>
    <w:rPr>
      <w:rFonts w:ascii="Times New Roman" w:eastAsia="Times New Roman" w:hAnsi="Times New Roman" w:cs="Times New Roman"/>
      <w:sz w:val="24"/>
      <w:szCs w:val="20"/>
      <w:lang w:val="en-AU" w:eastAsia="en-US"/>
    </w:rPr>
  </w:style>
  <w:style w:type="paragraph" w:styleId="TOC9">
    <w:name w:val="toc 9"/>
    <w:basedOn w:val="Normal"/>
    <w:next w:val="Normal"/>
    <w:autoRedefine/>
    <w:uiPriority w:val="39"/>
    <w:rsid w:val="00B74B51"/>
    <w:pPr>
      <w:spacing w:after="0" w:line="240" w:lineRule="auto"/>
      <w:ind w:left="1920"/>
      <w:jc w:val="both"/>
    </w:pPr>
    <w:rPr>
      <w:rFonts w:ascii="Times New Roman" w:eastAsia="Times New Roman" w:hAnsi="Times New Roman" w:cs="Times New Roman"/>
      <w:sz w:val="24"/>
      <w:szCs w:val="20"/>
      <w:lang w:val="en-AU" w:eastAsia="en-US"/>
    </w:rPr>
  </w:style>
  <w:style w:type="paragraph" w:customStyle="1" w:styleId="MJAbulletsubpara">
    <w:name w:val="MJA bullet sub para"/>
    <w:basedOn w:val="Normal"/>
    <w:next w:val="MJAbulletnormal"/>
    <w:qFormat/>
    <w:rsid w:val="00B74B51"/>
    <w:pPr>
      <w:spacing w:after="120" w:line="280" w:lineRule="atLeast"/>
      <w:ind w:left="397"/>
    </w:pPr>
    <w:rPr>
      <w:rFonts w:ascii="Times New Roman" w:eastAsia="Times New Roman" w:hAnsi="Times New Roman" w:cs="Times New Roman"/>
      <w:szCs w:val="22"/>
      <w:lang w:val="en-AU" w:eastAsia="en-US"/>
    </w:rPr>
  </w:style>
  <w:style w:type="paragraph" w:customStyle="1" w:styleId="MJAdashbullet">
    <w:name w:val="MJA dash bullet"/>
    <w:basedOn w:val="Normal"/>
    <w:qFormat/>
    <w:rsid w:val="00B74B51"/>
    <w:pPr>
      <w:numPr>
        <w:numId w:val="19"/>
      </w:numPr>
      <w:tabs>
        <w:tab w:val="left" w:pos="794"/>
      </w:tabs>
      <w:spacing w:after="120" w:line="280" w:lineRule="atLeast"/>
    </w:pPr>
    <w:rPr>
      <w:rFonts w:ascii="Times New Roman" w:eastAsia="Times New Roman" w:hAnsi="Times New Roman" w:cs="Times New Roman"/>
      <w:szCs w:val="22"/>
      <w:lang w:val="en-AU" w:eastAsia="en-US"/>
    </w:rPr>
  </w:style>
  <w:style w:type="paragraph" w:styleId="TableofFigures">
    <w:name w:val="table of figures"/>
    <w:aliases w:val="MJA Table of Figures"/>
    <w:basedOn w:val="Normal"/>
    <w:next w:val="Normal"/>
    <w:uiPriority w:val="99"/>
    <w:rsid w:val="00B74B51"/>
    <w:pPr>
      <w:spacing w:before="40" w:after="0" w:line="240" w:lineRule="auto"/>
      <w:jc w:val="both"/>
    </w:pPr>
    <w:rPr>
      <w:rFonts w:ascii="Corbel" w:eastAsia="Times New Roman" w:hAnsi="Corbel" w:cs="Times New Roman"/>
      <w:sz w:val="18"/>
      <w:szCs w:val="20"/>
      <w:lang w:val="en-AU" w:eastAsia="en-US"/>
    </w:rPr>
  </w:style>
  <w:style w:type="numbering" w:customStyle="1" w:styleId="NEWMJAListStyle">
    <w:name w:val="NEW MJA List Style"/>
    <w:rsid w:val="00B74B51"/>
    <w:pPr>
      <w:numPr>
        <w:numId w:val="16"/>
      </w:numPr>
    </w:pPr>
  </w:style>
  <w:style w:type="table" w:styleId="TableSimple1">
    <w:name w:val="Table Simple 1"/>
    <w:basedOn w:val="TableNormal"/>
    <w:rsid w:val="00B74B51"/>
    <w:pPr>
      <w:tabs>
        <w:tab w:val="left" w:pos="397"/>
      </w:tabs>
      <w:spacing w:after="0" w:line="240" w:lineRule="auto"/>
      <w:jc w:val="both"/>
    </w:pPr>
    <w:rPr>
      <w:rFonts w:ascii="Calibri" w:eastAsia="Times New Roman" w:hAnsi="Calibri" w:cs="Times New Roman"/>
      <w:sz w:val="24"/>
      <w:szCs w:val="24"/>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JAESnormal">
    <w:name w:val="MJA ES normal"/>
    <w:basedOn w:val="MJAnormal"/>
    <w:qFormat/>
    <w:rsid w:val="00B74B51"/>
    <w:pPr>
      <w:numPr>
        <w:numId w:val="18"/>
      </w:numPr>
      <w:tabs>
        <w:tab w:val="left" w:pos="709"/>
      </w:tabs>
    </w:pPr>
  </w:style>
  <w:style w:type="numbering" w:customStyle="1" w:styleId="List1">
    <w:name w:val="List 1"/>
    <w:autoRedefine/>
    <w:rsid w:val="00B74B51"/>
    <w:pPr>
      <w:numPr>
        <w:numId w:val="17"/>
      </w:numPr>
    </w:pPr>
  </w:style>
  <w:style w:type="paragraph" w:customStyle="1" w:styleId="MJAnotes">
    <w:name w:val="MJA notes"/>
    <w:basedOn w:val="MJAnormal"/>
    <w:next w:val="MJAnormal"/>
    <w:qFormat/>
    <w:rsid w:val="00B74B51"/>
    <w:pPr>
      <w:tabs>
        <w:tab w:val="left" w:pos="425"/>
      </w:tabs>
      <w:spacing w:before="0" w:after="60" w:line="240" w:lineRule="auto"/>
      <w:ind w:left="425" w:hanging="425"/>
    </w:pPr>
    <w:rPr>
      <w:rFonts w:ascii="Calibri" w:hAnsi="Calibri"/>
      <w:i/>
      <w:sz w:val="20"/>
    </w:rPr>
  </w:style>
  <w:style w:type="paragraph" w:customStyle="1" w:styleId="MJANumberedPara">
    <w:name w:val="MJA Numbered Para"/>
    <w:basedOn w:val="Normal"/>
    <w:link w:val="MJANumberedParaChar"/>
    <w:qFormat/>
    <w:rsid w:val="00B74B51"/>
    <w:pPr>
      <w:tabs>
        <w:tab w:val="left" w:pos="567"/>
      </w:tabs>
      <w:spacing w:before="120" w:after="120" w:line="280" w:lineRule="atLeast"/>
      <w:jc w:val="both"/>
    </w:pPr>
    <w:rPr>
      <w:rFonts w:ascii="Times New Roman" w:eastAsia="Times New Roman" w:hAnsi="Times New Roman" w:cs="Times New Roman"/>
      <w:sz w:val="20"/>
      <w:szCs w:val="22"/>
      <w:lang w:val="en-AU" w:eastAsia="en-US"/>
    </w:rPr>
  </w:style>
  <w:style w:type="character" w:customStyle="1" w:styleId="MJANumberedParaChar">
    <w:name w:val="MJA Numbered Para Char"/>
    <w:basedOn w:val="DefaultParagraphFont"/>
    <w:link w:val="MJANumberedPara"/>
    <w:rsid w:val="00B74B51"/>
    <w:rPr>
      <w:rFonts w:ascii="Times New Roman" w:eastAsia="Times New Roman" w:hAnsi="Times New Roman" w:cs="Times New Roman"/>
      <w:sz w:val="20"/>
    </w:rPr>
  </w:style>
  <w:style w:type="paragraph" w:styleId="BodyText">
    <w:name w:val="Body Text"/>
    <w:basedOn w:val="Normal"/>
    <w:link w:val="BodyTextChar"/>
    <w:unhideWhenUsed/>
    <w:rsid w:val="00B74B51"/>
    <w:pPr>
      <w:spacing w:before="80" w:after="120" w:line="240" w:lineRule="auto"/>
      <w:ind w:left="902"/>
      <w:jc w:val="both"/>
    </w:pPr>
    <w:rPr>
      <w:rFonts w:eastAsia="Times New Roman" w:cs="Times New Roman"/>
      <w:sz w:val="24"/>
      <w:lang w:val="en-AU" w:eastAsia="en-US"/>
    </w:rPr>
  </w:style>
  <w:style w:type="character" w:customStyle="1" w:styleId="BodyTextChar">
    <w:name w:val="Body Text Char"/>
    <w:basedOn w:val="DefaultParagraphFont"/>
    <w:link w:val="BodyText"/>
    <w:rsid w:val="00B74B51"/>
    <w:rPr>
      <w:rFonts w:ascii="Arial" w:eastAsia="Times New Roman" w:hAnsi="Arial" w:cs="Times New Roman"/>
      <w:sz w:val="24"/>
      <w:szCs w:val="24"/>
    </w:rPr>
  </w:style>
  <w:style w:type="paragraph" w:styleId="BodyTextIndent">
    <w:name w:val="Body Text Indent"/>
    <w:basedOn w:val="BodyText"/>
    <w:link w:val="BodyTextIndentChar"/>
    <w:semiHidden/>
    <w:unhideWhenUsed/>
    <w:rsid w:val="00B74B51"/>
    <w:pPr>
      <w:tabs>
        <w:tab w:val="left" w:pos="1980"/>
      </w:tabs>
      <w:ind w:left="1440"/>
    </w:pPr>
  </w:style>
  <w:style w:type="character" w:customStyle="1" w:styleId="BodyTextIndentChar">
    <w:name w:val="Body Text Indent Char"/>
    <w:basedOn w:val="DefaultParagraphFont"/>
    <w:link w:val="BodyTextIndent"/>
    <w:semiHidden/>
    <w:rsid w:val="00B74B51"/>
    <w:rPr>
      <w:rFonts w:ascii="Arial" w:eastAsia="Times New Roman" w:hAnsi="Arial" w:cs="Times New Roman"/>
      <w:sz w:val="24"/>
      <w:szCs w:val="24"/>
    </w:rPr>
  </w:style>
  <w:style w:type="paragraph" w:styleId="BodyTextIndent2">
    <w:name w:val="Body Text Indent 2"/>
    <w:basedOn w:val="BodyTextIndent"/>
    <w:link w:val="BodyTextIndent2Char"/>
    <w:unhideWhenUsed/>
    <w:rsid w:val="00B74B51"/>
    <w:pPr>
      <w:ind w:left="1980"/>
    </w:pPr>
  </w:style>
  <w:style w:type="character" w:customStyle="1" w:styleId="BodyTextIndent2Char">
    <w:name w:val="Body Text Indent 2 Char"/>
    <w:basedOn w:val="DefaultParagraphFont"/>
    <w:link w:val="BodyTextIndent2"/>
    <w:rsid w:val="00B74B51"/>
    <w:rPr>
      <w:rFonts w:ascii="Arial" w:eastAsia="Times New Roman" w:hAnsi="Arial" w:cs="Times New Roman"/>
      <w:sz w:val="24"/>
      <w:szCs w:val="24"/>
    </w:rPr>
  </w:style>
  <w:style w:type="paragraph" w:customStyle="1" w:styleId="Part">
    <w:name w:val="Part"/>
    <w:basedOn w:val="BodyText"/>
    <w:next w:val="Heading1"/>
    <w:rsid w:val="00B74B51"/>
    <w:pPr>
      <w:keepNext/>
      <w:keepLines/>
      <w:ind w:left="0"/>
    </w:pPr>
    <w:rPr>
      <w:b/>
      <w:bCs/>
      <w:spacing w:val="4"/>
      <w:sz w:val="36"/>
    </w:rPr>
  </w:style>
  <w:style w:type="paragraph" w:customStyle="1" w:styleId="TableText">
    <w:name w:val="Table Text"/>
    <w:basedOn w:val="BodyText"/>
    <w:rsid w:val="00B74B51"/>
    <w:pPr>
      <w:spacing w:before="40" w:after="80"/>
      <w:ind w:left="0"/>
      <w:jc w:val="left"/>
    </w:pPr>
    <w:rPr>
      <w:sz w:val="20"/>
    </w:rPr>
  </w:style>
  <w:style w:type="paragraph" w:customStyle="1" w:styleId="BodyTextIndent2bullet">
    <w:name w:val="Body Text Indent 2 (bullet)"/>
    <w:basedOn w:val="BodyTextIndent2"/>
    <w:rsid w:val="00B74B51"/>
    <w:pPr>
      <w:tabs>
        <w:tab w:val="clear" w:pos="1980"/>
        <w:tab w:val="left" w:pos="2520"/>
      </w:tabs>
      <w:ind w:left="2520" w:hanging="540"/>
    </w:pPr>
  </w:style>
  <w:style w:type="paragraph" w:customStyle="1" w:styleId="BodyTextIndentbullet">
    <w:name w:val="Body Text Indent (bullet)"/>
    <w:basedOn w:val="BodyTextIndent"/>
    <w:rsid w:val="00B74B51"/>
    <w:pPr>
      <w:ind w:left="1980" w:hanging="540"/>
    </w:pPr>
  </w:style>
  <w:style w:type="paragraph" w:customStyle="1" w:styleId="BodyTextbullet">
    <w:name w:val="Body Text (bullet)"/>
    <w:basedOn w:val="BodyText"/>
    <w:rsid w:val="00B74B51"/>
    <w:pPr>
      <w:numPr>
        <w:numId w:val="20"/>
      </w:numPr>
    </w:pPr>
  </w:style>
  <w:style w:type="paragraph" w:customStyle="1" w:styleId="NormText">
    <w:name w:val="Norm Text"/>
    <w:basedOn w:val="BodyText"/>
    <w:rsid w:val="00B74B51"/>
    <w:pPr>
      <w:ind w:left="0"/>
    </w:pPr>
  </w:style>
  <w:style w:type="paragraph" w:customStyle="1" w:styleId="Respondent">
    <w:name w:val="Respondent"/>
    <w:basedOn w:val="BodyText"/>
    <w:rsid w:val="00B74B51"/>
    <w:pPr>
      <w:pBdr>
        <w:top w:val="single" w:sz="4" w:space="1" w:color="auto"/>
        <w:left w:val="single" w:sz="4" w:space="4" w:color="auto"/>
        <w:bottom w:val="single" w:sz="4" w:space="1" w:color="auto"/>
        <w:right w:val="single" w:sz="4" w:space="4" w:color="auto"/>
      </w:pBdr>
      <w:shd w:val="clear" w:color="auto" w:fill="F3F3F3"/>
    </w:pPr>
  </w:style>
  <w:style w:type="character" w:customStyle="1" w:styleId="Instruction">
    <w:name w:val="Instruction"/>
    <w:rsid w:val="00B74B51"/>
    <w:rPr>
      <w:i/>
      <w:iCs w:val="0"/>
      <w:color w:val="FF0000"/>
    </w:rPr>
  </w:style>
  <w:style w:type="character" w:customStyle="1" w:styleId="Instructionbold">
    <w:name w:val="Instruction (bold)"/>
    <w:rsid w:val="00B74B51"/>
    <w:rPr>
      <w:b/>
      <w:bCs w:val="0"/>
      <w:i/>
      <w:iCs w:val="0"/>
      <w:color w:val="FF0000"/>
    </w:rPr>
  </w:style>
  <w:style w:type="character" w:customStyle="1" w:styleId="Optional">
    <w:name w:val="Optional"/>
    <w:rsid w:val="00B74B51"/>
    <w:rPr>
      <w:color w:val="0000FF"/>
    </w:rPr>
  </w:style>
  <w:style w:type="character" w:customStyle="1" w:styleId="OptionalBold">
    <w:name w:val="Optional (Bold)"/>
    <w:rsid w:val="00B74B51"/>
    <w:rPr>
      <w:b/>
      <w:bCs w:val="0"/>
      <w:color w:val="0000FF"/>
    </w:rPr>
  </w:style>
  <w:style w:type="paragraph" w:customStyle="1" w:styleId="NormTextbullet">
    <w:name w:val="Norm Text (bullet)"/>
    <w:basedOn w:val="NormText"/>
    <w:rsid w:val="00B74B51"/>
    <w:pPr>
      <w:numPr>
        <w:numId w:val="21"/>
      </w:numPr>
      <w:tabs>
        <w:tab w:val="clear" w:pos="720"/>
        <w:tab w:val="left" w:pos="360"/>
      </w:tabs>
      <w:ind w:left="0" w:firstLine="0"/>
    </w:pPr>
  </w:style>
  <w:style w:type="paragraph" w:customStyle="1" w:styleId="Respondentfullwidth">
    <w:name w:val="Respondent (fullwidth)"/>
    <w:basedOn w:val="Normal"/>
    <w:next w:val="NormText"/>
    <w:rsid w:val="00B74B51"/>
    <w:pPr>
      <w:pBdr>
        <w:top w:val="single" w:sz="4" w:space="1" w:color="auto"/>
        <w:left w:val="single" w:sz="4" w:space="4" w:color="auto"/>
        <w:bottom w:val="single" w:sz="4" w:space="1" w:color="auto"/>
        <w:right w:val="single" w:sz="4" w:space="4" w:color="auto"/>
      </w:pBdr>
      <w:shd w:val="clear" w:color="auto" w:fill="F3F3F3"/>
      <w:spacing w:before="80" w:after="120" w:line="240" w:lineRule="auto"/>
      <w:jc w:val="both"/>
    </w:pPr>
    <w:rPr>
      <w:rFonts w:eastAsia="Times New Roman" w:cs="Times New Roman"/>
      <w:sz w:val="24"/>
      <w:lang w:val="en-AU" w:eastAsia="en-US"/>
    </w:rPr>
  </w:style>
  <w:style w:type="paragraph" w:customStyle="1" w:styleId="BlueIndent3">
    <w:name w:val="Blue Indent 3"/>
    <w:basedOn w:val="Normal"/>
    <w:rsid w:val="00B74B51"/>
    <w:pPr>
      <w:widowControl w:val="0"/>
      <w:spacing w:after="120" w:line="240" w:lineRule="auto"/>
      <w:ind w:left="1701"/>
      <w:jc w:val="both"/>
    </w:pPr>
    <w:rPr>
      <w:rFonts w:eastAsia="Times New Roman" w:cs="Times New Roman"/>
      <w:color w:val="0000FF"/>
      <w:sz w:val="20"/>
      <w:lang w:val="en-AU" w:eastAsia="en-US"/>
    </w:rPr>
  </w:style>
  <w:style w:type="paragraph" w:customStyle="1" w:styleId="Indent1">
    <w:name w:val="Indent 1"/>
    <w:basedOn w:val="Normal"/>
    <w:uiPriority w:val="4"/>
    <w:rsid w:val="00B74B51"/>
    <w:pPr>
      <w:spacing w:before="120" w:after="120" w:line="280" w:lineRule="atLeast"/>
      <w:ind w:left="709"/>
    </w:pPr>
    <w:rPr>
      <w:rFonts w:ascii="Times" w:eastAsia="Times New Roman" w:hAnsi="Times" w:cs="Times New Roman"/>
      <w:sz w:val="20"/>
      <w:szCs w:val="20"/>
      <w:lang w:val="en-AU" w:eastAsia="en-AU"/>
    </w:rPr>
  </w:style>
  <w:style w:type="paragraph" w:customStyle="1" w:styleId="ScheduleL2">
    <w:name w:val="Schedule L2"/>
    <w:basedOn w:val="Normal"/>
    <w:next w:val="Normal"/>
    <w:rsid w:val="00B74B51"/>
    <w:pPr>
      <w:keepNext/>
      <w:numPr>
        <w:ilvl w:val="1"/>
        <w:numId w:val="23"/>
      </w:numPr>
      <w:spacing w:before="280" w:after="140" w:line="280" w:lineRule="atLeast"/>
      <w:outlineLvl w:val="1"/>
    </w:pPr>
    <w:rPr>
      <w:rFonts w:eastAsia="Times New Roman" w:cs="Angsana New"/>
      <w:spacing w:val="-10"/>
      <w:w w:val="95"/>
      <w:sz w:val="32"/>
      <w:szCs w:val="32"/>
      <w:lang w:val="en-AU" w:eastAsia="zh-CN" w:bidi="th-TH"/>
    </w:rPr>
  </w:style>
  <w:style w:type="paragraph" w:customStyle="1" w:styleId="ScheduleL3">
    <w:name w:val="Schedule L3"/>
    <w:basedOn w:val="Normal"/>
    <w:next w:val="Normal"/>
    <w:rsid w:val="00B74B51"/>
    <w:pPr>
      <w:keepNext/>
      <w:numPr>
        <w:ilvl w:val="2"/>
        <w:numId w:val="23"/>
      </w:numPr>
      <w:spacing w:before="60" w:after="60" w:line="280" w:lineRule="atLeast"/>
      <w:outlineLvl w:val="2"/>
    </w:pPr>
    <w:rPr>
      <w:rFonts w:eastAsia="Times New Roman" w:cs="Angsana New"/>
      <w:b/>
      <w:bCs/>
      <w:w w:val="95"/>
      <w:sz w:val="24"/>
      <w:lang w:val="en-AU" w:eastAsia="zh-CN" w:bidi="th-TH"/>
    </w:rPr>
  </w:style>
  <w:style w:type="paragraph" w:customStyle="1" w:styleId="ScheduleL4">
    <w:name w:val="Schedule L4"/>
    <w:basedOn w:val="Normal"/>
    <w:link w:val="ScheduleL4Char"/>
    <w:rsid w:val="00B74B51"/>
    <w:pPr>
      <w:numPr>
        <w:ilvl w:val="3"/>
        <w:numId w:val="23"/>
      </w:numPr>
      <w:spacing w:after="140" w:line="280" w:lineRule="atLeast"/>
      <w:outlineLvl w:val="3"/>
    </w:pPr>
    <w:rPr>
      <w:rFonts w:ascii="Times New Roman" w:eastAsia="Times New Roman" w:hAnsi="Times New Roman" w:cs="Angsana New"/>
      <w:szCs w:val="22"/>
      <w:lang w:val="en-AU" w:eastAsia="zh-CN" w:bidi="th-TH"/>
    </w:rPr>
  </w:style>
  <w:style w:type="paragraph" w:customStyle="1" w:styleId="ScheduleL5">
    <w:name w:val="Schedule L5"/>
    <w:basedOn w:val="Normal"/>
    <w:rsid w:val="00B74B51"/>
    <w:pPr>
      <w:numPr>
        <w:ilvl w:val="4"/>
        <w:numId w:val="23"/>
      </w:numPr>
      <w:spacing w:after="140" w:line="280" w:lineRule="atLeast"/>
      <w:outlineLvl w:val="4"/>
    </w:pPr>
    <w:rPr>
      <w:rFonts w:ascii="Times New Roman" w:eastAsia="Times New Roman" w:hAnsi="Times New Roman" w:cs="Angsana New"/>
      <w:szCs w:val="22"/>
      <w:lang w:val="en-AU" w:eastAsia="zh-CN" w:bidi="th-TH"/>
    </w:rPr>
  </w:style>
  <w:style w:type="paragraph" w:customStyle="1" w:styleId="ScheduleL6">
    <w:name w:val="Schedule L6"/>
    <w:basedOn w:val="Normal"/>
    <w:rsid w:val="00B74B51"/>
    <w:pPr>
      <w:numPr>
        <w:ilvl w:val="5"/>
        <w:numId w:val="23"/>
      </w:numPr>
      <w:spacing w:after="140" w:line="280" w:lineRule="atLeast"/>
      <w:outlineLvl w:val="5"/>
    </w:pPr>
    <w:rPr>
      <w:rFonts w:ascii="Times New Roman" w:eastAsia="Times New Roman" w:hAnsi="Times New Roman" w:cs="Angsana New"/>
      <w:szCs w:val="22"/>
      <w:lang w:val="en-AU" w:eastAsia="zh-CN" w:bidi="th-TH"/>
    </w:rPr>
  </w:style>
  <w:style w:type="paragraph" w:customStyle="1" w:styleId="MENoIndent1">
    <w:name w:val="ME NoIndent 1"/>
    <w:basedOn w:val="Normal"/>
    <w:next w:val="Normal"/>
    <w:rsid w:val="00B74B51"/>
    <w:pPr>
      <w:numPr>
        <w:numId w:val="22"/>
      </w:numPr>
      <w:spacing w:before="120" w:after="0" w:line="240" w:lineRule="auto"/>
    </w:pPr>
    <w:rPr>
      <w:rFonts w:ascii="Times New Roman" w:eastAsia="Times New Roman" w:hAnsi="Times New Roman" w:cs="Times New Roman"/>
      <w:sz w:val="24"/>
      <w:szCs w:val="20"/>
      <w:lang w:val="en-AU" w:eastAsia="en-AU"/>
    </w:rPr>
  </w:style>
  <w:style w:type="character" w:customStyle="1" w:styleId="ScheduleL4Char">
    <w:name w:val="Schedule L4 Char"/>
    <w:link w:val="ScheduleL4"/>
    <w:locked/>
    <w:rsid w:val="00B74B51"/>
    <w:rPr>
      <w:rFonts w:ascii="Times New Roman" w:eastAsia="Times New Roman" w:hAnsi="Times New Roman" w:cs="Angsana New"/>
      <w:lang w:eastAsia="zh-CN" w:bidi="th-TH"/>
    </w:rPr>
  </w:style>
  <w:style w:type="paragraph" w:customStyle="1" w:styleId="ScheduleL1">
    <w:name w:val="Schedule L1"/>
    <w:basedOn w:val="Normal"/>
    <w:next w:val="Normal"/>
    <w:rsid w:val="00B74B51"/>
    <w:pPr>
      <w:pBdr>
        <w:bottom w:val="single" w:sz="4" w:space="1" w:color="auto"/>
      </w:pBdr>
      <w:spacing w:before="140" w:after="480" w:line="480" w:lineRule="exact"/>
      <w:outlineLvl w:val="0"/>
    </w:pPr>
    <w:rPr>
      <w:rFonts w:eastAsia="Times New Roman" w:cs="Angsana New"/>
      <w:spacing w:val="-10"/>
      <w:w w:val="95"/>
      <w:sz w:val="48"/>
      <w:szCs w:val="48"/>
      <w:lang w:val="en-AU" w:eastAsia="zh-CN" w:bidi="th-TH"/>
    </w:rPr>
  </w:style>
  <w:style w:type="paragraph" w:customStyle="1" w:styleId="MJASource0">
    <w:name w:val="MJA Source"/>
    <w:basedOn w:val="MJAnormal"/>
    <w:next w:val="MJAnormal"/>
    <w:rsid w:val="00B74B51"/>
    <w:pPr>
      <w:tabs>
        <w:tab w:val="left" w:pos="397"/>
      </w:tabs>
      <w:spacing w:line="240" w:lineRule="auto"/>
      <w:jc w:val="both"/>
    </w:pPr>
    <w:rPr>
      <w:rFonts w:ascii="Franklin Gothic Book" w:hAnsi="Franklin Gothic Book"/>
      <w:i/>
      <w:sz w:val="18"/>
      <w:szCs w:val="20"/>
      <w:lang w:eastAsia="en-AU"/>
    </w:rPr>
  </w:style>
  <w:style w:type="paragraph" w:customStyle="1" w:styleId="CVtext">
    <w:name w:val="CV text"/>
    <w:basedOn w:val="Normal"/>
    <w:qFormat/>
    <w:rsid w:val="00B74B51"/>
    <w:pPr>
      <w:spacing w:before="120" w:after="60" w:line="240" w:lineRule="auto"/>
    </w:pPr>
    <w:rPr>
      <w:rFonts w:ascii="Calibri" w:hAnsi="Calibri"/>
      <w:sz w:val="20"/>
      <w:szCs w:val="22"/>
      <w:lang w:val="en-AU" w:eastAsia="en-AU"/>
    </w:rPr>
  </w:style>
  <w:style w:type="paragraph" w:customStyle="1" w:styleId="CVnameandtitle">
    <w:name w:val="CV name and title"/>
    <w:basedOn w:val="CVtext"/>
    <w:qFormat/>
    <w:rsid w:val="00B74B51"/>
    <w:rPr>
      <w:rFonts w:ascii="Corbel" w:hAnsi="Corbel"/>
      <w:color w:val="0093D0"/>
      <w:sz w:val="40"/>
    </w:rPr>
  </w:style>
  <w:style w:type="paragraph" w:customStyle="1" w:styleId="Style1">
    <w:name w:val="Style1"/>
    <w:basedOn w:val="CVtext"/>
    <w:qFormat/>
    <w:rsid w:val="00B74B51"/>
    <w:pPr>
      <w:numPr>
        <w:numId w:val="24"/>
      </w:numPr>
      <w:ind w:left="714" w:hanging="357"/>
    </w:pPr>
  </w:style>
  <w:style w:type="paragraph" w:customStyle="1" w:styleId="Qualifications">
    <w:name w:val="Qualifications"/>
    <w:basedOn w:val="Normal"/>
    <w:qFormat/>
    <w:rsid w:val="00B74B51"/>
    <w:pPr>
      <w:spacing w:after="120" w:line="230" w:lineRule="atLeast"/>
      <w:contextualSpacing/>
    </w:pPr>
    <w:rPr>
      <w:rFonts w:ascii="Calibri" w:eastAsia="Times New Roman" w:hAnsi="Calibri" w:cs="Calibri"/>
      <w:sz w:val="18"/>
      <w:szCs w:val="20"/>
      <w:lang w:val="en-AU" w:eastAsia="en-AU"/>
    </w:rPr>
  </w:style>
  <w:style w:type="paragraph" w:customStyle="1" w:styleId="CVheading2">
    <w:name w:val="CV heading 2"/>
    <w:basedOn w:val="Normal"/>
    <w:rsid w:val="00B74B51"/>
    <w:pPr>
      <w:spacing w:before="20" w:after="20"/>
    </w:pPr>
    <w:rPr>
      <w:rFonts w:eastAsia="Times New Roman" w:cs="Times New Roman"/>
      <w:b/>
      <w:sz w:val="20"/>
      <w:lang w:val="en-AU" w:eastAsia="en-US"/>
    </w:rPr>
  </w:style>
  <w:style w:type="paragraph" w:customStyle="1" w:styleId="CVnormal">
    <w:name w:val="CV normal"/>
    <w:basedOn w:val="Normal"/>
    <w:rsid w:val="00B74B51"/>
    <w:pPr>
      <w:spacing w:before="20" w:after="20"/>
    </w:pPr>
    <w:rPr>
      <w:rFonts w:eastAsia="Times New Roman" w:cs="Times New Roman"/>
      <w:sz w:val="20"/>
      <w:lang w:val="en-AU" w:eastAsia="en-US"/>
    </w:rPr>
  </w:style>
  <w:style w:type="character" w:customStyle="1" w:styleId="apple-converted-space">
    <w:name w:val="apple-converted-space"/>
    <w:basedOn w:val="DefaultParagraphFont"/>
    <w:rsid w:val="00B74B51"/>
  </w:style>
  <w:style w:type="table" w:customStyle="1" w:styleId="TableGridLight1">
    <w:name w:val="Table Grid Light1"/>
    <w:basedOn w:val="TableNormal"/>
    <w:next w:val="TableGridLight"/>
    <w:uiPriority w:val="40"/>
    <w:rsid w:val="00B74B5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B74B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NUMBERED">
    <w:name w:val="Appendix_NUMBERED"/>
    <w:basedOn w:val="Normal"/>
    <w:qFormat/>
    <w:rsid w:val="00342F2C"/>
    <w:pPr>
      <w:spacing w:before="240" w:after="160" w:line="259" w:lineRule="auto"/>
      <w:ind w:left="709" w:hanging="709"/>
    </w:pPr>
    <w:rPr>
      <w:rFonts w:eastAsia="Times New Roman" w:cs="Arial"/>
      <w:b/>
      <w:color w:val="6A2875"/>
      <w:sz w:val="30"/>
      <w:szCs w:val="30"/>
    </w:rPr>
  </w:style>
  <w:style w:type="paragraph" w:customStyle="1" w:styleId="AppendixNUMBERED2">
    <w:name w:val="Appendix_NUMBERED2"/>
    <w:basedOn w:val="Normal"/>
    <w:qFormat/>
    <w:rsid w:val="00342F2C"/>
    <w:pPr>
      <w:spacing w:after="120" w:line="259" w:lineRule="auto"/>
      <w:ind w:left="360" w:hanging="360"/>
    </w:pPr>
    <w:rPr>
      <w:rFonts w:eastAsia="Times New Roman"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07102">
      <w:bodyDiv w:val="1"/>
      <w:marLeft w:val="0"/>
      <w:marRight w:val="0"/>
      <w:marTop w:val="0"/>
      <w:marBottom w:val="0"/>
      <w:divBdr>
        <w:top w:val="none" w:sz="0" w:space="0" w:color="auto"/>
        <w:left w:val="none" w:sz="0" w:space="0" w:color="auto"/>
        <w:bottom w:val="none" w:sz="0" w:space="0" w:color="auto"/>
        <w:right w:val="none" w:sz="0" w:space="0" w:color="auto"/>
      </w:divBdr>
    </w:div>
    <w:div w:id="274793883">
      <w:bodyDiv w:val="1"/>
      <w:marLeft w:val="0"/>
      <w:marRight w:val="0"/>
      <w:marTop w:val="0"/>
      <w:marBottom w:val="0"/>
      <w:divBdr>
        <w:top w:val="none" w:sz="0" w:space="0" w:color="auto"/>
        <w:left w:val="none" w:sz="0" w:space="0" w:color="auto"/>
        <w:bottom w:val="none" w:sz="0" w:space="0" w:color="auto"/>
        <w:right w:val="none" w:sz="0" w:space="0" w:color="auto"/>
      </w:divBdr>
    </w:div>
    <w:div w:id="316155522">
      <w:bodyDiv w:val="1"/>
      <w:marLeft w:val="0"/>
      <w:marRight w:val="0"/>
      <w:marTop w:val="0"/>
      <w:marBottom w:val="0"/>
      <w:divBdr>
        <w:top w:val="none" w:sz="0" w:space="0" w:color="auto"/>
        <w:left w:val="none" w:sz="0" w:space="0" w:color="auto"/>
        <w:bottom w:val="none" w:sz="0" w:space="0" w:color="auto"/>
        <w:right w:val="none" w:sz="0" w:space="0" w:color="auto"/>
      </w:divBdr>
    </w:div>
    <w:div w:id="400256910">
      <w:bodyDiv w:val="1"/>
      <w:marLeft w:val="0"/>
      <w:marRight w:val="0"/>
      <w:marTop w:val="0"/>
      <w:marBottom w:val="0"/>
      <w:divBdr>
        <w:top w:val="none" w:sz="0" w:space="0" w:color="auto"/>
        <w:left w:val="none" w:sz="0" w:space="0" w:color="auto"/>
        <w:bottom w:val="none" w:sz="0" w:space="0" w:color="auto"/>
        <w:right w:val="none" w:sz="0" w:space="0" w:color="auto"/>
      </w:divBdr>
    </w:div>
    <w:div w:id="423769099">
      <w:bodyDiv w:val="1"/>
      <w:marLeft w:val="0"/>
      <w:marRight w:val="0"/>
      <w:marTop w:val="0"/>
      <w:marBottom w:val="0"/>
      <w:divBdr>
        <w:top w:val="none" w:sz="0" w:space="0" w:color="auto"/>
        <w:left w:val="none" w:sz="0" w:space="0" w:color="auto"/>
        <w:bottom w:val="none" w:sz="0" w:space="0" w:color="auto"/>
        <w:right w:val="none" w:sz="0" w:space="0" w:color="auto"/>
      </w:divBdr>
    </w:div>
    <w:div w:id="527985508">
      <w:bodyDiv w:val="1"/>
      <w:marLeft w:val="0"/>
      <w:marRight w:val="0"/>
      <w:marTop w:val="0"/>
      <w:marBottom w:val="0"/>
      <w:divBdr>
        <w:top w:val="none" w:sz="0" w:space="0" w:color="auto"/>
        <w:left w:val="none" w:sz="0" w:space="0" w:color="auto"/>
        <w:bottom w:val="none" w:sz="0" w:space="0" w:color="auto"/>
        <w:right w:val="none" w:sz="0" w:space="0" w:color="auto"/>
      </w:divBdr>
    </w:div>
    <w:div w:id="531580190">
      <w:bodyDiv w:val="1"/>
      <w:marLeft w:val="0"/>
      <w:marRight w:val="0"/>
      <w:marTop w:val="0"/>
      <w:marBottom w:val="0"/>
      <w:divBdr>
        <w:top w:val="none" w:sz="0" w:space="0" w:color="auto"/>
        <w:left w:val="none" w:sz="0" w:space="0" w:color="auto"/>
        <w:bottom w:val="none" w:sz="0" w:space="0" w:color="auto"/>
        <w:right w:val="none" w:sz="0" w:space="0" w:color="auto"/>
      </w:divBdr>
    </w:div>
    <w:div w:id="552234209">
      <w:bodyDiv w:val="1"/>
      <w:marLeft w:val="0"/>
      <w:marRight w:val="0"/>
      <w:marTop w:val="0"/>
      <w:marBottom w:val="0"/>
      <w:divBdr>
        <w:top w:val="none" w:sz="0" w:space="0" w:color="auto"/>
        <w:left w:val="none" w:sz="0" w:space="0" w:color="auto"/>
        <w:bottom w:val="none" w:sz="0" w:space="0" w:color="auto"/>
        <w:right w:val="none" w:sz="0" w:space="0" w:color="auto"/>
      </w:divBdr>
    </w:div>
    <w:div w:id="585844405">
      <w:bodyDiv w:val="1"/>
      <w:marLeft w:val="0"/>
      <w:marRight w:val="0"/>
      <w:marTop w:val="0"/>
      <w:marBottom w:val="0"/>
      <w:divBdr>
        <w:top w:val="none" w:sz="0" w:space="0" w:color="auto"/>
        <w:left w:val="none" w:sz="0" w:space="0" w:color="auto"/>
        <w:bottom w:val="none" w:sz="0" w:space="0" w:color="auto"/>
        <w:right w:val="none" w:sz="0" w:space="0" w:color="auto"/>
      </w:divBdr>
    </w:div>
    <w:div w:id="586429446">
      <w:bodyDiv w:val="1"/>
      <w:marLeft w:val="0"/>
      <w:marRight w:val="0"/>
      <w:marTop w:val="0"/>
      <w:marBottom w:val="0"/>
      <w:divBdr>
        <w:top w:val="none" w:sz="0" w:space="0" w:color="auto"/>
        <w:left w:val="none" w:sz="0" w:space="0" w:color="auto"/>
        <w:bottom w:val="none" w:sz="0" w:space="0" w:color="auto"/>
        <w:right w:val="none" w:sz="0" w:space="0" w:color="auto"/>
      </w:divBdr>
    </w:div>
    <w:div w:id="680475994">
      <w:bodyDiv w:val="1"/>
      <w:marLeft w:val="0"/>
      <w:marRight w:val="0"/>
      <w:marTop w:val="0"/>
      <w:marBottom w:val="0"/>
      <w:divBdr>
        <w:top w:val="none" w:sz="0" w:space="0" w:color="auto"/>
        <w:left w:val="none" w:sz="0" w:space="0" w:color="auto"/>
        <w:bottom w:val="none" w:sz="0" w:space="0" w:color="auto"/>
        <w:right w:val="none" w:sz="0" w:space="0" w:color="auto"/>
      </w:divBdr>
    </w:div>
    <w:div w:id="692656659">
      <w:bodyDiv w:val="1"/>
      <w:marLeft w:val="0"/>
      <w:marRight w:val="0"/>
      <w:marTop w:val="0"/>
      <w:marBottom w:val="0"/>
      <w:divBdr>
        <w:top w:val="none" w:sz="0" w:space="0" w:color="auto"/>
        <w:left w:val="none" w:sz="0" w:space="0" w:color="auto"/>
        <w:bottom w:val="none" w:sz="0" w:space="0" w:color="auto"/>
        <w:right w:val="none" w:sz="0" w:space="0" w:color="auto"/>
      </w:divBdr>
    </w:div>
    <w:div w:id="929118298">
      <w:bodyDiv w:val="1"/>
      <w:marLeft w:val="0"/>
      <w:marRight w:val="0"/>
      <w:marTop w:val="0"/>
      <w:marBottom w:val="0"/>
      <w:divBdr>
        <w:top w:val="none" w:sz="0" w:space="0" w:color="auto"/>
        <w:left w:val="none" w:sz="0" w:space="0" w:color="auto"/>
        <w:bottom w:val="none" w:sz="0" w:space="0" w:color="auto"/>
        <w:right w:val="none" w:sz="0" w:space="0" w:color="auto"/>
      </w:divBdr>
    </w:div>
    <w:div w:id="987395102">
      <w:bodyDiv w:val="1"/>
      <w:marLeft w:val="0"/>
      <w:marRight w:val="0"/>
      <w:marTop w:val="0"/>
      <w:marBottom w:val="0"/>
      <w:divBdr>
        <w:top w:val="none" w:sz="0" w:space="0" w:color="auto"/>
        <w:left w:val="none" w:sz="0" w:space="0" w:color="auto"/>
        <w:bottom w:val="none" w:sz="0" w:space="0" w:color="auto"/>
        <w:right w:val="none" w:sz="0" w:space="0" w:color="auto"/>
      </w:divBdr>
    </w:div>
    <w:div w:id="1076630975">
      <w:bodyDiv w:val="1"/>
      <w:marLeft w:val="0"/>
      <w:marRight w:val="0"/>
      <w:marTop w:val="0"/>
      <w:marBottom w:val="0"/>
      <w:divBdr>
        <w:top w:val="none" w:sz="0" w:space="0" w:color="auto"/>
        <w:left w:val="none" w:sz="0" w:space="0" w:color="auto"/>
        <w:bottom w:val="none" w:sz="0" w:space="0" w:color="auto"/>
        <w:right w:val="none" w:sz="0" w:space="0" w:color="auto"/>
      </w:divBdr>
    </w:div>
    <w:div w:id="108711146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519469546">
      <w:bodyDiv w:val="1"/>
      <w:marLeft w:val="0"/>
      <w:marRight w:val="0"/>
      <w:marTop w:val="0"/>
      <w:marBottom w:val="0"/>
      <w:divBdr>
        <w:top w:val="none" w:sz="0" w:space="0" w:color="auto"/>
        <w:left w:val="none" w:sz="0" w:space="0" w:color="auto"/>
        <w:bottom w:val="none" w:sz="0" w:space="0" w:color="auto"/>
        <w:right w:val="none" w:sz="0" w:space="0" w:color="auto"/>
      </w:divBdr>
    </w:div>
    <w:div w:id="1624726496">
      <w:bodyDiv w:val="1"/>
      <w:marLeft w:val="0"/>
      <w:marRight w:val="0"/>
      <w:marTop w:val="0"/>
      <w:marBottom w:val="0"/>
      <w:divBdr>
        <w:top w:val="none" w:sz="0" w:space="0" w:color="auto"/>
        <w:left w:val="none" w:sz="0" w:space="0" w:color="auto"/>
        <w:bottom w:val="none" w:sz="0" w:space="0" w:color="auto"/>
        <w:right w:val="none" w:sz="0" w:space="0" w:color="auto"/>
      </w:divBdr>
    </w:div>
    <w:div w:id="1662077813">
      <w:bodyDiv w:val="1"/>
      <w:marLeft w:val="0"/>
      <w:marRight w:val="0"/>
      <w:marTop w:val="0"/>
      <w:marBottom w:val="0"/>
      <w:divBdr>
        <w:top w:val="none" w:sz="0" w:space="0" w:color="auto"/>
        <w:left w:val="none" w:sz="0" w:space="0" w:color="auto"/>
        <w:bottom w:val="none" w:sz="0" w:space="0" w:color="auto"/>
        <w:right w:val="none" w:sz="0" w:space="0" w:color="auto"/>
      </w:divBdr>
    </w:div>
    <w:div w:id="1698653617">
      <w:bodyDiv w:val="1"/>
      <w:marLeft w:val="0"/>
      <w:marRight w:val="0"/>
      <w:marTop w:val="0"/>
      <w:marBottom w:val="0"/>
      <w:divBdr>
        <w:top w:val="none" w:sz="0" w:space="0" w:color="auto"/>
        <w:left w:val="none" w:sz="0" w:space="0" w:color="auto"/>
        <w:bottom w:val="none" w:sz="0" w:space="0" w:color="auto"/>
        <w:right w:val="none" w:sz="0" w:space="0" w:color="auto"/>
      </w:divBdr>
    </w:div>
    <w:div w:id="1756782188">
      <w:bodyDiv w:val="1"/>
      <w:marLeft w:val="0"/>
      <w:marRight w:val="0"/>
      <w:marTop w:val="0"/>
      <w:marBottom w:val="0"/>
      <w:divBdr>
        <w:top w:val="none" w:sz="0" w:space="0" w:color="auto"/>
        <w:left w:val="none" w:sz="0" w:space="0" w:color="auto"/>
        <w:bottom w:val="none" w:sz="0" w:space="0" w:color="auto"/>
        <w:right w:val="none" w:sz="0" w:space="0" w:color="auto"/>
      </w:divBdr>
    </w:div>
    <w:div w:id="1782188211">
      <w:bodyDiv w:val="1"/>
      <w:marLeft w:val="0"/>
      <w:marRight w:val="0"/>
      <w:marTop w:val="0"/>
      <w:marBottom w:val="0"/>
      <w:divBdr>
        <w:top w:val="none" w:sz="0" w:space="0" w:color="auto"/>
        <w:left w:val="none" w:sz="0" w:space="0" w:color="auto"/>
        <w:bottom w:val="none" w:sz="0" w:space="0" w:color="auto"/>
        <w:right w:val="none" w:sz="0" w:space="0" w:color="auto"/>
      </w:divBdr>
    </w:div>
    <w:div w:id="1809400820">
      <w:bodyDiv w:val="1"/>
      <w:marLeft w:val="0"/>
      <w:marRight w:val="0"/>
      <w:marTop w:val="0"/>
      <w:marBottom w:val="0"/>
      <w:divBdr>
        <w:top w:val="none" w:sz="0" w:space="0" w:color="auto"/>
        <w:left w:val="none" w:sz="0" w:space="0" w:color="auto"/>
        <w:bottom w:val="none" w:sz="0" w:space="0" w:color="auto"/>
        <w:right w:val="none" w:sz="0" w:space="0" w:color="auto"/>
      </w:divBdr>
    </w:div>
    <w:div w:id="1841234083">
      <w:bodyDiv w:val="1"/>
      <w:marLeft w:val="0"/>
      <w:marRight w:val="0"/>
      <w:marTop w:val="0"/>
      <w:marBottom w:val="0"/>
      <w:divBdr>
        <w:top w:val="none" w:sz="0" w:space="0" w:color="auto"/>
        <w:left w:val="none" w:sz="0" w:space="0" w:color="auto"/>
        <w:bottom w:val="none" w:sz="0" w:space="0" w:color="auto"/>
        <w:right w:val="none" w:sz="0" w:space="0" w:color="auto"/>
      </w:divBdr>
    </w:div>
    <w:div w:id="2024430634">
      <w:bodyDiv w:val="1"/>
      <w:marLeft w:val="0"/>
      <w:marRight w:val="0"/>
      <w:marTop w:val="0"/>
      <w:marBottom w:val="0"/>
      <w:divBdr>
        <w:top w:val="none" w:sz="0" w:space="0" w:color="auto"/>
        <w:left w:val="none" w:sz="0" w:space="0" w:color="auto"/>
        <w:bottom w:val="none" w:sz="0" w:space="0" w:color="auto"/>
        <w:right w:val="none" w:sz="0" w:space="0" w:color="auto"/>
      </w:divBdr>
    </w:div>
    <w:div w:id="20411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8.xm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image" Target="media/image12.gi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hyperlink" Target="http://www.abs.gov.au/ausstats/abs@.nsf/mf/1270.0.55.005?OpenDocument" TargetMode="External"/><Relationship Id="rId10" Type="http://schemas.openxmlformats.org/officeDocument/2006/relationships/hyperlink" Target="mailto:SDAhousing@ndis.gov.au" TargetMode="External"/><Relationship Id="rId19" Type="http://schemas.openxmlformats.org/officeDocument/2006/relationships/header" Target="header4.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SDAhousing@ndis.gov.au"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9.png"/><Relationship Id="rId30" Type="http://schemas.openxmlformats.org/officeDocument/2006/relationships/footer" Target="footer6.xml"/><Relationship Id="rId35" Type="http://schemas.openxmlformats.org/officeDocument/2006/relationships/image" Target="media/image11.png"/><Relationship Id="rId43"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footer" Target="footer8.xml"/><Relationship Id="rId38" Type="http://schemas.openxmlformats.org/officeDocument/2006/relationships/hyperlink" Target="http://www.dlsweb.rmit.edu.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atestproducts/B01A5912123E8D2BCA257801000C64F2?opendocu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E9926D02-A2EC-400E-AF8A-8310198F173F}">
  <ds:schemaRefs>
    <ds:schemaRef ds:uri="http://schemas.openxmlformats.org/officeDocument/2006/bibliography"/>
  </ds:schemaRefs>
</ds:datastoreItem>
</file>

<file path=customXml/itemProps2.xml><?xml version="1.0" encoding="utf-8"?>
<ds:datastoreItem xmlns:ds="http://schemas.openxmlformats.org/officeDocument/2006/customXml" ds:itemID="{F69906AF-BA36-4234-B928-7154559AAD1F}"/>
</file>

<file path=customXml/itemProps3.xml><?xml version="1.0" encoding="utf-8"?>
<ds:datastoreItem xmlns:ds="http://schemas.openxmlformats.org/officeDocument/2006/customXml" ds:itemID="{B630A5B9-F4F8-4CA0-A501-4FE614F475C7}"/>
</file>

<file path=customXml/itemProps4.xml><?xml version="1.0" encoding="utf-8"?>
<ds:datastoreItem xmlns:ds="http://schemas.openxmlformats.org/officeDocument/2006/customXml" ds:itemID="{5BA4CCBF-6D4E-42D8-987B-FDEEA6C2DCBC}"/>
</file>

<file path=docProps/app.xml><?xml version="1.0" encoding="utf-8"?>
<Properties xmlns="http://schemas.openxmlformats.org/officeDocument/2006/extended-properties" xmlns:vt="http://schemas.openxmlformats.org/officeDocument/2006/docPropsVTypes">
  <Template>Normal</Template>
  <TotalTime>0</TotalTime>
  <Pages>1</Pages>
  <Words>21230</Words>
  <Characters>121013</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2016-05-05T01:00:00Z</dcterms:created>
  <dcterms:modified xsi:type="dcterms:W3CDTF">2016-05-05T01:01:00Z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