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2F91" w14:textId="155034B2" w:rsidR="00BD47EE" w:rsidRPr="00DC1455" w:rsidRDefault="00B64E0A" w:rsidP="00B64E0A">
      <w:pPr>
        <w:pStyle w:val="AddressBlock"/>
        <w:spacing w:before="0" w:after="0" w:line="276" w:lineRule="auto"/>
        <w:rPr>
          <w:b w:val="0"/>
        </w:rPr>
      </w:pPr>
      <w:r>
        <w:rPr>
          <w:b w:val="0"/>
        </w:rPr>
        <w:t xml:space="preserve">10 September </w:t>
      </w:r>
      <w:r w:rsidR="00942DE4" w:rsidRPr="00DC1455">
        <w:rPr>
          <w:b w:val="0"/>
        </w:rPr>
        <w:t>2021</w:t>
      </w:r>
    </w:p>
    <w:p w14:paraId="04C349FB" w14:textId="77777777" w:rsidR="006A5B1D" w:rsidRPr="006A5B1D" w:rsidRDefault="006A5B1D" w:rsidP="00B64E0A">
      <w:pPr>
        <w:pStyle w:val="AddressBlock"/>
        <w:spacing w:before="0" w:after="0" w:line="276" w:lineRule="auto"/>
        <w:rPr>
          <w:b w:val="0"/>
        </w:rPr>
      </w:pPr>
    </w:p>
    <w:p w14:paraId="362A73FE" w14:textId="4947672B" w:rsidR="007C3AD9" w:rsidRDefault="00FE4917" w:rsidP="00B64E0A">
      <w:pPr>
        <w:pStyle w:val="AddressBlock"/>
        <w:spacing w:before="0" w:after="0" w:line="276" w:lineRule="auto"/>
        <w:ind w:firstLine="720"/>
        <w:rPr>
          <w:b w:val="0"/>
        </w:rPr>
      </w:pPr>
      <w:r>
        <w:rPr>
          <w:b w:val="0"/>
        </w:rPr>
        <w:t>Ms Kathy McEwan</w:t>
      </w:r>
    </w:p>
    <w:p w14:paraId="3595639E" w14:textId="39AE3530" w:rsidR="007C3AD9" w:rsidRDefault="00FE4917" w:rsidP="00FE4917">
      <w:pPr>
        <w:pStyle w:val="AddressBlock"/>
        <w:spacing w:before="0" w:after="0" w:line="276" w:lineRule="auto"/>
        <w:ind w:firstLine="720"/>
        <w:rPr>
          <w:b w:val="0"/>
        </w:rPr>
      </w:pPr>
      <w:r>
        <w:rPr>
          <w:b w:val="0"/>
        </w:rPr>
        <w:t xml:space="preserve">Director, Agency Policy </w:t>
      </w:r>
    </w:p>
    <w:p w14:paraId="52F9E192" w14:textId="13516B7D" w:rsidR="00665E6E" w:rsidRPr="006A5B1D" w:rsidRDefault="007C3AD9" w:rsidP="00B64E0A">
      <w:pPr>
        <w:pStyle w:val="AddressBlock"/>
        <w:spacing w:before="0" w:after="0" w:line="276" w:lineRule="auto"/>
        <w:ind w:firstLine="720"/>
        <w:rPr>
          <w:b w:val="0"/>
        </w:rPr>
      </w:pPr>
      <w:r>
        <w:rPr>
          <w:b w:val="0"/>
        </w:rPr>
        <w:t>National Disability Insurance Agency</w:t>
      </w:r>
    </w:p>
    <w:p w14:paraId="0BD247F0" w14:textId="77777777" w:rsidR="00BD47EE" w:rsidRDefault="00BD47EE" w:rsidP="00B64E0A">
      <w:pPr>
        <w:spacing w:after="0" w:line="276" w:lineRule="auto"/>
      </w:pPr>
    </w:p>
    <w:p w14:paraId="19B03F66" w14:textId="1D1E84E0" w:rsidR="007C3AD9" w:rsidRDefault="007C3AD9" w:rsidP="00B64E0A">
      <w:pPr>
        <w:spacing w:after="0" w:line="276" w:lineRule="auto"/>
        <w:rPr>
          <w:b/>
          <w:bCs/>
        </w:rPr>
      </w:pPr>
      <w:r>
        <w:t xml:space="preserve">Via email: </w:t>
      </w:r>
      <w:hyperlink r:id="rId8" w:history="1">
        <w:r w:rsidRPr="00BD47EE">
          <w:rPr>
            <w:rStyle w:val="Hyperlink"/>
            <w:b w:val="0"/>
            <w:bCs/>
          </w:rPr>
          <w:t>agencypolicy@ndis.gov.au</w:t>
        </w:r>
      </w:hyperlink>
      <w:r w:rsidRPr="00BD47EE">
        <w:rPr>
          <w:b/>
          <w:bCs/>
        </w:rPr>
        <w:t xml:space="preserve"> </w:t>
      </w:r>
    </w:p>
    <w:p w14:paraId="36DC522D" w14:textId="3D496928" w:rsidR="00BD47EE" w:rsidRDefault="00BD47EE" w:rsidP="00B64E0A">
      <w:pPr>
        <w:spacing w:after="0" w:line="276" w:lineRule="auto"/>
        <w:rPr>
          <w:b/>
          <w:bCs/>
        </w:rPr>
      </w:pPr>
    </w:p>
    <w:p w14:paraId="4453F115" w14:textId="1C667170" w:rsidR="00BD47EE" w:rsidRPr="0028069D" w:rsidRDefault="00BD47EE" w:rsidP="00B64E0A">
      <w:pPr>
        <w:spacing w:after="0" w:line="276" w:lineRule="auto"/>
        <w:rPr>
          <w:b/>
          <w:bCs/>
          <w:i/>
          <w:iCs/>
        </w:rPr>
      </w:pPr>
      <w:r>
        <w:rPr>
          <w:b/>
          <w:bCs/>
        </w:rPr>
        <w:t xml:space="preserve">RE: </w:t>
      </w:r>
      <w:r w:rsidR="0028069D">
        <w:rPr>
          <w:b/>
          <w:bCs/>
        </w:rPr>
        <w:t xml:space="preserve">Consultation Paper – </w:t>
      </w:r>
      <w:r w:rsidR="0028069D">
        <w:rPr>
          <w:b/>
          <w:bCs/>
          <w:i/>
          <w:iCs/>
        </w:rPr>
        <w:t xml:space="preserve">Supporting you to make your own decisions </w:t>
      </w:r>
    </w:p>
    <w:p w14:paraId="045E0DAE" w14:textId="04C3B341" w:rsidR="007C3AD9" w:rsidRDefault="007C3AD9" w:rsidP="00B64E0A">
      <w:pPr>
        <w:spacing w:after="0" w:line="276" w:lineRule="auto"/>
      </w:pPr>
    </w:p>
    <w:p w14:paraId="62C07098" w14:textId="136E9C22" w:rsidR="007C3AD9" w:rsidRPr="007C3AD9" w:rsidRDefault="007C3AD9" w:rsidP="00B64E0A">
      <w:pPr>
        <w:spacing w:after="0" w:line="276" w:lineRule="auto"/>
      </w:pPr>
      <w:r>
        <w:t xml:space="preserve">Dear </w:t>
      </w:r>
      <w:r w:rsidR="00FE4917">
        <w:t>Ms McEwan</w:t>
      </w:r>
    </w:p>
    <w:p w14:paraId="47E1CDD4" w14:textId="77777777" w:rsidR="007C3AD9" w:rsidRDefault="007C3AD9" w:rsidP="00B64E0A">
      <w:pPr>
        <w:spacing w:after="0" w:line="276" w:lineRule="auto"/>
      </w:pPr>
    </w:p>
    <w:p w14:paraId="590C2308" w14:textId="181532F6" w:rsidR="007C3AD9" w:rsidRPr="00636353" w:rsidRDefault="007C3AD9" w:rsidP="00B64E0A">
      <w:pPr>
        <w:spacing w:after="0" w:line="276" w:lineRule="auto"/>
        <w:rPr>
          <w:i/>
          <w:iCs/>
        </w:rPr>
      </w:pPr>
      <w:r w:rsidRPr="007C3AD9">
        <w:t xml:space="preserve">People with Disability Australia (PWDA) </w:t>
      </w:r>
      <w:r w:rsidR="00DC1455">
        <w:t xml:space="preserve">welcomes the </w:t>
      </w:r>
      <w:r w:rsidRPr="007C3AD9">
        <w:t>opportunity to provide this submission</w:t>
      </w:r>
      <w:r w:rsidR="00636353">
        <w:t xml:space="preserve"> responding</w:t>
      </w:r>
      <w:r w:rsidRPr="007C3AD9">
        <w:t xml:space="preserve"> to the National Disability Insurance Scheme (NDIS) </w:t>
      </w:r>
      <w:r w:rsidR="00636353">
        <w:t xml:space="preserve">consultation paper, </w:t>
      </w:r>
      <w:r w:rsidR="00636353">
        <w:rPr>
          <w:i/>
          <w:iCs/>
        </w:rPr>
        <w:t xml:space="preserve">Supporting you to make your own decision. </w:t>
      </w:r>
    </w:p>
    <w:p w14:paraId="41A8C2D9" w14:textId="77777777" w:rsidR="007C3AD9" w:rsidRPr="007C3AD9" w:rsidRDefault="007C3AD9" w:rsidP="00B64E0A">
      <w:pPr>
        <w:spacing w:after="0" w:line="276" w:lineRule="auto"/>
      </w:pPr>
    </w:p>
    <w:p w14:paraId="0247C99D" w14:textId="7DF443FA" w:rsidR="007C3AD9" w:rsidRPr="007C3AD9" w:rsidRDefault="007C3AD9" w:rsidP="00B64E0A">
      <w:pPr>
        <w:spacing w:after="0" w:line="276" w:lineRule="auto"/>
      </w:pPr>
      <w:r w:rsidRPr="007C3AD9">
        <w:t xml:space="preserve">PWDA is a leading disability rights advocacy and representative organisation and the only national cross-disability organisation representing the interests of people with all kinds of disability. We are a not-for-profit and non-government </w:t>
      </w:r>
      <w:r w:rsidR="00DC1455" w:rsidRPr="007C3AD9">
        <w:t>organisation,</w:t>
      </w:r>
      <w:r w:rsidRPr="007C3AD9">
        <w:t xml:space="preserve"> and our membership is comprised of people with disability and organisations primarily constituted by people with disability.</w:t>
      </w:r>
    </w:p>
    <w:p w14:paraId="170E4A27" w14:textId="77777777" w:rsidR="007C3AD9" w:rsidRPr="007C3AD9" w:rsidRDefault="007C3AD9" w:rsidP="00B64E0A">
      <w:pPr>
        <w:spacing w:after="0" w:line="276" w:lineRule="auto"/>
      </w:pPr>
    </w:p>
    <w:p w14:paraId="1A3F83E7" w14:textId="4F6FE6F6" w:rsidR="007C3AD9" w:rsidRPr="007C3AD9" w:rsidRDefault="007C3AD9" w:rsidP="00B64E0A">
      <w:pPr>
        <w:spacing w:after="0" w:line="276" w:lineRule="auto"/>
      </w:pPr>
      <w:r w:rsidRPr="007C3AD9">
        <w:t xml:space="preserve">PWDA is funded both as a national peak disability representative organisation to undertake individual advocacy and as </w:t>
      </w:r>
      <w:r w:rsidR="00DC1455">
        <w:t>the</w:t>
      </w:r>
      <w:r w:rsidRPr="007C3AD9">
        <w:t xml:space="preserve"> NSW peak body to undertake systemic advocacy. We have extensive experience in providing advocacy and outreach to people with disability, including people living in closed or hard to reach settings and deliver advocacy support through the National Disability Advocacy Program across New South Wales and parts of Queensland.</w:t>
      </w:r>
    </w:p>
    <w:p w14:paraId="11B3F536" w14:textId="77777777" w:rsidR="007C3AD9" w:rsidRPr="007C3AD9" w:rsidRDefault="007C3AD9" w:rsidP="00B64E0A">
      <w:pPr>
        <w:spacing w:after="0" w:line="276" w:lineRule="auto"/>
      </w:pPr>
    </w:p>
    <w:p w14:paraId="3FD2C640" w14:textId="5C3EFE37" w:rsidR="007C3AD9" w:rsidRPr="007C3AD9" w:rsidRDefault="007C3AD9" w:rsidP="00B64E0A">
      <w:pPr>
        <w:spacing w:after="0" w:line="276" w:lineRule="auto"/>
      </w:pPr>
      <w:r w:rsidRPr="007C3AD9">
        <w:t>We welcome the</w:t>
      </w:r>
      <w:r w:rsidR="00BB5D49">
        <w:t xml:space="preserve"> National Disability Insurance Agency’s</w:t>
      </w:r>
      <w:r w:rsidRPr="007C3AD9">
        <w:t xml:space="preserve"> </w:t>
      </w:r>
      <w:r w:rsidR="00BB5D49">
        <w:t>(</w:t>
      </w:r>
      <w:r w:rsidRPr="007C3AD9">
        <w:t>NDIA</w:t>
      </w:r>
      <w:r w:rsidR="00BB5D49">
        <w:t>)</w:t>
      </w:r>
      <w:r w:rsidRPr="007C3AD9">
        <w:t xml:space="preserve"> commitment to improving support for decision making in line with </w:t>
      </w:r>
      <w:r w:rsidR="00C012E2">
        <w:t xml:space="preserve">the </w:t>
      </w:r>
      <w:r w:rsidRPr="007C3AD9">
        <w:t xml:space="preserve">Convention on the Rights of Persons with Disabilities </w:t>
      </w:r>
      <w:r w:rsidRPr="007C3AD9">
        <w:lastRenderedPageBreak/>
        <w:t xml:space="preserve">(CPRD). However, we are concerned that the proposed policy fails to comply with the CPRD. </w:t>
      </w:r>
    </w:p>
    <w:p w14:paraId="140C507B" w14:textId="77777777" w:rsidR="007C3AD9" w:rsidRPr="007C3AD9" w:rsidRDefault="007C3AD9" w:rsidP="00B64E0A">
      <w:pPr>
        <w:spacing w:after="0" w:line="276" w:lineRule="auto"/>
      </w:pPr>
    </w:p>
    <w:p w14:paraId="3778403F" w14:textId="4441B85D" w:rsidR="007C3AD9" w:rsidRPr="007C3AD9" w:rsidRDefault="007C3AD9" w:rsidP="00B64E0A">
      <w:pPr>
        <w:spacing w:after="0" w:line="276" w:lineRule="auto"/>
      </w:pPr>
      <w:r w:rsidRPr="007C3AD9">
        <w:t>This submission outlines our recommendations</w:t>
      </w:r>
      <w:r w:rsidR="00375DC8">
        <w:t xml:space="preserve">, which </w:t>
      </w:r>
      <w:r w:rsidR="003E0314">
        <w:t>seek to ensure that</w:t>
      </w:r>
      <w:r w:rsidRPr="007C3AD9">
        <w:t xml:space="preserve"> the </w:t>
      </w:r>
      <w:r w:rsidR="00375DC8">
        <w:t xml:space="preserve">NDIA’s </w:t>
      </w:r>
      <w:r w:rsidR="007733FA">
        <w:t xml:space="preserve">policy </w:t>
      </w:r>
      <w:r w:rsidR="00924099">
        <w:t xml:space="preserve">is CPRD compliant and truly respects the will and preferences of participants. </w:t>
      </w:r>
    </w:p>
    <w:p w14:paraId="1B458841" w14:textId="77777777" w:rsidR="007C3AD9" w:rsidRPr="00BD226E" w:rsidRDefault="007C3AD9" w:rsidP="00B64E0A">
      <w:pPr>
        <w:pStyle w:val="Heading2"/>
        <w:spacing w:after="0" w:line="276" w:lineRule="auto"/>
        <w:rPr>
          <w:bCs/>
        </w:rPr>
      </w:pPr>
    </w:p>
    <w:p w14:paraId="5588F782" w14:textId="073C9463" w:rsidR="007C3AD9" w:rsidRPr="00DC1455" w:rsidRDefault="00F06464" w:rsidP="00B64E0A">
      <w:pPr>
        <w:pStyle w:val="Heading2"/>
        <w:spacing w:after="0" w:line="276" w:lineRule="auto"/>
        <w:rPr>
          <w:rFonts w:ascii="VAG Rounded" w:hAnsi="VAG Rounded"/>
          <w:bCs/>
          <w:sz w:val="28"/>
          <w:szCs w:val="28"/>
        </w:rPr>
      </w:pPr>
      <w:r>
        <w:rPr>
          <w:rFonts w:ascii="VAG Rounded" w:hAnsi="VAG Rounded"/>
          <w:bCs/>
          <w:sz w:val="28"/>
          <w:szCs w:val="28"/>
        </w:rPr>
        <w:t>N</w:t>
      </w:r>
      <w:r w:rsidR="00DF0A97">
        <w:rPr>
          <w:rFonts w:ascii="VAG Rounded" w:hAnsi="VAG Rounded"/>
          <w:bCs/>
          <w:sz w:val="28"/>
          <w:szCs w:val="28"/>
        </w:rPr>
        <w:t>on-voluntary n</w:t>
      </w:r>
      <w:r>
        <w:rPr>
          <w:rFonts w:ascii="VAG Rounded" w:hAnsi="VAG Rounded"/>
          <w:bCs/>
          <w:sz w:val="28"/>
          <w:szCs w:val="28"/>
        </w:rPr>
        <w:t xml:space="preserve">ominee appointments </w:t>
      </w:r>
    </w:p>
    <w:p w14:paraId="27E2B0FF" w14:textId="77777777" w:rsidR="002445DD" w:rsidRDefault="002445DD" w:rsidP="00B64E0A">
      <w:pPr>
        <w:spacing w:after="0" w:line="276" w:lineRule="auto"/>
      </w:pPr>
    </w:p>
    <w:p w14:paraId="5561EA8A" w14:textId="37120727" w:rsidR="007C3AD9" w:rsidRDefault="00662C91" w:rsidP="00B64E0A">
      <w:pPr>
        <w:spacing w:after="0" w:line="276" w:lineRule="auto"/>
      </w:pPr>
      <w:r>
        <w:t>The NDIA currently</w:t>
      </w:r>
      <w:r w:rsidR="007C3AD9" w:rsidRPr="007C3AD9">
        <w:t xml:space="preserve"> has </w:t>
      </w:r>
      <w:r w:rsidR="00375DC8">
        <w:t xml:space="preserve">the </w:t>
      </w:r>
      <w:r w:rsidR="007C3AD9" w:rsidRPr="007C3AD9">
        <w:t xml:space="preserve">power to appoint </w:t>
      </w:r>
      <w:r w:rsidR="004B267B">
        <w:t xml:space="preserve">a </w:t>
      </w:r>
      <w:r w:rsidR="007C3AD9" w:rsidRPr="007C3AD9">
        <w:t xml:space="preserve">nominee upon the request of a participant, and in rare and exceptional cases, without the request of </w:t>
      </w:r>
      <w:r w:rsidR="003A7CBA">
        <w:t>a</w:t>
      </w:r>
      <w:r w:rsidR="003A7CBA" w:rsidRPr="007C3AD9">
        <w:t xml:space="preserve"> </w:t>
      </w:r>
      <w:r w:rsidR="007C3AD9" w:rsidRPr="007C3AD9">
        <w:t xml:space="preserve">participant (non-voluntary </w:t>
      </w:r>
      <w:r w:rsidR="002F50F7">
        <w:t xml:space="preserve">nominee </w:t>
      </w:r>
      <w:r w:rsidR="007C3AD9" w:rsidRPr="007C3AD9">
        <w:t>appointments).</w:t>
      </w:r>
      <w:r w:rsidR="007C3AD9" w:rsidRPr="007C3AD9">
        <w:rPr>
          <w:vertAlign w:val="superscript"/>
        </w:rPr>
        <w:footnoteReference w:id="1"/>
      </w:r>
      <w:r w:rsidR="007C3AD9" w:rsidRPr="007C3AD9">
        <w:t xml:space="preserve"> </w:t>
      </w:r>
      <w:r w:rsidR="00FD4A2D">
        <w:t xml:space="preserve">The proposed policy retains both types of nominee appointments. </w:t>
      </w:r>
    </w:p>
    <w:p w14:paraId="286FA360" w14:textId="77777777" w:rsidR="007C3AD9" w:rsidRPr="007C3AD9" w:rsidRDefault="007C3AD9" w:rsidP="00B64E0A">
      <w:pPr>
        <w:spacing w:after="0" w:line="276" w:lineRule="auto"/>
      </w:pPr>
    </w:p>
    <w:p w14:paraId="01D6E305" w14:textId="3FD8BF25" w:rsidR="00866CDB" w:rsidRDefault="007C3AD9" w:rsidP="00B64E0A">
      <w:pPr>
        <w:spacing w:after="0" w:line="276" w:lineRule="auto"/>
      </w:pPr>
      <w:r w:rsidRPr="007C3AD9">
        <w:t xml:space="preserve">We </w:t>
      </w:r>
      <w:r w:rsidR="00ED061A">
        <w:t xml:space="preserve">support the NDIA’s use of voluntary nominee appointments, as these reflect the will and preference of the participant to </w:t>
      </w:r>
      <w:r w:rsidR="00E65F70">
        <w:t>use</w:t>
      </w:r>
      <w:r w:rsidR="00ED061A">
        <w:t xml:space="preserve"> a nominee. However, we </w:t>
      </w:r>
      <w:r w:rsidR="00FD4A2D">
        <w:t xml:space="preserve">do not support </w:t>
      </w:r>
      <w:r w:rsidRPr="007C3AD9">
        <w:t>non-voluntary nominee appointments</w:t>
      </w:r>
      <w:r w:rsidR="00866CDB">
        <w:t>.</w:t>
      </w:r>
    </w:p>
    <w:p w14:paraId="5FE3AD5F" w14:textId="77777777" w:rsidR="00866CDB" w:rsidRDefault="00866CDB" w:rsidP="00B64E0A">
      <w:pPr>
        <w:spacing w:after="0" w:line="276" w:lineRule="auto"/>
      </w:pPr>
    </w:p>
    <w:p w14:paraId="18576363" w14:textId="6132E315" w:rsidR="001C5FE2" w:rsidRPr="00B64E0A" w:rsidRDefault="00866CDB" w:rsidP="00B64E0A">
      <w:pPr>
        <w:spacing w:after="0" w:line="276" w:lineRule="auto"/>
      </w:pPr>
      <w:r>
        <w:t>Non-voluntary appointments</w:t>
      </w:r>
      <w:r w:rsidR="00FD4A2D">
        <w:t xml:space="preserve"> violate Article 12 of the CPRD</w:t>
      </w:r>
      <w:r w:rsidR="00AC681F">
        <w:t xml:space="preserve">. </w:t>
      </w:r>
      <w:r w:rsidR="00E939DF" w:rsidRPr="00B64E0A">
        <w:t xml:space="preserve">As explained in </w:t>
      </w:r>
      <w:r w:rsidR="00385AA2">
        <w:t xml:space="preserve">the </w:t>
      </w:r>
      <w:r w:rsidR="00385AA2" w:rsidRPr="007C3AD9">
        <w:t xml:space="preserve">Committee on the Rights of Persons with Disabilities’ </w:t>
      </w:r>
      <w:r w:rsidR="00385AA2" w:rsidRPr="007C3AD9">
        <w:rPr>
          <w:i/>
          <w:iCs/>
        </w:rPr>
        <w:t>General Comment No.1 (2014)</w:t>
      </w:r>
      <w:r w:rsidR="00FF6F3F">
        <w:t>,</w:t>
      </w:r>
      <w:r w:rsidR="00E939DF" w:rsidRPr="00B64E0A">
        <w:t xml:space="preserve"> </w:t>
      </w:r>
      <w:r w:rsidR="00795219" w:rsidRPr="00B64E0A">
        <w:t>Article 12</w:t>
      </w:r>
      <w:r w:rsidR="00E939DF" w:rsidRPr="00B64E0A">
        <w:t xml:space="preserve">(2) </w:t>
      </w:r>
      <w:r w:rsidR="001C5FE2" w:rsidRPr="00B64E0A">
        <w:t>does</w:t>
      </w:r>
      <w:r w:rsidR="00795219" w:rsidRPr="00B64E0A">
        <w:t xml:space="preserve"> not permit the denial of legal capacity </w:t>
      </w:r>
      <w:r w:rsidR="00CD67D9">
        <w:t>due to a perceived deficiency in a person’s decision-making skills</w:t>
      </w:r>
      <w:r w:rsidR="00795219" w:rsidRPr="00B64E0A">
        <w:t>.</w:t>
      </w:r>
      <w:r w:rsidR="00795219" w:rsidRPr="00B64E0A">
        <w:rPr>
          <w:rStyle w:val="FootnoteReference"/>
        </w:rPr>
        <w:footnoteReference w:id="2"/>
      </w:r>
      <w:r w:rsidR="00795219" w:rsidRPr="00B64E0A">
        <w:t xml:space="preserve"> Instead, </w:t>
      </w:r>
      <w:r w:rsidR="00972BDC">
        <w:t>the Government</w:t>
      </w:r>
      <w:r w:rsidR="00795219" w:rsidRPr="00B64E0A">
        <w:t xml:space="preserve"> </w:t>
      </w:r>
      <w:r w:rsidR="007711EA">
        <w:t xml:space="preserve">must </w:t>
      </w:r>
      <w:r w:rsidR="00795219" w:rsidRPr="00B64E0A">
        <w:t xml:space="preserve">provide support </w:t>
      </w:r>
      <w:r w:rsidR="007711EA">
        <w:t>to enable the person to</w:t>
      </w:r>
      <w:r w:rsidR="00795219" w:rsidRPr="00B64E0A">
        <w:t xml:space="preserve"> exercise </w:t>
      </w:r>
      <w:r w:rsidR="00E51B0F">
        <w:t xml:space="preserve">their </w:t>
      </w:r>
      <w:r w:rsidR="00795219" w:rsidRPr="00B64E0A">
        <w:t>legal capacity.</w:t>
      </w:r>
      <w:r w:rsidR="009537E1" w:rsidRPr="00B64E0A">
        <w:rPr>
          <w:rStyle w:val="FootnoteReference"/>
        </w:rPr>
        <w:footnoteReference w:id="3"/>
      </w:r>
      <w:r w:rsidR="00795219" w:rsidRPr="00B64E0A">
        <w:t xml:space="preserve">   </w:t>
      </w:r>
    </w:p>
    <w:p w14:paraId="57FD1B05" w14:textId="77777777" w:rsidR="001C5FE2" w:rsidRPr="00B64E0A" w:rsidRDefault="001C5FE2" w:rsidP="00B64E0A">
      <w:pPr>
        <w:spacing w:after="0" w:line="276" w:lineRule="auto"/>
      </w:pPr>
    </w:p>
    <w:p w14:paraId="297AA599" w14:textId="11CCBFDD" w:rsidR="001C5FE2" w:rsidRPr="00B64E0A" w:rsidRDefault="0045752C" w:rsidP="00B64E0A">
      <w:pPr>
        <w:spacing w:after="0" w:line="276" w:lineRule="auto"/>
      </w:pPr>
      <w:r w:rsidRPr="00B64E0A">
        <w:t xml:space="preserve">Where </w:t>
      </w:r>
      <w:r w:rsidR="00D84EA5">
        <w:t>a person has been provided with all</w:t>
      </w:r>
      <w:r w:rsidRPr="00B64E0A">
        <w:t xml:space="preserve"> possible </w:t>
      </w:r>
      <w:r w:rsidR="00972BDC">
        <w:t xml:space="preserve">decision-making </w:t>
      </w:r>
      <w:r w:rsidR="001C5FE2" w:rsidRPr="00B64E0A">
        <w:t xml:space="preserve">support and it is still not practicable to determine </w:t>
      </w:r>
      <w:r w:rsidR="00972BDC">
        <w:t>their will and preferences</w:t>
      </w:r>
      <w:r w:rsidR="001C5FE2" w:rsidRPr="00B64E0A">
        <w:t xml:space="preserve">, </w:t>
      </w:r>
      <w:r w:rsidR="00985F69">
        <w:t xml:space="preserve">the </w:t>
      </w:r>
      <w:r w:rsidR="00D84EA5">
        <w:t>person’s</w:t>
      </w:r>
      <w:r w:rsidR="00985F69">
        <w:t xml:space="preserve"> decision(s) must be </w:t>
      </w:r>
      <w:r w:rsidR="00A375BD">
        <w:t>ascertain</w:t>
      </w:r>
      <w:r w:rsidR="00985F69">
        <w:t>ed by reference to</w:t>
      </w:r>
      <w:r w:rsidR="00A375BD">
        <w:t xml:space="preserve"> </w:t>
      </w:r>
      <w:r w:rsidRPr="00B64E0A">
        <w:t>‘the best interpretation of</w:t>
      </w:r>
      <w:r w:rsidR="004C48EB">
        <w:t xml:space="preserve"> [</w:t>
      </w:r>
      <w:r w:rsidR="00904E56">
        <w:t>their</w:t>
      </w:r>
      <w:r w:rsidR="004C48EB">
        <w:t>]</w:t>
      </w:r>
      <w:r w:rsidRPr="00B64E0A">
        <w:t xml:space="preserve"> will and preferences.</w:t>
      </w:r>
      <w:r w:rsidR="003A01C1">
        <w:t>’</w:t>
      </w:r>
      <w:r w:rsidRPr="00B64E0A">
        <w:rPr>
          <w:rStyle w:val="FootnoteReference"/>
        </w:rPr>
        <w:footnoteReference w:id="4"/>
      </w:r>
      <w:r w:rsidRPr="00B64E0A">
        <w:t xml:space="preserve"> </w:t>
      </w:r>
    </w:p>
    <w:p w14:paraId="46BC679C" w14:textId="77777777" w:rsidR="007C3AD9" w:rsidRPr="00795219" w:rsidRDefault="007C3AD9" w:rsidP="00B64E0A">
      <w:pPr>
        <w:spacing w:after="0" w:line="276" w:lineRule="auto"/>
      </w:pPr>
    </w:p>
    <w:p w14:paraId="087C6C18" w14:textId="23F718EF" w:rsidR="007C3AD9" w:rsidRPr="007C3AD9" w:rsidRDefault="0004547F" w:rsidP="00B64E0A">
      <w:pPr>
        <w:spacing w:after="0" w:line="276" w:lineRule="auto"/>
      </w:pPr>
      <w:r>
        <w:t>To comply with the Article 12 of the CPRD, the NDI</w:t>
      </w:r>
      <w:r w:rsidR="00876D67">
        <w:t>A</w:t>
      </w:r>
      <w:r>
        <w:t xml:space="preserve"> must therefore </w:t>
      </w:r>
      <w:r w:rsidR="00256F93">
        <w:t>cease</w:t>
      </w:r>
      <w:r>
        <w:t xml:space="preserve"> non-voluntary</w:t>
      </w:r>
      <w:r w:rsidR="00184CE8">
        <w:t xml:space="preserve"> n</w:t>
      </w:r>
      <w:r>
        <w:t xml:space="preserve">ominee appointments.  </w:t>
      </w:r>
      <w:r w:rsidR="00BB5D49">
        <w:t>As the rights contained in Article 12 must be realised immediately, rather than progressively, non-voluntary nominee appointments must be ended as a matter of urgency</w:t>
      </w:r>
      <w:r w:rsidR="007C3AD9" w:rsidRPr="007C3AD9">
        <w:t>.</w:t>
      </w:r>
      <w:r w:rsidR="007C3AD9" w:rsidRPr="007C3AD9">
        <w:rPr>
          <w:vertAlign w:val="superscript"/>
        </w:rPr>
        <w:footnoteReference w:id="5"/>
      </w:r>
      <w:r w:rsidR="007C3AD9" w:rsidRPr="007C3AD9">
        <w:t xml:space="preserve"> </w:t>
      </w:r>
    </w:p>
    <w:p w14:paraId="5DFC4EE1" w14:textId="77777777" w:rsidR="007C3AD9" w:rsidRPr="007C3AD9" w:rsidRDefault="007C3AD9" w:rsidP="00B64E0A">
      <w:pPr>
        <w:spacing w:after="0" w:line="276" w:lineRule="auto"/>
        <w:rPr>
          <w:b/>
          <w:bCs/>
        </w:rPr>
      </w:pPr>
    </w:p>
    <w:p w14:paraId="336AE46E" w14:textId="7777777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rPr>
          <w:b/>
          <w:bCs/>
        </w:rPr>
      </w:pPr>
      <w:r w:rsidRPr="007C3AD9">
        <w:rPr>
          <w:b/>
          <w:bCs/>
        </w:rPr>
        <w:lastRenderedPageBreak/>
        <w:t xml:space="preserve">Recommendation 1: </w:t>
      </w:r>
      <w:r w:rsidRPr="007C3AD9">
        <w:t xml:space="preserve">To comply with Article 12 of the CPRD and the interpretation contained in the Committee on the Rights of Persons with Disabilities’ </w:t>
      </w:r>
      <w:r w:rsidRPr="007C3AD9">
        <w:rPr>
          <w:i/>
          <w:iCs/>
        </w:rPr>
        <w:t>General Comment No.1 (2014)</w:t>
      </w:r>
      <w:r w:rsidRPr="007C3AD9">
        <w:t>, the NDIA must immediately cease non-voluntary nominee appointments and only appoint nominees where this reflects the will and preferences of the participants.</w:t>
      </w:r>
      <w:r w:rsidRPr="007C3AD9">
        <w:rPr>
          <w:b/>
          <w:bCs/>
        </w:rPr>
        <w:t xml:space="preserve">  </w:t>
      </w:r>
    </w:p>
    <w:p w14:paraId="54A689D7" w14:textId="50444776" w:rsidR="00425F08" w:rsidRPr="007C3AD9" w:rsidRDefault="00425F08" w:rsidP="00B64E0A">
      <w:pPr>
        <w:spacing w:after="0" w:line="276" w:lineRule="auto"/>
        <w:rPr>
          <w:b/>
          <w:bCs/>
        </w:rPr>
      </w:pPr>
    </w:p>
    <w:p w14:paraId="359B44AC" w14:textId="77777777" w:rsidR="007C3AD9" w:rsidRPr="00DC1455" w:rsidRDefault="007C3AD9" w:rsidP="00B64E0A">
      <w:pPr>
        <w:pStyle w:val="Heading2"/>
        <w:spacing w:after="0" w:line="276" w:lineRule="auto"/>
        <w:rPr>
          <w:rFonts w:ascii="VAG Rounded" w:hAnsi="VAG Rounded"/>
          <w:sz w:val="28"/>
          <w:szCs w:val="28"/>
        </w:rPr>
      </w:pPr>
      <w:r w:rsidRPr="00DC1455">
        <w:rPr>
          <w:rFonts w:ascii="VAG Rounded" w:hAnsi="VAG Rounded"/>
          <w:sz w:val="28"/>
          <w:szCs w:val="28"/>
        </w:rPr>
        <w:t>Safeguarding and nominee appointments</w:t>
      </w:r>
    </w:p>
    <w:p w14:paraId="20A638FA" w14:textId="77777777" w:rsidR="007C3AD9" w:rsidRPr="007C3AD9" w:rsidRDefault="007C3AD9" w:rsidP="00B64E0A">
      <w:pPr>
        <w:spacing w:after="0" w:line="276" w:lineRule="auto"/>
      </w:pPr>
    </w:p>
    <w:p w14:paraId="23E49508" w14:textId="77777777" w:rsidR="007C3AD9" w:rsidRPr="007C3AD9" w:rsidRDefault="007C3AD9" w:rsidP="00B64E0A">
      <w:pPr>
        <w:spacing w:after="0" w:line="276" w:lineRule="auto"/>
      </w:pPr>
      <w:r w:rsidRPr="007C3AD9">
        <w:t>Nominee appointments that are made in accordance with a participant’s will and preferences must still be subject to appropriate and effective safeguards.</w:t>
      </w:r>
      <w:r w:rsidRPr="007C3AD9">
        <w:rPr>
          <w:vertAlign w:val="superscript"/>
        </w:rPr>
        <w:footnoteReference w:id="6"/>
      </w:r>
      <w:r w:rsidRPr="007C3AD9">
        <w:t xml:space="preserve"> </w:t>
      </w:r>
    </w:p>
    <w:p w14:paraId="13360EF4" w14:textId="77777777" w:rsidR="007C3AD9" w:rsidRPr="007C3AD9" w:rsidRDefault="007C3AD9" w:rsidP="00B64E0A">
      <w:pPr>
        <w:spacing w:after="0" w:line="276" w:lineRule="auto"/>
      </w:pPr>
    </w:p>
    <w:p w14:paraId="1BE85F37" w14:textId="7F15B507" w:rsidR="007C3AD9" w:rsidRPr="007C3AD9" w:rsidRDefault="007C3AD9" w:rsidP="00B64E0A">
      <w:pPr>
        <w:spacing w:after="0" w:line="276" w:lineRule="auto"/>
      </w:pPr>
      <w:r w:rsidRPr="007C3AD9">
        <w:t xml:space="preserve">We recommend that </w:t>
      </w:r>
      <w:r w:rsidR="00425F08">
        <w:t xml:space="preserve">the </w:t>
      </w:r>
      <w:r w:rsidRPr="007C3AD9">
        <w:t>NDIA implement</w:t>
      </w:r>
      <w:r w:rsidR="00425F08">
        <w:t>s</w:t>
      </w:r>
      <w:r w:rsidRPr="007C3AD9">
        <w:t xml:space="preserve"> the following recommendations to strengthen nominee safeguards:  </w:t>
      </w:r>
    </w:p>
    <w:p w14:paraId="3C9979C7" w14:textId="77777777" w:rsidR="007C3AD9" w:rsidRPr="007C3AD9" w:rsidRDefault="007C3AD9" w:rsidP="00B64E0A">
      <w:pPr>
        <w:spacing w:after="0" w:line="276" w:lineRule="auto"/>
      </w:pPr>
    </w:p>
    <w:p w14:paraId="66E194FE" w14:textId="7777777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pPr>
      <w:r w:rsidRPr="007C3AD9">
        <w:rPr>
          <w:b/>
          <w:bCs/>
        </w:rPr>
        <w:t xml:space="preserve">Recommendation 2: </w:t>
      </w:r>
      <w:r w:rsidRPr="007C3AD9">
        <w:t xml:space="preserve">Rule 4.4 of the </w:t>
      </w:r>
      <w:r w:rsidRPr="007C3AD9">
        <w:rPr>
          <w:i/>
          <w:iCs/>
        </w:rPr>
        <w:t xml:space="preserve">National Disability Insurance Scheme (Nominees) Rules 2013 </w:t>
      </w:r>
      <w:r w:rsidRPr="007C3AD9">
        <w:t>(Cth) should be amended to prohibit a participant’s carer from being appointed as their nominee.</w:t>
      </w:r>
    </w:p>
    <w:p w14:paraId="771DBBF9" w14:textId="77777777" w:rsidR="007C3AD9" w:rsidRPr="007C3AD9" w:rsidRDefault="007C3AD9" w:rsidP="00B64E0A">
      <w:pPr>
        <w:spacing w:after="0" w:line="276" w:lineRule="auto"/>
      </w:pPr>
    </w:p>
    <w:p w14:paraId="4AC12848" w14:textId="6117B724" w:rsidR="007C3AD9" w:rsidRPr="00DC1455" w:rsidRDefault="007C3AD9" w:rsidP="00B64E0A">
      <w:pPr>
        <w:spacing w:after="0" w:line="276" w:lineRule="auto"/>
      </w:pPr>
      <w:r w:rsidRPr="00DC1455">
        <w:t>This will help to prevent situations where the participant’s carer is the only person in their li</w:t>
      </w:r>
      <w:r w:rsidR="00BD226E" w:rsidRPr="00DC1455">
        <w:t>fe</w:t>
      </w:r>
      <w:r w:rsidRPr="00DC1455">
        <w:t xml:space="preserve"> and is able to perpetrate abuse or neglect without oversight by other people. It will also prevent situations where carers use their nominee powers to perpetrate abuse, such as requesting the cessation of services.  </w:t>
      </w:r>
    </w:p>
    <w:p w14:paraId="6F33307D" w14:textId="77777777" w:rsidR="007C3AD9" w:rsidRPr="007C3AD9" w:rsidRDefault="007C3AD9" w:rsidP="00B64E0A">
      <w:pPr>
        <w:spacing w:after="0" w:line="276" w:lineRule="auto"/>
      </w:pPr>
    </w:p>
    <w:p w14:paraId="19D81F8D" w14:textId="0DBD5A84"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pPr>
      <w:r w:rsidRPr="007C3AD9">
        <w:rPr>
          <w:b/>
          <w:bCs/>
        </w:rPr>
        <w:t xml:space="preserve">Recommendation 3: </w:t>
      </w:r>
      <w:r w:rsidRPr="007C3AD9">
        <w:t>When developing processes to</w:t>
      </w:r>
      <w:r w:rsidRPr="007C3AD9">
        <w:rPr>
          <w:b/>
          <w:bCs/>
        </w:rPr>
        <w:t xml:space="preserve"> </w:t>
      </w:r>
      <w:r w:rsidRPr="007C3AD9">
        <w:t>review existing nominee appointments at key life stages and plan reviews (as outlined on page 27 of the Consultation Paper</w:t>
      </w:r>
      <w:r w:rsidR="00DC1455">
        <w:t>),</w:t>
      </w:r>
      <w:r w:rsidRPr="007C3AD9">
        <w:t xml:space="preserve"> the NDIA should ensure that the review includes speaking directly to the participant and determining whether continuing the nominee appointment still reflects their will and preference.</w:t>
      </w:r>
    </w:p>
    <w:p w14:paraId="133F2CAE" w14:textId="77777777" w:rsidR="007C3AD9" w:rsidRPr="007C3AD9" w:rsidRDefault="007C3AD9" w:rsidP="00B64E0A">
      <w:pPr>
        <w:spacing w:after="0" w:line="276" w:lineRule="auto"/>
      </w:pPr>
    </w:p>
    <w:p w14:paraId="79A1DB7C" w14:textId="094A0ED5"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pPr>
      <w:r w:rsidRPr="007C3AD9">
        <w:rPr>
          <w:b/>
          <w:bCs/>
        </w:rPr>
        <w:t xml:space="preserve">Recommendation 4: </w:t>
      </w:r>
      <w:r w:rsidRPr="007C3AD9">
        <w:t xml:space="preserve">The NDIA must ensure that participants are aware of their right to request a review of a nominee appointment. This should involve ensuring </w:t>
      </w:r>
      <w:r w:rsidR="00425F08">
        <w:t xml:space="preserve">that </w:t>
      </w:r>
      <w:r w:rsidRPr="007C3AD9">
        <w:t>the participant and their other support people understand this right, reminding them of this right at all planning meetings and publishing accessible information about how to appeal a nominee appointment.</w:t>
      </w:r>
    </w:p>
    <w:p w14:paraId="516E20CD" w14:textId="77777777" w:rsidR="007C3AD9" w:rsidRPr="007C3AD9" w:rsidRDefault="007C3AD9" w:rsidP="00B64E0A">
      <w:pPr>
        <w:spacing w:after="0" w:line="276" w:lineRule="auto"/>
      </w:pPr>
    </w:p>
    <w:p w14:paraId="08ED42F3" w14:textId="7777777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rPr>
          <w:b/>
          <w:bCs/>
        </w:rPr>
      </w:pPr>
      <w:r w:rsidRPr="007C3AD9">
        <w:rPr>
          <w:b/>
          <w:bCs/>
        </w:rPr>
        <w:lastRenderedPageBreak/>
        <w:t xml:space="preserve">Recommendation 5: </w:t>
      </w:r>
      <w:r w:rsidRPr="007C3AD9">
        <w:t xml:space="preserve">Participants must always retain the right to request changes to their plan without the nominee’s consent to avoid delay, especially in urgent situations such as needing to quickly change housing arrangements. </w:t>
      </w:r>
    </w:p>
    <w:p w14:paraId="112E1C07" w14:textId="77777777" w:rsidR="007C3AD9" w:rsidRPr="007C3AD9" w:rsidRDefault="007C3AD9" w:rsidP="00B64E0A">
      <w:pPr>
        <w:spacing w:after="0" w:line="276" w:lineRule="auto"/>
      </w:pPr>
    </w:p>
    <w:p w14:paraId="30F5F16A" w14:textId="7777777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rPr>
          <w:b/>
          <w:bCs/>
        </w:rPr>
      </w:pPr>
      <w:r w:rsidRPr="007C3AD9">
        <w:rPr>
          <w:b/>
          <w:bCs/>
        </w:rPr>
        <w:t xml:space="preserve">Recommendation 6: </w:t>
      </w:r>
      <w:r w:rsidRPr="007C3AD9">
        <w:t xml:space="preserve">The NDIA must ensure that participants are included in all conversations and correspondence involving the nominee. </w:t>
      </w:r>
    </w:p>
    <w:p w14:paraId="663B442D" w14:textId="77777777" w:rsidR="007C3AD9" w:rsidRPr="007C3AD9" w:rsidRDefault="007C3AD9" w:rsidP="00B64E0A">
      <w:pPr>
        <w:spacing w:after="0" w:line="276" w:lineRule="auto"/>
      </w:pPr>
    </w:p>
    <w:p w14:paraId="0AB355EE" w14:textId="7777777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pPr>
      <w:r w:rsidRPr="007C3AD9">
        <w:rPr>
          <w:b/>
          <w:bCs/>
        </w:rPr>
        <w:t xml:space="preserve">Recommendation 7: </w:t>
      </w:r>
      <w:r w:rsidRPr="007C3AD9">
        <w:t xml:space="preserve">The proposed policy should provide more detailed information about undue influence and abuse. It should identify ‘red flags’, such as where a nominee requests the cessation of services to isolate the participant. The NDIA should consult with people with disability and their representative organisations to develop a comprehensive list of ‘red flags’.    </w:t>
      </w:r>
    </w:p>
    <w:p w14:paraId="1CF44E4D" w14:textId="2CBE1CC6" w:rsidR="007C3AD9" w:rsidRDefault="007C3AD9" w:rsidP="00B64E0A">
      <w:pPr>
        <w:spacing w:after="0" w:line="276" w:lineRule="auto"/>
        <w:rPr>
          <w:b/>
          <w:bCs/>
        </w:rPr>
      </w:pPr>
    </w:p>
    <w:p w14:paraId="636C9458" w14:textId="77777777" w:rsidR="007C3AD9" w:rsidRPr="00DC1455" w:rsidRDefault="007C3AD9" w:rsidP="00B64E0A">
      <w:pPr>
        <w:pStyle w:val="Heading2"/>
        <w:spacing w:after="0" w:line="276" w:lineRule="auto"/>
        <w:rPr>
          <w:rFonts w:ascii="VAG Rounded" w:hAnsi="VAG Rounded"/>
          <w:sz w:val="28"/>
          <w:szCs w:val="28"/>
        </w:rPr>
      </w:pPr>
      <w:r w:rsidRPr="00DC1455">
        <w:rPr>
          <w:rFonts w:ascii="VAG Rounded" w:hAnsi="VAG Rounded"/>
          <w:sz w:val="28"/>
          <w:szCs w:val="28"/>
        </w:rPr>
        <w:t>Support for decision making</w:t>
      </w:r>
    </w:p>
    <w:p w14:paraId="5783F2E5" w14:textId="77777777" w:rsidR="007C3AD9" w:rsidRPr="007C3AD9" w:rsidRDefault="007C3AD9" w:rsidP="00B64E0A">
      <w:pPr>
        <w:spacing w:after="0" w:line="276" w:lineRule="auto"/>
      </w:pPr>
    </w:p>
    <w:p w14:paraId="7C0A2FDA" w14:textId="77777777" w:rsidR="007C3AD9" w:rsidRPr="007C3AD9" w:rsidRDefault="007C3AD9" w:rsidP="00B64E0A">
      <w:pPr>
        <w:spacing w:after="0" w:line="276" w:lineRule="auto"/>
      </w:pPr>
      <w:r w:rsidRPr="007C3AD9">
        <w:t xml:space="preserve">The following two recommendations relate to support for decision making. </w:t>
      </w:r>
    </w:p>
    <w:p w14:paraId="2DDAB748" w14:textId="77777777" w:rsidR="007C3AD9" w:rsidRPr="007C3AD9" w:rsidRDefault="007C3AD9" w:rsidP="00B64E0A">
      <w:pPr>
        <w:spacing w:after="0" w:line="276" w:lineRule="auto"/>
      </w:pPr>
    </w:p>
    <w:p w14:paraId="3AB60D03" w14:textId="2CF0EE3D" w:rsidR="007C3AD9" w:rsidRPr="007C3AD9" w:rsidRDefault="007C3AD9" w:rsidP="00B64E0A">
      <w:pPr>
        <w:spacing w:after="0" w:line="276" w:lineRule="auto"/>
      </w:pPr>
      <w:r w:rsidRPr="007C3AD9">
        <w:t xml:space="preserve">First, to enable decision supporters to perform their role, the NDIA must ensure that </w:t>
      </w:r>
      <w:r w:rsidR="00AE670C">
        <w:t>they</w:t>
      </w:r>
      <w:r w:rsidRPr="007C3AD9">
        <w:t xml:space="preserve"> are included in all communications, </w:t>
      </w:r>
      <w:r w:rsidR="00BD47EE" w:rsidRPr="007C3AD9">
        <w:t>correspondence,</w:t>
      </w:r>
      <w:r w:rsidRPr="007C3AD9">
        <w:t xml:space="preserve"> and meetings. Where the NDIA does not include a decision supporter in meetings and correspondence, they are denying the participant their right to exercise legal capacity.</w:t>
      </w:r>
      <w:r w:rsidRPr="007C3AD9">
        <w:rPr>
          <w:vertAlign w:val="superscript"/>
        </w:rPr>
        <w:footnoteReference w:id="7"/>
      </w:r>
    </w:p>
    <w:p w14:paraId="2C94DDFE" w14:textId="77777777" w:rsidR="007C3AD9" w:rsidRPr="007C3AD9" w:rsidRDefault="007C3AD9" w:rsidP="00B64E0A">
      <w:pPr>
        <w:spacing w:after="0" w:line="276" w:lineRule="auto"/>
      </w:pPr>
    </w:p>
    <w:p w14:paraId="66152D31" w14:textId="21E8ABF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pPr>
      <w:r w:rsidRPr="007C3AD9">
        <w:rPr>
          <w:b/>
          <w:bCs/>
        </w:rPr>
        <w:t>Recommendation 8:</w:t>
      </w:r>
      <w:r w:rsidRPr="007C3AD9">
        <w:t xml:space="preserve"> The NDIS Operational Guidelines </w:t>
      </w:r>
      <w:r w:rsidR="00684580">
        <w:t>are</w:t>
      </w:r>
      <w:r w:rsidRPr="007C3AD9">
        <w:t xml:space="preserve"> amended to ensure that the NDIA includes decision support people (where appointed by the participant) in all communications, </w:t>
      </w:r>
      <w:r w:rsidR="00BD47EE" w:rsidRPr="007C3AD9">
        <w:t>correspondence,</w:t>
      </w:r>
      <w:r w:rsidRPr="007C3AD9">
        <w:t xml:space="preserve"> and meetings. </w:t>
      </w:r>
    </w:p>
    <w:p w14:paraId="55739B6C" w14:textId="77777777" w:rsidR="007C3AD9" w:rsidRPr="007C3AD9" w:rsidRDefault="007C3AD9" w:rsidP="00B64E0A">
      <w:pPr>
        <w:spacing w:after="0" w:line="276" w:lineRule="auto"/>
      </w:pPr>
    </w:p>
    <w:p w14:paraId="1DB13E3A" w14:textId="4D849E2A" w:rsidR="007C3AD9" w:rsidRPr="007C3AD9" w:rsidRDefault="007C3AD9" w:rsidP="00B64E0A">
      <w:pPr>
        <w:spacing w:after="0" w:line="276" w:lineRule="auto"/>
      </w:pPr>
      <w:r w:rsidRPr="007C3AD9">
        <w:t xml:space="preserve">In addition, our advocates reported that some participants would benefit from therapeutic support to increase their involvement in decision making. They suggested that specific funding should be available for this support and guidance provided as to what evidence is required to access it. </w:t>
      </w:r>
    </w:p>
    <w:p w14:paraId="33ACED3F" w14:textId="77777777" w:rsidR="007C3AD9" w:rsidRPr="007C3AD9" w:rsidRDefault="007C3AD9" w:rsidP="00B64E0A">
      <w:pPr>
        <w:spacing w:after="0" w:line="276" w:lineRule="auto"/>
      </w:pPr>
    </w:p>
    <w:p w14:paraId="0C1649E1" w14:textId="77777777"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pPr>
      <w:r w:rsidRPr="007C3AD9">
        <w:rPr>
          <w:b/>
          <w:bCs/>
        </w:rPr>
        <w:t xml:space="preserve">Recommendation 9: </w:t>
      </w:r>
      <w:r w:rsidRPr="007C3AD9">
        <w:t xml:space="preserve">Participants should be able to access specific funding to access therapeutic support to increase their involvement in decision making. The NDIA should set out the evidence required to access this support. </w:t>
      </w:r>
    </w:p>
    <w:p w14:paraId="4E1CF4DC" w14:textId="77777777" w:rsidR="007C3AD9" w:rsidRPr="007C3AD9" w:rsidRDefault="007C3AD9" w:rsidP="00B64E0A">
      <w:pPr>
        <w:spacing w:after="0" w:line="276" w:lineRule="auto"/>
      </w:pPr>
    </w:p>
    <w:p w14:paraId="47EA77A2" w14:textId="77777777" w:rsidR="007C3AD9" w:rsidRPr="00DC1455" w:rsidRDefault="007C3AD9" w:rsidP="00B64E0A">
      <w:pPr>
        <w:pStyle w:val="Heading2"/>
        <w:spacing w:after="0" w:line="276" w:lineRule="auto"/>
        <w:rPr>
          <w:rFonts w:ascii="VAG Rounded" w:hAnsi="VAG Rounded"/>
          <w:sz w:val="28"/>
          <w:szCs w:val="28"/>
        </w:rPr>
      </w:pPr>
      <w:r w:rsidRPr="00DC1455">
        <w:rPr>
          <w:rFonts w:ascii="VAG Rounded" w:hAnsi="VAG Rounded"/>
          <w:sz w:val="28"/>
          <w:szCs w:val="28"/>
        </w:rPr>
        <w:lastRenderedPageBreak/>
        <w:t>Decision making capability framework</w:t>
      </w:r>
    </w:p>
    <w:p w14:paraId="08FC6848" w14:textId="77777777" w:rsidR="007C3AD9" w:rsidRPr="007C3AD9" w:rsidRDefault="007C3AD9" w:rsidP="00B64E0A">
      <w:pPr>
        <w:spacing w:after="0" w:line="276" w:lineRule="auto"/>
        <w:rPr>
          <w:u w:val="single"/>
        </w:rPr>
      </w:pPr>
    </w:p>
    <w:p w14:paraId="5639513F" w14:textId="0B3ED0C3" w:rsidR="007C3AD9" w:rsidRPr="007C3AD9" w:rsidRDefault="007C3AD9" w:rsidP="00B64E0A">
      <w:pPr>
        <w:spacing w:after="0" w:line="276" w:lineRule="auto"/>
      </w:pPr>
      <w:r w:rsidRPr="007C3AD9">
        <w:t>Australia is signatory to the</w:t>
      </w:r>
      <w:r w:rsidRPr="00512BB2">
        <w:t xml:space="preserve"> Convention on the Rights of the Child (CRC</w:t>
      </w:r>
      <w:r w:rsidRPr="007C3AD9">
        <w:t>), which contains rights relating to all children and rights relating specifically to children with disability. When drafting and finalising any policy that affects children with disability, the NDIA must ensure it complies with the CRC. In this regard, we recommend that:</w:t>
      </w:r>
    </w:p>
    <w:p w14:paraId="6FEEB57A" w14:textId="77777777" w:rsidR="007C3AD9" w:rsidRPr="007C3AD9" w:rsidRDefault="007C3AD9" w:rsidP="00B64E0A">
      <w:pPr>
        <w:spacing w:after="0" w:line="276" w:lineRule="auto"/>
      </w:pPr>
    </w:p>
    <w:p w14:paraId="3F6CB731" w14:textId="0906FCE3"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rPr>
          <w:b/>
          <w:bCs/>
        </w:rPr>
      </w:pPr>
      <w:r w:rsidRPr="007C3AD9">
        <w:rPr>
          <w:b/>
          <w:bCs/>
        </w:rPr>
        <w:t>Recommendation 10:</w:t>
      </w:r>
      <w:r w:rsidR="006348AB">
        <w:rPr>
          <w:b/>
          <w:bCs/>
        </w:rPr>
        <w:t xml:space="preserve"> </w:t>
      </w:r>
      <w:r w:rsidRPr="007C3AD9">
        <w:t xml:space="preserve">The NDIA amends the ‘Strategies to Build Capacity’ row in Figure 3 in the Decision Making Capability Framework to provide Young People (13-17), as well as Young Adults, the opportunity to ‘explore and increase understanding of personal will and preference’. This ensures dignity and promotes self-reliance in accordance with Article 23 of the </w:t>
      </w:r>
      <w:r w:rsidR="00512BB2">
        <w:t>CRC.</w:t>
      </w:r>
      <w:r w:rsidRPr="007C3AD9">
        <w:t xml:space="preserve"> </w:t>
      </w:r>
    </w:p>
    <w:p w14:paraId="48BCBC26" w14:textId="77777777" w:rsidR="007C3AD9" w:rsidRPr="007C3AD9" w:rsidRDefault="007C3AD9" w:rsidP="00B64E0A">
      <w:pPr>
        <w:spacing w:after="0" w:line="276" w:lineRule="auto"/>
        <w:rPr>
          <w:b/>
          <w:bCs/>
        </w:rPr>
      </w:pPr>
    </w:p>
    <w:p w14:paraId="0B8AE67C" w14:textId="4F160C49" w:rsidR="007C3AD9" w:rsidRPr="007C3AD9" w:rsidRDefault="007C3AD9" w:rsidP="00B64E0A">
      <w:pPr>
        <w:pBdr>
          <w:top w:val="dotted" w:sz="4" w:space="1" w:color="auto"/>
          <w:left w:val="dotted" w:sz="4" w:space="4" w:color="auto"/>
          <w:bottom w:val="dotted" w:sz="4" w:space="1" w:color="auto"/>
          <w:right w:val="dotted" w:sz="4" w:space="4" w:color="auto"/>
          <w:between w:val="dotted" w:sz="4" w:space="1" w:color="auto"/>
          <w:bar w:val="dotted" w:sz="4" w:color="auto"/>
        </w:pBdr>
        <w:spacing w:after="0" w:line="276" w:lineRule="auto"/>
        <w:rPr>
          <w:b/>
          <w:bCs/>
        </w:rPr>
      </w:pPr>
      <w:r w:rsidRPr="007C3AD9">
        <w:rPr>
          <w:b/>
          <w:bCs/>
        </w:rPr>
        <w:t xml:space="preserve">Recommendation 11: </w:t>
      </w:r>
      <w:r w:rsidRPr="007C3AD9">
        <w:t xml:space="preserve">In accordance with Article 12 of the </w:t>
      </w:r>
      <w:r w:rsidR="00512BB2">
        <w:t>CRC</w:t>
      </w:r>
      <w:r w:rsidRPr="007C3AD9">
        <w:t xml:space="preserve">, the NDIA should ensure it has consulted with children and young people directly before finalising the Decision Making Capability Framework. </w:t>
      </w:r>
    </w:p>
    <w:p w14:paraId="0E6161F9" w14:textId="77777777" w:rsidR="007C3AD9" w:rsidRPr="007C3AD9" w:rsidRDefault="007C3AD9" w:rsidP="00B64E0A">
      <w:pPr>
        <w:spacing w:after="0" w:line="276" w:lineRule="auto"/>
      </w:pPr>
    </w:p>
    <w:p w14:paraId="0DACAF7C" w14:textId="7C4AEEBE" w:rsidR="00DE57B8" w:rsidRPr="007C3AD9" w:rsidRDefault="007C3AD9" w:rsidP="00B64E0A">
      <w:pPr>
        <w:spacing w:after="0" w:line="276" w:lineRule="auto"/>
      </w:pPr>
      <w:r w:rsidRPr="007C3AD9">
        <w:t>Should you wish to discuss this submission further, please contact</w:t>
      </w:r>
      <w:r w:rsidR="00DE57B8">
        <w:t xml:space="preserve"> my Senior Manager of Policy,</w:t>
      </w:r>
      <w:r w:rsidRPr="007C3AD9">
        <w:t xml:space="preserve"> Giancarlo de Vera on </w:t>
      </w:r>
      <w:r w:rsidR="006348AB" w:rsidRPr="006348AB">
        <w:t>0413 135 731</w:t>
      </w:r>
      <w:r w:rsidR="006348AB">
        <w:t xml:space="preserve"> </w:t>
      </w:r>
      <w:r w:rsidRPr="007C3AD9">
        <w:t xml:space="preserve">or at </w:t>
      </w:r>
      <w:hyperlink r:id="rId9" w:history="1">
        <w:r w:rsidR="006348AB" w:rsidRPr="00DC1455">
          <w:rPr>
            <w:rStyle w:val="Hyperlink"/>
            <w:b w:val="0"/>
            <w:bCs/>
          </w:rPr>
          <w:t>giancarlod@pwd.org.au</w:t>
        </w:r>
      </w:hyperlink>
      <w:r w:rsidR="00DE57B8">
        <w:t>.</w:t>
      </w:r>
      <w:r w:rsidR="00DE57B8" w:rsidRPr="007C3AD9">
        <w:t xml:space="preserve">We thank you again for the opportunity to provide feedback on the </w:t>
      </w:r>
      <w:r w:rsidR="00DE57B8">
        <w:t xml:space="preserve">NDIA’s </w:t>
      </w:r>
      <w:r w:rsidR="00DE57B8" w:rsidRPr="007C3AD9">
        <w:t xml:space="preserve">proposed </w:t>
      </w:r>
      <w:r w:rsidR="00DE57B8">
        <w:t xml:space="preserve">support for decision making </w:t>
      </w:r>
      <w:r w:rsidR="00DE57B8" w:rsidRPr="007C3AD9">
        <w:t xml:space="preserve">policy. </w:t>
      </w:r>
    </w:p>
    <w:p w14:paraId="48F85277" w14:textId="34D4DF0C" w:rsidR="007C3AD9" w:rsidRPr="007C3AD9" w:rsidRDefault="007C3AD9" w:rsidP="00B64E0A">
      <w:pPr>
        <w:spacing w:after="0" w:line="276" w:lineRule="auto"/>
      </w:pPr>
    </w:p>
    <w:p w14:paraId="3573D5CB" w14:textId="77777777" w:rsidR="00DC1455" w:rsidRDefault="00DC1455" w:rsidP="00B64E0A">
      <w:pPr>
        <w:spacing w:after="0" w:line="276" w:lineRule="auto"/>
      </w:pPr>
    </w:p>
    <w:p w14:paraId="525DC5F1" w14:textId="190D02A4" w:rsidR="007C3AD9" w:rsidRPr="007C3AD9" w:rsidRDefault="00DC1455" w:rsidP="00B64E0A">
      <w:pPr>
        <w:spacing w:after="0" w:line="276" w:lineRule="auto"/>
      </w:pPr>
      <w:r>
        <w:t>Yours s</w:t>
      </w:r>
      <w:r w:rsidR="007C3AD9" w:rsidRPr="007C3AD9">
        <w:t>incerely</w:t>
      </w:r>
    </w:p>
    <w:p w14:paraId="228DD82F" w14:textId="0E611A6B" w:rsidR="00665E6E" w:rsidRDefault="00B64E0A" w:rsidP="00B64E0A">
      <w:pPr>
        <w:spacing w:after="0" w:line="276" w:lineRule="auto"/>
      </w:pPr>
      <w:r>
        <w:rPr>
          <w:noProof/>
        </w:rPr>
        <w:drawing>
          <wp:anchor distT="0" distB="0" distL="114300" distR="114300" simplePos="0" relativeHeight="251658240" behindDoc="1" locked="0" layoutInCell="1" allowOverlap="1" wp14:anchorId="72590347" wp14:editId="2B39492D">
            <wp:simplePos x="0" y="0"/>
            <wp:positionH relativeFrom="column">
              <wp:posOffset>-186690</wp:posOffset>
            </wp:positionH>
            <wp:positionV relativeFrom="paragraph">
              <wp:posOffset>119380</wp:posOffset>
            </wp:positionV>
            <wp:extent cx="2034540" cy="752475"/>
            <wp:effectExtent l="0" t="0" r="3810" b="9525"/>
            <wp:wrapTight wrapText="bothSides">
              <wp:wrapPolygon edited="0">
                <wp:start x="0" y="0"/>
                <wp:lineTo x="0" y="21327"/>
                <wp:lineTo x="21438" y="21327"/>
                <wp:lineTo x="21438" y="0"/>
                <wp:lineTo x="0" y="0"/>
              </wp:wrapPolygon>
            </wp:wrapTight>
            <wp:docPr id="5" name="Picture 5" descr="A close-up of a pair of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pair of glasses&#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34540" cy="752475"/>
                    </a:xfrm>
                    <a:prstGeom prst="rect">
                      <a:avLst/>
                    </a:prstGeom>
                  </pic:spPr>
                </pic:pic>
              </a:graphicData>
            </a:graphic>
            <wp14:sizeRelH relativeFrom="margin">
              <wp14:pctWidth>0</wp14:pctWidth>
            </wp14:sizeRelH>
            <wp14:sizeRelV relativeFrom="margin">
              <wp14:pctHeight>0</wp14:pctHeight>
            </wp14:sizeRelV>
          </wp:anchor>
        </w:drawing>
      </w:r>
    </w:p>
    <w:p w14:paraId="7311EFAE" w14:textId="72F3CF35" w:rsidR="00BD47EE" w:rsidRDefault="00BD47EE" w:rsidP="00B64E0A">
      <w:pPr>
        <w:spacing w:after="0" w:line="276" w:lineRule="auto"/>
      </w:pPr>
    </w:p>
    <w:p w14:paraId="1D7BE0D0" w14:textId="77777777" w:rsidR="00DE57B8" w:rsidRDefault="00DE57B8" w:rsidP="00B64E0A">
      <w:pPr>
        <w:spacing w:after="0" w:line="276" w:lineRule="auto"/>
      </w:pPr>
    </w:p>
    <w:p w14:paraId="14563D26" w14:textId="77777777" w:rsidR="00904613" w:rsidRPr="00665E6E" w:rsidRDefault="00904613" w:rsidP="00B64E0A">
      <w:pPr>
        <w:spacing w:after="0" w:line="276" w:lineRule="auto"/>
      </w:pPr>
    </w:p>
    <w:p w14:paraId="5F0B94BF" w14:textId="77777777" w:rsidR="00B64E0A" w:rsidRDefault="00B64E0A" w:rsidP="00B64E0A">
      <w:pPr>
        <w:pStyle w:val="AddressBlock"/>
        <w:spacing w:before="0" w:after="0" w:line="276" w:lineRule="auto"/>
      </w:pPr>
    </w:p>
    <w:p w14:paraId="466510E8" w14:textId="763B612B" w:rsidR="00CB2E90" w:rsidRPr="00DC1455" w:rsidRDefault="00DE57B8" w:rsidP="00B64E0A">
      <w:pPr>
        <w:pStyle w:val="AddressBlock"/>
        <w:spacing w:before="0" w:after="0" w:line="276" w:lineRule="auto"/>
      </w:pPr>
      <w:r>
        <w:t>Sebastian Zagarella</w:t>
      </w:r>
    </w:p>
    <w:p w14:paraId="2598F7CC" w14:textId="4CB67206" w:rsidR="002C39E0" w:rsidRPr="00DC1455" w:rsidRDefault="00DE57B8" w:rsidP="00B64E0A">
      <w:pPr>
        <w:pStyle w:val="AddressBlock"/>
        <w:spacing w:before="0" w:after="0" w:line="276" w:lineRule="auto"/>
        <w:rPr>
          <w:b w:val="0"/>
          <w:bCs/>
        </w:rPr>
      </w:pPr>
      <w:r>
        <w:rPr>
          <w:b w:val="0"/>
          <w:bCs/>
        </w:rPr>
        <w:t>Chief Executive Officer</w:t>
      </w:r>
    </w:p>
    <w:p w14:paraId="2F658EE9" w14:textId="0E41363C" w:rsidR="002C39E0" w:rsidRPr="00DC1455" w:rsidRDefault="002C39E0" w:rsidP="00DC1455">
      <w:pPr>
        <w:pStyle w:val="AddressBlock"/>
        <w:spacing w:before="0" w:after="0" w:line="240" w:lineRule="auto"/>
        <w:rPr>
          <w:b w:val="0"/>
          <w:bCs/>
        </w:rPr>
      </w:pPr>
    </w:p>
    <w:sectPr w:rsidR="002C39E0" w:rsidRPr="00DC1455" w:rsidSect="009122C2">
      <w:headerReference w:type="even" r:id="rId11"/>
      <w:headerReference w:type="default" r:id="rId12"/>
      <w:footerReference w:type="default" r:id="rId13"/>
      <w:headerReference w:type="first" r:id="rId14"/>
      <w:footerReference w:type="first" r:id="rId15"/>
      <w:pgSz w:w="11906" w:h="16838" w:code="9"/>
      <w:pgMar w:top="2835" w:right="1134" w:bottom="170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D7B17" w14:textId="77777777" w:rsidR="00121C63" w:rsidRDefault="00121C63" w:rsidP="00F1283C">
      <w:pPr>
        <w:spacing w:after="0" w:line="240" w:lineRule="auto"/>
      </w:pPr>
      <w:r>
        <w:separator/>
      </w:r>
    </w:p>
  </w:endnote>
  <w:endnote w:type="continuationSeparator" w:id="0">
    <w:p w14:paraId="6BBE1B3B" w14:textId="77777777" w:rsidR="00121C63" w:rsidRDefault="00121C63"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AGblake Black">
    <w:altName w:val="Times New Roman"/>
    <w:panose1 w:val="00000000000000000000"/>
    <w:charset w:val="00"/>
    <w:family w:val="modern"/>
    <w:notTrueType/>
    <w:pitch w:val="variable"/>
    <w:sig w:usb0="800000AF" w:usb1="40000048"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VAG Rounded">
    <w:altName w:val="Calibri"/>
    <w:panose1 w:val="020B0500000000000000"/>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071296"/>
      <w:docPartObj>
        <w:docPartGallery w:val="Page Numbers (Bottom of Page)"/>
        <w:docPartUnique/>
      </w:docPartObj>
    </w:sdtPr>
    <w:sdtEndPr>
      <w:rPr>
        <w:noProof/>
      </w:rPr>
    </w:sdtEndPr>
    <w:sdtContent>
      <w:p w14:paraId="629B7EB7" w14:textId="3264BBF9" w:rsidR="00B64E0A" w:rsidRDefault="00B64E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879B4A" w14:textId="50F1AD8B" w:rsidR="00665E6E" w:rsidRDefault="0066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5FB6"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64FA98D3" wp14:editId="7CC5B429">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A4F6C" w14:textId="77777777" w:rsidR="00121C63" w:rsidRDefault="00121C63" w:rsidP="00F1283C">
      <w:pPr>
        <w:spacing w:after="0" w:line="240" w:lineRule="auto"/>
      </w:pPr>
      <w:r>
        <w:separator/>
      </w:r>
    </w:p>
  </w:footnote>
  <w:footnote w:type="continuationSeparator" w:id="0">
    <w:p w14:paraId="3B14E3E5" w14:textId="77777777" w:rsidR="00121C63" w:rsidRDefault="00121C63" w:rsidP="00F1283C">
      <w:pPr>
        <w:spacing w:after="0" w:line="240" w:lineRule="auto"/>
      </w:pPr>
      <w:r>
        <w:continuationSeparator/>
      </w:r>
    </w:p>
  </w:footnote>
  <w:footnote w:id="1">
    <w:p w14:paraId="727F87CA" w14:textId="77777777" w:rsidR="007C3AD9" w:rsidRPr="00DC1455" w:rsidRDefault="007C3AD9" w:rsidP="007C3AD9">
      <w:pPr>
        <w:pStyle w:val="FootnoteText"/>
        <w:rPr>
          <w:sz w:val="17"/>
          <w:szCs w:val="17"/>
        </w:rPr>
      </w:pPr>
      <w:r w:rsidRPr="00DC1455">
        <w:rPr>
          <w:rStyle w:val="FootnoteReference"/>
          <w:sz w:val="17"/>
          <w:szCs w:val="17"/>
        </w:rPr>
        <w:footnoteRef/>
      </w:r>
      <w:r w:rsidRPr="00DC1455">
        <w:rPr>
          <w:sz w:val="17"/>
          <w:szCs w:val="17"/>
        </w:rPr>
        <w:t xml:space="preserve"> </w:t>
      </w:r>
      <w:hyperlink r:id="rId1" w:history="1">
        <w:r w:rsidRPr="00DC1455">
          <w:rPr>
            <w:rStyle w:val="Hyperlink"/>
            <w:b w:val="0"/>
            <w:bCs/>
            <w:sz w:val="17"/>
            <w:szCs w:val="17"/>
          </w:rPr>
          <w:t>https://www.ndis.gov.au/understanding/families-and-carers/guardians-and-nominees-explained</w:t>
        </w:r>
      </w:hyperlink>
      <w:r w:rsidRPr="00DC1455">
        <w:rPr>
          <w:sz w:val="17"/>
          <w:szCs w:val="17"/>
        </w:rPr>
        <w:t xml:space="preserve"> </w:t>
      </w:r>
    </w:p>
  </w:footnote>
  <w:footnote w:id="2">
    <w:p w14:paraId="51DE112A" w14:textId="3D56D91F" w:rsidR="00795219" w:rsidRDefault="00795219">
      <w:pPr>
        <w:pStyle w:val="FootnoteText"/>
      </w:pPr>
      <w:r w:rsidRPr="00B64E0A">
        <w:rPr>
          <w:rStyle w:val="FootnoteReference"/>
          <w:sz w:val="17"/>
          <w:szCs w:val="17"/>
        </w:rPr>
        <w:footnoteRef/>
      </w:r>
      <w:r w:rsidRPr="00B64E0A">
        <w:rPr>
          <w:rStyle w:val="FootnoteReference"/>
          <w:sz w:val="17"/>
          <w:szCs w:val="17"/>
        </w:rPr>
        <w:t xml:space="preserve"> </w:t>
      </w:r>
      <w:r w:rsidRPr="00DC1455">
        <w:rPr>
          <w:sz w:val="17"/>
          <w:szCs w:val="17"/>
        </w:rPr>
        <w:t xml:space="preserve">Committee on the Rights of Persons with Disabilities, </w:t>
      </w:r>
      <w:r w:rsidRPr="00DC1455">
        <w:rPr>
          <w:i/>
          <w:iCs/>
          <w:sz w:val="17"/>
          <w:szCs w:val="17"/>
        </w:rPr>
        <w:t>General Comment No.1 (2014) Article 12: Equal Recognition Before the Law</w:t>
      </w:r>
      <w:r w:rsidRPr="00DC1455">
        <w:rPr>
          <w:sz w:val="17"/>
          <w:szCs w:val="17"/>
        </w:rPr>
        <w:t>, UN Doc CPRD/C/GC/1 (19 May 2014) [</w:t>
      </w:r>
      <w:r>
        <w:rPr>
          <w:sz w:val="17"/>
          <w:szCs w:val="17"/>
        </w:rPr>
        <w:t>15</w:t>
      </w:r>
      <w:r w:rsidRPr="00DC1455">
        <w:rPr>
          <w:sz w:val="17"/>
          <w:szCs w:val="17"/>
        </w:rPr>
        <w:t>].</w:t>
      </w:r>
    </w:p>
  </w:footnote>
  <w:footnote w:id="3">
    <w:p w14:paraId="330FC4A8" w14:textId="6361845F" w:rsidR="009537E1" w:rsidRDefault="009537E1">
      <w:pPr>
        <w:pStyle w:val="FootnoteText"/>
      </w:pPr>
      <w:r w:rsidRPr="00B64E0A">
        <w:rPr>
          <w:rStyle w:val="FootnoteReference"/>
          <w:sz w:val="17"/>
          <w:szCs w:val="17"/>
        </w:rPr>
        <w:footnoteRef/>
      </w:r>
      <w:r>
        <w:t xml:space="preserve"> </w:t>
      </w:r>
      <w:r w:rsidR="00C5702D">
        <w:rPr>
          <w:sz w:val="17"/>
          <w:szCs w:val="17"/>
        </w:rPr>
        <w:t>Ibid</w:t>
      </w:r>
      <w:r w:rsidRPr="00DC1455">
        <w:rPr>
          <w:sz w:val="17"/>
          <w:szCs w:val="17"/>
        </w:rPr>
        <w:t xml:space="preserve"> [</w:t>
      </w:r>
      <w:r>
        <w:rPr>
          <w:sz w:val="17"/>
          <w:szCs w:val="17"/>
        </w:rPr>
        <w:t>16</w:t>
      </w:r>
      <w:r w:rsidRPr="00DC1455">
        <w:rPr>
          <w:sz w:val="17"/>
          <w:szCs w:val="17"/>
        </w:rPr>
        <w:t>].</w:t>
      </w:r>
    </w:p>
  </w:footnote>
  <w:footnote w:id="4">
    <w:p w14:paraId="42A19A2E" w14:textId="7D20B0C6" w:rsidR="0045752C" w:rsidRDefault="0045752C">
      <w:pPr>
        <w:pStyle w:val="FootnoteText"/>
      </w:pPr>
      <w:r w:rsidRPr="00B64E0A">
        <w:rPr>
          <w:rStyle w:val="FootnoteReference"/>
          <w:sz w:val="17"/>
          <w:szCs w:val="17"/>
        </w:rPr>
        <w:footnoteRef/>
      </w:r>
      <w:r w:rsidRPr="00B64E0A">
        <w:rPr>
          <w:rStyle w:val="FootnoteReference"/>
          <w:sz w:val="17"/>
          <w:szCs w:val="17"/>
        </w:rPr>
        <w:t xml:space="preserve"> </w:t>
      </w:r>
      <w:r w:rsidR="00C5702D">
        <w:rPr>
          <w:sz w:val="17"/>
          <w:szCs w:val="17"/>
        </w:rPr>
        <w:t>Ibid</w:t>
      </w:r>
      <w:r w:rsidR="002D5A4C" w:rsidRPr="00DC1455">
        <w:rPr>
          <w:sz w:val="17"/>
          <w:szCs w:val="17"/>
        </w:rPr>
        <w:t xml:space="preserve"> [</w:t>
      </w:r>
      <w:r w:rsidR="0063350A">
        <w:rPr>
          <w:sz w:val="17"/>
          <w:szCs w:val="17"/>
        </w:rPr>
        <w:t>21</w:t>
      </w:r>
      <w:r w:rsidR="002D5A4C" w:rsidRPr="00DC1455">
        <w:rPr>
          <w:sz w:val="17"/>
          <w:szCs w:val="17"/>
        </w:rPr>
        <w:t>].</w:t>
      </w:r>
      <w:r w:rsidR="002D5A4C">
        <w:tab/>
      </w:r>
    </w:p>
  </w:footnote>
  <w:footnote w:id="5">
    <w:p w14:paraId="2811286A" w14:textId="42715769" w:rsidR="007C3AD9" w:rsidRPr="00DC1455" w:rsidRDefault="007C3AD9" w:rsidP="007C3AD9">
      <w:pPr>
        <w:pStyle w:val="FootnoteText"/>
        <w:rPr>
          <w:sz w:val="17"/>
          <w:szCs w:val="17"/>
        </w:rPr>
      </w:pPr>
      <w:r w:rsidRPr="00DC1455">
        <w:rPr>
          <w:rStyle w:val="FootnoteReference"/>
          <w:sz w:val="17"/>
          <w:szCs w:val="17"/>
        </w:rPr>
        <w:footnoteRef/>
      </w:r>
      <w:r w:rsidRPr="00DC1455">
        <w:rPr>
          <w:sz w:val="17"/>
          <w:szCs w:val="17"/>
        </w:rPr>
        <w:t xml:space="preserve"> </w:t>
      </w:r>
      <w:r w:rsidR="00C5702D">
        <w:rPr>
          <w:sz w:val="17"/>
          <w:szCs w:val="17"/>
        </w:rPr>
        <w:t>Ibid</w:t>
      </w:r>
      <w:r w:rsidR="00A92D5E" w:rsidRPr="00DC1455">
        <w:rPr>
          <w:sz w:val="17"/>
          <w:szCs w:val="17"/>
        </w:rPr>
        <w:t xml:space="preserve"> [30].</w:t>
      </w:r>
    </w:p>
  </w:footnote>
  <w:footnote w:id="6">
    <w:p w14:paraId="3058FD2B" w14:textId="41186CF8" w:rsidR="007C3AD9" w:rsidRPr="00DC1455" w:rsidRDefault="007C3AD9" w:rsidP="007C3AD9">
      <w:pPr>
        <w:pStyle w:val="FootnoteText"/>
        <w:rPr>
          <w:sz w:val="17"/>
          <w:szCs w:val="17"/>
        </w:rPr>
      </w:pPr>
      <w:r w:rsidRPr="00DC1455">
        <w:rPr>
          <w:rStyle w:val="FootnoteReference"/>
          <w:sz w:val="17"/>
          <w:szCs w:val="17"/>
        </w:rPr>
        <w:footnoteRef/>
      </w:r>
      <w:r w:rsidRPr="00DC1455">
        <w:rPr>
          <w:sz w:val="17"/>
          <w:szCs w:val="17"/>
        </w:rPr>
        <w:t xml:space="preserve"> </w:t>
      </w:r>
      <w:bookmarkStart w:id="0" w:name="OLE_LINK1"/>
      <w:bookmarkStart w:id="1" w:name="OLE_LINK2"/>
      <w:r w:rsidR="009F4786" w:rsidRPr="00B64E0A">
        <w:rPr>
          <w:i/>
          <w:iCs/>
          <w:sz w:val="17"/>
          <w:szCs w:val="17"/>
        </w:rPr>
        <w:t>Convention on the Rights of Persons with Disabilities</w:t>
      </w:r>
      <w:r w:rsidR="009F4786" w:rsidRPr="009F4786">
        <w:rPr>
          <w:sz w:val="17"/>
          <w:szCs w:val="17"/>
        </w:rPr>
        <w:t>, opened for signature 13 December 2006, 2515 UNTS 3 (entered into force 3 May 2008) (‘</w:t>
      </w:r>
      <w:r w:rsidR="009F4786" w:rsidRPr="00B64E0A">
        <w:rPr>
          <w:i/>
          <w:iCs/>
          <w:sz w:val="17"/>
          <w:szCs w:val="17"/>
        </w:rPr>
        <w:t>CPRD</w:t>
      </w:r>
      <w:r w:rsidR="009F4786" w:rsidRPr="009F4786">
        <w:rPr>
          <w:sz w:val="17"/>
          <w:szCs w:val="17"/>
        </w:rPr>
        <w:t>’)</w:t>
      </w:r>
      <w:r w:rsidR="009F4786">
        <w:rPr>
          <w:sz w:val="17"/>
          <w:szCs w:val="17"/>
        </w:rPr>
        <w:t xml:space="preserve"> art </w:t>
      </w:r>
      <w:r w:rsidRPr="00DC1455">
        <w:rPr>
          <w:sz w:val="17"/>
          <w:szCs w:val="17"/>
        </w:rPr>
        <w:t>12(4).</w:t>
      </w:r>
      <w:bookmarkEnd w:id="0"/>
      <w:bookmarkEnd w:id="1"/>
    </w:p>
  </w:footnote>
  <w:footnote w:id="7">
    <w:p w14:paraId="60F532BC" w14:textId="37EF333E" w:rsidR="007C3AD9" w:rsidRPr="00DC1455" w:rsidRDefault="007C3AD9" w:rsidP="007C3AD9">
      <w:pPr>
        <w:pStyle w:val="FootnoteText"/>
        <w:rPr>
          <w:sz w:val="17"/>
          <w:szCs w:val="17"/>
        </w:rPr>
      </w:pPr>
      <w:r w:rsidRPr="00DC1455">
        <w:rPr>
          <w:rStyle w:val="FootnoteReference"/>
          <w:sz w:val="17"/>
          <w:szCs w:val="17"/>
        </w:rPr>
        <w:footnoteRef/>
      </w:r>
      <w:r w:rsidRPr="00DC1455">
        <w:rPr>
          <w:sz w:val="17"/>
          <w:szCs w:val="17"/>
        </w:rPr>
        <w:t xml:space="preserve"> </w:t>
      </w:r>
      <w:r w:rsidR="0010194C" w:rsidRPr="00DC1455">
        <w:rPr>
          <w:sz w:val="17"/>
          <w:szCs w:val="17"/>
        </w:rPr>
        <w:t xml:space="preserve">CPRD (n </w:t>
      </w:r>
      <w:r w:rsidR="00395D4F">
        <w:rPr>
          <w:sz w:val="17"/>
          <w:szCs w:val="17"/>
        </w:rPr>
        <w:t>7</w:t>
      </w:r>
      <w:r w:rsidR="0010194C" w:rsidRPr="00DC1455">
        <w:rPr>
          <w:sz w:val="17"/>
          <w:szCs w:val="17"/>
        </w:rPr>
        <w:t>) art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79A3" w14:textId="05FC1115" w:rsidR="00BD226E" w:rsidRDefault="00BD2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E5A8" w14:textId="3227FE2A" w:rsidR="00665E6E" w:rsidRDefault="00665E6E">
    <w:pPr>
      <w:pStyle w:val="Header"/>
    </w:pPr>
    <w:r>
      <w:rPr>
        <w:noProof/>
        <w:lang w:eastAsia="en-AU"/>
      </w:rPr>
      <w:drawing>
        <wp:anchor distT="0" distB="0" distL="114300" distR="114300" simplePos="0" relativeHeight="251660288" behindDoc="0" locked="1" layoutInCell="1" allowOverlap="1" wp14:anchorId="4F5E6AD4" wp14:editId="743520DA">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D9A5" w14:textId="7390683E" w:rsidR="009122C2" w:rsidRDefault="002A6DD5" w:rsidP="009122C2">
    <w:pPr>
      <w:pStyle w:val="TableGap"/>
    </w:pPr>
    <w:r>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7568B79E" wp14:editId="0F97F5BC">
              <wp:simplePos x="0" y="0"/>
              <wp:positionH relativeFrom="column">
                <wp:posOffset>4804410</wp:posOffset>
              </wp:positionH>
              <wp:positionV relativeFrom="paragraph">
                <wp:posOffset>2781935</wp:posOffset>
              </wp:positionV>
              <wp:extent cx="1771650" cy="3916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771650" cy="3916680"/>
                      </a:xfrm>
                      <a:prstGeom prst="rect">
                        <a:avLst/>
                      </a:prstGeom>
                      <a:solidFill>
                        <a:schemeClr val="lt1"/>
                      </a:solidFill>
                      <a:ln w="6350">
                        <a:noFill/>
                      </a:ln>
                    </wps:spPr>
                    <wps:txbx>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8B79E" id="_x0000_t202" coordsize="21600,21600" o:spt="202" path="m,l,21600r21600,l21600,xe">
              <v:stroke joinstyle="miter"/>
              <v:path gradientshapeok="t" o:connecttype="rect"/>
            </v:shapetype>
            <v:shape id="Text Box 4" o:spid="_x0000_s1026" type="#_x0000_t202" style="position:absolute;margin-left:378.3pt;margin-top:219.05pt;width:139.5pt;height:3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" fillcolor="white [3201]" stroked="f" strokeweight=".5pt">
              <v:textbox inset="0,0,0,0">
                <w:txbxContent>
                  <w:p w14:paraId="479D7D1C"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7FD56A84"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PO Box 666</w:t>
                    </w:r>
                  </w:p>
                  <w:p w14:paraId="396457DE" w14:textId="77777777" w:rsidR="007C2375" w:rsidRPr="00B152E3" w:rsidRDefault="007C2375" w:rsidP="007C2375">
                    <w:pPr>
                      <w:pStyle w:val="BasicParagraph"/>
                      <w:rPr>
                        <w:rFonts w:ascii="Arial" w:hAnsi="Arial" w:cs="Arial"/>
                        <w:sz w:val="20"/>
                        <w:szCs w:val="48"/>
                      </w:rPr>
                    </w:pPr>
                    <w:r w:rsidRPr="0043292A">
                      <w:rPr>
                        <w:rFonts w:asciiTheme="minorHAnsi" w:hAnsiTheme="minorHAnsi" w:cstheme="minorHAnsi"/>
                        <w:sz w:val="20"/>
                        <w:szCs w:val="48"/>
                      </w:rPr>
                      <w:t>Strawberry Hills NSW 2012</w:t>
                    </w:r>
                  </w:p>
                  <w:p w14:paraId="598BBAAF" w14:textId="77777777" w:rsidR="007C2375" w:rsidRPr="006F7030" w:rsidRDefault="007C2375" w:rsidP="007C2375">
                    <w:pPr>
                      <w:pStyle w:val="BasicParagraph"/>
                      <w:rPr>
                        <w:rFonts w:ascii="VAG Rounded" w:hAnsi="VAG Rounded" w:cs="VAG Rounded"/>
                        <w:b/>
                        <w:bCs/>
                        <w:sz w:val="20"/>
                        <w:szCs w:val="48"/>
                      </w:rPr>
                    </w:pPr>
                  </w:p>
                  <w:p w14:paraId="6085C003" w14:textId="77777777" w:rsidR="007C2375" w:rsidRPr="006F7030" w:rsidRDefault="007C2375" w:rsidP="007C237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06241746"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Level 8</w:t>
                    </w:r>
                  </w:p>
                  <w:p w14:paraId="319D8649" w14:textId="77777777" w:rsidR="007C2375" w:rsidRPr="0043292A" w:rsidRDefault="007C2375" w:rsidP="007C2375">
                    <w:pPr>
                      <w:pStyle w:val="BasicParagraph"/>
                      <w:rPr>
                        <w:rFonts w:ascii="Arial" w:hAnsi="Arial" w:cs="Arial"/>
                        <w:sz w:val="20"/>
                        <w:szCs w:val="48"/>
                      </w:rPr>
                    </w:pPr>
                    <w:r w:rsidRPr="0043292A">
                      <w:rPr>
                        <w:rFonts w:ascii="Arial" w:hAnsi="Arial" w:cs="Arial"/>
                        <w:sz w:val="20"/>
                        <w:szCs w:val="48"/>
                      </w:rPr>
                      <w:t>418a Elizabeth Street</w:t>
                    </w:r>
                  </w:p>
                  <w:p w14:paraId="03357EA8" w14:textId="77777777" w:rsidR="007C2375" w:rsidRPr="00B152E3" w:rsidRDefault="007C2375" w:rsidP="007C2375">
                    <w:pPr>
                      <w:pStyle w:val="BasicParagraph"/>
                      <w:rPr>
                        <w:rFonts w:ascii="Arial" w:hAnsi="Arial" w:cs="Arial"/>
                        <w:sz w:val="20"/>
                        <w:szCs w:val="48"/>
                      </w:rPr>
                    </w:pPr>
                    <w:r w:rsidRPr="0043292A">
                      <w:rPr>
                        <w:rFonts w:ascii="Arial" w:hAnsi="Arial" w:cs="Arial"/>
                        <w:sz w:val="20"/>
                        <w:szCs w:val="48"/>
                      </w:rPr>
                      <w:t>Surry Hills NSW 2010</w:t>
                    </w:r>
                  </w:p>
                  <w:p w14:paraId="3648A83B" w14:textId="77777777" w:rsidR="007C2375" w:rsidRPr="00B152E3" w:rsidRDefault="007C2375" w:rsidP="007C2375">
                    <w:pPr>
                      <w:pStyle w:val="BasicParagraph"/>
                      <w:rPr>
                        <w:rFonts w:ascii="Arial" w:hAnsi="Arial" w:cs="Arial"/>
                        <w:sz w:val="20"/>
                        <w:szCs w:val="48"/>
                      </w:rPr>
                    </w:pPr>
                  </w:p>
                  <w:p w14:paraId="1C6AB7EE"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43292A">
                      <w:rPr>
                        <w:rFonts w:ascii="Arial" w:hAnsi="Arial" w:cs="Arial"/>
                        <w:sz w:val="20"/>
                        <w:szCs w:val="48"/>
                      </w:rPr>
                      <w:t>02 9370 3100</w:t>
                    </w:r>
                  </w:p>
                  <w:p w14:paraId="451EDD6F"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43292A">
                      <w:rPr>
                        <w:rFonts w:ascii="Arial" w:hAnsi="Arial" w:cs="Arial"/>
                        <w:sz w:val="20"/>
                        <w:szCs w:val="48"/>
                      </w:rPr>
                      <w:t xml:space="preserve">02 </w:t>
                    </w:r>
                    <w:r w:rsidRPr="0043058E">
                      <w:rPr>
                        <w:rFonts w:ascii="Arial" w:hAnsi="Arial" w:cs="Arial"/>
                        <w:sz w:val="20"/>
                        <w:szCs w:val="48"/>
                      </w:rPr>
                      <w:t>9318 1372</w:t>
                    </w:r>
                  </w:p>
                  <w:p w14:paraId="4C21B919" w14:textId="77777777" w:rsidR="007C2375" w:rsidRPr="00B152E3"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 xml:space="preserve">Toll Free: </w:t>
                    </w:r>
                    <w:r w:rsidRPr="0043292A">
                      <w:rPr>
                        <w:rFonts w:ascii="Arial" w:hAnsi="Arial" w:cs="Arial"/>
                        <w:sz w:val="20"/>
                        <w:szCs w:val="48"/>
                      </w:rPr>
                      <w:t>1800 422 015</w:t>
                    </w:r>
                  </w:p>
                  <w:p w14:paraId="44C6E2C0" w14:textId="77777777" w:rsidR="007C2375" w:rsidRDefault="007C2375" w:rsidP="007C2375">
                    <w:pPr>
                      <w:pStyle w:val="BasicParagraph"/>
                      <w:rPr>
                        <w:rFonts w:ascii="Arial" w:hAnsi="Arial" w:cs="Arial"/>
                        <w:sz w:val="20"/>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43292A">
                      <w:rPr>
                        <w:rFonts w:ascii="Arial" w:hAnsi="Arial" w:cs="Arial"/>
                        <w:sz w:val="20"/>
                        <w:szCs w:val="48"/>
                      </w:rPr>
                      <w:t>pwd@pwd.org.au</w:t>
                    </w:r>
                  </w:p>
                  <w:p w14:paraId="1CF5C475" w14:textId="77777777" w:rsidR="007C2375" w:rsidRPr="00CE5E55" w:rsidRDefault="007C2375" w:rsidP="007C2375">
                    <w:pPr>
                      <w:pStyle w:val="BasicParagraph"/>
                      <w:rPr>
                        <w:rFonts w:asciiTheme="minorHAnsi" w:hAnsiTheme="minorHAnsi" w:cstheme="minorHAnsi"/>
                      </w:rPr>
                    </w:pPr>
                    <w:r>
                      <w:rPr>
                        <w:rFonts w:ascii="VAG Rounded" w:hAnsi="VAG Rounded" w:cs="VAG Rounded"/>
                        <w:b/>
                        <w:bCs/>
                        <w:color w:val="005496" w:themeColor="text2"/>
                        <w:sz w:val="20"/>
                        <w:szCs w:val="48"/>
                      </w:rPr>
                      <w:t>NRS:</w:t>
                    </w:r>
                    <w:r>
                      <w:t xml:space="preserve"> </w:t>
                    </w:r>
                    <w:r w:rsidRPr="00CE5E55">
                      <w:rPr>
                        <w:rFonts w:asciiTheme="minorHAnsi" w:hAnsiTheme="minorHAnsi" w:cstheme="minorHAnsi"/>
                        <w:sz w:val="20"/>
                        <w:szCs w:val="20"/>
                      </w:rPr>
                      <w:t>1800 555 677</w:t>
                    </w:r>
                  </w:p>
                  <w:p w14:paraId="1B7E74C7" w14:textId="77777777" w:rsidR="007C2375" w:rsidRPr="00CE5E55" w:rsidRDefault="007C2375" w:rsidP="007C2375">
                    <w:pPr>
                      <w:pStyle w:val="BasicParagraph"/>
                      <w:rPr>
                        <w:rFonts w:asciiTheme="majorHAnsi" w:hAnsiTheme="majorHAnsi" w:cstheme="majorHAnsi"/>
                        <w:sz w:val="20"/>
                        <w:szCs w:val="20"/>
                      </w:rPr>
                    </w:pPr>
                    <w:r>
                      <w:rPr>
                        <w:rFonts w:ascii="VAG Rounded" w:hAnsi="VAG Rounded" w:cs="VAG Rounded"/>
                        <w:b/>
                        <w:bCs/>
                        <w:color w:val="005496" w:themeColor="text2"/>
                        <w:sz w:val="20"/>
                        <w:szCs w:val="48"/>
                      </w:rPr>
                      <w:t>SMS Relay:</w:t>
                    </w:r>
                    <w:r>
                      <w:t xml:space="preserve"> </w:t>
                    </w:r>
                    <w:r w:rsidRPr="00CE5E55">
                      <w:rPr>
                        <w:rFonts w:asciiTheme="majorHAnsi" w:hAnsiTheme="majorHAnsi" w:cstheme="majorHAnsi"/>
                        <w:sz w:val="20"/>
                        <w:szCs w:val="20"/>
                      </w:rPr>
                      <w:t>0423 677 767</w:t>
                    </w:r>
                  </w:p>
                  <w:p w14:paraId="5D52B994" w14:textId="77777777" w:rsidR="007C2375" w:rsidRPr="00B152E3" w:rsidRDefault="007C2375" w:rsidP="007C2375">
                    <w:pPr>
                      <w:pStyle w:val="BasicParagraph"/>
                      <w:rPr>
                        <w:rFonts w:ascii="Arial" w:hAnsi="Arial" w:cs="Arial"/>
                        <w:sz w:val="20"/>
                        <w:szCs w:val="48"/>
                      </w:rPr>
                    </w:pPr>
                    <w:r>
                      <w:rPr>
                        <w:rFonts w:ascii="VAG Rounded" w:hAnsi="VAG Rounded" w:cs="VAG Rounded"/>
                        <w:b/>
                        <w:bCs/>
                        <w:color w:val="005496" w:themeColor="text2"/>
                        <w:sz w:val="20"/>
                        <w:szCs w:val="48"/>
                      </w:rPr>
                      <w:t>TIS:</w:t>
                    </w:r>
                    <w:r w:rsidR="00CE5E55">
                      <w:t xml:space="preserve"> </w:t>
                    </w:r>
                    <w:r w:rsidRPr="00CE5E55">
                      <w:rPr>
                        <w:rFonts w:asciiTheme="minorHAnsi" w:hAnsiTheme="minorHAnsi" w:cstheme="minorHAnsi"/>
                        <w:sz w:val="20"/>
                        <w:szCs w:val="20"/>
                      </w:rPr>
                      <w:t>13 14 50</w:t>
                    </w:r>
                  </w:p>
                  <w:p w14:paraId="49A640F3" w14:textId="77777777" w:rsidR="007C2375" w:rsidRPr="00B152E3" w:rsidRDefault="007C2375" w:rsidP="007C2375">
                    <w:pPr>
                      <w:pStyle w:val="BasicParagraph"/>
                      <w:rPr>
                        <w:rFonts w:ascii="Arial" w:hAnsi="Arial" w:cs="Arial"/>
                        <w:sz w:val="20"/>
                        <w:szCs w:val="48"/>
                      </w:rPr>
                    </w:pPr>
                  </w:p>
                  <w:p w14:paraId="0A16907C" w14:textId="77777777" w:rsidR="007C2375" w:rsidRPr="00B152E3" w:rsidRDefault="007C2375" w:rsidP="007C2375">
                    <w:pPr>
                      <w:pStyle w:val="BasicParagraph"/>
                      <w:rPr>
                        <w:rFonts w:ascii="Arial" w:hAnsi="Arial" w:cs="Arial"/>
                        <w:sz w:val="20"/>
                        <w:szCs w:val="48"/>
                      </w:rPr>
                    </w:pPr>
                  </w:p>
                  <w:p w14:paraId="1CD0AE64" w14:textId="07E052DD" w:rsidR="002A6DD5" w:rsidRPr="006F7030" w:rsidRDefault="007C2375" w:rsidP="005706AF">
                    <w:pPr>
                      <w:pStyle w:val="BasicParagraph"/>
                      <w:rPr>
                        <w:sz w:val="4"/>
                        <w:szCs w:val="20"/>
                      </w:rPr>
                    </w:pPr>
                    <w:r w:rsidRPr="006F7030">
                      <w:rPr>
                        <w:rFonts w:ascii="VAG Rounded" w:hAnsi="VAG Rounded" w:cs="VAG Rounded"/>
                        <w:b/>
                        <w:bCs/>
                        <w:color w:val="005496" w:themeColor="text2"/>
                        <w:sz w:val="20"/>
                        <w:szCs w:val="48"/>
                      </w:rPr>
                      <w:t xml:space="preserve">ACN: </w:t>
                    </w:r>
                    <w:r w:rsidRPr="0043292A">
                      <w:rPr>
                        <w:rFonts w:ascii="Arial" w:hAnsi="Arial" w:cs="Arial"/>
                        <w:sz w:val="20"/>
                        <w:szCs w:val="48"/>
                      </w:rPr>
                      <w:t>621 720 143</w:t>
                    </w:r>
                  </w:p>
                </w:txbxContent>
              </v:textbox>
            </v:shape>
          </w:pict>
        </mc:Fallback>
      </mc:AlternateContent>
    </w:r>
    <w:r w:rsidR="00D8023A">
      <w:rPr>
        <w:noProof/>
        <w:lang w:eastAsia="en-AU"/>
      </w:rPr>
      <mc:AlternateContent>
        <mc:Choice Requires="wps">
          <w:drawing>
            <wp:anchor distT="0" distB="0" distL="114300" distR="114300" simplePos="0" relativeHeight="251668480" behindDoc="0" locked="0" layoutInCell="1" allowOverlap="1" wp14:anchorId="6D1ED43B" wp14:editId="52C0BC3D">
              <wp:simplePos x="0" y="0"/>
              <wp:positionH relativeFrom="column">
                <wp:posOffset>4846983</wp:posOffset>
              </wp:positionH>
              <wp:positionV relativeFrom="paragraph">
                <wp:posOffset>3545868</wp:posOffset>
              </wp:positionV>
              <wp:extent cx="1342417" cy="4928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417" cy="492868"/>
                      </a:xfrm>
                      <a:prstGeom prst="rect">
                        <a:avLst/>
                      </a:prstGeom>
                      <a:solidFill>
                        <a:schemeClr val="lt1"/>
                      </a:solidFill>
                      <a:ln w="6350">
                        <a:noFill/>
                      </a:ln>
                    </wps:spPr>
                    <wps:txbx>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ED43B" id="Text Box 3" o:spid="_x0000_s1027" type="#_x0000_t202" style="position:absolute;margin-left:381.65pt;margin-top:279.2pt;width:105.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" fillcolor="white [3201]" stroked="f" strokeweight=".5pt">
              <v:textbox inset="0,0,0,0">
                <w:txbxContent>
                  <w:p w14:paraId="14490D14" w14:textId="77777777" w:rsidR="00D8023A" w:rsidRPr="00AB1992" w:rsidRDefault="00D8023A" w:rsidP="00D8023A">
                    <w:pPr>
                      <w:spacing w:after="0" w:line="140" w:lineRule="atLeast"/>
                      <w:rPr>
                        <w:sz w:val="20"/>
                        <w:szCs w:val="20"/>
                      </w:rPr>
                    </w:pPr>
                    <w:r w:rsidRPr="00AB1992">
                      <w:rPr>
                        <w:sz w:val="20"/>
                        <w:szCs w:val="20"/>
                      </w:rPr>
                      <w:t>Level 8</w:t>
                    </w:r>
                  </w:p>
                  <w:p w14:paraId="51876C57"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35428A9"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v:textbox>
            </v:shape>
          </w:pict>
        </mc:Fallback>
      </mc:AlternateContent>
    </w:r>
    <w:r w:rsidR="009122C2">
      <w:rPr>
        <w:noProof/>
        <w:lang w:eastAsia="en-AU"/>
      </w:rPr>
      <w:drawing>
        <wp:anchor distT="0" distB="0" distL="114300" distR="114300" simplePos="0" relativeHeight="251666432" behindDoc="0" locked="1" layoutInCell="1" allowOverlap="1" wp14:anchorId="47026413" wp14:editId="41C606AB">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B873497"/>
    <w:multiLevelType w:val="multilevel"/>
    <w:tmpl w:val="3F002D38"/>
    <w:name w:val="PWDA_Bullets2"/>
    <w:numStyleLink w:val="PWDABullets"/>
  </w:abstractNum>
  <w:abstractNum w:abstractNumId="2"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3417264C"/>
    <w:multiLevelType w:val="hybridMultilevel"/>
    <w:tmpl w:val="8DF68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Dc0MjEwNTcwMTFQ0lEKTi0uzszPAykwrwUA637NqSwAAAA="/>
  </w:docVars>
  <w:rsids>
    <w:rsidRoot w:val="00D67E93"/>
    <w:rsid w:val="00015AED"/>
    <w:rsid w:val="00022451"/>
    <w:rsid w:val="0004322B"/>
    <w:rsid w:val="0004547F"/>
    <w:rsid w:val="000952BC"/>
    <w:rsid w:val="0009665D"/>
    <w:rsid w:val="0010194C"/>
    <w:rsid w:val="00121C63"/>
    <w:rsid w:val="001234CE"/>
    <w:rsid w:val="00134D74"/>
    <w:rsid w:val="00184CE8"/>
    <w:rsid w:val="001A2AD3"/>
    <w:rsid w:val="001A67EB"/>
    <w:rsid w:val="001C5FE2"/>
    <w:rsid w:val="001E4D5C"/>
    <w:rsid w:val="0022510A"/>
    <w:rsid w:val="002445DD"/>
    <w:rsid w:val="00256F93"/>
    <w:rsid w:val="00270C1A"/>
    <w:rsid w:val="0028069D"/>
    <w:rsid w:val="002A6DD5"/>
    <w:rsid w:val="002C39E0"/>
    <w:rsid w:val="002D5A4C"/>
    <w:rsid w:val="002F50F7"/>
    <w:rsid w:val="003402AE"/>
    <w:rsid w:val="00351A77"/>
    <w:rsid w:val="00375DC8"/>
    <w:rsid w:val="00385AA2"/>
    <w:rsid w:val="00395D4F"/>
    <w:rsid w:val="003A01C1"/>
    <w:rsid w:val="003A7CBA"/>
    <w:rsid w:val="003A7D8A"/>
    <w:rsid w:val="003C225A"/>
    <w:rsid w:val="003E0314"/>
    <w:rsid w:val="00425F08"/>
    <w:rsid w:val="00427012"/>
    <w:rsid w:val="0045752C"/>
    <w:rsid w:val="0046384C"/>
    <w:rsid w:val="00497BA4"/>
    <w:rsid w:val="004B267B"/>
    <w:rsid w:val="004C48EB"/>
    <w:rsid w:val="004E33A5"/>
    <w:rsid w:val="00512BB2"/>
    <w:rsid w:val="00554BAD"/>
    <w:rsid w:val="00557A6C"/>
    <w:rsid w:val="005706AF"/>
    <w:rsid w:val="005913C7"/>
    <w:rsid w:val="00592B1C"/>
    <w:rsid w:val="0063350A"/>
    <w:rsid w:val="006348AB"/>
    <w:rsid w:val="00636353"/>
    <w:rsid w:val="00637733"/>
    <w:rsid w:val="00662C91"/>
    <w:rsid w:val="00665E6E"/>
    <w:rsid w:val="006733DA"/>
    <w:rsid w:val="00684580"/>
    <w:rsid w:val="006A4821"/>
    <w:rsid w:val="006A5B1D"/>
    <w:rsid w:val="0070255E"/>
    <w:rsid w:val="007058C8"/>
    <w:rsid w:val="00705F19"/>
    <w:rsid w:val="00726832"/>
    <w:rsid w:val="00771157"/>
    <w:rsid w:val="007711EA"/>
    <w:rsid w:val="007733FA"/>
    <w:rsid w:val="00795219"/>
    <w:rsid w:val="007B0613"/>
    <w:rsid w:val="007C2375"/>
    <w:rsid w:val="007C3AD9"/>
    <w:rsid w:val="007E0410"/>
    <w:rsid w:val="007F7D2F"/>
    <w:rsid w:val="00802D3B"/>
    <w:rsid w:val="00806885"/>
    <w:rsid w:val="008129DB"/>
    <w:rsid w:val="008132F0"/>
    <w:rsid w:val="00820C33"/>
    <w:rsid w:val="00860DCD"/>
    <w:rsid w:val="00866CDB"/>
    <w:rsid w:val="00876D67"/>
    <w:rsid w:val="00894322"/>
    <w:rsid w:val="008E2BF3"/>
    <w:rsid w:val="00904613"/>
    <w:rsid w:val="00904E56"/>
    <w:rsid w:val="009122C2"/>
    <w:rsid w:val="00920BBD"/>
    <w:rsid w:val="00924099"/>
    <w:rsid w:val="00935643"/>
    <w:rsid w:val="00940BFD"/>
    <w:rsid w:val="00942DE4"/>
    <w:rsid w:val="009537E1"/>
    <w:rsid w:val="00972BDC"/>
    <w:rsid w:val="00982A7B"/>
    <w:rsid w:val="00985F69"/>
    <w:rsid w:val="00990A2F"/>
    <w:rsid w:val="009955E8"/>
    <w:rsid w:val="009B0A4F"/>
    <w:rsid w:val="009B57CA"/>
    <w:rsid w:val="009F36B7"/>
    <w:rsid w:val="009F4786"/>
    <w:rsid w:val="00A375BD"/>
    <w:rsid w:val="00A4575A"/>
    <w:rsid w:val="00A6248E"/>
    <w:rsid w:val="00A92D5E"/>
    <w:rsid w:val="00AC681F"/>
    <w:rsid w:val="00AE670C"/>
    <w:rsid w:val="00B069B5"/>
    <w:rsid w:val="00B25A94"/>
    <w:rsid w:val="00B64E0A"/>
    <w:rsid w:val="00BB5D49"/>
    <w:rsid w:val="00BC5278"/>
    <w:rsid w:val="00BD226E"/>
    <w:rsid w:val="00BD47EE"/>
    <w:rsid w:val="00C012E2"/>
    <w:rsid w:val="00C0200D"/>
    <w:rsid w:val="00C022E6"/>
    <w:rsid w:val="00C02BFC"/>
    <w:rsid w:val="00C5702D"/>
    <w:rsid w:val="00C63E13"/>
    <w:rsid w:val="00CA48FC"/>
    <w:rsid w:val="00CB2E90"/>
    <w:rsid w:val="00CD67D9"/>
    <w:rsid w:val="00CE5E55"/>
    <w:rsid w:val="00CF6D07"/>
    <w:rsid w:val="00D230B8"/>
    <w:rsid w:val="00D31A22"/>
    <w:rsid w:val="00D31EF9"/>
    <w:rsid w:val="00D426C8"/>
    <w:rsid w:val="00D67E93"/>
    <w:rsid w:val="00D8023A"/>
    <w:rsid w:val="00D84EA5"/>
    <w:rsid w:val="00D84EA8"/>
    <w:rsid w:val="00D854D8"/>
    <w:rsid w:val="00DC1455"/>
    <w:rsid w:val="00DC4B29"/>
    <w:rsid w:val="00DE57B8"/>
    <w:rsid w:val="00DF0A97"/>
    <w:rsid w:val="00E02CC3"/>
    <w:rsid w:val="00E06EC5"/>
    <w:rsid w:val="00E26F7A"/>
    <w:rsid w:val="00E36962"/>
    <w:rsid w:val="00E51B0F"/>
    <w:rsid w:val="00E56331"/>
    <w:rsid w:val="00E579B0"/>
    <w:rsid w:val="00E61E50"/>
    <w:rsid w:val="00E65F70"/>
    <w:rsid w:val="00E7279F"/>
    <w:rsid w:val="00E939DF"/>
    <w:rsid w:val="00EC7699"/>
    <w:rsid w:val="00ED061A"/>
    <w:rsid w:val="00EE1B61"/>
    <w:rsid w:val="00EF0526"/>
    <w:rsid w:val="00F06464"/>
    <w:rsid w:val="00F1283C"/>
    <w:rsid w:val="00F53974"/>
    <w:rsid w:val="00FA2A5C"/>
    <w:rsid w:val="00FD4A2D"/>
    <w:rsid w:val="00FD4C17"/>
    <w:rsid w:val="00FD7ADD"/>
    <w:rsid w:val="00FE1B6A"/>
    <w:rsid w:val="00FE4917"/>
    <w:rsid w:val="00FF6F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05329"/>
  <w15:docId w15:val="{F6E5246B-C4A9-4A91-8AFB-4B24990B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semiHidden/>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paragraph" w:styleId="FootnoteText">
    <w:name w:val="footnote text"/>
    <w:basedOn w:val="Normal"/>
    <w:link w:val="FootnoteTextChar"/>
    <w:uiPriority w:val="99"/>
    <w:semiHidden/>
    <w:unhideWhenUsed/>
    <w:rsid w:val="007C3A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AD9"/>
    <w:rPr>
      <w:sz w:val="20"/>
      <w:szCs w:val="20"/>
    </w:rPr>
  </w:style>
  <w:style w:type="character" w:styleId="FootnoteReference">
    <w:name w:val="footnote reference"/>
    <w:basedOn w:val="DefaultParagraphFont"/>
    <w:uiPriority w:val="99"/>
    <w:semiHidden/>
    <w:unhideWhenUsed/>
    <w:rsid w:val="007C3AD9"/>
    <w:rPr>
      <w:vertAlign w:val="superscript"/>
    </w:rPr>
  </w:style>
  <w:style w:type="character" w:styleId="UnresolvedMention">
    <w:name w:val="Unresolved Mention"/>
    <w:basedOn w:val="DefaultParagraphFont"/>
    <w:uiPriority w:val="99"/>
    <w:semiHidden/>
    <w:unhideWhenUsed/>
    <w:rsid w:val="007C3AD9"/>
    <w:rPr>
      <w:color w:val="605E5C"/>
      <w:shd w:val="clear" w:color="auto" w:fill="E1DFDD"/>
    </w:rPr>
  </w:style>
  <w:style w:type="paragraph" w:styleId="Revision">
    <w:name w:val="Revision"/>
    <w:hidden/>
    <w:uiPriority w:val="99"/>
    <w:semiHidden/>
    <w:rsid w:val="00B64E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87537">
      <w:bodyDiv w:val="1"/>
      <w:marLeft w:val="0"/>
      <w:marRight w:val="0"/>
      <w:marTop w:val="0"/>
      <w:marBottom w:val="0"/>
      <w:divBdr>
        <w:top w:val="none" w:sz="0" w:space="0" w:color="auto"/>
        <w:left w:val="none" w:sz="0" w:space="0" w:color="auto"/>
        <w:bottom w:val="none" w:sz="0" w:space="0" w:color="auto"/>
        <w:right w:val="none" w:sz="0" w:space="0" w:color="auto"/>
      </w:divBdr>
    </w:div>
    <w:div w:id="510263759">
      <w:bodyDiv w:val="1"/>
      <w:marLeft w:val="0"/>
      <w:marRight w:val="0"/>
      <w:marTop w:val="0"/>
      <w:marBottom w:val="0"/>
      <w:divBdr>
        <w:top w:val="none" w:sz="0" w:space="0" w:color="auto"/>
        <w:left w:val="none" w:sz="0" w:space="0" w:color="auto"/>
        <w:bottom w:val="none" w:sz="0" w:space="0" w:color="auto"/>
        <w:right w:val="none" w:sz="0" w:space="0" w:color="auto"/>
      </w:divBdr>
    </w:div>
    <w:div w:id="803691646">
      <w:bodyDiv w:val="1"/>
      <w:marLeft w:val="0"/>
      <w:marRight w:val="0"/>
      <w:marTop w:val="0"/>
      <w:marBottom w:val="0"/>
      <w:divBdr>
        <w:top w:val="none" w:sz="0" w:space="0" w:color="auto"/>
        <w:left w:val="none" w:sz="0" w:space="0" w:color="auto"/>
        <w:bottom w:val="none" w:sz="0" w:space="0" w:color="auto"/>
        <w:right w:val="none" w:sz="0" w:space="0" w:color="auto"/>
      </w:divBdr>
      <w:divsChild>
        <w:div w:id="1075736008">
          <w:marLeft w:val="0"/>
          <w:marRight w:val="0"/>
          <w:marTop w:val="0"/>
          <w:marBottom w:val="0"/>
          <w:divBdr>
            <w:top w:val="none" w:sz="0" w:space="0" w:color="auto"/>
            <w:left w:val="none" w:sz="0" w:space="0" w:color="auto"/>
            <w:bottom w:val="none" w:sz="0" w:space="0" w:color="auto"/>
            <w:right w:val="none" w:sz="0" w:space="0" w:color="auto"/>
          </w:divBdr>
          <w:divsChild>
            <w:div w:id="95027912">
              <w:marLeft w:val="0"/>
              <w:marRight w:val="0"/>
              <w:marTop w:val="0"/>
              <w:marBottom w:val="0"/>
              <w:divBdr>
                <w:top w:val="none" w:sz="0" w:space="0" w:color="auto"/>
                <w:left w:val="none" w:sz="0" w:space="0" w:color="auto"/>
                <w:bottom w:val="none" w:sz="0" w:space="0" w:color="auto"/>
                <w:right w:val="none" w:sz="0" w:space="0" w:color="auto"/>
              </w:divBdr>
              <w:divsChild>
                <w:div w:id="14276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7834">
      <w:bodyDiv w:val="1"/>
      <w:marLeft w:val="0"/>
      <w:marRight w:val="0"/>
      <w:marTop w:val="0"/>
      <w:marBottom w:val="0"/>
      <w:divBdr>
        <w:top w:val="none" w:sz="0" w:space="0" w:color="auto"/>
        <w:left w:val="none" w:sz="0" w:space="0" w:color="auto"/>
        <w:bottom w:val="none" w:sz="0" w:space="0" w:color="auto"/>
        <w:right w:val="none" w:sz="0" w:space="0" w:color="auto"/>
      </w:divBdr>
      <w:divsChild>
        <w:div w:id="179390137">
          <w:marLeft w:val="0"/>
          <w:marRight w:val="0"/>
          <w:marTop w:val="0"/>
          <w:marBottom w:val="0"/>
          <w:divBdr>
            <w:top w:val="none" w:sz="0" w:space="0" w:color="auto"/>
            <w:left w:val="none" w:sz="0" w:space="0" w:color="auto"/>
            <w:bottom w:val="none" w:sz="0" w:space="0" w:color="auto"/>
            <w:right w:val="none" w:sz="0" w:space="0" w:color="auto"/>
          </w:divBdr>
          <w:divsChild>
            <w:div w:id="232664040">
              <w:marLeft w:val="0"/>
              <w:marRight w:val="0"/>
              <w:marTop w:val="0"/>
              <w:marBottom w:val="0"/>
              <w:divBdr>
                <w:top w:val="none" w:sz="0" w:space="0" w:color="auto"/>
                <w:left w:val="none" w:sz="0" w:space="0" w:color="auto"/>
                <w:bottom w:val="none" w:sz="0" w:space="0" w:color="auto"/>
                <w:right w:val="none" w:sz="0" w:space="0" w:color="auto"/>
              </w:divBdr>
              <w:divsChild>
                <w:div w:id="4804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27473">
      <w:bodyDiv w:val="1"/>
      <w:marLeft w:val="0"/>
      <w:marRight w:val="0"/>
      <w:marTop w:val="0"/>
      <w:marBottom w:val="0"/>
      <w:divBdr>
        <w:top w:val="none" w:sz="0" w:space="0" w:color="auto"/>
        <w:left w:val="none" w:sz="0" w:space="0" w:color="auto"/>
        <w:bottom w:val="none" w:sz="0" w:space="0" w:color="auto"/>
        <w:right w:val="none" w:sz="0" w:space="0" w:color="auto"/>
      </w:divBdr>
    </w:div>
    <w:div w:id="1721781849">
      <w:bodyDiv w:val="1"/>
      <w:marLeft w:val="0"/>
      <w:marRight w:val="0"/>
      <w:marTop w:val="0"/>
      <w:marBottom w:val="0"/>
      <w:divBdr>
        <w:top w:val="none" w:sz="0" w:space="0" w:color="auto"/>
        <w:left w:val="none" w:sz="0" w:space="0" w:color="auto"/>
        <w:bottom w:val="none" w:sz="0" w:space="0" w:color="auto"/>
        <w:right w:val="none" w:sz="0" w:space="0" w:color="auto"/>
      </w:divBdr>
      <w:divsChild>
        <w:div w:id="500924064">
          <w:marLeft w:val="0"/>
          <w:marRight w:val="0"/>
          <w:marTop w:val="0"/>
          <w:marBottom w:val="0"/>
          <w:divBdr>
            <w:top w:val="none" w:sz="0" w:space="0" w:color="auto"/>
            <w:left w:val="none" w:sz="0" w:space="0" w:color="auto"/>
            <w:bottom w:val="none" w:sz="0" w:space="0" w:color="auto"/>
            <w:right w:val="none" w:sz="0" w:space="0" w:color="auto"/>
          </w:divBdr>
          <w:divsChild>
            <w:div w:id="1855264747">
              <w:marLeft w:val="0"/>
              <w:marRight w:val="0"/>
              <w:marTop w:val="0"/>
              <w:marBottom w:val="0"/>
              <w:divBdr>
                <w:top w:val="none" w:sz="0" w:space="0" w:color="auto"/>
                <w:left w:val="none" w:sz="0" w:space="0" w:color="auto"/>
                <w:bottom w:val="none" w:sz="0" w:space="0" w:color="auto"/>
                <w:right w:val="none" w:sz="0" w:space="0" w:color="auto"/>
              </w:divBdr>
              <w:divsChild>
                <w:div w:id="1364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58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98">
          <w:marLeft w:val="0"/>
          <w:marRight w:val="0"/>
          <w:marTop w:val="0"/>
          <w:marBottom w:val="0"/>
          <w:divBdr>
            <w:top w:val="none" w:sz="0" w:space="0" w:color="auto"/>
            <w:left w:val="none" w:sz="0" w:space="0" w:color="auto"/>
            <w:bottom w:val="none" w:sz="0" w:space="0" w:color="auto"/>
            <w:right w:val="none" w:sz="0" w:space="0" w:color="auto"/>
          </w:divBdr>
          <w:divsChild>
            <w:div w:id="400060052">
              <w:marLeft w:val="0"/>
              <w:marRight w:val="0"/>
              <w:marTop w:val="0"/>
              <w:marBottom w:val="0"/>
              <w:divBdr>
                <w:top w:val="none" w:sz="0" w:space="0" w:color="auto"/>
                <w:left w:val="none" w:sz="0" w:space="0" w:color="auto"/>
                <w:bottom w:val="none" w:sz="0" w:space="0" w:color="auto"/>
                <w:right w:val="none" w:sz="0" w:space="0" w:color="auto"/>
              </w:divBdr>
              <w:divsChild>
                <w:div w:id="121723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3700">
      <w:bodyDiv w:val="1"/>
      <w:marLeft w:val="0"/>
      <w:marRight w:val="0"/>
      <w:marTop w:val="0"/>
      <w:marBottom w:val="0"/>
      <w:divBdr>
        <w:top w:val="none" w:sz="0" w:space="0" w:color="auto"/>
        <w:left w:val="none" w:sz="0" w:space="0" w:color="auto"/>
        <w:bottom w:val="none" w:sz="0" w:space="0" w:color="auto"/>
        <w:right w:val="none" w:sz="0" w:space="0" w:color="auto"/>
      </w:divBdr>
      <w:divsChild>
        <w:div w:id="406809744">
          <w:marLeft w:val="0"/>
          <w:marRight w:val="0"/>
          <w:marTop w:val="0"/>
          <w:marBottom w:val="0"/>
          <w:divBdr>
            <w:top w:val="none" w:sz="0" w:space="0" w:color="auto"/>
            <w:left w:val="none" w:sz="0" w:space="0" w:color="auto"/>
            <w:bottom w:val="none" w:sz="0" w:space="0" w:color="auto"/>
            <w:right w:val="none" w:sz="0" w:space="0" w:color="auto"/>
          </w:divBdr>
          <w:divsChild>
            <w:div w:id="2056617973">
              <w:marLeft w:val="0"/>
              <w:marRight w:val="0"/>
              <w:marTop w:val="0"/>
              <w:marBottom w:val="0"/>
              <w:divBdr>
                <w:top w:val="none" w:sz="0" w:space="0" w:color="auto"/>
                <w:left w:val="none" w:sz="0" w:space="0" w:color="auto"/>
                <w:bottom w:val="none" w:sz="0" w:space="0" w:color="auto"/>
                <w:right w:val="none" w:sz="0" w:space="0" w:color="auto"/>
              </w:divBdr>
              <w:divsChild>
                <w:div w:id="9482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cypolicy@ndis.gov.au"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giancarlod@pwd.org.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www.ndis.gov.au/understanding/families-and-carers/guardians-and-nominees-explaine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0" ma:contentTypeDescription="Create a new document." ma:contentTypeScope="" ma:versionID="9d4371bf668571f25740eae6cfacc432">
  <xsd:schema xmlns:xsd="http://www.w3.org/2001/XMLSchema" xmlns:xs="http://www.w3.org/2001/XMLSchema" xmlns:p="http://schemas.microsoft.com/office/2006/metadata/properties" xmlns:ns2="62e6d7e0-8f69-4736-9de7-41af03e42ea2" targetNamespace="http://schemas.microsoft.com/office/2006/metadata/properties" ma:root="true" ma:fieldsID="843a0900b859f6cfed2837c847436eed" ns2:_="">
    <xsd:import namespace="62e6d7e0-8f69-4736-9de7-41af03e42e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7B893-FE60-46F6-AEBC-A1C7E8C9D131}">
  <ds:schemaRefs>
    <ds:schemaRef ds:uri="http://schemas.openxmlformats.org/officeDocument/2006/bibliography"/>
  </ds:schemaRefs>
</ds:datastoreItem>
</file>

<file path=customXml/itemProps2.xml><?xml version="1.0" encoding="utf-8"?>
<ds:datastoreItem xmlns:ds="http://schemas.openxmlformats.org/officeDocument/2006/customXml" ds:itemID="{B73AA76F-05D0-4127-ADE2-B9D3187DB102}"/>
</file>

<file path=customXml/itemProps3.xml><?xml version="1.0" encoding="utf-8"?>
<ds:datastoreItem xmlns:ds="http://schemas.openxmlformats.org/officeDocument/2006/customXml" ds:itemID="{8D124CEB-16FF-41B3-9813-22216F0A1749}"/>
</file>

<file path=customXml/itemProps4.xml><?xml version="1.0" encoding="utf-8"?>
<ds:datastoreItem xmlns:ds="http://schemas.openxmlformats.org/officeDocument/2006/customXml" ds:itemID="{3465B36E-43DB-4581-BA53-CF201002FDE3}"/>
</file>

<file path=docProps/app.xml><?xml version="1.0" encoding="utf-8"?>
<Properties xmlns="http://schemas.openxmlformats.org/officeDocument/2006/extended-properties" xmlns:vt="http://schemas.openxmlformats.org/officeDocument/2006/docPropsVTypes">
  <Template>Normal</Template>
  <TotalTime>9</TotalTime>
  <Pages>5</Pages>
  <Words>1242</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Connor</dc:creator>
  <cp:lastModifiedBy>Giancarlo de Vera</cp:lastModifiedBy>
  <cp:revision>4</cp:revision>
  <cp:lastPrinted>2021-09-10T02:42:00Z</cp:lastPrinted>
  <dcterms:created xsi:type="dcterms:W3CDTF">2021-09-10T02:40:00Z</dcterms:created>
  <dcterms:modified xsi:type="dcterms:W3CDTF">2021-09-10T02:46:00Z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Order">
    <vt:r8>13381000</vt:r8>
  </property>
</Properties>
</file>